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B8FB11" w14:textId="4FC5FDC1" w:rsidR="00D60C83" w:rsidRPr="00D60C83" w:rsidRDefault="00D60C83" w:rsidP="0011055B">
      <w:pPr>
        <w:shd w:val="clear" w:color="auto" w:fill="FFFFFF"/>
        <w:spacing w:line="276" w:lineRule="auto"/>
        <w:rPr>
          <w:rFonts w:asciiTheme="minorHAnsi" w:hAnsiTheme="minorHAnsi" w:cstheme="minorHAnsi"/>
          <w:b/>
          <w:sz w:val="44"/>
          <w:szCs w:val="22"/>
        </w:rPr>
      </w:pPr>
      <w:r w:rsidRPr="00D60C83">
        <w:rPr>
          <w:rFonts w:asciiTheme="minorHAnsi" w:hAnsiTheme="minorHAnsi" w:cstheme="minorHAnsi"/>
          <w:b/>
          <w:sz w:val="44"/>
          <w:szCs w:val="22"/>
        </w:rPr>
        <w:t xml:space="preserve">An Analysis of JCB </w:t>
      </w:r>
    </w:p>
    <w:p w14:paraId="72212069" w14:textId="77777777" w:rsidR="00D60C83" w:rsidRPr="00D60C83" w:rsidRDefault="00D60C83" w:rsidP="0011055B">
      <w:pPr>
        <w:shd w:val="clear" w:color="auto" w:fill="FFFFFF"/>
        <w:spacing w:line="276" w:lineRule="auto"/>
        <w:rPr>
          <w:rFonts w:asciiTheme="minorHAnsi" w:hAnsiTheme="minorHAnsi" w:cstheme="minorHAnsi"/>
          <w:sz w:val="22"/>
          <w:szCs w:val="22"/>
        </w:rPr>
      </w:pPr>
    </w:p>
    <w:p w14:paraId="1873B200" w14:textId="44A08FC9" w:rsidR="00D17B31" w:rsidRPr="00D60C83" w:rsidRDefault="006A1DC0" w:rsidP="0011055B">
      <w:pPr>
        <w:pStyle w:val="NormalWeb"/>
        <w:numPr>
          <w:ilvl w:val="0"/>
          <w:numId w:val="5"/>
        </w:numPr>
        <w:shd w:val="clear" w:color="auto" w:fill="FFFFFF"/>
        <w:spacing w:before="0" w:beforeAutospacing="0" w:line="276" w:lineRule="auto"/>
        <w:rPr>
          <w:rStyle w:val="BookTitle"/>
        </w:rPr>
      </w:pPr>
      <w:r w:rsidRPr="00D60C83">
        <w:rPr>
          <w:rStyle w:val="BookTitle"/>
        </w:rPr>
        <w:t>Current Operating Conditions</w:t>
      </w:r>
    </w:p>
    <w:p w14:paraId="2CA96C88" w14:textId="57278355" w:rsidR="006A1DC0" w:rsidRPr="00D60C83" w:rsidRDefault="00BC5F96"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 xml:space="preserve">JCB business overview according to Oxford Economics </w:t>
      </w:r>
    </w:p>
    <w:p w14:paraId="2E2EDBB0" w14:textId="481FB6B4"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JCB’s direct contribution to GDP was £414 million. JCB’s supply chain, its R&amp;D activities and total spending by employees (direct &amp; indirect) in the wider economy generated a further £996 million of GDP, making the overall contribution in excess of £1.4 billion.</w:t>
      </w:r>
    </w:p>
    <w:p w14:paraId="56AEB538" w14:textId="03B10457"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JCB’s direct contribution to the Exchequer was £145 million in business taxes paid by the company and in income taxes paid by JCB employees. A further £400 million is generated indirectly through the supply chain, which means that total tax revenues are £545 million.</w:t>
      </w:r>
    </w:p>
    <w:p w14:paraId="076B0DB9" w14:textId="589B21C8"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For every full-time JCB employee in the UK (6,000 in total), another three employees (18,000 in total) are engaged elsewhere in its UK supply chain to support JCB’s activities. This means that the company supports 24,000 jobs in the UK.</w:t>
      </w:r>
    </w:p>
    <w:p w14:paraId="30FA26A8" w14:textId="526BD184"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JCB’s export revenues of £1.35 billion make a positive contribution to the UK’s trade balance with the company accounting for 0.6% of all manufactured goods exported.</w:t>
      </w:r>
    </w:p>
    <w:p w14:paraId="07A9DA92" w14:textId="0D51A952"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JCB spends £669 million on goods and services on its UK-based supply chain, of which £225m (38%) is spent in the West Midlands, with £105m (16% of the total) spent in Staffordshire.</w:t>
      </w:r>
    </w:p>
    <w:p w14:paraId="72F158C6" w14:textId="10D965A4" w:rsidR="004B516E"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B516E" w:rsidRPr="00D60C83">
        <w:rPr>
          <w:rFonts w:asciiTheme="minorHAnsi" w:hAnsiTheme="minorHAnsi" w:cstheme="minorHAnsi"/>
          <w:sz w:val="22"/>
          <w:szCs w:val="22"/>
        </w:rPr>
        <w:t>JCB’s total economic contribution equates to 0.9 % of UK manufacturing sector GDP</w:t>
      </w:r>
    </w:p>
    <w:p w14:paraId="39D6E200" w14:textId="7F1CF68D" w:rsidR="004E71FD"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E71FD" w:rsidRPr="00D60C83">
        <w:rPr>
          <w:rFonts w:asciiTheme="minorHAnsi" w:hAnsiTheme="minorHAnsi" w:cstheme="minorHAnsi"/>
          <w:sz w:val="22"/>
          <w:szCs w:val="22"/>
        </w:rPr>
        <w:t>JCB engages 3,300 suppliers</w:t>
      </w:r>
    </w:p>
    <w:p w14:paraId="556B6429" w14:textId="152B8559" w:rsidR="004E71FD"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E71FD" w:rsidRPr="00D60C83">
        <w:rPr>
          <w:rFonts w:asciiTheme="minorHAnsi" w:hAnsiTheme="minorHAnsi" w:cstheme="minorHAnsi"/>
          <w:sz w:val="22"/>
          <w:szCs w:val="22"/>
        </w:rPr>
        <w:t>JCB exports 75% of its machines to around 140 countries.</w:t>
      </w:r>
    </w:p>
    <w:p w14:paraId="60A47A1D" w14:textId="41A76034" w:rsidR="004E71FD"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4E71FD" w:rsidRPr="00D60C83">
        <w:rPr>
          <w:rFonts w:asciiTheme="minorHAnsi" w:hAnsiTheme="minorHAnsi" w:cstheme="minorHAnsi"/>
          <w:sz w:val="22"/>
          <w:szCs w:val="22"/>
        </w:rPr>
        <w:t>JCB has set up manufacturing operations in India, China, Brazil and America</w:t>
      </w:r>
    </w:p>
    <w:p w14:paraId="456E9289" w14:textId="25ED3BBA" w:rsidR="004E71FD" w:rsidRPr="00D60C83" w:rsidRDefault="004E71F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JCB is trading in 140 markets</w:t>
      </w:r>
    </w:p>
    <w:p w14:paraId="13CB7494" w14:textId="23704972" w:rsidR="004E71FD" w:rsidRPr="00D60C83" w:rsidRDefault="004E71F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3% of JCB turnover is spent on R&amp;D</w:t>
      </w:r>
    </w:p>
    <w:p w14:paraId="25BE560F" w14:textId="35B1D01E" w:rsidR="00EB6364" w:rsidRPr="00D60C83" w:rsidRDefault="00EB6364"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JCB has a strong brand reputation which is leveraged for consumer products and devices, second only to </w:t>
      </w:r>
      <w:r w:rsidR="00C4308F" w:rsidRPr="00D60C83">
        <w:rPr>
          <w:rFonts w:asciiTheme="minorHAnsi" w:hAnsiTheme="minorHAnsi" w:cstheme="minorHAnsi"/>
          <w:sz w:val="22"/>
          <w:szCs w:val="22"/>
        </w:rPr>
        <w:t>our competitor</w:t>
      </w:r>
      <w:r w:rsidRPr="00D60C83">
        <w:rPr>
          <w:rFonts w:asciiTheme="minorHAnsi" w:hAnsiTheme="minorHAnsi" w:cstheme="minorHAnsi"/>
          <w:sz w:val="22"/>
          <w:szCs w:val="22"/>
        </w:rPr>
        <w:t xml:space="preserve"> CAT</w:t>
      </w:r>
      <w:r w:rsidR="00C4308F" w:rsidRPr="00D60C83">
        <w:rPr>
          <w:rFonts w:asciiTheme="minorHAnsi" w:hAnsiTheme="minorHAnsi" w:cstheme="minorHAnsi"/>
          <w:sz w:val="22"/>
          <w:szCs w:val="22"/>
        </w:rPr>
        <w:t xml:space="preserve"> in this market</w:t>
      </w:r>
      <w:r w:rsidRPr="00D60C83">
        <w:rPr>
          <w:rFonts w:asciiTheme="minorHAnsi" w:hAnsiTheme="minorHAnsi" w:cstheme="minorHAnsi"/>
          <w:sz w:val="22"/>
          <w:szCs w:val="22"/>
        </w:rPr>
        <w:t>.</w:t>
      </w:r>
      <w:r w:rsidR="00C4308F" w:rsidRPr="00D60C83">
        <w:rPr>
          <w:rFonts w:asciiTheme="minorHAnsi" w:hAnsiTheme="minorHAnsi" w:cstheme="minorHAnsi"/>
          <w:sz w:val="22"/>
          <w:szCs w:val="22"/>
        </w:rPr>
        <w:t xml:space="preserve">  </w:t>
      </w:r>
      <w:sdt>
        <w:sdtPr>
          <w:rPr>
            <w:rFonts w:asciiTheme="minorHAnsi" w:hAnsiTheme="minorHAnsi" w:cstheme="minorHAnsi"/>
            <w:sz w:val="22"/>
            <w:szCs w:val="22"/>
          </w:rPr>
          <w:id w:val="-332067547"/>
          <w:citation/>
        </w:sdtPr>
        <w:sdtEndPr/>
        <w:sdtContent>
          <w:r w:rsidR="00C4308F" w:rsidRPr="00D60C83">
            <w:rPr>
              <w:rFonts w:asciiTheme="minorHAnsi" w:hAnsiTheme="minorHAnsi" w:cstheme="minorHAnsi"/>
              <w:sz w:val="22"/>
              <w:szCs w:val="22"/>
            </w:rPr>
            <w:fldChar w:fldCharType="begin"/>
          </w:r>
          <w:r w:rsidR="00C4308F" w:rsidRPr="00D60C83">
            <w:rPr>
              <w:rFonts w:asciiTheme="minorHAnsi" w:hAnsiTheme="minorHAnsi" w:cstheme="minorHAnsi"/>
              <w:sz w:val="22"/>
              <w:szCs w:val="22"/>
            </w:rPr>
            <w:instrText xml:space="preserve"> CITATION Bra18 \l 2057 </w:instrText>
          </w:r>
          <w:r w:rsidR="00C4308F" w:rsidRPr="00D60C83">
            <w:rPr>
              <w:rFonts w:asciiTheme="minorHAnsi" w:hAnsiTheme="minorHAnsi" w:cstheme="minorHAnsi"/>
              <w:sz w:val="22"/>
              <w:szCs w:val="22"/>
            </w:rPr>
            <w:fldChar w:fldCharType="separate"/>
          </w:r>
          <w:r w:rsidR="00C4308F" w:rsidRPr="00D60C83">
            <w:rPr>
              <w:rFonts w:asciiTheme="minorHAnsi" w:hAnsiTheme="minorHAnsi" w:cstheme="minorHAnsi"/>
              <w:noProof/>
              <w:sz w:val="22"/>
              <w:szCs w:val="22"/>
            </w:rPr>
            <w:t>(Anon., 2018)</w:t>
          </w:r>
          <w:r w:rsidR="00C4308F" w:rsidRPr="00D60C83">
            <w:rPr>
              <w:rFonts w:asciiTheme="minorHAnsi" w:hAnsiTheme="minorHAnsi" w:cstheme="minorHAnsi"/>
              <w:sz w:val="22"/>
              <w:szCs w:val="22"/>
            </w:rPr>
            <w:fldChar w:fldCharType="end"/>
          </w:r>
        </w:sdtContent>
      </w:sdt>
    </w:p>
    <w:p w14:paraId="7C65A6CB" w14:textId="5E6155DA" w:rsidR="004E71FD" w:rsidRPr="00D60C83" w:rsidRDefault="004E71FD" w:rsidP="0011055B">
      <w:pPr>
        <w:shd w:val="clear" w:color="auto" w:fill="FFFFFF"/>
        <w:spacing w:after="225" w:line="276" w:lineRule="auto"/>
        <w:ind w:firstLine="360"/>
        <w:rPr>
          <w:rFonts w:asciiTheme="minorHAnsi" w:hAnsiTheme="minorHAnsi" w:cstheme="minorHAnsi"/>
          <w:sz w:val="22"/>
          <w:szCs w:val="22"/>
        </w:rPr>
      </w:pPr>
      <w:r w:rsidRPr="00D60C83">
        <w:rPr>
          <w:rFonts w:asciiTheme="minorHAnsi" w:hAnsiTheme="minorHAnsi" w:cstheme="minorHAnsi"/>
          <w:sz w:val="22"/>
          <w:szCs w:val="22"/>
        </w:rPr>
        <w:t xml:space="preserve">1.1.1-1.1.6 </w:t>
      </w:r>
      <w:sdt>
        <w:sdtPr>
          <w:rPr>
            <w:rFonts w:asciiTheme="minorHAnsi" w:hAnsiTheme="minorHAnsi" w:cstheme="minorHAnsi"/>
          </w:rPr>
          <w:id w:val="-1757128223"/>
          <w:citation/>
        </w:sdtPr>
        <w:sdtEndPr/>
        <w:sdtContent>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CITATION Dig13 \l 2057 </w:instrText>
          </w:r>
          <w:r w:rsidRPr="00D60C83">
            <w:rPr>
              <w:rFonts w:asciiTheme="minorHAnsi" w:hAnsiTheme="minorHAnsi" w:cstheme="minorHAnsi"/>
              <w:sz w:val="22"/>
              <w:szCs w:val="22"/>
            </w:rPr>
            <w:fldChar w:fldCharType="separate"/>
          </w:r>
          <w:r w:rsidRPr="00D60C83">
            <w:rPr>
              <w:rFonts w:asciiTheme="minorHAnsi" w:hAnsiTheme="minorHAnsi" w:cstheme="minorHAnsi"/>
              <w:sz w:val="22"/>
              <w:szCs w:val="22"/>
            </w:rPr>
            <w:t>(Blogger, 2013)</w:t>
          </w:r>
          <w:r w:rsidRPr="00D60C83">
            <w:rPr>
              <w:rFonts w:asciiTheme="minorHAnsi" w:hAnsiTheme="minorHAnsi" w:cstheme="minorHAnsi"/>
              <w:sz w:val="22"/>
              <w:szCs w:val="22"/>
            </w:rPr>
            <w:fldChar w:fldCharType="end"/>
          </w:r>
        </w:sdtContent>
      </w:sdt>
      <w:r w:rsidRPr="00D60C83">
        <w:rPr>
          <w:rFonts w:asciiTheme="minorHAnsi" w:hAnsiTheme="minorHAnsi" w:cstheme="minorHAnsi"/>
          <w:sz w:val="22"/>
          <w:szCs w:val="22"/>
        </w:rPr>
        <w:t xml:space="preserve">, 1.1.7-1.1.11 </w:t>
      </w:r>
      <w:sdt>
        <w:sdtPr>
          <w:rPr>
            <w:rFonts w:asciiTheme="minorHAnsi" w:hAnsiTheme="minorHAnsi" w:cstheme="minorHAnsi"/>
          </w:rPr>
          <w:id w:val="1412971930"/>
          <w:citation/>
        </w:sdtPr>
        <w:sdtEndPr/>
        <w:sdtContent>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CITATION Kar15 \l 2057 </w:instrText>
          </w:r>
          <w:r w:rsidRPr="00D60C83">
            <w:rPr>
              <w:rFonts w:asciiTheme="minorHAnsi" w:hAnsiTheme="minorHAnsi" w:cstheme="minorHAnsi"/>
              <w:sz w:val="22"/>
              <w:szCs w:val="22"/>
            </w:rPr>
            <w:fldChar w:fldCharType="separate"/>
          </w:r>
          <w:r w:rsidRPr="00D60C83">
            <w:rPr>
              <w:rFonts w:asciiTheme="minorHAnsi" w:hAnsiTheme="minorHAnsi" w:cstheme="minorHAnsi"/>
              <w:sz w:val="22"/>
              <w:szCs w:val="22"/>
            </w:rPr>
            <w:t>(West, 2015)</w:t>
          </w:r>
          <w:r w:rsidRPr="00D60C83">
            <w:rPr>
              <w:rFonts w:asciiTheme="minorHAnsi" w:hAnsiTheme="minorHAnsi" w:cstheme="minorHAnsi"/>
              <w:sz w:val="22"/>
              <w:szCs w:val="22"/>
            </w:rPr>
            <w:fldChar w:fldCharType="end"/>
          </w:r>
        </w:sdtContent>
      </w:sdt>
    </w:p>
    <w:p w14:paraId="0AD553A3" w14:textId="3A1B9F78" w:rsidR="006A1DC0" w:rsidRPr="00D60C83" w:rsidRDefault="00BC5F96"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Global influences</w:t>
      </w:r>
    </w:p>
    <w:p w14:paraId="50C186AD" w14:textId="4D227F8F" w:rsidR="00BC5F96"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color w:val="121212"/>
          <w:sz w:val="22"/>
          <w:szCs w:val="22"/>
          <w:shd w:val="clear" w:color="auto" w:fill="FFFFFF"/>
        </w:rPr>
        <w:t xml:space="preserve"> </w:t>
      </w:r>
      <w:r w:rsidR="00F724E2" w:rsidRPr="00D60C83">
        <w:rPr>
          <w:rFonts w:asciiTheme="minorHAnsi" w:hAnsiTheme="minorHAnsi" w:cstheme="minorHAnsi"/>
          <w:color w:val="121212"/>
          <w:sz w:val="22"/>
          <w:szCs w:val="22"/>
          <w:shd w:val="clear" w:color="auto" w:fill="FFFFFF"/>
        </w:rPr>
        <w:t xml:space="preserve">JCB is </w:t>
      </w:r>
      <w:r w:rsidR="00BC5F96" w:rsidRPr="00D60C83">
        <w:rPr>
          <w:rFonts w:asciiTheme="minorHAnsi" w:hAnsiTheme="minorHAnsi" w:cstheme="minorHAnsi"/>
          <w:sz w:val="22"/>
          <w:szCs w:val="22"/>
        </w:rPr>
        <w:t>now the world’s third-biggest manufacturer of construction machinery, behind Caterpillar of the US and Japan’s Komatsu.</w:t>
      </w:r>
      <w:sdt>
        <w:sdtPr>
          <w:rPr>
            <w:rFonts w:asciiTheme="minorHAnsi" w:hAnsiTheme="minorHAnsi" w:cstheme="minorHAnsi"/>
            <w:sz w:val="22"/>
            <w:szCs w:val="22"/>
          </w:rPr>
          <w:id w:val="-1944916603"/>
          <w:citation/>
        </w:sdtPr>
        <w:sdtEndPr/>
        <w:sdtContent>
          <w:r w:rsidR="00BC5F96" w:rsidRPr="00D60C83">
            <w:rPr>
              <w:rFonts w:asciiTheme="minorHAnsi" w:hAnsiTheme="minorHAnsi" w:cstheme="minorHAnsi"/>
              <w:sz w:val="22"/>
              <w:szCs w:val="22"/>
            </w:rPr>
            <w:fldChar w:fldCharType="begin"/>
          </w:r>
          <w:r w:rsidR="00BC5F96" w:rsidRPr="00D60C83">
            <w:rPr>
              <w:rFonts w:asciiTheme="minorHAnsi" w:hAnsiTheme="minorHAnsi" w:cstheme="minorHAnsi"/>
              <w:sz w:val="22"/>
              <w:szCs w:val="22"/>
            </w:rPr>
            <w:instrText xml:space="preserve"> CITATION Kar15 \l 2057 </w:instrText>
          </w:r>
          <w:r w:rsidR="00BC5F96" w:rsidRPr="00D60C83">
            <w:rPr>
              <w:rFonts w:asciiTheme="minorHAnsi" w:hAnsiTheme="minorHAnsi" w:cstheme="minorHAnsi"/>
              <w:sz w:val="22"/>
              <w:szCs w:val="22"/>
            </w:rPr>
            <w:fldChar w:fldCharType="separate"/>
          </w:r>
          <w:r w:rsidR="00BC5F96" w:rsidRPr="00D60C83">
            <w:rPr>
              <w:rFonts w:asciiTheme="minorHAnsi" w:hAnsiTheme="minorHAnsi" w:cstheme="minorHAnsi"/>
              <w:sz w:val="22"/>
              <w:szCs w:val="22"/>
            </w:rPr>
            <w:t xml:space="preserve"> (West, 2015)</w:t>
          </w:r>
          <w:r w:rsidR="00BC5F96" w:rsidRPr="00D60C83">
            <w:rPr>
              <w:rFonts w:asciiTheme="minorHAnsi" w:hAnsiTheme="minorHAnsi" w:cstheme="minorHAnsi"/>
              <w:sz w:val="22"/>
              <w:szCs w:val="22"/>
            </w:rPr>
            <w:fldChar w:fldCharType="end"/>
          </w:r>
        </w:sdtContent>
      </w:sdt>
    </w:p>
    <w:p w14:paraId="3E9006A7" w14:textId="3F847487" w:rsidR="00BC5F96"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D63082" w:rsidRPr="00D60C83">
        <w:rPr>
          <w:rFonts w:asciiTheme="minorHAnsi" w:hAnsiTheme="minorHAnsi" w:cstheme="minorHAnsi"/>
          <w:sz w:val="22"/>
          <w:szCs w:val="22"/>
        </w:rPr>
        <w:t xml:space="preserve">Construction markets are thriving with the top 5 markets projected for year 2030 to be China , USA, India, Indonesia and the UK in descending order.  China, the United States and India will account for 57% of all global growth in the construction and engineering markets by 2030.  China alone will add USD$2.1TN to construction related output. </w:t>
      </w:r>
      <w:sdt>
        <w:sdtPr>
          <w:rPr>
            <w:rFonts w:asciiTheme="minorHAnsi" w:hAnsiTheme="minorHAnsi" w:cstheme="minorHAnsi"/>
            <w:sz w:val="22"/>
            <w:szCs w:val="22"/>
          </w:rPr>
          <w:id w:val="-688830902"/>
          <w:citation/>
        </w:sdtPr>
        <w:sdtEndPr/>
        <w:sdtContent>
          <w:r w:rsidR="00D63082" w:rsidRPr="00D60C83">
            <w:rPr>
              <w:rFonts w:asciiTheme="minorHAnsi" w:hAnsiTheme="minorHAnsi" w:cstheme="minorHAnsi"/>
              <w:sz w:val="22"/>
              <w:szCs w:val="22"/>
            </w:rPr>
            <w:fldChar w:fldCharType="begin"/>
          </w:r>
          <w:r w:rsidR="00D63082" w:rsidRPr="00D60C83">
            <w:rPr>
              <w:rFonts w:asciiTheme="minorHAnsi" w:hAnsiTheme="minorHAnsi" w:cstheme="minorHAnsi"/>
              <w:sz w:val="22"/>
              <w:szCs w:val="22"/>
            </w:rPr>
            <w:instrText xml:space="preserve"> CITATION Fre16 \l 2057 </w:instrText>
          </w:r>
          <w:r w:rsidR="00D63082" w:rsidRPr="00D60C83">
            <w:rPr>
              <w:rFonts w:asciiTheme="minorHAnsi" w:hAnsiTheme="minorHAnsi" w:cstheme="minorHAnsi"/>
              <w:sz w:val="22"/>
              <w:szCs w:val="22"/>
            </w:rPr>
            <w:fldChar w:fldCharType="separate"/>
          </w:r>
          <w:r w:rsidR="00D63082" w:rsidRPr="00D60C83">
            <w:rPr>
              <w:rFonts w:asciiTheme="minorHAnsi" w:hAnsiTheme="minorHAnsi" w:cstheme="minorHAnsi"/>
              <w:noProof/>
              <w:sz w:val="22"/>
              <w:szCs w:val="22"/>
            </w:rPr>
            <w:t xml:space="preserve"> (Mills, 2016)</w:t>
          </w:r>
          <w:r w:rsidR="00D63082" w:rsidRPr="00D60C83">
            <w:rPr>
              <w:rFonts w:asciiTheme="minorHAnsi" w:hAnsiTheme="minorHAnsi" w:cstheme="minorHAnsi"/>
              <w:sz w:val="22"/>
              <w:szCs w:val="22"/>
            </w:rPr>
            <w:fldChar w:fldCharType="end"/>
          </w:r>
        </w:sdtContent>
      </w:sdt>
    </w:p>
    <w:p w14:paraId="0781299B" w14:textId="5777483E" w:rsidR="004E71FD"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F724E2" w:rsidRPr="00D60C83">
        <w:rPr>
          <w:rFonts w:asciiTheme="minorHAnsi" w:hAnsiTheme="minorHAnsi" w:cstheme="minorHAnsi"/>
          <w:sz w:val="22"/>
          <w:szCs w:val="22"/>
        </w:rPr>
        <w:t>The suitability of JCB solutions for military applications is demonstrated by large utilisation and orders in British and USA forces.  The USA ordered USD$209M of machines in 2005 and recently extended that order by USD$72.8M in 2018 taking production to 2020.</w:t>
      </w:r>
      <w:sdt>
        <w:sdtPr>
          <w:rPr>
            <w:rFonts w:asciiTheme="minorHAnsi" w:hAnsiTheme="minorHAnsi" w:cstheme="minorHAnsi"/>
            <w:sz w:val="22"/>
            <w:szCs w:val="22"/>
          </w:rPr>
          <w:id w:val="-551077318"/>
          <w:citation/>
        </w:sdtPr>
        <w:sdtEndPr/>
        <w:sdtContent>
          <w:r w:rsidR="00F724E2" w:rsidRPr="00D60C83">
            <w:rPr>
              <w:rFonts w:asciiTheme="minorHAnsi" w:hAnsiTheme="minorHAnsi" w:cstheme="minorHAnsi"/>
              <w:sz w:val="22"/>
              <w:szCs w:val="22"/>
            </w:rPr>
            <w:fldChar w:fldCharType="begin"/>
          </w:r>
          <w:r w:rsidR="00F724E2" w:rsidRPr="00D60C83">
            <w:rPr>
              <w:rFonts w:asciiTheme="minorHAnsi" w:hAnsiTheme="minorHAnsi" w:cstheme="minorHAnsi"/>
              <w:sz w:val="22"/>
              <w:szCs w:val="22"/>
            </w:rPr>
            <w:instrText xml:space="preserve"> CITATION The18 \l 2057 </w:instrText>
          </w:r>
          <w:r w:rsidR="00F724E2" w:rsidRPr="00D60C83">
            <w:rPr>
              <w:rFonts w:asciiTheme="minorHAnsi" w:hAnsiTheme="minorHAnsi" w:cstheme="minorHAnsi"/>
              <w:sz w:val="22"/>
              <w:szCs w:val="22"/>
            </w:rPr>
            <w:fldChar w:fldCharType="separate"/>
          </w:r>
          <w:r w:rsidR="00F724E2" w:rsidRPr="00D60C83">
            <w:rPr>
              <w:rFonts w:asciiTheme="minorHAnsi" w:hAnsiTheme="minorHAnsi" w:cstheme="minorHAnsi"/>
              <w:sz w:val="22"/>
              <w:szCs w:val="22"/>
            </w:rPr>
            <w:t xml:space="preserve"> (Anon., 2018)</w:t>
          </w:r>
          <w:r w:rsidR="00F724E2" w:rsidRPr="00D60C83">
            <w:rPr>
              <w:rFonts w:asciiTheme="minorHAnsi" w:hAnsiTheme="minorHAnsi" w:cstheme="minorHAnsi"/>
              <w:sz w:val="22"/>
              <w:szCs w:val="22"/>
            </w:rPr>
            <w:fldChar w:fldCharType="end"/>
          </w:r>
        </w:sdtContent>
      </w:sdt>
      <w:bookmarkStart w:id="0" w:name="_GoBack"/>
      <w:bookmarkEnd w:id="0"/>
    </w:p>
    <w:p w14:paraId="7DA3D44A" w14:textId="230E6D1B" w:rsidR="00F724E2" w:rsidRPr="00D60C83" w:rsidRDefault="000D464D"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 </w:t>
      </w:r>
      <w:r w:rsidR="00717027" w:rsidRPr="00D60C83">
        <w:rPr>
          <w:rFonts w:asciiTheme="minorHAnsi" w:hAnsiTheme="minorHAnsi" w:cstheme="minorHAnsi"/>
          <w:sz w:val="22"/>
          <w:szCs w:val="22"/>
        </w:rPr>
        <w:t xml:space="preserve">Natural disasters are an unfortunate but very real driver for construction equipment, Egawa, Kawamura, Ikuta and Eguchi summarise this within Japan.  </w:t>
      </w:r>
      <w:sdt>
        <w:sdtPr>
          <w:rPr>
            <w:rFonts w:asciiTheme="minorHAnsi" w:hAnsiTheme="minorHAnsi" w:cstheme="minorHAnsi"/>
            <w:sz w:val="22"/>
            <w:szCs w:val="22"/>
          </w:rPr>
          <w:id w:val="1190268566"/>
          <w:citation/>
        </w:sdtPr>
        <w:sdtEndPr/>
        <w:sdtContent>
          <w:r w:rsidR="00717027" w:rsidRPr="00D60C83">
            <w:rPr>
              <w:rFonts w:asciiTheme="minorHAnsi" w:hAnsiTheme="minorHAnsi" w:cstheme="minorHAnsi"/>
              <w:sz w:val="22"/>
              <w:szCs w:val="22"/>
            </w:rPr>
            <w:fldChar w:fldCharType="begin"/>
          </w:r>
          <w:r w:rsidR="00717027" w:rsidRPr="00D60C83">
            <w:rPr>
              <w:rFonts w:asciiTheme="minorHAnsi" w:hAnsiTheme="minorHAnsi" w:cstheme="minorHAnsi"/>
              <w:sz w:val="22"/>
              <w:szCs w:val="22"/>
            </w:rPr>
            <w:instrText xml:space="preserve"> CITATION Eij13 \l 2057 </w:instrText>
          </w:r>
          <w:r w:rsidR="00717027" w:rsidRPr="00D60C83">
            <w:rPr>
              <w:rFonts w:asciiTheme="minorHAnsi" w:hAnsiTheme="minorHAnsi" w:cstheme="minorHAnsi"/>
              <w:sz w:val="22"/>
              <w:szCs w:val="22"/>
            </w:rPr>
            <w:fldChar w:fldCharType="separate"/>
          </w:r>
          <w:r w:rsidR="00717027" w:rsidRPr="00D60C83">
            <w:rPr>
              <w:rFonts w:asciiTheme="minorHAnsi" w:hAnsiTheme="minorHAnsi" w:cstheme="minorHAnsi"/>
              <w:sz w:val="22"/>
              <w:szCs w:val="22"/>
            </w:rPr>
            <w:t>(Eiji Egawa, 2013)</w:t>
          </w:r>
          <w:r w:rsidR="00717027" w:rsidRPr="00D60C83">
            <w:rPr>
              <w:rFonts w:asciiTheme="minorHAnsi" w:hAnsiTheme="minorHAnsi" w:cstheme="minorHAnsi"/>
              <w:sz w:val="22"/>
              <w:szCs w:val="22"/>
            </w:rPr>
            <w:fldChar w:fldCharType="end"/>
          </w:r>
        </w:sdtContent>
      </w:sdt>
    </w:p>
    <w:p w14:paraId="7B7C5AC1" w14:textId="4EEB31E2" w:rsidR="00C32DC9" w:rsidRPr="00D60C83" w:rsidRDefault="00C32DC9"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Substitutes for JCB offerings are on the rise with </w:t>
      </w:r>
      <w:r w:rsidR="00EB6364" w:rsidRPr="00D60C83">
        <w:rPr>
          <w:rFonts w:asciiTheme="minorHAnsi" w:hAnsiTheme="minorHAnsi" w:cstheme="minorHAnsi"/>
          <w:sz w:val="22"/>
          <w:szCs w:val="22"/>
        </w:rPr>
        <w:t>new China based competitors breaking in to markets.</w:t>
      </w:r>
    </w:p>
    <w:p w14:paraId="2FE58671" w14:textId="71B1F7DA" w:rsidR="00EB6364" w:rsidRPr="00D60C83" w:rsidRDefault="00EB6364"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Brexit and a release from EU legislation may relieve emission restrictions for our diesel based power trains.</w:t>
      </w:r>
    </w:p>
    <w:p w14:paraId="537E6A11" w14:textId="44D5AE77" w:rsidR="00EB6364" w:rsidRPr="00D60C83" w:rsidRDefault="00EB6364"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lastRenderedPageBreak/>
        <w:t xml:space="preserve"> Appetite for environmentally friendly brands will boost demand for future cleaner or alternative power solutions.</w:t>
      </w:r>
    </w:p>
    <w:p w14:paraId="5492EBE3" w14:textId="35D0874A" w:rsidR="00EB6364" w:rsidRPr="00D60C83" w:rsidRDefault="00D8243C" w:rsidP="0011055B">
      <w:pPr>
        <w:pStyle w:val="ListParagraph"/>
        <w:numPr>
          <w:ilvl w:val="2"/>
          <w:numId w:val="5"/>
        </w:numPr>
        <w:shd w:val="clear" w:color="auto" w:fill="FFFFFF"/>
        <w:spacing w:after="225" w:line="276" w:lineRule="auto"/>
        <w:rPr>
          <w:rFonts w:asciiTheme="minorHAnsi" w:hAnsiTheme="minorHAnsi" w:cstheme="minorHAnsi"/>
          <w:sz w:val="22"/>
          <w:szCs w:val="22"/>
        </w:rPr>
      </w:pPr>
      <w:r w:rsidRPr="00D60C83">
        <w:rPr>
          <w:rFonts w:asciiTheme="minorHAnsi" w:hAnsiTheme="minorHAnsi" w:cstheme="minorHAnsi"/>
          <w:sz w:val="22"/>
          <w:szCs w:val="22"/>
        </w:rPr>
        <w:t xml:space="preserve">JCB market growth (28% in 2018) is increasing year on year and outpacing the industry (21%) </w:t>
      </w:r>
      <w:sdt>
        <w:sdtPr>
          <w:rPr>
            <w:rFonts w:asciiTheme="minorHAnsi" w:hAnsiTheme="minorHAnsi" w:cstheme="minorHAnsi"/>
            <w:sz w:val="22"/>
            <w:szCs w:val="22"/>
          </w:rPr>
          <w:id w:val="1677619546"/>
          <w:citation/>
        </w:sdtPr>
        <w:sdtEndPr/>
        <w:sdtContent>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CITATION JCB18 \l 2057 </w:instrText>
          </w:r>
          <w:r w:rsidRPr="00D60C83">
            <w:rPr>
              <w:rFonts w:asciiTheme="minorHAnsi" w:hAnsiTheme="minorHAnsi" w:cstheme="minorHAnsi"/>
              <w:sz w:val="22"/>
              <w:szCs w:val="22"/>
            </w:rPr>
            <w:fldChar w:fldCharType="separate"/>
          </w:r>
          <w:r w:rsidRPr="00D60C83">
            <w:rPr>
              <w:rFonts w:asciiTheme="minorHAnsi" w:hAnsiTheme="minorHAnsi" w:cstheme="minorHAnsi"/>
              <w:noProof/>
              <w:sz w:val="22"/>
              <w:szCs w:val="22"/>
            </w:rPr>
            <w:t>(JCB, 2018)</w:t>
          </w:r>
          <w:r w:rsidRPr="00D60C83">
            <w:rPr>
              <w:rFonts w:asciiTheme="minorHAnsi" w:hAnsiTheme="minorHAnsi" w:cstheme="minorHAnsi"/>
              <w:sz w:val="22"/>
              <w:szCs w:val="22"/>
            </w:rPr>
            <w:fldChar w:fldCharType="end"/>
          </w:r>
        </w:sdtContent>
      </w:sdt>
    </w:p>
    <w:p w14:paraId="715F2560" w14:textId="1EC16CCE" w:rsidR="006A1DC0" w:rsidRPr="00D60C83" w:rsidRDefault="006A1DC0"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Potential impact</w:t>
      </w:r>
    </w:p>
    <w:p w14:paraId="7D77ECBB" w14:textId="24C6C55F" w:rsidR="006A1DC0" w:rsidRPr="00D60C83" w:rsidRDefault="006A1DC0"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Military Activity</w:t>
      </w:r>
    </w:p>
    <w:p w14:paraId="788E8E19" w14:textId="157D96B9" w:rsidR="001577A5" w:rsidRPr="00D60C83" w:rsidRDefault="001577A5" w:rsidP="0011055B">
      <w:pPr>
        <w:pStyle w:val="NormalWeb"/>
        <w:shd w:val="clear" w:color="auto" w:fill="FFFFFF"/>
        <w:spacing w:before="0" w:beforeAutospacing="0" w:line="276" w:lineRule="auto"/>
        <w:ind w:left="1224"/>
        <w:rPr>
          <w:rFonts w:asciiTheme="minorHAnsi" w:hAnsiTheme="minorHAnsi" w:cstheme="minorHAnsi"/>
          <w:sz w:val="22"/>
          <w:szCs w:val="22"/>
        </w:rPr>
      </w:pPr>
      <w:r w:rsidRPr="00D60C83">
        <w:rPr>
          <w:rFonts w:asciiTheme="minorHAnsi" w:hAnsiTheme="minorHAnsi" w:cstheme="minorHAnsi"/>
          <w:sz w:val="22"/>
          <w:szCs w:val="22"/>
        </w:rPr>
        <w:t xml:space="preserve">Overseas deployment of forces in conflict, peace keeping or disaster relief roles may generated demand for supporting hardware.  Examples of rapid orders to supply forces were seen in the Iraq II conflict for British forces.  </w:t>
      </w:r>
      <w:sdt>
        <w:sdtPr>
          <w:rPr>
            <w:rFonts w:asciiTheme="minorHAnsi" w:hAnsiTheme="minorHAnsi" w:cstheme="minorHAnsi"/>
            <w:sz w:val="22"/>
            <w:szCs w:val="22"/>
          </w:rPr>
          <w:id w:val="-249737639"/>
          <w:citation/>
        </w:sdtPr>
        <w:sdtEndPr/>
        <w:sdtContent>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CITATION Kim02 \l 2057 </w:instrText>
          </w:r>
          <w:r w:rsidRPr="00D60C83">
            <w:rPr>
              <w:rFonts w:asciiTheme="minorHAnsi" w:hAnsiTheme="minorHAnsi" w:cstheme="minorHAnsi"/>
              <w:sz w:val="22"/>
              <w:szCs w:val="22"/>
            </w:rPr>
            <w:fldChar w:fldCharType="separate"/>
          </w:r>
          <w:r w:rsidRPr="00D60C83">
            <w:rPr>
              <w:rFonts w:asciiTheme="minorHAnsi" w:hAnsiTheme="minorHAnsi" w:cstheme="minorHAnsi"/>
              <w:noProof/>
              <w:sz w:val="22"/>
              <w:szCs w:val="22"/>
            </w:rPr>
            <w:t>(Sengupta, 2002)</w:t>
          </w:r>
          <w:r w:rsidRPr="00D60C83">
            <w:rPr>
              <w:rFonts w:asciiTheme="minorHAnsi" w:hAnsiTheme="minorHAnsi" w:cstheme="minorHAnsi"/>
              <w:sz w:val="22"/>
              <w:szCs w:val="22"/>
            </w:rPr>
            <w:fldChar w:fldCharType="end"/>
          </w:r>
        </w:sdtContent>
      </w:sdt>
    </w:p>
    <w:p w14:paraId="39C0A933" w14:textId="7D26D09F" w:rsidR="001577A5" w:rsidRPr="00D60C83" w:rsidRDefault="001577A5" w:rsidP="0011055B">
      <w:pPr>
        <w:pStyle w:val="NormalWeb"/>
        <w:shd w:val="clear" w:color="auto" w:fill="FFFFFF"/>
        <w:spacing w:before="0" w:beforeAutospacing="0" w:line="276" w:lineRule="auto"/>
        <w:ind w:left="1224"/>
        <w:rPr>
          <w:rFonts w:asciiTheme="minorHAnsi" w:hAnsiTheme="minorHAnsi" w:cstheme="minorHAnsi"/>
          <w:sz w:val="22"/>
          <w:szCs w:val="22"/>
        </w:rPr>
      </w:pPr>
      <w:r w:rsidRPr="00D60C83">
        <w:rPr>
          <w:rFonts w:asciiTheme="minorHAnsi" w:hAnsiTheme="minorHAnsi" w:cstheme="minorHAnsi"/>
          <w:sz w:val="22"/>
          <w:szCs w:val="22"/>
        </w:rPr>
        <w:t>We should establish an analysis plan to understand needs of forces.</w:t>
      </w:r>
    </w:p>
    <w:p w14:paraId="6B4D9D7B" w14:textId="308D6A96" w:rsidR="006A1DC0" w:rsidRPr="00D60C83" w:rsidRDefault="006A1DC0"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Construction</w:t>
      </w:r>
    </w:p>
    <w:p w14:paraId="3C3EC972" w14:textId="4125FA96" w:rsidR="0096251F" w:rsidRPr="00D60C83" w:rsidRDefault="0096251F" w:rsidP="0011055B">
      <w:pPr>
        <w:pStyle w:val="NormalWeb"/>
        <w:shd w:val="clear" w:color="auto" w:fill="FFFFFF"/>
        <w:spacing w:before="0" w:beforeAutospacing="0" w:line="276" w:lineRule="auto"/>
        <w:ind w:left="720"/>
        <w:rPr>
          <w:rFonts w:asciiTheme="minorHAnsi" w:hAnsiTheme="minorHAnsi" w:cstheme="minorHAnsi"/>
          <w:sz w:val="22"/>
          <w:szCs w:val="22"/>
        </w:rPr>
      </w:pPr>
      <w:r w:rsidRPr="00D60C83">
        <w:rPr>
          <w:rFonts w:asciiTheme="minorHAnsi" w:hAnsiTheme="minorHAnsi" w:cstheme="minorHAnsi"/>
          <w:sz w:val="22"/>
          <w:szCs w:val="22"/>
        </w:rPr>
        <w:t>Looking at the construction spend in the UK</w:t>
      </w:r>
      <w:r w:rsidR="000F3FB6" w:rsidRPr="00D60C83">
        <w:rPr>
          <w:rFonts w:asciiTheme="minorHAnsi" w:hAnsiTheme="minorHAnsi" w:cstheme="minorHAnsi"/>
          <w:sz w:val="22"/>
          <w:szCs w:val="22"/>
        </w:rPr>
        <w:t>,</w:t>
      </w:r>
      <w:r w:rsidRPr="00D60C83">
        <w:rPr>
          <w:rFonts w:asciiTheme="minorHAnsi" w:hAnsiTheme="minorHAnsi" w:cstheme="minorHAnsi"/>
          <w:sz w:val="22"/>
          <w:szCs w:val="22"/>
        </w:rPr>
        <w:t xml:space="preserve"> </w:t>
      </w:r>
      <w:r w:rsidR="000F3FB6" w:rsidRPr="00D60C83">
        <w:rPr>
          <w:rFonts w:asciiTheme="minorHAnsi" w:hAnsiTheme="minorHAnsi" w:cstheme="minorHAnsi"/>
          <w:sz w:val="22"/>
          <w:szCs w:val="22"/>
        </w:rPr>
        <w:t>Private Housing and Commercial are major areas of value.  Infrastructure is close behind.  It is important for JCB to assess how our portfolio is distributed across the sectors within construction.  As demonstrated by many governments after the 2007 recessions, infrastructure spend boomed in an effort to balance the shrinkage of spending in private sectors and stabilise the economy.</w:t>
      </w:r>
      <w:sdt>
        <w:sdtPr>
          <w:rPr>
            <w:rFonts w:asciiTheme="minorHAnsi" w:hAnsiTheme="minorHAnsi" w:cstheme="minorHAnsi"/>
            <w:sz w:val="22"/>
            <w:szCs w:val="22"/>
          </w:rPr>
          <w:id w:val="-875467537"/>
          <w:citation/>
        </w:sdtPr>
        <w:sdtEndPr/>
        <w:sdtContent>
          <w:r w:rsidR="000F3FB6" w:rsidRPr="00D60C83">
            <w:rPr>
              <w:rFonts w:asciiTheme="minorHAnsi" w:hAnsiTheme="minorHAnsi" w:cstheme="minorHAnsi"/>
              <w:sz w:val="22"/>
              <w:szCs w:val="22"/>
            </w:rPr>
            <w:fldChar w:fldCharType="begin"/>
          </w:r>
          <w:r w:rsidR="000F3FB6" w:rsidRPr="00D60C83">
            <w:rPr>
              <w:rFonts w:asciiTheme="minorHAnsi" w:hAnsiTheme="minorHAnsi" w:cstheme="minorHAnsi"/>
              <w:sz w:val="22"/>
              <w:szCs w:val="22"/>
            </w:rPr>
            <w:instrText xml:space="preserve"> CITATION Jos17 \l 2057 </w:instrText>
          </w:r>
          <w:r w:rsidR="000F3FB6" w:rsidRPr="00D60C83">
            <w:rPr>
              <w:rFonts w:asciiTheme="minorHAnsi" w:hAnsiTheme="minorHAnsi" w:cstheme="minorHAnsi"/>
              <w:sz w:val="22"/>
              <w:szCs w:val="22"/>
            </w:rPr>
            <w:fldChar w:fldCharType="separate"/>
          </w:r>
          <w:r w:rsidR="000F3FB6" w:rsidRPr="00D60C83">
            <w:rPr>
              <w:rFonts w:asciiTheme="minorHAnsi" w:hAnsiTheme="minorHAnsi" w:cstheme="minorHAnsi"/>
              <w:noProof/>
              <w:sz w:val="22"/>
              <w:szCs w:val="22"/>
            </w:rPr>
            <w:t xml:space="preserve"> (Bivens, 2017)</w:t>
          </w:r>
          <w:r w:rsidR="000F3FB6" w:rsidRPr="00D60C83">
            <w:rPr>
              <w:rFonts w:asciiTheme="minorHAnsi" w:hAnsiTheme="minorHAnsi" w:cstheme="minorHAnsi"/>
              <w:sz w:val="22"/>
              <w:szCs w:val="22"/>
            </w:rPr>
            <w:fldChar w:fldCharType="end"/>
          </w:r>
        </w:sdtContent>
      </w:sdt>
      <w:r w:rsidR="000F3FB6" w:rsidRPr="00D60C83">
        <w:rPr>
          <w:rFonts w:asciiTheme="minorHAnsi" w:hAnsiTheme="minorHAnsi" w:cstheme="minorHAnsi"/>
          <w:sz w:val="22"/>
          <w:szCs w:val="22"/>
        </w:rPr>
        <w:t xml:space="preserve">  Being well distributed across construction sectors is key to minimising sensitivity to market variability.</w:t>
      </w:r>
    </w:p>
    <w:p w14:paraId="75745F53" w14:textId="269C4143" w:rsidR="0096251F" w:rsidRPr="00D60C83" w:rsidRDefault="0096251F" w:rsidP="0011055B">
      <w:pPr>
        <w:pStyle w:val="Caption"/>
        <w:keepNext/>
        <w:spacing w:line="276" w:lineRule="auto"/>
        <w:jc w:val="center"/>
        <w:rPr>
          <w:rFonts w:asciiTheme="minorHAnsi" w:hAnsiTheme="minorHAnsi" w:cstheme="minorHAnsi"/>
        </w:rPr>
      </w:pPr>
      <w:r w:rsidRPr="00D60C83">
        <w:rPr>
          <w:rFonts w:asciiTheme="minorHAnsi" w:hAnsiTheme="minorHAnsi" w:cstheme="minorHAnsi"/>
        </w:rPr>
        <w:t xml:space="preserve">Table </w:t>
      </w:r>
      <w:r w:rsidRPr="00D60C83">
        <w:rPr>
          <w:rFonts w:asciiTheme="minorHAnsi" w:hAnsiTheme="minorHAnsi" w:cstheme="minorHAnsi"/>
        </w:rPr>
        <w:fldChar w:fldCharType="begin"/>
      </w:r>
      <w:r w:rsidRPr="00D60C83">
        <w:rPr>
          <w:rFonts w:asciiTheme="minorHAnsi" w:hAnsiTheme="minorHAnsi" w:cstheme="minorHAnsi"/>
        </w:rPr>
        <w:instrText xml:space="preserve"> SEQ Table \* ARABIC </w:instrText>
      </w:r>
      <w:r w:rsidRPr="00D60C83">
        <w:rPr>
          <w:rFonts w:asciiTheme="minorHAnsi" w:hAnsiTheme="minorHAnsi" w:cstheme="minorHAnsi"/>
        </w:rPr>
        <w:fldChar w:fldCharType="separate"/>
      </w:r>
      <w:r w:rsidRPr="00D60C83">
        <w:rPr>
          <w:rFonts w:asciiTheme="minorHAnsi" w:hAnsiTheme="minorHAnsi" w:cstheme="minorHAnsi"/>
          <w:noProof/>
        </w:rPr>
        <w:t>1</w:t>
      </w:r>
      <w:r w:rsidRPr="00D60C83">
        <w:rPr>
          <w:rFonts w:asciiTheme="minorHAnsi" w:hAnsiTheme="minorHAnsi" w:cstheme="minorHAnsi"/>
        </w:rPr>
        <w:fldChar w:fldCharType="end"/>
      </w:r>
      <w:r w:rsidRPr="00D60C83">
        <w:rPr>
          <w:rFonts w:asciiTheme="minorHAnsi" w:hAnsiTheme="minorHAnsi" w:cstheme="minorHAnsi"/>
        </w:rPr>
        <w:t xml:space="preserve"> - UK Construction Sector Value Q3 2018</w:t>
      </w:r>
    </w:p>
    <w:tbl>
      <w:tblPr>
        <w:tblW w:w="9658" w:type="dxa"/>
        <w:shd w:val="clear" w:color="auto" w:fill="FFFFFF"/>
        <w:tblCellMar>
          <w:top w:w="15" w:type="dxa"/>
          <w:left w:w="15" w:type="dxa"/>
          <w:bottom w:w="15" w:type="dxa"/>
          <w:right w:w="15" w:type="dxa"/>
        </w:tblCellMar>
        <w:tblLook w:val="04A0" w:firstRow="1" w:lastRow="0" w:firstColumn="1" w:lastColumn="0" w:noHBand="0" w:noVBand="1"/>
      </w:tblPr>
      <w:tblGrid>
        <w:gridCol w:w="2444"/>
        <w:gridCol w:w="1522"/>
        <w:gridCol w:w="2172"/>
        <w:gridCol w:w="1721"/>
        <w:gridCol w:w="1799"/>
      </w:tblGrid>
      <w:tr w:rsidR="0096251F" w:rsidRPr="00D60C83" w14:paraId="3935AA40" w14:textId="77777777" w:rsidTr="0096251F">
        <w:trPr>
          <w:trHeight w:val="1333"/>
        </w:trPr>
        <w:tc>
          <w:tcPr>
            <w:tcW w:w="0" w:type="auto"/>
            <w:gridSpan w:val="5"/>
            <w:tcBorders>
              <w:top w:val="nil"/>
              <w:left w:val="nil"/>
              <w:bottom w:val="nil"/>
              <w:right w:val="nil"/>
            </w:tcBorders>
            <w:shd w:val="clear" w:color="auto" w:fill="FFFFFF"/>
            <w:tcMar>
              <w:top w:w="192" w:type="dxa"/>
              <w:left w:w="0" w:type="dxa"/>
              <w:bottom w:w="192" w:type="dxa"/>
              <w:right w:w="240" w:type="dxa"/>
            </w:tcMar>
            <w:vAlign w:val="center"/>
            <w:hideMark/>
          </w:tcPr>
          <w:p w14:paraId="4D5E642B" w14:textId="77777777" w:rsidR="0096251F" w:rsidRPr="00D60C83" w:rsidRDefault="0096251F" w:rsidP="0011055B">
            <w:pPr>
              <w:spacing w:before="240" w:after="240" w:line="276" w:lineRule="auto"/>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Construction new orders main figures, Quarter 3 (July to Sept) 2018, Great Britain</w:t>
            </w:r>
            <w:r w:rsidRPr="00D60C83">
              <w:rPr>
                <w:rFonts w:asciiTheme="minorHAnsi" w:hAnsiTheme="minorHAnsi" w:cstheme="minorHAnsi"/>
                <w:b/>
                <w:bCs/>
                <w:color w:val="323132"/>
                <w:sz w:val="22"/>
                <w:szCs w:val="22"/>
              </w:rPr>
              <w:br/>
              <w:t>Seasonally adjusted, volume £ million and percentage change</w:t>
            </w:r>
          </w:p>
        </w:tc>
      </w:tr>
      <w:tr w:rsidR="0096251F" w:rsidRPr="00D60C83" w14:paraId="6F999102" w14:textId="77777777" w:rsidTr="0096251F">
        <w:trPr>
          <w:trHeight w:val="618"/>
        </w:trPr>
        <w:tc>
          <w:tcPr>
            <w:tcW w:w="0" w:type="auto"/>
            <w:tcBorders>
              <w:top w:val="single" w:sz="18" w:space="0" w:color="D0D2D3"/>
              <w:bottom w:val="single" w:sz="18" w:space="0" w:color="D0D2D3"/>
            </w:tcBorders>
            <w:shd w:val="clear" w:color="auto" w:fill="FFFFFF"/>
            <w:tcMar>
              <w:top w:w="192" w:type="dxa"/>
              <w:left w:w="0" w:type="dxa"/>
              <w:bottom w:w="192" w:type="dxa"/>
              <w:right w:w="240" w:type="dxa"/>
            </w:tcMar>
            <w:vAlign w:val="bottom"/>
            <w:hideMark/>
          </w:tcPr>
          <w:p w14:paraId="5AD130EA" w14:textId="77777777" w:rsidR="0096251F" w:rsidRPr="00D60C83" w:rsidRDefault="0096251F" w:rsidP="0011055B">
            <w:pPr>
              <w:spacing w:line="276" w:lineRule="auto"/>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Type of work</w:t>
            </w:r>
          </w:p>
        </w:tc>
        <w:tc>
          <w:tcPr>
            <w:tcW w:w="0" w:type="auto"/>
            <w:tcBorders>
              <w:top w:val="single" w:sz="18" w:space="0" w:color="D0D2D3"/>
              <w:bottom w:val="single" w:sz="18" w:space="0" w:color="D0D2D3"/>
            </w:tcBorders>
            <w:shd w:val="clear" w:color="auto" w:fill="FFFFFF"/>
            <w:tcMar>
              <w:top w:w="192" w:type="dxa"/>
              <w:left w:w="0" w:type="dxa"/>
              <w:bottom w:w="192" w:type="dxa"/>
              <w:right w:w="240" w:type="dxa"/>
            </w:tcMar>
            <w:vAlign w:val="bottom"/>
            <w:hideMark/>
          </w:tcPr>
          <w:p w14:paraId="264E6EC8" w14:textId="77777777" w:rsidR="0096251F" w:rsidRPr="00D60C83" w:rsidRDefault="0096251F" w:rsidP="0011055B">
            <w:pPr>
              <w:spacing w:line="276" w:lineRule="auto"/>
              <w:jc w:val="right"/>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Value (£m)</w:t>
            </w:r>
          </w:p>
        </w:tc>
        <w:tc>
          <w:tcPr>
            <w:tcW w:w="0" w:type="auto"/>
            <w:tcBorders>
              <w:top w:val="single" w:sz="18" w:space="0" w:color="D0D2D3"/>
              <w:bottom w:val="single" w:sz="18" w:space="0" w:color="D0D2D3"/>
            </w:tcBorders>
            <w:shd w:val="clear" w:color="auto" w:fill="FFFFFF"/>
            <w:tcMar>
              <w:top w:w="192" w:type="dxa"/>
              <w:left w:w="0" w:type="dxa"/>
              <w:bottom w:w="192" w:type="dxa"/>
              <w:right w:w="240" w:type="dxa"/>
            </w:tcMar>
            <w:vAlign w:val="bottom"/>
            <w:hideMark/>
          </w:tcPr>
          <w:p w14:paraId="29FCA61B" w14:textId="77777777" w:rsidR="0096251F" w:rsidRPr="00D60C83" w:rsidRDefault="0096251F" w:rsidP="0011055B">
            <w:pPr>
              <w:spacing w:line="276" w:lineRule="auto"/>
              <w:jc w:val="right"/>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Most recent</w:t>
            </w:r>
            <w:r w:rsidRPr="00D60C83">
              <w:rPr>
                <w:rFonts w:asciiTheme="minorHAnsi" w:hAnsiTheme="minorHAnsi" w:cstheme="minorHAnsi"/>
                <w:b/>
                <w:bCs/>
                <w:color w:val="323132"/>
                <w:sz w:val="22"/>
                <w:szCs w:val="22"/>
              </w:rPr>
              <w:br/>
              <w:t>quarter on </w:t>
            </w:r>
            <w:r w:rsidRPr="00D60C83">
              <w:rPr>
                <w:rFonts w:asciiTheme="minorHAnsi" w:hAnsiTheme="minorHAnsi" w:cstheme="minorHAnsi"/>
                <w:b/>
                <w:bCs/>
                <w:color w:val="323132"/>
                <w:sz w:val="22"/>
                <w:szCs w:val="22"/>
              </w:rPr>
              <w:br/>
              <w:t>previous quarter</w:t>
            </w:r>
          </w:p>
        </w:tc>
        <w:tc>
          <w:tcPr>
            <w:tcW w:w="0" w:type="auto"/>
            <w:tcBorders>
              <w:top w:val="single" w:sz="18" w:space="0" w:color="D0D2D3"/>
              <w:bottom w:val="single" w:sz="18" w:space="0" w:color="D0D2D3"/>
            </w:tcBorders>
            <w:shd w:val="clear" w:color="auto" w:fill="FFFFFF"/>
            <w:tcMar>
              <w:top w:w="192" w:type="dxa"/>
              <w:left w:w="0" w:type="dxa"/>
              <w:bottom w:w="192" w:type="dxa"/>
              <w:right w:w="240" w:type="dxa"/>
            </w:tcMar>
            <w:vAlign w:val="bottom"/>
            <w:hideMark/>
          </w:tcPr>
          <w:p w14:paraId="5C7D1D2B" w14:textId="77777777" w:rsidR="0096251F" w:rsidRPr="00D60C83" w:rsidRDefault="0096251F" w:rsidP="0011055B">
            <w:pPr>
              <w:spacing w:line="276" w:lineRule="auto"/>
              <w:jc w:val="right"/>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Most recent </w:t>
            </w:r>
            <w:r w:rsidRPr="00D60C83">
              <w:rPr>
                <w:rFonts w:asciiTheme="minorHAnsi" w:hAnsiTheme="minorHAnsi" w:cstheme="minorHAnsi"/>
                <w:b/>
                <w:bCs/>
                <w:color w:val="323132"/>
                <w:sz w:val="22"/>
                <w:szCs w:val="22"/>
              </w:rPr>
              <w:br/>
              <w:t>quarter on a</w:t>
            </w:r>
            <w:r w:rsidRPr="00D60C83">
              <w:rPr>
                <w:rFonts w:asciiTheme="minorHAnsi" w:hAnsiTheme="minorHAnsi" w:cstheme="minorHAnsi"/>
                <w:b/>
                <w:bCs/>
                <w:color w:val="323132"/>
                <w:sz w:val="22"/>
                <w:szCs w:val="22"/>
              </w:rPr>
              <w:br/>
              <w:t>year earlier</w:t>
            </w:r>
          </w:p>
        </w:tc>
        <w:tc>
          <w:tcPr>
            <w:tcW w:w="0" w:type="auto"/>
            <w:tcBorders>
              <w:top w:val="single" w:sz="18" w:space="0" w:color="D0D2D3"/>
              <w:bottom w:val="single" w:sz="18" w:space="0" w:color="D0D2D3"/>
            </w:tcBorders>
            <w:shd w:val="clear" w:color="auto" w:fill="FFFFFF"/>
            <w:tcMar>
              <w:top w:w="192" w:type="dxa"/>
              <w:left w:w="0" w:type="dxa"/>
              <w:bottom w:w="192" w:type="dxa"/>
              <w:right w:w="240" w:type="dxa"/>
            </w:tcMar>
            <w:vAlign w:val="bottom"/>
            <w:hideMark/>
          </w:tcPr>
          <w:p w14:paraId="46D4DFC6" w14:textId="77777777" w:rsidR="0096251F" w:rsidRPr="00D60C83" w:rsidRDefault="0096251F" w:rsidP="0011055B">
            <w:pPr>
              <w:spacing w:line="276" w:lineRule="auto"/>
              <w:jc w:val="right"/>
              <w:rPr>
                <w:rFonts w:asciiTheme="minorHAnsi" w:hAnsiTheme="minorHAnsi" w:cstheme="minorHAnsi"/>
                <w:b/>
                <w:bCs/>
                <w:color w:val="323132"/>
                <w:sz w:val="22"/>
                <w:szCs w:val="22"/>
              </w:rPr>
            </w:pPr>
            <w:r w:rsidRPr="00D60C83">
              <w:rPr>
                <w:rFonts w:asciiTheme="minorHAnsi" w:hAnsiTheme="minorHAnsi" w:cstheme="minorHAnsi"/>
                <w:b/>
                <w:bCs/>
                <w:color w:val="323132"/>
                <w:sz w:val="22"/>
                <w:szCs w:val="22"/>
              </w:rPr>
              <w:t>Most recent </w:t>
            </w:r>
            <w:r w:rsidRPr="00D60C83">
              <w:rPr>
                <w:rFonts w:asciiTheme="minorHAnsi" w:hAnsiTheme="minorHAnsi" w:cstheme="minorHAnsi"/>
                <w:b/>
                <w:bCs/>
                <w:color w:val="323132"/>
                <w:sz w:val="22"/>
                <w:szCs w:val="22"/>
              </w:rPr>
              <w:br/>
              <w:t>4 quarters on</w:t>
            </w:r>
            <w:r w:rsidRPr="00D60C83">
              <w:rPr>
                <w:rFonts w:asciiTheme="minorHAnsi" w:hAnsiTheme="minorHAnsi" w:cstheme="minorHAnsi"/>
                <w:b/>
                <w:bCs/>
                <w:color w:val="323132"/>
                <w:sz w:val="22"/>
                <w:szCs w:val="22"/>
              </w:rPr>
              <w:br/>
              <w:t>a year earlier</w:t>
            </w:r>
          </w:p>
        </w:tc>
      </w:tr>
      <w:tr w:rsidR="0096251F" w:rsidRPr="00D60C83" w14:paraId="418154AD"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715CF102" w14:textId="77777777" w:rsidR="0096251F" w:rsidRPr="00D60C83" w:rsidRDefault="0096251F" w:rsidP="0011055B">
            <w:pPr>
              <w:spacing w:line="276" w:lineRule="auto"/>
              <w:rPr>
                <w:rFonts w:asciiTheme="minorHAnsi" w:hAnsiTheme="minorHAnsi" w:cstheme="minorHAnsi"/>
                <w:color w:val="323132"/>
                <w:sz w:val="22"/>
                <w:szCs w:val="22"/>
              </w:rPr>
            </w:pPr>
            <w:r w:rsidRPr="00D60C83">
              <w:rPr>
                <w:rFonts w:asciiTheme="minorHAnsi" w:hAnsiTheme="minorHAnsi" w:cstheme="minorHAnsi"/>
                <w:color w:val="323132"/>
                <w:sz w:val="22"/>
                <w:szCs w:val="22"/>
              </w:rPr>
              <w:t>All New Work</w:t>
            </w:r>
          </w:p>
        </w:tc>
        <w:tc>
          <w:tcPr>
            <w:tcW w:w="0" w:type="auto"/>
            <w:tcBorders>
              <w:bottom w:val="single" w:sz="6" w:space="0" w:color="D0D2D3"/>
            </w:tcBorders>
            <w:shd w:val="clear" w:color="auto" w:fill="FFFFFF"/>
            <w:tcMar>
              <w:top w:w="192" w:type="dxa"/>
              <w:left w:w="0" w:type="dxa"/>
              <w:bottom w:w="192" w:type="dxa"/>
              <w:right w:w="240" w:type="dxa"/>
            </w:tcMar>
            <w:hideMark/>
          </w:tcPr>
          <w:p w14:paraId="1596E087"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11,075</w:t>
            </w:r>
          </w:p>
        </w:tc>
        <w:tc>
          <w:tcPr>
            <w:tcW w:w="0" w:type="auto"/>
            <w:tcBorders>
              <w:bottom w:val="single" w:sz="6" w:space="0" w:color="D0D2D3"/>
            </w:tcBorders>
            <w:shd w:val="clear" w:color="auto" w:fill="FFFFFF"/>
            <w:tcMar>
              <w:top w:w="192" w:type="dxa"/>
              <w:left w:w="0" w:type="dxa"/>
              <w:bottom w:w="192" w:type="dxa"/>
              <w:right w:w="240" w:type="dxa"/>
            </w:tcMar>
            <w:hideMark/>
          </w:tcPr>
          <w:p w14:paraId="583045D3"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3.4%</w:t>
            </w:r>
          </w:p>
        </w:tc>
        <w:tc>
          <w:tcPr>
            <w:tcW w:w="0" w:type="auto"/>
            <w:tcBorders>
              <w:bottom w:val="single" w:sz="6" w:space="0" w:color="D0D2D3"/>
            </w:tcBorders>
            <w:shd w:val="clear" w:color="auto" w:fill="FFFFFF"/>
            <w:tcMar>
              <w:top w:w="192" w:type="dxa"/>
              <w:left w:w="0" w:type="dxa"/>
              <w:bottom w:w="192" w:type="dxa"/>
              <w:right w:w="240" w:type="dxa"/>
            </w:tcMar>
            <w:hideMark/>
          </w:tcPr>
          <w:p w14:paraId="4EF3A4FD"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-30.7%</w:t>
            </w:r>
          </w:p>
        </w:tc>
        <w:tc>
          <w:tcPr>
            <w:tcW w:w="0" w:type="auto"/>
            <w:tcBorders>
              <w:bottom w:val="single" w:sz="6" w:space="0" w:color="D0D2D3"/>
            </w:tcBorders>
            <w:shd w:val="clear" w:color="auto" w:fill="FFFFFF"/>
            <w:tcMar>
              <w:top w:w="192" w:type="dxa"/>
              <w:left w:w="0" w:type="dxa"/>
              <w:bottom w:w="192" w:type="dxa"/>
              <w:right w:w="240" w:type="dxa"/>
            </w:tcMar>
            <w:hideMark/>
          </w:tcPr>
          <w:p w14:paraId="740D68FB"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-13.1%</w:t>
            </w:r>
          </w:p>
        </w:tc>
      </w:tr>
      <w:tr w:rsidR="0096251F" w:rsidRPr="00D60C83" w14:paraId="0D31FC79"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199A557B" w14:textId="77777777" w:rsidR="0096251F" w:rsidRPr="00D60C83" w:rsidRDefault="0096251F" w:rsidP="0011055B">
            <w:pPr>
              <w:spacing w:line="276" w:lineRule="auto"/>
              <w:rPr>
                <w:rFonts w:asciiTheme="minorHAnsi" w:hAnsiTheme="minorHAnsi" w:cstheme="minorHAnsi"/>
                <w:color w:val="323132"/>
                <w:sz w:val="22"/>
                <w:szCs w:val="22"/>
              </w:rPr>
            </w:pPr>
            <w:r w:rsidRPr="00D60C83">
              <w:rPr>
                <w:rFonts w:asciiTheme="minorHAnsi" w:hAnsiTheme="minorHAnsi" w:cstheme="minorHAnsi"/>
                <w:color w:val="323132"/>
                <w:sz w:val="22"/>
                <w:szCs w:val="22"/>
              </w:rPr>
              <w:t>All New Housing</w:t>
            </w:r>
          </w:p>
        </w:tc>
        <w:tc>
          <w:tcPr>
            <w:tcW w:w="0" w:type="auto"/>
            <w:tcBorders>
              <w:bottom w:val="single" w:sz="6" w:space="0" w:color="D0D2D3"/>
            </w:tcBorders>
            <w:shd w:val="clear" w:color="auto" w:fill="FFFFFF"/>
            <w:tcMar>
              <w:top w:w="192" w:type="dxa"/>
              <w:left w:w="0" w:type="dxa"/>
              <w:bottom w:w="192" w:type="dxa"/>
              <w:right w:w="240" w:type="dxa"/>
            </w:tcMar>
            <w:hideMark/>
          </w:tcPr>
          <w:p w14:paraId="50CE00FC"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3,350</w:t>
            </w:r>
          </w:p>
        </w:tc>
        <w:tc>
          <w:tcPr>
            <w:tcW w:w="0" w:type="auto"/>
            <w:tcBorders>
              <w:bottom w:val="single" w:sz="6" w:space="0" w:color="D0D2D3"/>
            </w:tcBorders>
            <w:shd w:val="clear" w:color="auto" w:fill="FFFFFF"/>
            <w:tcMar>
              <w:top w:w="192" w:type="dxa"/>
              <w:left w:w="0" w:type="dxa"/>
              <w:bottom w:w="192" w:type="dxa"/>
              <w:right w:w="240" w:type="dxa"/>
            </w:tcMar>
            <w:hideMark/>
          </w:tcPr>
          <w:p w14:paraId="0A08B152"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-5.3%</w:t>
            </w:r>
          </w:p>
        </w:tc>
        <w:tc>
          <w:tcPr>
            <w:tcW w:w="0" w:type="auto"/>
            <w:tcBorders>
              <w:bottom w:val="single" w:sz="6" w:space="0" w:color="D0D2D3"/>
            </w:tcBorders>
            <w:shd w:val="clear" w:color="auto" w:fill="FFFFFF"/>
            <w:tcMar>
              <w:top w:w="192" w:type="dxa"/>
              <w:left w:w="0" w:type="dxa"/>
              <w:bottom w:w="192" w:type="dxa"/>
              <w:right w:w="240" w:type="dxa"/>
            </w:tcMar>
            <w:hideMark/>
          </w:tcPr>
          <w:p w14:paraId="0A874E3D"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-14.3%</w:t>
            </w:r>
          </w:p>
        </w:tc>
        <w:tc>
          <w:tcPr>
            <w:tcW w:w="0" w:type="auto"/>
            <w:tcBorders>
              <w:bottom w:val="single" w:sz="6" w:space="0" w:color="D0D2D3"/>
            </w:tcBorders>
            <w:shd w:val="clear" w:color="auto" w:fill="FFFFFF"/>
            <w:tcMar>
              <w:top w:w="192" w:type="dxa"/>
              <w:left w:w="0" w:type="dxa"/>
              <w:bottom w:w="192" w:type="dxa"/>
              <w:right w:w="240" w:type="dxa"/>
            </w:tcMar>
            <w:hideMark/>
          </w:tcPr>
          <w:p w14:paraId="03D13D86"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-0.3%</w:t>
            </w:r>
          </w:p>
        </w:tc>
      </w:tr>
      <w:tr w:rsidR="0096251F" w:rsidRPr="00D60C83" w14:paraId="4CA96C79"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51AF69AD"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t>Public</w:t>
            </w:r>
          </w:p>
        </w:tc>
        <w:tc>
          <w:tcPr>
            <w:tcW w:w="0" w:type="auto"/>
            <w:tcBorders>
              <w:bottom w:val="single" w:sz="6" w:space="0" w:color="D0D2D3"/>
            </w:tcBorders>
            <w:shd w:val="clear" w:color="auto" w:fill="FFFFFF"/>
            <w:tcMar>
              <w:top w:w="192" w:type="dxa"/>
              <w:left w:w="0" w:type="dxa"/>
              <w:bottom w:w="192" w:type="dxa"/>
              <w:right w:w="240" w:type="dxa"/>
            </w:tcMar>
            <w:hideMark/>
          </w:tcPr>
          <w:p w14:paraId="5175E2C5"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207</w:t>
            </w:r>
          </w:p>
        </w:tc>
        <w:tc>
          <w:tcPr>
            <w:tcW w:w="0" w:type="auto"/>
            <w:tcBorders>
              <w:bottom w:val="single" w:sz="6" w:space="0" w:color="D0D2D3"/>
            </w:tcBorders>
            <w:shd w:val="clear" w:color="auto" w:fill="FFFFFF"/>
            <w:tcMar>
              <w:top w:w="192" w:type="dxa"/>
              <w:left w:w="0" w:type="dxa"/>
              <w:bottom w:w="192" w:type="dxa"/>
              <w:right w:w="240" w:type="dxa"/>
            </w:tcMar>
            <w:hideMark/>
          </w:tcPr>
          <w:p w14:paraId="32898000"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-43.7%</w:t>
            </w:r>
          </w:p>
        </w:tc>
        <w:tc>
          <w:tcPr>
            <w:tcW w:w="0" w:type="auto"/>
            <w:tcBorders>
              <w:bottom w:val="single" w:sz="6" w:space="0" w:color="D0D2D3"/>
            </w:tcBorders>
            <w:shd w:val="clear" w:color="auto" w:fill="FFFFFF"/>
            <w:tcMar>
              <w:top w:w="192" w:type="dxa"/>
              <w:left w:w="0" w:type="dxa"/>
              <w:bottom w:w="192" w:type="dxa"/>
              <w:right w:w="240" w:type="dxa"/>
            </w:tcMar>
            <w:hideMark/>
          </w:tcPr>
          <w:p w14:paraId="60005112"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-57.1%</w:t>
            </w:r>
          </w:p>
        </w:tc>
        <w:tc>
          <w:tcPr>
            <w:tcW w:w="0" w:type="auto"/>
            <w:tcBorders>
              <w:bottom w:val="single" w:sz="6" w:space="0" w:color="D0D2D3"/>
            </w:tcBorders>
            <w:shd w:val="clear" w:color="auto" w:fill="FFFFFF"/>
            <w:tcMar>
              <w:top w:w="192" w:type="dxa"/>
              <w:left w:w="0" w:type="dxa"/>
              <w:bottom w:w="192" w:type="dxa"/>
              <w:right w:w="240" w:type="dxa"/>
            </w:tcMar>
            <w:hideMark/>
          </w:tcPr>
          <w:p w14:paraId="07330DEA"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-17.7%</w:t>
            </w:r>
          </w:p>
        </w:tc>
      </w:tr>
      <w:tr w:rsidR="0096251F" w:rsidRPr="00D60C83" w14:paraId="2AA1102F"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1AB34D14"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t>Private</w:t>
            </w:r>
          </w:p>
        </w:tc>
        <w:tc>
          <w:tcPr>
            <w:tcW w:w="0" w:type="auto"/>
            <w:tcBorders>
              <w:bottom w:val="single" w:sz="6" w:space="0" w:color="D0D2D3"/>
            </w:tcBorders>
            <w:shd w:val="clear" w:color="auto" w:fill="FFFFFF"/>
            <w:tcMar>
              <w:top w:w="192" w:type="dxa"/>
              <w:left w:w="0" w:type="dxa"/>
              <w:bottom w:w="192" w:type="dxa"/>
              <w:right w:w="240" w:type="dxa"/>
            </w:tcMar>
            <w:hideMark/>
          </w:tcPr>
          <w:p w14:paraId="6BA0BA0D"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3,143</w:t>
            </w:r>
          </w:p>
        </w:tc>
        <w:tc>
          <w:tcPr>
            <w:tcW w:w="0" w:type="auto"/>
            <w:tcBorders>
              <w:bottom w:val="single" w:sz="6" w:space="0" w:color="D0D2D3"/>
            </w:tcBorders>
            <w:shd w:val="clear" w:color="auto" w:fill="FFFFFF"/>
            <w:tcMar>
              <w:top w:w="192" w:type="dxa"/>
              <w:left w:w="0" w:type="dxa"/>
              <w:bottom w:w="192" w:type="dxa"/>
              <w:right w:w="240" w:type="dxa"/>
            </w:tcMar>
            <w:hideMark/>
          </w:tcPr>
          <w:p w14:paraId="100E70FF"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-0.8%</w:t>
            </w:r>
          </w:p>
        </w:tc>
        <w:tc>
          <w:tcPr>
            <w:tcW w:w="0" w:type="auto"/>
            <w:tcBorders>
              <w:bottom w:val="single" w:sz="6" w:space="0" w:color="D0D2D3"/>
            </w:tcBorders>
            <w:shd w:val="clear" w:color="auto" w:fill="FFFFFF"/>
            <w:tcMar>
              <w:top w:w="192" w:type="dxa"/>
              <w:left w:w="0" w:type="dxa"/>
              <w:bottom w:w="192" w:type="dxa"/>
              <w:right w:w="240" w:type="dxa"/>
            </w:tcMar>
            <w:hideMark/>
          </w:tcPr>
          <w:p w14:paraId="1511AC40"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-8.3%</w:t>
            </w:r>
          </w:p>
        </w:tc>
        <w:tc>
          <w:tcPr>
            <w:tcW w:w="0" w:type="auto"/>
            <w:tcBorders>
              <w:bottom w:val="single" w:sz="6" w:space="0" w:color="D0D2D3"/>
            </w:tcBorders>
            <w:shd w:val="clear" w:color="auto" w:fill="FFFFFF"/>
            <w:tcMar>
              <w:top w:w="192" w:type="dxa"/>
              <w:left w:w="0" w:type="dxa"/>
              <w:bottom w:w="192" w:type="dxa"/>
              <w:right w:w="240" w:type="dxa"/>
            </w:tcMar>
            <w:hideMark/>
          </w:tcPr>
          <w:p w14:paraId="6209BCE9"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1.6%</w:t>
            </w:r>
          </w:p>
        </w:tc>
      </w:tr>
      <w:tr w:rsidR="0096251F" w:rsidRPr="00D60C83" w14:paraId="2A57B3F1"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7FF6B73C" w14:textId="77777777" w:rsidR="0096251F" w:rsidRPr="00D60C83" w:rsidRDefault="0096251F" w:rsidP="0011055B">
            <w:pPr>
              <w:spacing w:line="276" w:lineRule="auto"/>
              <w:rPr>
                <w:rFonts w:asciiTheme="minorHAnsi" w:hAnsiTheme="minorHAnsi" w:cstheme="minorHAnsi"/>
                <w:color w:val="323132"/>
                <w:sz w:val="22"/>
                <w:szCs w:val="22"/>
              </w:rPr>
            </w:pPr>
            <w:r w:rsidRPr="00D60C83">
              <w:rPr>
                <w:rFonts w:asciiTheme="minorHAnsi" w:hAnsiTheme="minorHAnsi" w:cstheme="minorHAnsi"/>
                <w:color w:val="323132"/>
                <w:sz w:val="22"/>
                <w:szCs w:val="22"/>
              </w:rPr>
              <w:t>All Other Work</w:t>
            </w:r>
          </w:p>
        </w:tc>
        <w:tc>
          <w:tcPr>
            <w:tcW w:w="0" w:type="auto"/>
            <w:tcBorders>
              <w:bottom w:val="single" w:sz="6" w:space="0" w:color="D0D2D3"/>
            </w:tcBorders>
            <w:shd w:val="clear" w:color="auto" w:fill="FFFFFF"/>
            <w:tcMar>
              <w:top w:w="192" w:type="dxa"/>
              <w:left w:w="0" w:type="dxa"/>
              <w:bottom w:w="192" w:type="dxa"/>
              <w:right w:w="240" w:type="dxa"/>
            </w:tcMar>
            <w:hideMark/>
          </w:tcPr>
          <w:p w14:paraId="36E062AC"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7,725</w:t>
            </w:r>
          </w:p>
        </w:tc>
        <w:tc>
          <w:tcPr>
            <w:tcW w:w="0" w:type="auto"/>
            <w:tcBorders>
              <w:bottom w:val="single" w:sz="6" w:space="0" w:color="D0D2D3"/>
            </w:tcBorders>
            <w:shd w:val="clear" w:color="auto" w:fill="FFFFFF"/>
            <w:tcMar>
              <w:top w:w="192" w:type="dxa"/>
              <w:left w:w="0" w:type="dxa"/>
              <w:bottom w:w="192" w:type="dxa"/>
              <w:right w:w="240" w:type="dxa"/>
            </w:tcMar>
            <w:hideMark/>
          </w:tcPr>
          <w:p w14:paraId="59362D49"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7.7%</w:t>
            </w:r>
          </w:p>
        </w:tc>
        <w:tc>
          <w:tcPr>
            <w:tcW w:w="0" w:type="auto"/>
            <w:tcBorders>
              <w:bottom w:val="single" w:sz="6" w:space="0" w:color="D0D2D3"/>
            </w:tcBorders>
            <w:shd w:val="clear" w:color="auto" w:fill="FFFFFF"/>
            <w:tcMar>
              <w:top w:w="192" w:type="dxa"/>
              <w:left w:w="0" w:type="dxa"/>
              <w:bottom w:w="192" w:type="dxa"/>
              <w:right w:w="240" w:type="dxa"/>
            </w:tcMar>
            <w:hideMark/>
          </w:tcPr>
          <w:p w14:paraId="0E742A55"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-36.0%</w:t>
            </w:r>
          </w:p>
        </w:tc>
        <w:tc>
          <w:tcPr>
            <w:tcW w:w="0" w:type="auto"/>
            <w:tcBorders>
              <w:bottom w:val="single" w:sz="6" w:space="0" w:color="D0D2D3"/>
            </w:tcBorders>
            <w:shd w:val="clear" w:color="auto" w:fill="FFFFFF"/>
            <w:tcMar>
              <w:top w:w="192" w:type="dxa"/>
              <w:left w:w="0" w:type="dxa"/>
              <w:bottom w:w="192" w:type="dxa"/>
              <w:right w:w="240" w:type="dxa"/>
            </w:tcMar>
            <w:hideMark/>
          </w:tcPr>
          <w:p w14:paraId="1988A612"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-18.2%</w:t>
            </w:r>
          </w:p>
        </w:tc>
      </w:tr>
      <w:tr w:rsidR="0096251F" w:rsidRPr="00D60C83" w14:paraId="33BB65C1"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019EEF42"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lastRenderedPageBreak/>
              <w:t>Infrastructure</w:t>
            </w:r>
          </w:p>
        </w:tc>
        <w:tc>
          <w:tcPr>
            <w:tcW w:w="0" w:type="auto"/>
            <w:tcBorders>
              <w:bottom w:val="single" w:sz="6" w:space="0" w:color="D0D2D3"/>
            </w:tcBorders>
            <w:shd w:val="clear" w:color="auto" w:fill="FFFFFF"/>
            <w:tcMar>
              <w:top w:w="192" w:type="dxa"/>
              <w:left w:w="0" w:type="dxa"/>
              <w:bottom w:w="192" w:type="dxa"/>
              <w:right w:w="240" w:type="dxa"/>
            </w:tcMar>
            <w:hideMark/>
          </w:tcPr>
          <w:p w14:paraId="494D6E20"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2,075</w:t>
            </w:r>
          </w:p>
        </w:tc>
        <w:tc>
          <w:tcPr>
            <w:tcW w:w="0" w:type="auto"/>
            <w:tcBorders>
              <w:bottom w:val="single" w:sz="6" w:space="0" w:color="D0D2D3"/>
            </w:tcBorders>
            <w:shd w:val="clear" w:color="auto" w:fill="FFFFFF"/>
            <w:tcMar>
              <w:top w:w="192" w:type="dxa"/>
              <w:left w:w="0" w:type="dxa"/>
              <w:bottom w:w="192" w:type="dxa"/>
              <w:right w:w="240" w:type="dxa"/>
            </w:tcMar>
            <w:hideMark/>
          </w:tcPr>
          <w:p w14:paraId="3A868F7A"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-9.4%</w:t>
            </w:r>
          </w:p>
        </w:tc>
        <w:tc>
          <w:tcPr>
            <w:tcW w:w="0" w:type="auto"/>
            <w:tcBorders>
              <w:bottom w:val="single" w:sz="6" w:space="0" w:color="D0D2D3"/>
            </w:tcBorders>
            <w:shd w:val="clear" w:color="auto" w:fill="FFFFFF"/>
            <w:tcMar>
              <w:top w:w="192" w:type="dxa"/>
              <w:left w:w="0" w:type="dxa"/>
              <w:bottom w:w="192" w:type="dxa"/>
              <w:right w:w="240" w:type="dxa"/>
            </w:tcMar>
            <w:hideMark/>
          </w:tcPr>
          <w:p w14:paraId="573B160F"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-68.0%</w:t>
            </w:r>
          </w:p>
        </w:tc>
        <w:tc>
          <w:tcPr>
            <w:tcW w:w="0" w:type="auto"/>
            <w:tcBorders>
              <w:bottom w:val="single" w:sz="6" w:space="0" w:color="D0D2D3"/>
            </w:tcBorders>
            <w:shd w:val="clear" w:color="auto" w:fill="FFFFFF"/>
            <w:tcMar>
              <w:top w:w="192" w:type="dxa"/>
              <w:left w:w="0" w:type="dxa"/>
              <w:bottom w:w="192" w:type="dxa"/>
              <w:right w:w="240" w:type="dxa"/>
            </w:tcMar>
            <w:hideMark/>
          </w:tcPr>
          <w:p w14:paraId="10CA1605"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-34.6%</w:t>
            </w:r>
          </w:p>
        </w:tc>
      </w:tr>
      <w:tr w:rsidR="0096251F" w:rsidRPr="00D60C83" w14:paraId="77364490"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373B6FD6"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t>Public</w:t>
            </w:r>
          </w:p>
        </w:tc>
        <w:tc>
          <w:tcPr>
            <w:tcW w:w="0" w:type="auto"/>
            <w:tcBorders>
              <w:bottom w:val="single" w:sz="6" w:space="0" w:color="D0D2D3"/>
            </w:tcBorders>
            <w:shd w:val="clear" w:color="auto" w:fill="FFFFFF"/>
            <w:tcMar>
              <w:top w:w="192" w:type="dxa"/>
              <w:left w:w="0" w:type="dxa"/>
              <w:bottom w:w="192" w:type="dxa"/>
              <w:right w:w="240" w:type="dxa"/>
            </w:tcMar>
            <w:hideMark/>
          </w:tcPr>
          <w:p w14:paraId="7E3E2C98"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1,618</w:t>
            </w:r>
          </w:p>
        </w:tc>
        <w:tc>
          <w:tcPr>
            <w:tcW w:w="0" w:type="auto"/>
            <w:tcBorders>
              <w:bottom w:val="single" w:sz="6" w:space="0" w:color="D0D2D3"/>
            </w:tcBorders>
            <w:shd w:val="clear" w:color="auto" w:fill="FFFFFF"/>
            <w:tcMar>
              <w:top w:w="192" w:type="dxa"/>
              <w:left w:w="0" w:type="dxa"/>
              <w:bottom w:w="192" w:type="dxa"/>
              <w:right w:w="240" w:type="dxa"/>
            </w:tcMar>
            <w:hideMark/>
          </w:tcPr>
          <w:p w14:paraId="3241CAD7"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31.9%</w:t>
            </w:r>
          </w:p>
        </w:tc>
        <w:tc>
          <w:tcPr>
            <w:tcW w:w="0" w:type="auto"/>
            <w:tcBorders>
              <w:bottom w:val="single" w:sz="6" w:space="0" w:color="D0D2D3"/>
            </w:tcBorders>
            <w:shd w:val="clear" w:color="auto" w:fill="FFFFFF"/>
            <w:tcMar>
              <w:top w:w="192" w:type="dxa"/>
              <w:left w:w="0" w:type="dxa"/>
              <w:bottom w:w="192" w:type="dxa"/>
              <w:right w:w="240" w:type="dxa"/>
            </w:tcMar>
            <w:hideMark/>
          </w:tcPr>
          <w:p w14:paraId="210F6B41"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11.4%</w:t>
            </w:r>
          </w:p>
        </w:tc>
        <w:tc>
          <w:tcPr>
            <w:tcW w:w="0" w:type="auto"/>
            <w:tcBorders>
              <w:bottom w:val="single" w:sz="6" w:space="0" w:color="D0D2D3"/>
            </w:tcBorders>
            <w:shd w:val="clear" w:color="auto" w:fill="FFFFFF"/>
            <w:tcMar>
              <w:top w:w="192" w:type="dxa"/>
              <w:left w:w="0" w:type="dxa"/>
              <w:bottom w:w="192" w:type="dxa"/>
              <w:right w:w="240" w:type="dxa"/>
            </w:tcMar>
            <w:hideMark/>
          </w:tcPr>
          <w:p w14:paraId="67926B96"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-1.8%</w:t>
            </w:r>
          </w:p>
        </w:tc>
      </w:tr>
      <w:tr w:rsidR="0096251F" w:rsidRPr="00D60C83" w14:paraId="4733792A" w14:textId="77777777" w:rsidTr="0096251F">
        <w:trPr>
          <w:trHeight w:val="213"/>
        </w:trPr>
        <w:tc>
          <w:tcPr>
            <w:tcW w:w="0" w:type="auto"/>
            <w:tcBorders>
              <w:bottom w:val="single" w:sz="6" w:space="0" w:color="D0D2D3"/>
            </w:tcBorders>
            <w:shd w:val="clear" w:color="auto" w:fill="FFFFFF"/>
            <w:tcMar>
              <w:top w:w="192" w:type="dxa"/>
              <w:left w:w="0" w:type="dxa"/>
              <w:bottom w:w="192" w:type="dxa"/>
              <w:right w:w="240" w:type="dxa"/>
            </w:tcMar>
            <w:hideMark/>
          </w:tcPr>
          <w:p w14:paraId="77F137CD"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t>Private Industrial</w:t>
            </w:r>
          </w:p>
        </w:tc>
        <w:tc>
          <w:tcPr>
            <w:tcW w:w="0" w:type="auto"/>
            <w:tcBorders>
              <w:bottom w:val="single" w:sz="6" w:space="0" w:color="D0D2D3"/>
            </w:tcBorders>
            <w:shd w:val="clear" w:color="auto" w:fill="FFFFFF"/>
            <w:tcMar>
              <w:top w:w="192" w:type="dxa"/>
              <w:left w:w="0" w:type="dxa"/>
              <w:bottom w:w="192" w:type="dxa"/>
              <w:right w:w="240" w:type="dxa"/>
            </w:tcMar>
            <w:hideMark/>
          </w:tcPr>
          <w:p w14:paraId="7BF6BE76"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1,000</w:t>
            </w:r>
          </w:p>
        </w:tc>
        <w:tc>
          <w:tcPr>
            <w:tcW w:w="0" w:type="auto"/>
            <w:tcBorders>
              <w:bottom w:val="single" w:sz="6" w:space="0" w:color="D0D2D3"/>
            </w:tcBorders>
            <w:shd w:val="clear" w:color="auto" w:fill="FFFFFF"/>
            <w:tcMar>
              <w:top w:w="192" w:type="dxa"/>
              <w:left w:w="0" w:type="dxa"/>
              <w:bottom w:w="192" w:type="dxa"/>
              <w:right w:w="240" w:type="dxa"/>
            </w:tcMar>
            <w:hideMark/>
          </w:tcPr>
          <w:p w14:paraId="43F5B2F9"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9.6%</w:t>
            </w:r>
          </w:p>
        </w:tc>
        <w:tc>
          <w:tcPr>
            <w:tcW w:w="0" w:type="auto"/>
            <w:tcBorders>
              <w:bottom w:val="single" w:sz="6" w:space="0" w:color="D0D2D3"/>
            </w:tcBorders>
            <w:shd w:val="clear" w:color="auto" w:fill="FFFFFF"/>
            <w:tcMar>
              <w:top w:w="192" w:type="dxa"/>
              <w:left w:w="0" w:type="dxa"/>
              <w:bottom w:w="192" w:type="dxa"/>
              <w:right w:w="240" w:type="dxa"/>
            </w:tcMar>
            <w:hideMark/>
          </w:tcPr>
          <w:p w14:paraId="43DFC8E8"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-8.7%</w:t>
            </w:r>
          </w:p>
        </w:tc>
        <w:tc>
          <w:tcPr>
            <w:tcW w:w="0" w:type="auto"/>
            <w:tcBorders>
              <w:bottom w:val="single" w:sz="6" w:space="0" w:color="D0D2D3"/>
            </w:tcBorders>
            <w:shd w:val="clear" w:color="auto" w:fill="FFFFFF"/>
            <w:tcMar>
              <w:top w:w="192" w:type="dxa"/>
              <w:left w:w="0" w:type="dxa"/>
              <w:bottom w:w="192" w:type="dxa"/>
              <w:right w:w="240" w:type="dxa"/>
            </w:tcMar>
            <w:hideMark/>
          </w:tcPr>
          <w:p w14:paraId="7B2B4CEF"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-9.5%</w:t>
            </w:r>
          </w:p>
        </w:tc>
      </w:tr>
      <w:tr w:rsidR="0096251F" w:rsidRPr="00D60C83" w14:paraId="3ADFA3E6" w14:textId="77777777" w:rsidTr="0096251F">
        <w:trPr>
          <w:trHeight w:val="202"/>
        </w:trPr>
        <w:tc>
          <w:tcPr>
            <w:tcW w:w="0" w:type="auto"/>
            <w:tcBorders>
              <w:bottom w:val="single" w:sz="6" w:space="0" w:color="D0D2D3"/>
            </w:tcBorders>
            <w:shd w:val="clear" w:color="auto" w:fill="FFFFFF"/>
            <w:tcMar>
              <w:top w:w="192" w:type="dxa"/>
              <w:left w:w="0" w:type="dxa"/>
              <w:bottom w:w="192" w:type="dxa"/>
              <w:right w:w="240" w:type="dxa"/>
            </w:tcMar>
            <w:hideMark/>
          </w:tcPr>
          <w:p w14:paraId="1CBC2257" w14:textId="77777777" w:rsidR="0096251F" w:rsidRPr="00D60C83" w:rsidRDefault="0096251F" w:rsidP="0011055B">
            <w:pPr>
              <w:spacing w:line="276" w:lineRule="auto"/>
              <w:jc w:val="center"/>
              <w:rPr>
                <w:rFonts w:asciiTheme="minorHAnsi" w:hAnsiTheme="minorHAnsi" w:cstheme="minorHAnsi"/>
                <w:color w:val="323132"/>
                <w:sz w:val="22"/>
                <w:szCs w:val="22"/>
              </w:rPr>
            </w:pPr>
            <w:r w:rsidRPr="00D60C83">
              <w:rPr>
                <w:rFonts w:asciiTheme="minorHAnsi" w:hAnsiTheme="minorHAnsi" w:cstheme="minorHAnsi"/>
                <w:color w:val="323132"/>
                <w:sz w:val="22"/>
                <w:szCs w:val="22"/>
              </w:rPr>
              <w:t>Private Commercial</w:t>
            </w:r>
          </w:p>
        </w:tc>
        <w:tc>
          <w:tcPr>
            <w:tcW w:w="0" w:type="auto"/>
            <w:tcBorders>
              <w:bottom w:val="single" w:sz="6" w:space="0" w:color="D0D2D3"/>
            </w:tcBorders>
            <w:shd w:val="clear" w:color="auto" w:fill="FFFFFF"/>
            <w:tcMar>
              <w:top w:w="192" w:type="dxa"/>
              <w:left w:w="0" w:type="dxa"/>
              <w:bottom w:w="192" w:type="dxa"/>
              <w:right w:w="240" w:type="dxa"/>
            </w:tcMar>
            <w:hideMark/>
          </w:tcPr>
          <w:p w14:paraId="787E3486"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3,032</w:t>
            </w:r>
          </w:p>
        </w:tc>
        <w:tc>
          <w:tcPr>
            <w:tcW w:w="0" w:type="auto"/>
            <w:tcBorders>
              <w:bottom w:val="single" w:sz="6" w:space="0" w:color="D0D2D3"/>
            </w:tcBorders>
            <w:shd w:val="clear" w:color="auto" w:fill="FFFFFF"/>
            <w:tcMar>
              <w:top w:w="192" w:type="dxa"/>
              <w:left w:w="0" w:type="dxa"/>
              <w:bottom w:w="192" w:type="dxa"/>
              <w:right w:w="240" w:type="dxa"/>
            </w:tcMar>
            <w:hideMark/>
          </w:tcPr>
          <w:p w14:paraId="1CB1FF7A"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10.4%</w:t>
            </w:r>
          </w:p>
        </w:tc>
        <w:tc>
          <w:tcPr>
            <w:tcW w:w="0" w:type="auto"/>
            <w:tcBorders>
              <w:bottom w:val="single" w:sz="6" w:space="0" w:color="D0D2D3"/>
            </w:tcBorders>
            <w:shd w:val="clear" w:color="auto" w:fill="FFFFFF"/>
            <w:tcMar>
              <w:top w:w="192" w:type="dxa"/>
              <w:left w:w="0" w:type="dxa"/>
              <w:bottom w:w="192" w:type="dxa"/>
              <w:right w:w="240" w:type="dxa"/>
            </w:tcMar>
            <w:hideMark/>
          </w:tcPr>
          <w:p w14:paraId="73A2BC77"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-0.5%</w:t>
            </w:r>
          </w:p>
        </w:tc>
        <w:tc>
          <w:tcPr>
            <w:tcW w:w="0" w:type="auto"/>
            <w:tcBorders>
              <w:bottom w:val="single" w:sz="6" w:space="0" w:color="D0D2D3"/>
            </w:tcBorders>
            <w:shd w:val="clear" w:color="auto" w:fill="FFFFFF"/>
            <w:tcMar>
              <w:top w:w="192" w:type="dxa"/>
              <w:left w:w="0" w:type="dxa"/>
              <w:bottom w:w="192" w:type="dxa"/>
              <w:right w:w="240" w:type="dxa"/>
            </w:tcMar>
            <w:hideMark/>
          </w:tcPr>
          <w:p w14:paraId="45251691" w14:textId="77777777" w:rsidR="0096251F" w:rsidRPr="00D60C83" w:rsidRDefault="0096251F" w:rsidP="0011055B">
            <w:pPr>
              <w:spacing w:line="276" w:lineRule="auto"/>
              <w:jc w:val="right"/>
              <w:rPr>
                <w:rFonts w:asciiTheme="minorHAnsi" w:hAnsiTheme="minorHAnsi" w:cstheme="minorHAnsi"/>
                <w:color w:val="323132"/>
                <w:sz w:val="22"/>
                <w:szCs w:val="22"/>
              </w:rPr>
            </w:pPr>
            <w:r w:rsidRPr="00D60C83">
              <w:rPr>
                <w:rFonts w:asciiTheme="minorHAnsi" w:hAnsiTheme="minorHAnsi" w:cstheme="minorHAnsi"/>
                <w:color w:val="323132"/>
                <w:sz w:val="22"/>
                <w:szCs w:val="22"/>
              </w:rPr>
              <w:t>-10.3%</w:t>
            </w:r>
          </w:p>
        </w:tc>
      </w:tr>
    </w:tbl>
    <w:p w14:paraId="6A0364BF" w14:textId="4278EDEB" w:rsidR="0096251F" w:rsidRPr="00D60C83" w:rsidRDefault="00664C42" w:rsidP="0011055B">
      <w:pPr>
        <w:pStyle w:val="NormalWeb"/>
        <w:shd w:val="clear" w:color="auto" w:fill="FFFFFF"/>
        <w:spacing w:before="0" w:beforeAutospacing="0" w:line="276" w:lineRule="auto"/>
        <w:ind w:left="1224"/>
        <w:rPr>
          <w:rFonts w:asciiTheme="minorHAnsi" w:hAnsiTheme="minorHAnsi" w:cstheme="minorHAnsi"/>
          <w:sz w:val="22"/>
          <w:szCs w:val="22"/>
        </w:rPr>
      </w:pPr>
      <w:sdt>
        <w:sdtPr>
          <w:rPr>
            <w:rFonts w:asciiTheme="minorHAnsi" w:hAnsiTheme="minorHAnsi" w:cstheme="minorHAnsi"/>
            <w:sz w:val="22"/>
            <w:szCs w:val="22"/>
          </w:rPr>
          <w:id w:val="-936828013"/>
          <w:citation/>
        </w:sdtPr>
        <w:sdtEndPr/>
        <w:sdtContent>
          <w:r w:rsidR="0096251F" w:rsidRPr="00D60C83">
            <w:rPr>
              <w:rFonts w:asciiTheme="minorHAnsi" w:hAnsiTheme="minorHAnsi" w:cstheme="minorHAnsi"/>
              <w:sz w:val="22"/>
              <w:szCs w:val="22"/>
            </w:rPr>
            <w:fldChar w:fldCharType="begin"/>
          </w:r>
          <w:r w:rsidR="0096251F" w:rsidRPr="00D60C83">
            <w:rPr>
              <w:rFonts w:asciiTheme="minorHAnsi" w:hAnsiTheme="minorHAnsi" w:cstheme="minorHAnsi"/>
              <w:sz w:val="22"/>
              <w:szCs w:val="22"/>
            </w:rPr>
            <w:instrText xml:space="preserve"> CITATION ONS18 \l 2057 </w:instrText>
          </w:r>
          <w:r w:rsidR="0096251F" w:rsidRPr="00D60C83">
            <w:rPr>
              <w:rFonts w:asciiTheme="minorHAnsi" w:hAnsiTheme="minorHAnsi" w:cstheme="minorHAnsi"/>
              <w:sz w:val="22"/>
              <w:szCs w:val="22"/>
            </w:rPr>
            <w:fldChar w:fldCharType="separate"/>
          </w:r>
          <w:r w:rsidR="0096251F" w:rsidRPr="00D60C83">
            <w:rPr>
              <w:rFonts w:asciiTheme="minorHAnsi" w:hAnsiTheme="minorHAnsi" w:cstheme="minorHAnsi"/>
              <w:noProof/>
              <w:sz w:val="22"/>
              <w:szCs w:val="22"/>
            </w:rPr>
            <w:t>(ONS, 2018)</w:t>
          </w:r>
          <w:r w:rsidR="0096251F" w:rsidRPr="00D60C83">
            <w:rPr>
              <w:rFonts w:asciiTheme="minorHAnsi" w:hAnsiTheme="minorHAnsi" w:cstheme="minorHAnsi"/>
              <w:sz w:val="22"/>
              <w:szCs w:val="22"/>
            </w:rPr>
            <w:fldChar w:fldCharType="end"/>
          </w:r>
        </w:sdtContent>
      </w:sdt>
    </w:p>
    <w:p w14:paraId="2F7EF0C4" w14:textId="77777777" w:rsidR="0011055B" w:rsidRDefault="0011055B" w:rsidP="0011055B">
      <w:pPr>
        <w:pStyle w:val="NormalWeb"/>
        <w:shd w:val="clear" w:color="auto" w:fill="FFFFFF"/>
        <w:spacing w:before="0" w:beforeAutospacing="0" w:line="276" w:lineRule="auto"/>
        <w:ind w:left="1224"/>
        <w:rPr>
          <w:rFonts w:asciiTheme="minorHAnsi" w:hAnsiTheme="minorHAnsi" w:cstheme="minorHAnsi"/>
          <w:sz w:val="22"/>
          <w:szCs w:val="22"/>
        </w:rPr>
      </w:pPr>
    </w:p>
    <w:p w14:paraId="32BE93ED" w14:textId="2F42C4A6" w:rsidR="000F3FB6" w:rsidRPr="00D60C83" w:rsidRDefault="006A1DC0"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Trade</w:t>
      </w:r>
    </w:p>
    <w:p w14:paraId="79938989" w14:textId="4905C386" w:rsidR="000F3FB6" w:rsidRPr="00D60C83" w:rsidRDefault="001577A5" w:rsidP="0011055B">
      <w:pPr>
        <w:pStyle w:val="NormalWeb"/>
        <w:shd w:val="clear" w:color="auto" w:fill="FFFFFF"/>
        <w:spacing w:before="0" w:beforeAutospacing="0" w:line="276" w:lineRule="auto"/>
        <w:ind w:left="1224"/>
        <w:rPr>
          <w:rFonts w:asciiTheme="minorHAnsi" w:hAnsiTheme="minorHAnsi" w:cstheme="minorHAnsi"/>
          <w:sz w:val="22"/>
          <w:szCs w:val="22"/>
        </w:rPr>
      </w:pPr>
      <w:r w:rsidRPr="00D60C83">
        <w:rPr>
          <w:rFonts w:asciiTheme="minorHAnsi" w:hAnsiTheme="minorHAnsi" w:cstheme="minorHAnsi"/>
          <w:sz w:val="22"/>
          <w:szCs w:val="22"/>
        </w:rPr>
        <w:t xml:space="preserve">A huge reliance on the EU can be seen for the UK when examining general trade at almost 35% for the top 5 EU countries.  The single biggest trade country is the USA at 13.2%.  </w:t>
      </w:r>
    </w:p>
    <w:p w14:paraId="7D2AB4A8" w14:textId="18703C52" w:rsidR="001577A5" w:rsidRPr="00D60C83" w:rsidRDefault="001577A5" w:rsidP="0011055B">
      <w:pPr>
        <w:pStyle w:val="NormalWeb"/>
        <w:shd w:val="clear" w:color="auto" w:fill="FFFFFF"/>
        <w:spacing w:before="0" w:beforeAutospacing="0" w:line="276" w:lineRule="auto"/>
        <w:ind w:left="1224"/>
        <w:rPr>
          <w:rFonts w:asciiTheme="minorHAnsi" w:hAnsiTheme="minorHAnsi" w:cstheme="minorHAnsi"/>
          <w:sz w:val="22"/>
          <w:szCs w:val="22"/>
        </w:rPr>
      </w:pPr>
      <w:r w:rsidRPr="00D60C83">
        <w:rPr>
          <w:rFonts w:asciiTheme="minorHAnsi" w:hAnsiTheme="minorHAnsi" w:cstheme="minorHAnsi"/>
          <w:sz w:val="22"/>
          <w:szCs w:val="22"/>
        </w:rPr>
        <w:t>This underlines the importance of gaining clarity on EU trade conditions after Brexit.</w:t>
      </w:r>
    </w:p>
    <w:p w14:paraId="7ACC54DC" w14:textId="0625F779" w:rsidR="006A1DC0" w:rsidRPr="00D60C83" w:rsidRDefault="000E3DCA" w:rsidP="0011055B">
      <w:pPr>
        <w:pStyle w:val="NormalWeb"/>
        <w:shd w:val="clear" w:color="auto" w:fill="FFFFFF"/>
        <w:spacing w:before="0" w:beforeAutospacing="0" w:line="276" w:lineRule="auto"/>
        <w:ind w:left="1224"/>
        <w:rPr>
          <w:rFonts w:asciiTheme="minorHAnsi" w:hAnsiTheme="minorHAnsi" w:cstheme="minorHAnsi"/>
          <w:sz w:val="22"/>
          <w:szCs w:val="22"/>
        </w:rPr>
      </w:pPr>
      <w:r w:rsidRPr="00D60C83">
        <w:rPr>
          <w:rFonts w:asciiTheme="minorHAnsi" w:hAnsiTheme="minorHAnsi" w:cstheme="minorHAnsi"/>
          <w:noProof/>
        </w:rPr>
        <w:drawing>
          <wp:inline distT="0" distB="0" distL="0" distR="0" wp14:anchorId="752250CC" wp14:editId="408286AA">
            <wp:extent cx="5334000" cy="38954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350256" cy="3907293"/>
                    </a:xfrm>
                    <a:prstGeom prst="rect">
                      <a:avLst/>
                    </a:prstGeom>
                  </pic:spPr>
                </pic:pic>
              </a:graphicData>
            </a:graphic>
          </wp:inline>
        </w:drawing>
      </w:r>
    </w:p>
    <w:p w14:paraId="2A9DB149" w14:textId="34FF4012" w:rsidR="000E3DCA" w:rsidRPr="00D60C83" w:rsidRDefault="000E3DCA" w:rsidP="0011055B">
      <w:pPr>
        <w:pStyle w:val="Caption"/>
        <w:spacing w:line="276" w:lineRule="auto"/>
        <w:ind w:left="3024" w:firstLine="576"/>
        <w:rPr>
          <w:rFonts w:asciiTheme="minorHAnsi" w:hAnsiTheme="minorHAnsi" w:cstheme="minorHAnsi"/>
          <w:noProof/>
        </w:rPr>
      </w:pPr>
      <w:r w:rsidRPr="00D60C83">
        <w:rPr>
          <w:rFonts w:asciiTheme="minorHAnsi" w:hAnsiTheme="minorHAnsi" w:cstheme="minorHAnsi"/>
        </w:rPr>
        <w:t xml:space="preserve">Figure </w:t>
      </w:r>
      <w:r w:rsidRPr="00D60C83">
        <w:rPr>
          <w:rFonts w:asciiTheme="minorHAnsi" w:hAnsiTheme="minorHAnsi" w:cstheme="minorHAnsi"/>
        </w:rPr>
        <w:fldChar w:fldCharType="begin"/>
      </w:r>
      <w:r w:rsidRPr="00D60C83">
        <w:rPr>
          <w:rFonts w:asciiTheme="minorHAnsi" w:hAnsiTheme="minorHAnsi" w:cstheme="minorHAnsi"/>
        </w:rPr>
        <w:instrText xml:space="preserve"> SEQ Figure \* ARABIC </w:instrText>
      </w:r>
      <w:r w:rsidRPr="00D60C83">
        <w:rPr>
          <w:rFonts w:asciiTheme="minorHAnsi" w:hAnsiTheme="minorHAnsi" w:cstheme="minorHAnsi"/>
        </w:rPr>
        <w:fldChar w:fldCharType="separate"/>
      </w:r>
      <w:r w:rsidR="00E475F1">
        <w:rPr>
          <w:rFonts w:asciiTheme="minorHAnsi" w:hAnsiTheme="minorHAnsi" w:cstheme="minorHAnsi"/>
          <w:noProof/>
        </w:rPr>
        <w:t>1</w:t>
      </w:r>
      <w:r w:rsidRPr="00D60C83">
        <w:rPr>
          <w:rFonts w:asciiTheme="minorHAnsi" w:hAnsiTheme="minorHAnsi" w:cstheme="minorHAnsi"/>
        </w:rPr>
        <w:fldChar w:fldCharType="end"/>
      </w:r>
      <w:r w:rsidRPr="00D60C83">
        <w:rPr>
          <w:rFonts w:asciiTheme="minorHAnsi" w:hAnsiTheme="minorHAnsi" w:cstheme="minorHAnsi"/>
        </w:rPr>
        <w:t>- UK Main Export Partners</w:t>
      </w:r>
      <w:r w:rsidRPr="00D60C83">
        <w:rPr>
          <w:rFonts w:asciiTheme="minorHAnsi" w:hAnsiTheme="minorHAnsi" w:cstheme="minorHAnsi"/>
          <w:noProof/>
        </w:rPr>
        <w:t xml:space="preserve"> 2017</w:t>
      </w:r>
      <w:sdt>
        <w:sdtPr>
          <w:rPr>
            <w:rFonts w:asciiTheme="minorHAnsi" w:hAnsiTheme="minorHAnsi" w:cstheme="minorHAnsi"/>
            <w:noProof/>
          </w:rPr>
          <w:id w:val="-816799084"/>
          <w:citation/>
        </w:sdtPr>
        <w:sdtEndPr/>
        <w:sdtContent>
          <w:r w:rsidRPr="00D60C83">
            <w:rPr>
              <w:rFonts w:asciiTheme="minorHAnsi" w:hAnsiTheme="minorHAnsi" w:cstheme="minorHAnsi"/>
              <w:noProof/>
            </w:rPr>
            <w:fldChar w:fldCharType="begin"/>
          </w:r>
          <w:r w:rsidRPr="00D60C83">
            <w:rPr>
              <w:rFonts w:asciiTheme="minorHAnsi" w:hAnsiTheme="minorHAnsi" w:cstheme="minorHAnsi"/>
              <w:noProof/>
            </w:rPr>
            <w:instrText xml:space="preserve"> CITATION The17 \l 2057 </w:instrText>
          </w:r>
          <w:r w:rsidRPr="00D60C83">
            <w:rPr>
              <w:rFonts w:asciiTheme="minorHAnsi" w:hAnsiTheme="minorHAnsi" w:cstheme="minorHAnsi"/>
              <w:noProof/>
            </w:rPr>
            <w:fldChar w:fldCharType="separate"/>
          </w:r>
          <w:r w:rsidRPr="00D60C83">
            <w:rPr>
              <w:rFonts w:asciiTheme="minorHAnsi" w:hAnsiTheme="minorHAnsi" w:cstheme="minorHAnsi"/>
              <w:noProof/>
            </w:rPr>
            <w:t xml:space="preserve"> (Anon., 2017)</w:t>
          </w:r>
          <w:r w:rsidRPr="00D60C83">
            <w:rPr>
              <w:rFonts w:asciiTheme="minorHAnsi" w:hAnsiTheme="minorHAnsi" w:cstheme="minorHAnsi"/>
              <w:noProof/>
            </w:rPr>
            <w:fldChar w:fldCharType="end"/>
          </w:r>
        </w:sdtContent>
      </w:sdt>
    </w:p>
    <w:p w14:paraId="71CA42E6" w14:textId="77777777" w:rsidR="000E3DCA" w:rsidRPr="00D60C83" w:rsidRDefault="000E3DCA" w:rsidP="0011055B">
      <w:pPr>
        <w:pStyle w:val="NormalWeb"/>
        <w:shd w:val="clear" w:color="auto" w:fill="FFFFFF"/>
        <w:spacing w:before="0" w:beforeAutospacing="0" w:line="276" w:lineRule="auto"/>
        <w:ind w:left="360"/>
        <w:rPr>
          <w:rFonts w:asciiTheme="minorHAnsi" w:hAnsiTheme="minorHAnsi" w:cstheme="minorHAnsi"/>
          <w:sz w:val="22"/>
          <w:szCs w:val="22"/>
        </w:rPr>
      </w:pPr>
    </w:p>
    <w:p w14:paraId="629A8A38" w14:textId="77777777" w:rsidR="00287F6E" w:rsidRPr="00D60C83" w:rsidRDefault="00287F6E" w:rsidP="0011055B">
      <w:pPr>
        <w:spacing w:after="160" w:line="276" w:lineRule="auto"/>
        <w:rPr>
          <w:rFonts w:asciiTheme="minorHAnsi" w:hAnsiTheme="minorHAnsi" w:cstheme="minorHAnsi"/>
          <w:sz w:val="22"/>
          <w:szCs w:val="22"/>
        </w:rPr>
      </w:pPr>
      <w:r w:rsidRPr="00D60C83">
        <w:rPr>
          <w:rFonts w:asciiTheme="minorHAnsi" w:hAnsiTheme="minorHAnsi" w:cstheme="minorHAnsi"/>
          <w:sz w:val="22"/>
          <w:szCs w:val="22"/>
        </w:rPr>
        <w:br w:type="page"/>
      </w:r>
    </w:p>
    <w:p w14:paraId="04550E7D" w14:textId="6D61F901" w:rsidR="000E3DCA" w:rsidRPr="00D60C83" w:rsidRDefault="000E3DCA" w:rsidP="0011055B">
      <w:pPr>
        <w:pStyle w:val="NormalWeb"/>
        <w:numPr>
          <w:ilvl w:val="0"/>
          <w:numId w:val="5"/>
        </w:numPr>
        <w:shd w:val="clear" w:color="auto" w:fill="FFFFFF"/>
        <w:spacing w:before="0" w:beforeAutospacing="0" w:line="276" w:lineRule="auto"/>
        <w:rPr>
          <w:rStyle w:val="BookTitle"/>
        </w:rPr>
      </w:pPr>
      <w:r w:rsidRPr="00D60C83">
        <w:rPr>
          <w:rStyle w:val="BookTitle"/>
        </w:rPr>
        <w:lastRenderedPageBreak/>
        <w:t>Analysis</w:t>
      </w:r>
    </w:p>
    <w:p w14:paraId="2F6AD328" w14:textId="666390C9" w:rsidR="0088018B" w:rsidRPr="00D60C83" w:rsidRDefault="0088018B"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SWOT</w:t>
      </w:r>
    </w:p>
    <w:p w14:paraId="1B111EC2" w14:textId="5788D035" w:rsidR="00287F6E" w:rsidRPr="00D60C83" w:rsidRDefault="00287F6E" w:rsidP="0011055B">
      <w:pPr>
        <w:pStyle w:val="Caption"/>
        <w:keepNext/>
        <w:spacing w:line="276" w:lineRule="auto"/>
        <w:jc w:val="center"/>
        <w:rPr>
          <w:rFonts w:asciiTheme="minorHAnsi" w:hAnsiTheme="minorHAnsi" w:cstheme="minorHAnsi"/>
        </w:rPr>
      </w:pPr>
      <w:r w:rsidRPr="00D60C83">
        <w:rPr>
          <w:rFonts w:asciiTheme="minorHAnsi" w:hAnsiTheme="minorHAnsi" w:cstheme="minorHAnsi"/>
        </w:rPr>
        <w:t xml:space="preserve">Table </w:t>
      </w:r>
      <w:r w:rsidRPr="00D60C83">
        <w:rPr>
          <w:rFonts w:asciiTheme="minorHAnsi" w:hAnsiTheme="minorHAnsi" w:cstheme="minorHAnsi"/>
        </w:rPr>
        <w:fldChar w:fldCharType="begin"/>
      </w:r>
      <w:r w:rsidRPr="00D60C83">
        <w:rPr>
          <w:rFonts w:asciiTheme="minorHAnsi" w:hAnsiTheme="minorHAnsi" w:cstheme="minorHAnsi"/>
        </w:rPr>
        <w:instrText xml:space="preserve"> SEQ Table \* ARABIC </w:instrText>
      </w:r>
      <w:r w:rsidRPr="00D60C83">
        <w:rPr>
          <w:rFonts w:asciiTheme="minorHAnsi" w:hAnsiTheme="minorHAnsi" w:cstheme="minorHAnsi"/>
        </w:rPr>
        <w:fldChar w:fldCharType="separate"/>
      </w:r>
      <w:r w:rsidR="0096251F" w:rsidRPr="00D60C83">
        <w:rPr>
          <w:rFonts w:asciiTheme="minorHAnsi" w:hAnsiTheme="minorHAnsi" w:cstheme="minorHAnsi"/>
          <w:noProof/>
        </w:rPr>
        <w:t>2</w:t>
      </w:r>
      <w:r w:rsidRPr="00D60C83">
        <w:rPr>
          <w:rFonts w:asciiTheme="minorHAnsi" w:hAnsiTheme="minorHAnsi" w:cstheme="minorHAnsi"/>
        </w:rPr>
        <w:fldChar w:fldCharType="end"/>
      </w:r>
      <w:r w:rsidRPr="00D60C83">
        <w:rPr>
          <w:rFonts w:asciiTheme="minorHAnsi" w:hAnsiTheme="minorHAnsi" w:cstheme="minorHAnsi"/>
        </w:rPr>
        <w:t>- SWOT Analysis for JCB</w:t>
      </w:r>
    </w:p>
    <w:tbl>
      <w:tblPr>
        <w:tblStyle w:val="GridTable7Colorful"/>
        <w:tblW w:w="0" w:type="auto"/>
        <w:tblLook w:val="04A0" w:firstRow="1" w:lastRow="0" w:firstColumn="1" w:lastColumn="0" w:noHBand="0" w:noVBand="1"/>
      </w:tblPr>
      <w:tblGrid>
        <w:gridCol w:w="3249"/>
        <w:gridCol w:w="3250"/>
        <w:gridCol w:w="3250"/>
      </w:tblGrid>
      <w:tr w:rsidR="002446B5" w:rsidRPr="00D60C83" w14:paraId="50792899" w14:textId="77777777" w:rsidTr="002446B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249" w:type="dxa"/>
            <w:tcBorders>
              <w:bottom w:val="single" w:sz="4" w:space="0" w:color="auto"/>
              <w:right w:val="single" w:sz="4" w:space="0" w:color="auto"/>
            </w:tcBorders>
          </w:tcPr>
          <w:p w14:paraId="76E01E66" w14:textId="24B69B11" w:rsidR="002446B5" w:rsidRPr="00D60C83" w:rsidRDefault="00287F6E" w:rsidP="0011055B">
            <w:pPr>
              <w:pStyle w:val="NormalWeb"/>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SWOT</w:t>
            </w:r>
          </w:p>
        </w:tc>
        <w:tc>
          <w:tcPr>
            <w:tcW w:w="3250" w:type="dxa"/>
            <w:tcBorders>
              <w:left w:val="single" w:sz="4" w:space="0" w:color="auto"/>
              <w:right w:val="single" w:sz="4" w:space="0" w:color="auto"/>
            </w:tcBorders>
          </w:tcPr>
          <w:p w14:paraId="0EFB1E41" w14:textId="37D2F56B" w:rsidR="002446B5" w:rsidRPr="00D60C83" w:rsidRDefault="002446B5" w:rsidP="0011055B">
            <w:pPr>
              <w:pStyle w:val="NormalWeb"/>
              <w:spacing w:before="0" w:beforeAutospacing="0"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Strengths</w:t>
            </w:r>
          </w:p>
        </w:tc>
        <w:tc>
          <w:tcPr>
            <w:tcW w:w="3250" w:type="dxa"/>
            <w:tcBorders>
              <w:left w:val="single" w:sz="4" w:space="0" w:color="auto"/>
            </w:tcBorders>
          </w:tcPr>
          <w:p w14:paraId="52C4518B" w14:textId="1B568593" w:rsidR="002446B5" w:rsidRPr="00D60C83" w:rsidRDefault="002446B5" w:rsidP="0011055B">
            <w:pPr>
              <w:pStyle w:val="NormalWeb"/>
              <w:spacing w:before="0" w:beforeAutospacing="0" w:line="276"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Weaknesses</w:t>
            </w:r>
          </w:p>
        </w:tc>
      </w:tr>
      <w:tr w:rsidR="002446B5" w:rsidRPr="00D60C83" w14:paraId="48282239" w14:textId="77777777" w:rsidTr="002446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tcBorders>
              <w:top w:val="single" w:sz="4" w:space="0" w:color="auto"/>
              <w:right w:val="single" w:sz="4" w:space="0" w:color="auto"/>
            </w:tcBorders>
          </w:tcPr>
          <w:p w14:paraId="53174D06" w14:textId="56BA27AF" w:rsidR="002446B5" w:rsidRPr="00D60C83" w:rsidRDefault="002446B5" w:rsidP="0011055B">
            <w:pPr>
              <w:pStyle w:val="NormalWeb"/>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Internal Factors</w:t>
            </w:r>
          </w:p>
        </w:tc>
        <w:tc>
          <w:tcPr>
            <w:tcW w:w="3250" w:type="dxa"/>
            <w:tcBorders>
              <w:left w:val="single" w:sz="4" w:space="0" w:color="auto"/>
            </w:tcBorders>
          </w:tcPr>
          <w:p w14:paraId="6109ED88" w14:textId="77777777" w:rsidR="002446B5"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International presence &amp; dealer support network</w:t>
            </w:r>
          </w:p>
          <w:p w14:paraId="4218445F" w14:textId="77777777"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Strong reputation in construction</w:t>
            </w:r>
          </w:p>
          <w:p w14:paraId="55E04DBD" w14:textId="77777777"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Diverse product line</w:t>
            </w:r>
          </w:p>
          <w:p w14:paraId="3FF2B80C" w14:textId="6027E82A"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 xml:space="preserve">Strong YoY market increases </w:t>
            </w:r>
          </w:p>
        </w:tc>
        <w:tc>
          <w:tcPr>
            <w:tcW w:w="3250" w:type="dxa"/>
          </w:tcPr>
          <w:p w14:paraId="39189AB5" w14:textId="77777777" w:rsidR="002446B5"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Weak presence outside construction – lack of market diversification</w:t>
            </w:r>
          </w:p>
          <w:p w14:paraId="51AA1F8F" w14:textId="77777777"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Increasing competition (# of competitors &amp; pricing)</w:t>
            </w:r>
          </w:p>
          <w:p w14:paraId="5D8B682B" w14:textId="2E9FAF2A"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 xml:space="preserve">Sales are weak outside European market </w:t>
            </w:r>
          </w:p>
        </w:tc>
      </w:tr>
      <w:tr w:rsidR="002446B5" w:rsidRPr="00D60C83" w14:paraId="60B39740" w14:textId="77777777" w:rsidTr="002446B5">
        <w:tc>
          <w:tcPr>
            <w:cnfStyle w:val="001000000000" w:firstRow="0" w:lastRow="0" w:firstColumn="1" w:lastColumn="0" w:oddVBand="0" w:evenVBand="0" w:oddHBand="0" w:evenHBand="0" w:firstRowFirstColumn="0" w:firstRowLastColumn="0" w:lastRowFirstColumn="0" w:lastRowLastColumn="0"/>
            <w:tcW w:w="3249" w:type="dxa"/>
          </w:tcPr>
          <w:p w14:paraId="49AFFBB7" w14:textId="77777777" w:rsidR="002446B5" w:rsidRPr="00D60C83" w:rsidRDefault="002446B5" w:rsidP="0011055B">
            <w:pPr>
              <w:pStyle w:val="NormalWeb"/>
              <w:spacing w:before="0" w:beforeAutospacing="0" w:line="276" w:lineRule="auto"/>
              <w:rPr>
                <w:rFonts w:asciiTheme="minorHAnsi" w:hAnsiTheme="minorHAnsi" w:cstheme="minorHAnsi"/>
                <w:sz w:val="22"/>
                <w:szCs w:val="22"/>
              </w:rPr>
            </w:pPr>
          </w:p>
        </w:tc>
        <w:tc>
          <w:tcPr>
            <w:tcW w:w="3250" w:type="dxa"/>
          </w:tcPr>
          <w:p w14:paraId="7F5871F2" w14:textId="3DE7EF0F" w:rsidR="002446B5" w:rsidRPr="00D60C83" w:rsidRDefault="002446B5" w:rsidP="0011055B">
            <w:pPr>
              <w:pStyle w:val="NormalWeb"/>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D60C83">
              <w:rPr>
                <w:rFonts w:asciiTheme="minorHAnsi" w:hAnsiTheme="minorHAnsi" w:cstheme="minorHAnsi"/>
                <w:b/>
                <w:sz w:val="22"/>
                <w:szCs w:val="22"/>
              </w:rPr>
              <w:t>Opportunities</w:t>
            </w:r>
          </w:p>
        </w:tc>
        <w:tc>
          <w:tcPr>
            <w:tcW w:w="3250" w:type="dxa"/>
          </w:tcPr>
          <w:p w14:paraId="7F184247" w14:textId="4BB41F51" w:rsidR="002446B5" w:rsidRPr="00D60C83" w:rsidRDefault="002446B5" w:rsidP="0011055B">
            <w:pPr>
              <w:pStyle w:val="NormalWeb"/>
              <w:spacing w:before="0" w:beforeAutospacing="0"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D60C83">
              <w:rPr>
                <w:rFonts w:asciiTheme="minorHAnsi" w:hAnsiTheme="minorHAnsi" w:cstheme="minorHAnsi"/>
                <w:b/>
                <w:sz w:val="22"/>
                <w:szCs w:val="22"/>
              </w:rPr>
              <w:t>Threats</w:t>
            </w:r>
          </w:p>
        </w:tc>
      </w:tr>
      <w:tr w:rsidR="002446B5" w:rsidRPr="00D60C83" w14:paraId="5F4B5FF3" w14:textId="77777777" w:rsidTr="002446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49" w:type="dxa"/>
          </w:tcPr>
          <w:p w14:paraId="00AEAFD1" w14:textId="77777777" w:rsidR="002446B5" w:rsidRPr="00D60C83" w:rsidRDefault="002446B5" w:rsidP="0011055B">
            <w:pPr>
              <w:pStyle w:val="NormalWeb"/>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External Factors</w:t>
            </w:r>
          </w:p>
        </w:tc>
        <w:tc>
          <w:tcPr>
            <w:tcW w:w="3250" w:type="dxa"/>
          </w:tcPr>
          <w:p w14:paraId="7EE48D27" w14:textId="49656A4D" w:rsidR="002446B5"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Continuous growth in India</w:t>
            </w:r>
          </w:p>
          <w:p w14:paraId="52ABD76D" w14:textId="7ADB3EE9" w:rsidR="0088018B" w:rsidRPr="00D60C83" w:rsidRDefault="0088018B"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Expansion of manufacture in overseas markets</w:t>
            </w:r>
          </w:p>
          <w:p w14:paraId="52EFB370" w14:textId="77777777" w:rsidR="00D8243C" w:rsidRPr="00D60C83" w:rsidRDefault="0088018B"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Market diversification – eg Military, logistics, …</w:t>
            </w:r>
          </w:p>
          <w:p w14:paraId="489BA4EA" w14:textId="78500817" w:rsidR="0088018B" w:rsidRPr="00D60C83" w:rsidRDefault="0088018B"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Wide product range and readiness to match to needs</w:t>
            </w:r>
          </w:p>
        </w:tc>
        <w:tc>
          <w:tcPr>
            <w:tcW w:w="3250" w:type="dxa"/>
          </w:tcPr>
          <w:p w14:paraId="545EBE5B" w14:textId="77777777" w:rsidR="002446B5"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Trade agreement uncertainty with EU</w:t>
            </w:r>
          </w:p>
          <w:p w14:paraId="3E1C6A26" w14:textId="77777777"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US trade agreement uncertainty</w:t>
            </w:r>
          </w:p>
          <w:p w14:paraId="344FBB99" w14:textId="77777777" w:rsidR="00D8243C" w:rsidRPr="00D60C83" w:rsidRDefault="00D8243C"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Aggressive pricing by eastern competitors</w:t>
            </w:r>
            <w:r w:rsidR="0088018B" w:rsidRPr="00D60C83">
              <w:rPr>
                <w:rFonts w:asciiTheme="minorHAnsi" w:hAnsiTheme="minorHAnsi" w:cstheme="minorHAnsi"/>
                <w:sz w:val="22"/>
                <w:szCs w:val="22"/>
              </w:rPr>
              <w:t xml:space="preserve"> and ongoing competition with major competitors (CAT, Komatsu etc.)</w:t>
            </w:r>
          </w:p>
          <w:p w14:paraId="1612837F" w14:textId="564CBB98" w:rsidR="0088018B" w:rsidRPr="00D60C83" w:rsidRDefault="0088018B" w:rsidP="0011055B">
            <w:pPr>
              <w:pStyle w:val="NormalWeb"/>
              <w:spacing w:before="0" w:beforeAutospacing="0"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r w:rsidRPr="00D60C83">
              <w:rPr>
                <w:rFonts w:asciiTheme="minorHAnsi" w:hAnsiTheme="minorHAnsi" w:cstheme="minorHAnsi"/>
                <w:sz w:val="22"/>
                <w:szCs w:val="22"/>
              </w:rPr>
              <w:t>Dependency on construction and the changing distribution in markets.</w:t>
            </w:r>
          </w:p>
        </w:tc>
      </w:tr>
    </w:tbl>
    <w:p w14:paraId="03A6A235" w14:textId="5D2C9B00" w:rsidR="000E3DCA" w:rsidRPr="00D60C83" w:rsidRDefault="000E3DCA" w:rsidP="0011055B">
      <w:pPr>
        <w:pStyle w:val="NormalWeb"/>
        <w:shd w:val="clear" w:color="auto" w:fill="FFFFFF"/>
        <w:spacing w:before="0" w:beforeAutospacing="0" w:line="276" w:lineRule="auto"/>
        <w:ind w:left="360"/>
        <w:rPr>
          <w:rFonts w:asciiTheme="minorHAnsi" w:hAnsiTheme="minorHAnsi" w:cstheme="minorHAnsi"/>
          <w:sz w:val="22"/>
          <w:szCs w:val="22"/>
        </w:rPr>
      </w:pPr>
    </w:p>
    <w:p w14:paraId="13966CF9" w14:textId="77777777" w:rsidR="00287F6E" w:rsidRPr="00D60C83" w:rsidRDefault="00287F6E" w:rsidP="0011055B">
      <w:pPr>
        <w:spacing w:after="160" w:line="276" w:lineRule="auto"/>
        <w:rPr>
          <w:rFonts w:asciiTheme="minorHAnsi" w:hAnsiTheme="minorHAnsi" w:cstheme="minorHAnsi"/>
          <w:sz w:val="22"/>
          <w:szCs w:val="22"/>
        </w:rPr>
      </w:pPr>
      <w:r w:rsidRPr="00D60C83">
        <w:rPr>
          <w:rFonts w:asciiTheme="minorHAnsi" w:hAnsiTheme="minorHAnsi" w:cstheme="minorHAnsi"/>
          <w:sz w:val="22"/>
          <w:szCs w:val="22"/>
        </w:rPr>
        <w:br w:type="page"/>
      </w:r>
    </w:p>
    <w:p w14:paraId="2945A8B3" w14:textId="5DB56953" w:rsidR="000E3DCA" w:rsidRPr="00D60C83" w:rsidRDefault="0088018B"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lastRenderedPageBreak/>
        <w:t>TOWS</w:t>
      </w:r>
    </w:p>
    <w:p w14:paraId="20DFADFF" w14:textId="5FDC9DF2" w:rsidR="00287F6E" w:rsidRPr="00D60C83" w:rsidRDefault="00287F6E" w:rsidP="0011055B">
      <w:pPr>
        <w:pStyle w:val="Caption"/>
        <w:keepNext/>
        <w:spacing w:line="276" w:lineRule="auto"/>
        <w:jc w:val="center"/>
        <w:rPr>
          <w:rFonts w:asciiTheme="minorHAnsi" w:hAnsiTheme="minorHAnsi" w:cstheme="minorHAnsi"/>
        </w:rPr>
      </w:pPr>
      <w:r w:rsidRPr="00D60C83">
        <w:rPr>
          <w:rFonts w:asciiTheme="minorHAnsi" w:hAnsiTheme="minorHAnsi" w:cstheme="minorHAnsi"/>
        </w:rPr>
        <w:t xml:space="preserve">Table </w:t>
      </w:r>
      <w:r w:rsidRPr="00D60C83">
        <w:rPr>
          <w:rFonts w:asciiTheme="minorHAnsi" w:hAnsiTheme="minorHAnsi" w:cstheme="minorHAnsi"/>
        </w:rPr>
        <w:fldChar w:fldCharType="begin"/>
      </w:r>
      <w:r w:rsidRPr="00D60C83">
        <w:rPr>
          <w:rFonts w:asciiTheme="minorHAnsi" w:hAnsiTheme="minorHAnsi" w:cstheme="minorHAnsi"/>
        </w:rPr>
        <w:instrText xml:space="preserve"> SEQ Table \* ARABIC </w:instrText>
      </w:r>
      <w:r w:rsidRPr="00D60C83">
        <w:rPr>
          <w:rFonts w:asciiTheme="minorHAnsi" w:hAnsiTheme="minorHAnsi" w:cstheme="minorHAnsi"/>
        </w:rPr>
        <w:fldChar w:fldCharType="separate"/>
      </w:r>
      <w:r w:rsidR="0096251F" w:rsidRPr="00D60C83">
        <w:rPr>
          <w:rFonts w:asciiTheme="minorHAnsi" w:hAnsiTheme="minorHAnsi" w:cstheme="minorHAnsi"/>
          <w:noProof/>
        </w:rPr>
        <w:t>3</w:t>
      </w:r>
      <w:r w:rsidRPr="00D60C83">
        <w:rPr>
          <w:rFonts w:asciiTheme="minorHAnsi" w:hAnsiTheme="minorHAnsi" w:cstheme="minorHAnsi"/>
        </w:rPr>
        <w:fldChar w:fldCharType="end"/>
      </w:r>
      <w:r w:rsidRPr="00D60C83">
        <w:rPr>
          <w:rFonts w:asciiTheme="minorHAnsi" w:hAnsiTheme="minorHAnsi" w:cstheme="minorHAnsi"/>
        </w:rPr>
        <w:t xml:space="preserve"> - TOWS Analysis for JCB</w:t>
      </w:r>
    </w:p>
    <w:tbl>
      <w:tblPr>
        <w:tblStyle w:val="TableGrid"/>
        <w:tblW w:w="9889" w:type="dxa"/>
        <w:tblInd w:w="-113" w:type="dxa"/>
        <w:tblLook w:val="04A0" w:firstRow="1" w:lastRow="0" w:firstColumn="1" w:lastColumn="0" w:noHBand="0" w:noVBand="1"/>
      </w:tblPr>
      <w:tblGrid>
        <w:gridCol w:w="539"/>
        <w:gridCol w:w="2573"/>
        <w:gridCol w:w="3386"/>
        <w:gridCol w:w="3391"/>
      </w:tblGrid>
      <w:tr w:rsidR="00287F6E" w:rsidRPr="00D60C83" w14:paraId="272CBD86" w14:textId="77777777" w:rsidTr="00287F6E">
        <w:tc>
          <w:tcPr>
            <w:tcW w:w="498" w:type="dxa"/>
          </w:tcPr>
          <w:p w14:paraId="3C55E7D9" w14:textId="77777777" w:rsidR="00287F6E" w:rsidRPr="00D60C83" w:rsidRDefault="00287F6E" w:rsidP="0011055B">
            <w:pPr>
              <w:pStyle w:val="NormalWeb"/>
              <w:spacing w:before="0" w:beforeAutospacing="0" w:line="276" w:lineRule="auto"/>
              <w:rPr>
                <w:rFonts w:asciiTheme="minorHAnsi" w:hAnsiTheme="minorHAnsi" w:cstheme="minorHAnsi"/>
                <w:sz w:val="22"/>
                <w:szCs w:val="22"/>
              </w:rPr>
            </w:pPr>
          </w:p>
        </w:tc>
        <w:tc>
          <w:tcPr>
            <w:tcW w:w="2587" w:type="dxa"/>
          </w:tcPr>
          <w:p w14:paraId="2096672E" w14:textId="57D25D66" w:rsidR="00287F6E" w:rsidRPr="00D60C83" w:rsidRDefault="00287F6E" w:rsidP="0011055B">
            <w:pPr>
              <w:pStyle w:val="NormalWeb"/>
              <w:spacing w:before="0" w:beforeAutospacing="0" w:line="276" w:lineRule="auto"/>
              <w:rPr>
                <w:rFonts w:asciiTheme="minorHAnsi" w:hAnsiTheme="minorHAnsi" w:cstheme="minorHAnsi"/>
                <w:sz w:val="22"/>
                <w:szCs w:val="22"/>
              </w:rPr>
            </w:pPr>
          </w:p>
        </w:tc>
        <w:tc>
          <w:tcPr>
            <w:tcW w:w="3402" w:type="dxa"/>
            <w:shd w:val="clear" w:color="auto" w:fill="BFBFBF" w:themeFill="background1" w:themeFillShade="BF"/>
          </w:tcPr>
          <w:p w14:paraId="45010F8D" w14:textId="6993D016" w:rsidR="00287F6E" w:rsidRPr="00D60C83" w:rsidRDefault="00287F6E" w:rsidP="0011055B">
            <w:pPr>
              <w:pStyle w:val="NormalWeb"/>
              <w:spacing w:before="0" w:beforeAutospacing="0" w:line="276" w:lineRule="auto"/>
              <w:jc w:val="center"/>
              <w:rPr>
                <w:rFonts w:asciiTheme="minorHAnsi" w:hAnsiTheme="minorHAnsi" w:cstheme="minorHAnsi"/>
                <w:sz w:val="22"/>
                <w:szCs w:val="22"/>
              </w:rPr>
            </w:pPr>
            <w:r w:rsidRPr="00D60C83">
              <w:rPr>
                <w:rFonts w:asciiTheme="minorHAnsi" w:hAnsiTheme="minorHAnsi" w:cstheme="minorHAnsi"/>
                <w:sz w:val="22"/>
                <w:szCs w:val="22"/>
              </w:rPr>
              <w:t>Opportunities</w:t>
            </w:r>
          </w:p>
        </w:tc>
        <w:tc>
          <w:tcPr>
            <w:tcW w:w="3402" w:type="dxa"/>
            <w:shd w:val="clear" w:color="auto" w:fill="BFBFBF" w:themeFill="background1" w:themeFillShade="BF"/>
          </w:tcPr>
          <w:p w14:paraId="54BE64C5" w14:textId="304ADAF7" w:rsidR="00287F6E" w:rsidRPr="00D60C83" w:rsidRDefault="00287F6E" w:rsidP="0011055B">
            <w:pPr>
              <w:pStyle w:val="NormalWeb"/>
              <w:spacing w:before="0" w:beforeAutospacing="0" w:line="276" w:lineRule="auto"/>
              <w:jc w:val="center"/>
              <w:rPr>
                <w:rFonts w:asciiTheme="minorHAnsi" w:hAnsiTheme="minorHAnsi" w:cstheme="minorHAnsi"/>
                <w:sz w:val="22"/>
                <w:szCs w:val="22"/>
              </w:rPr>
            </w:pPr>
            <w:r w:rsidRPr="00D60C83">
              <w:rPr>
                <w:rFonts w:asciiTheme="minorHAnsi" w:hAnsiTheme="minorHAnsi" w:cstheme="minorHAnsi"/>
                <w:sz w:val="22"/>
                <w:szCs w:val="22"/>
              </w:rPr>
              <w:t>Threats</w:t>
            </w:r>
          </w:p>
        </w:tc>
      </w:tr>
      <w:tr w:rsidR="00287F6E" w:rsidRPr="00D60C83" w14:paraId="4C9EFD3F" w14:textId="77777777" w:rsidTr="00287F6E">
        <w:tc>
          <w:tcPr>
            <w:tcW w:w="498" w:type="dxa"/>
          </w:tcPr>
          <w:p w14:paraId="759599BA" w14:textId="77777777" w:rsidR="00287F6E" w:rsidRPr="00D60C83" w:rsidRDefault="00287F6E" w:rsidP="0011055B">
            <w:pPr>
              <w:pStyle w:val="NormalWeb"/>
              <w:spacing w:before="0" w:beforeAutospacing="0" w:line="276" w:lineRule="auto"/>
              <w:rPr>
                <w:rFonts w:asciiTheme="minorHAnsi" w:hAnsiTheme="minorHAnsi" w:cstheme="minorHAnsi"/>
                <w:sz w:val="22"/>
                <w:szCs w:val="22"/>
              </w:rPr>
            </w:pPr>
          </w:p>
        </w:tc>
        <w:tc>
          <w:tcPr>
            <w:tcW w:w="2587" w:type="dxa"/>
          </w:tcPr>
          <w:p w14:paraId="69011F91" w14:textId="1BCBD420" w:rsidR="00287F6E" w:rsidRPr="00D60C83" w:rsidRDefault="00287F6E" w:rsidP="0011055B">
            <w:pPr>
              <w:pStyle w:val="NormalWeb"/>
              <w:spacing w:before="0" w:beforeAutospacing="0" w:line="276" w:lineRule="auto"/>
              <w:rPr>
                <w:rFonts w:asciiTheme="minorHAnsi" w:hAnsiTheme="minorHAnsi" w:cstheme="minorHAnsi"/>
                <w:sz w:val="22"/>
                <w:szCs w:val="22"/>
              </w:rPr>
            </w:pPr>
          </w:p>
        </w:tc>
        <w:tc>
          <w:tcPr>
            <w:tcW w:w="3402" w:type="dxa"/>
          </w:tcPr>
          <w:p w14:paraId="3AECCE79" w14:textId="77777777"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Continuous growth in India</w:t>
            </w:r>
          </w:p>
          <w:p w14:paraId="29B9CDFA" w14:textId="77777777"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Expansion of manufacture in overseas markets</w:t>
            </w:r>
          </w:p>
          <w:p w14:paraId="581FB760" w14:textId="77777777"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Market diversification – eg Military, logistics, …</w:t>
            </w:r>
          </w:p>
          <w:p w14:paraId="6B24F1BD" w14:textId="53CAC99F"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Wide product range and readiness to match to needs</w:t>
            </w:r>
          </w:p>
        </w:tc>
        <w:tc>
          <w:tcPr>
            <w:tcW w:w="3402" w:type="dxa"/>
          </w:tcPr>
          <w:p w14:paraId="3BCCE436" w14:textId="77777777"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Trade agreement uncertainty with EU</w:t>
            </w:r>
          </w:p>
          <w:p w14:paraId="3E5BCDC6" w14:textId="77777777"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US trade agreement uncertainty</w:t>
            </w:r>
          </w:p>
          <w:p w14:paraId="035AC75D" w14:textId="2FBAC898" w:rsidR="00287F6E" w:rsidRPr="00D60C83" w:rsidRDefault="00287F6E" w:rsidP="0011055B">
            <w:pPr>
              <w:pStyle w:val="NormalWeb"/>
              <w:numPr>
                <w:ilvl w:val="0"/>
                <w:numId w:val="7"/>
              </w:numPr>
              <w:spacing w:before="0" w:beforeAutospacing="0" w:line="276" w:lineRule="auto"/>
              <w:ind w:left="460"/>
              <w:rPr>
                <w:rFonts w:asciiTheme="minorHAnsi" w:hAnsiTheme="minorHAnsi" w:cstheme="minorHAnsi"/>
                <w:i/>
                <w:sz w:val="22"/>
                <w:szCs w:val="22"/>
              </w:rPr>
            </w:pPr>
            <w:r w:rsidRPr="00D60C83">
              <w:rPr>
                <w:rFonts w:asciiTheme="minorHAnsi" w:hAnsiTheme="minorHAnsi" w:cstheme="minorHAnsi"/>
                <w:i/>
                <w:sz w:val="22"/>
                <w:szCs w:val="22"/>
              </w:rPr>
              <w:t>Aggressive pricing by eastern competitors and ongoing competition with major competitors (CAT, Komatsu etc.)</w:t>
            </w:r>
          </w:p>
        </w:tc>
      </w:tr>
      <w:tr w:rsidR="00287F6E" w:rsidRPr="00D60C83" w14:paraId="7F7A0A31" w14:textId="77777777" w:rsidTr="00287F6E">
        <w:trPr>
          <w:cantSplit/>
          <w:trHeight w:val="1134"/>
        </w:trPr>
        <w:tc>
          <w:tcPr>
            <w:tcW w:w="498" w:type="dxa"/>
            <w:shd w:val="clear" w:color="auto" w:fill="BFBFBF" w:themeFill="background1" w:themeFillShade="BF"/>
            <w:textDirection w:val="btLr"/>
            <w:vAlign w:val="bottom"/>
          </w:tcPr>
          <w:p w14:paraId="7921DE82" w14:textId="2F0429F4" w:rsidR="00287F6E" w:rsidRPr="00D60C83" w:rsidRDefault="00287F6E" w:rsidP="0011055B">
            <w:pPr>
              <w:pStyle w:val="NormalWeb"/>
              <w:spacing w:before="0" w:beforeAutospacing="0" w:line="276" w:lineRule="auto"/>
              <w:ind w:left="113" w:right="113"/>
              <w:jc w:val="center"/>
              <w:rPr>
                <w:rFonts w:asciiTheme="minorHAnsi" w:hAnsiTheme="minorHAnsi" w:cstheme="minorHAnsi"/>
                <w:sz w:val="22"/>
                <w:szCs w:val="22"/>
              </w:rPr>
            </w:pPr>
            <w:r w:rsidRPr="00D60C83">
              <w:rPr>
                <w:rFonts w:asciiTheme="minorHAnsi" w:hAnsiTheme="minorHAnsi" w:cstheme="minorHAnsi"/>
                <w:sz w:val="22"/>
                <w:szCs w:val="22"/>
              </w:rPr>
              <w:t>Strengths</w:t>
            </w:r>
          </w:p>
        </w:tc>
        <w:tc>
          <w:tcPr>
            <w:tcW w:w="2587" w:type="dxa"/>
          </w:tcPr>
          <w:p w14:paraId="2050418B" w14:textId="1AF9B859"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International presence &amp; dealer support network</w:t>
            </w:r>
          </w:p>
          <w:p w14:paraId="41EF3E13" w14:textId="77777777"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Strong reputation in construction</w:t>
            </w:r>
          </w:p>
          <w:p w14:paraId="122D2ACF" w14:textId="77777777"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Diverse product line</w:t>
            </w:r>
          </w:p>
          <w:p w14:paraId="0A663826" w14:textId="69CFFABF"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 xml:space="preserve">Strong YoY market increases </w:t>
            </w:r>
          </w:p>
        </w:tc>
        <w:tc>
          <w:tcPr>
            <w:tcW w:w="3402" w:type="dxa"/>
          </w:tcPr>
          <w:p w14:paraId="542AC4AD" w14:textId="77777777" w:rsidR="00287F6E" w:rsidRPr="00D60C83" w:rsidRDefault="00287F6E" w:rsidP="0011055B">
            <w:pPr>
              <w:pStyle w:val="NormalWeb"/>
              <w:numPr>
                <w:ilvl w:val="0"/>
                <w:numId w:val="12"/>
              </w:numPr>
              <w:spacing w:before="0" w:beforeAutospacing="0" w:line="276" w:lineRule="auto"/>
              <w:rPr>
                <w:rFonts w:asciiTheme="minorHAnsi" w:hAnsiTheme="minorHAnsi" w:cstheme="minorHAnsi"/>
                <w:b/>
                <w:sz w:val="22"/>
                <w:szCs w:val="22"/>
              </w:rPr>
            </w:pPr>
            <w:r w:rsidRPr="00D60C83">
              <w:rPr>
                <w:rFonts w:asciiTheme="minorHAnsi" w:hAnsiTheme="minorHAnsi" w:cstheme="minorHAnsi"/>
                <w:b/>
                <w:sz w:val="22"/>
                <w:szCs w:val="22"/>
              </w:rPr>
              <w:t>SO</w:t>
            </w:r>
          </w:p>
          <w:p w14:paraId="23B83A82" w14:textId="77777777" w:rsidR="00287F6E" w:rsidRPr="00D60C83" w:rsidRDefault="00287F6E" w:rsidP="0011055B">
            <w:pPr>
              <w:pStyle w:val="NormalWeb"/>
              <w:numPr>
                <w:ilvl w:val="1"/>
                <w:numId w:val="12"/>
              </w:numPr>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Diversify</w:t>
            </w:r>
          </w:p>
          <w:p w14:paraId="724A3986" w14:textId="71EC9AA1" w:rsidR="00287F6E" w:rsidRPr="00D60C83" w:rsidRDefault="00287F6E" w:rsidP="0011055B">
            <w:pPr>
              <w:pStyle w:val="NormalWeb"/>
              <w:numPr>
                <w:ilvl w:val="2"/>
                <w:numId w:val="12"/>
              </w:numPr>
              <w:spacing w:before="0" w:beforeAutospacing="0" w:line="276" w:lineRule="auto"/>
              <w:ind w:left="1310"/>
              <w:rPr>
                <w:rFonts w:asciiTheme="minorHAnsi" w:hAnsiTheme="minorHAnsi" w:cstheme="minorHAnsi"/>
                <w:sz w:val="22"/>
                <w:szCs w:val="22"/>
              </w:rPr>
            </w:pPr>
            <w:r w:rsidRPr="00D60C83">
              <w:rPr>
                <w:rFonts w:asciiTheme="minorHAnsi" w:hAnsiTheme="minorHAnsi" w:cstheme="minorHAnsi"/>
                <w:sz w:val="22"/>
                <w:szCs w:val="22"/>
              </w:rPr>
              <w:t xml:space="preserve">Leverage reputation in construction to provide confidence in other </w:t>
            </w:r>
            <w:r w:rsidR="00A5383A" w:rsidRPr="00D60C83">
              <w:rPr>
                <w:rFonts w:asciiTheme="minorHAnsi" w:hAnsiTheme="minorHAnsi" w:cstheme="minorHAnsi"/>
                <w:sz w:val="22"/>
                <w:szCs w:val="22"/>
              </w:rPr>
              <w:t>industries</w:t>
            </w:r>
            <w:r w:rsidRPr="00D60C83">
              <w:rPr>
                <w:rFonts w:asciiTheme="minorHAnsi" w:hAnsiTheme="minorHAnsi" w:cstheme="minorHAnsi"/>
                <w:sz w:val="22"/>
                <w:szCs w:val="22"/>
              </w:rPr>
              <w:t xml:space="preserve">: logistics often required to move JCB product, what ese can JCB do in the logistics realm, are beneficial partnerships possible? </w:t>
            </w:r>
          </w:p>
          <w:p w14:paraId="0E84D09E" w14:textId="088BB277" w:rsidR="00287F6E" w:rsidRPr="00D60C83" w:rsidRDefault="00287F6E" w:rsidP="0011055B">
            <w:pPr>
              <w:pStyle w:val="NormalWeb"/>
              <w:spacing w:before="0" w:beforeAutospacing="0" w:line="276" w:lineRule="auto"/>
              <w:rPr>
                <w:rFonts w:asciiTheme="minorHAnsi" w:hAnsiTheme="minorHAnsi" w:cstheme="minorHAnsi"/>
                <w:sz w:val="22"/>
                <w:szCs w:val="22"/>
              </w:rPr>
            </w:pPr>
          </w:p>
        </w:tc>
        <w:tc>
          <w:tcPr>
            <w:tcW w:w="3402" w:type="dxa"/>
          </w:tcPr>
          <w:p w14:paraId="34E9CDDF" w14:textId="77777777" w:rsidR="00287F6E" w:rsidRPr="00D60C83" w:rsidRDefault="00287F6E" w:rsidP="0011055B">
            <w:pPr>
              <w:pStyle w:val="NormalWeb"/>
              <w:numPr>
                <w:ilvl w:val="0"/>
                <w:numId w:val="12"/>
              </w:numPr>
              <w:spacing w:before="0" w:beforeAutospacing="0" w:line="276" w:lineRule="auto"/>
              <w:rPr>
                <w:rFonts w:asciiTheme="minorHAnsi" w:hAnsiTheme="minorHAnsi" w:cstheme="minorHAnsi"/>
                <w:b/>
                <w:sz w:val="22"/>
                <w:szCs w:val="22"/>
              </w:rPr>
            </w:pPr>
            <w:r w:rsidRPr="00D60C83">
              <w:rPr>
                <w:rFonts w:asciiTheme="minorHAnsi" w:hAnsiTheme="minorHAnsi" w:cstheme="minorHAnsi"/>
                <w:b/>
                <w:sz w:val="22"/>
                <w:szCs w:val="22"/>
              </w:rPr>
              <w:t>ST</w:t>
            </w:r>
          </w:p>
          <w:p w14:paraId="4A402E85" w14:textId="77777777" w:rsidR="00287F6E" w:rsidRPr="00D60C83" w:rsidRDefault="00287F6E" w:rsidP="0011055B">
            <w:pPr>
              <w:pStyle w:val="NormalWeb"/>
              <w:numPr>
                <w:ilvl w:val="1"/>
                <w:numId w:val="12"/>
              </w:numPr>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Combat pricing with value</w:t>
            </w:r>
          </w:p>
          <w:p w14:paraId="0F68E6CD" w14:textId="77777777" w:rsidR="00287F6E" w:rsidRPr="00D60C83" w:rsidRDefault="00287F6E" w:rsidP="0011055B">
            <w:pPr>
              <w:pStyle w:val="NormalWeb"/>
              <w:numPr>
                <w:ilvl w:val="2"/>
                <w:numId w:val="12"/>
              </w:numPr>
              <w:spacing w:before="0" w:beforeAutospacing="0" w:line="276" w:lineRule="auto"/>
              <w:ind w:left="1309"/>
              <w:rPr>
                <w:rFonts w:asciiTheme="minorHAnsi" w:hAnsiTheme="minorHAnsi" w:cstheme="minorHAnsi"/>
                <w:sz w:val="22"/>
                <w:szCs w:val="22"/>
              </w:rPr>
            </w:pPr>
            <w:r w:rsidRPr="00D60C83">
              <w:rPr>
                <w:rFonts w:asciiTheme="minorHAnsi" w:hAnsiTheme="minorHAnsi" w:cstheme="minorHAnsi"/>
                <w:sz w:val="22"/>
                <w:szCs w:val="22"/>
              </w:rPr>
              <w:t>Leverage strong dealer network, support and regional manufacture (faster delivery) to bring benefit to customers and win business.</w:t>
            </w:r>
          </w:p>
          <w:p w14:paraId="1843E377" w14:textId="21AB0885" w:rsidR="00287F6E" w:rsidRPr="00D60C83" w:rsidRDefault="00287F6E" w:rsidP="0011055B">
            <w:pPr>
              <w:pStyle w:val="NormalWeb"/>
              <w:spacing w:before="0" w:beforeAutospacing="0" w:line="276" w:lineRule="auto"/>
              <w:ind w:left="360"/>
              <w:rPr>
                <w:rFonts w:asciiTheme="minorHAnsi" w:hAnsiTheme="minorHAnsi" w:cstheme="minorHAnsi"/>
                <w:sz w:val="22"/>
                <w:szCs w:val="22"/>
              </w:rPr>
            </w:pPr>
          </w:p>
        </w:tc>
      </w:tr>
      <w:tr w:rsidR="00287F6E" w:rsidRPr="00D60C83" w14:paraId="0E727FE9" w14:textId="77777777" w:rsidTr="00287F6E">
        <w:trPr>
          <w:cantSplit/>
          <w:trHeight w:val="1134"/>
        </w:trPr>
        <w:tc>
          <w:tcPr>
            <w:tcW w:w="498" w:type="dxa"/>
            <w:shd w:val="clear" w:color="auto" w:fill="BFBFBF" w:themeFill="background1" w:themeFillShade="BF"/>
            <w:textDirection w:val="btLr"/>
          </w:tcPr>
          <w:p w14:paraId="691FC13D" w14:textId="6D09412A" w:rsidR="00287F6E" w:rsidRPr="00D60C83" w:rsidRDefault="00287F6E" w:rsidP="0011055B">
            <w:pPr>
              <w:pStyle w:val="NormalWeb"/>
              <w:spacing w:before="0" w:beforeAutospacing="0" w:line="276" w:lineRule="auto"/>
              <w:ind w:left="113" w:right="113"/>
              <w:jc w:val="center"/>
              <w:rPr>
                <w:rFonts w:asciiTheme="minorHAnsi" w:hAnsiTheme="minorHAnsi" w:cstheme="minorHAnsi"/>
                <w:sz w:val="22"/>
                <w:szCs w:val="22"/>
              </w:rPr>
            </w:pPr>
            <w:r w:rsidRPr="00D60C83">
              <w:rPr>
                <w:rFonts w:asciiTheme="minorHAnsi" w:hAnsiTheme="minorHAnsi" w:cstheme="minorHAnsi"/>
                <w:sz w:val="22"/>
                <w:szCs w:val="22"/>
              </w:rPr>
              <w:t>Weaknesses</w:t>
            </w:r>
          </w:p>
        </w:tc>
        <w:tc>
          <w:tcPr>
            <w:tcW w:w="2587" w:type="dxa"/>
          </w:tcPr>
          <w:p w14:paraId="7E510F54" w14:textId="6CC55376"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Weak presence outside construction – lack of market diversification</w:t>
            </w:r>
          </w:p>
          <w:p w14:paraId="06C60D2B" w14:textId="77777777"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Increasing competition (# of competitors &amp; pricing)</w:t>
            </w:r>
          </w:p>
          <w:p w14:paraId="07E60253" w14:textId="76F3E3A3" w:rsidR="00287F6E" w:rsidRPr="00D60C83" w:rsidRDefault="00287F6E" w:rsidP="0011055B">
            <w:pPr>
              <w:pStyle w:val="NormalWeb"/>
              <w:numPr>
                <w:ilvl w:val="0"/>
                <w:numId w:val="6"/>
              </w:numPr>
              <w:spacing w:before="0" w:beforeAutospacing="0" w:line="276" w:lineRule="auto"/>
              <w:ind w:left="498"/>
              <w:rPr>
                <w:rFonts w:asciiTheme="minorHAnsi" w:hAnsiTheme="minorHAnsi" w:cstheme="minorHAnsi"/>
                <w:i/>
                <w:sz w:val="22"/>
                <w:szCs w:val="22"/>
              </w:rPr>
            </w:pPr>
            <w:r w:rsidRPr="00D60C83">
              <w:rPr>
                <w:rFonts w:asciiTheme="minorHAnsi" w:hAnsiTheme="minorHAnsi" w:cstheme="minorHAnsi"/>
                <w:i/>
                <w:sz w:val="22"/>
                <w:szCs w:val="22"/>
              </w:rPr>
              <w:t>Sales are weak outside European market</w:t>
            </w:r>
          </w:p>
        </w:tc>
        <w:tc>
          <w:tcPr>
            <w:tcW w:w="3402" w:type="dxa"/>
          </w:tcPr>
          <w:p w14:paraId="06697101" w14:textId="77777777" w:rsidR="00287F6E" w:rsidRPr="00D60C83" w:rsidRDefault="00287F6E" w:rsidP="0011055B">
            <w:pPr>
              <w:pStyle w:val="NormalWeb"/>
              <w:numPr>
                <w:ilvl w:val="0"/>
                <w:numId w:val="12"/>
              </w:numPr>
              <w:spacing w:before="0" w:beforeAutospacing="0" w:line="276" w:lineRule="auto"/>
              <w:rPr>
                <w:rFonts w:asciiTheme="minorHAnsi" w:hAnsiTheme="minorHAnsi" w:cstheme="minorHAnsi"/>
                <w:b/>
                <w:sz w:val="22"/>
                <w:szCs w:val="22"/>
              </w:rPr>
            </w:pPr>
            <w:r w:rsidRPr="00D60C83">
              <w:rPr>
                <w:rFonts w:asciiTheme="minorHAnsi" w:hAnsiTheme="minorHAnsi" w:cstheme="minorHAnsi"/>
                <w:b/>
                <w:sz w:val="22"/>
                <w:szCs w:val="22"/>
              </w:rPr>
              <w:t>WO</w:t>
            </w:r>
          </w:p>
          <w:p w14:paraId="6FE690F0" w14:textId="77777777" w:rsidR="00287F6E" w:rsidRPr="00D60C83" w:rsidRDefault="00287F6E" w:rsidP="0011055B">
            <w:pPr>
              <w:pStyle w:val="NormalWeb"/>
              <w:numPr>
                <w:ilvl w:val="1"/>
                <w:numId w:val="12"/>
              </w:numPr>
              <w:spacing w:before="0" w:beforeAutospacing="0" w:line="276" w:lineRule="auto"/>
              <w:rPr>
                <w:rFonts w:asciiTheme="minorHAnsi" w:hAnsiTheme="minorHAnsi" w:cstheme="minorHAnsi"/>
                <w:b/>
                <w:sz w:val="22"/>
                <w:szCs w:val="22"/>
              </w:rPr>
            </w:pPr>
            <w:r w:rsidRPr="00D60C83">
              <w:rPr>
                <w:rFonts w:asciiTheme="minorHAnsi" w:hAnsiTheme="minorHAnsi" w:cstheme="minorHAnsi"/>
                <w:sz w:val="22"/>
                <w:szCs w:val="22"/>
              </w:rPr>
              <w:t>Emerging market positioning</w:t>
            </w:r>
          </w:p>
          <w:p w14:paraId="1DF3DBD5" w14:textId="50D7550C" w:rsidR="00287F6E" w:rsidRPr="00D60C83" w:rsidRDefault="00287F6E" w:rsidP="0011055B">
            <w:pPr>
              <w:pStyle w:val="NormalWeb"/>
              <w:numPr>
                <w:ilvl w:val="2"/>
                <w:numId w:val="12"/>
              </w:numPr>
              <w:spacing w:before="0" w:beforeAutospacing="0" w:line="276" w:lineRule="auto"/>
              <w:ind w:left="1310"/>
              <w:rPr>
                <w:rFonts w:asciiTheme="minorHAnsi" w:hAnsiTheme="minorHAnsi" w:cstheme="minorHAnsi"/>
                <w:b/>
                <w:sz w:val="22"/>
                <w:szCs w:val="22"/>
              </w:rPr>
            </w:pPr>
            <w:r w:rsidRPr="00D60C83">
              <w:rPr>
                <w:rFonts w:asciiTheme="minorHAnsi" w:hAnsiTheme="minorHAnsi" w:cstheme="minorHAnsi"/>
                <w:sz w:val="22"/>
                <w:szCs w:val="22"/>
              </w:rPr>
              <w:t>Analyse profitability and market potential in EU vs other regions.  Buying earlier in to the Indian market may help build market share ahead of competitors and push them out or reduce the threat</w:t>
            </w:r>
          </w:p>
        </w:tc>
        <w:tc>
          <w:tcPr>
            <w:tcW w:w="3402" w:type="dxa"/>
          </w:tcPr>
          <w:p w14:paraId="083BCCA9" w14:textId="77777777" w:rsidR="00287F6E" w:rsidRPr="00D60C83" w:rsidRDefault="00287F6E" w:rsidP="0011055B">
            <w:pPr>
              <w:pStyle w:val="NormalWeb"/>
              <w:numPr>
                <w:ilvl w:val="0"/>
                <w:numId w:val="12"/>
              </w:numPr>
              <w:spacing w:before="0" w:beforeAutospacing="0" w:line="276" w:lineRule="auto"/>
              <w:rPr>
                <w:rFonts w:asciiTheme="minorHAnsi" w:hAnsiTheme="minorHAnsi" w:cstheme="minorHAnsi"/>
                <w:b/>
                <w:sz w:val="22"/>
                <w:szCs w:val="22"/>
              </w:rPr>
            </w:pPr>
            <w:r w:rsidRPr="00D60C83">
              <w:rPr>
                <w:rFonts w:asciiTheme="minorHAnsi" w:hAnsiTheme="minorHAnsi" w:cstheme="minorHAnsi"/>
                <w:b/>
                <w:sz w:val="22"/>
                <w:szCs w:val="22"/>
              </w:rPr>
              <w:t>WT</w:t>
            </w:r>
          </w:p>
          <w:p w14:paraId="0E08D8E2" w14:textId="77777777" w:rsidR="00287F6E" w:rsidRPr="00D60C83" w:rsidRDefault="00287F6E" w:rsidP="0011055B">
            <w:pPr>
              <w:pStyle w:val="NormalWeb"/>
              <w:numPr>
                <w:ilvl w:val="1"/>
                <w:numId w:val="12"/>
              </w:numPr>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Offsetting</w:t>
            </w:r>
          </w:p>
          <w:p w14:paraId="2F453E44" w14:textId="1A5E2064" w:rsidR="00287F6E" w:rsidRPr="00D60C83" w:rsidRDefault="00287F6E" w:rsidP="0011055B">
            <w:pPr>
              <w:pStyle w:val="NormalWeb"/>
              <w:numPr>
                <w:ilvl w:val="2"/>
                <w:numId w:val="12"/>
              </w:numPr>
              <w:spacing w:before="0" w:beforeAutospacing="0" w:line="276" w:lineRule="auto"/>
              <w:ind w:left="1309"/>
              <w:rPr>
                <w:rFonts w:asciiTheme="minorHAnsi" w:hAnsiTheme="minorHAnsi" w:cstheme="minorHAnsi"/>
                <w:b/>
                <w:sz w:val="22"/>
                <w:szCs w:val="22"/>
              </w:rPr>
            </w:pPr>
            <w:r w:rsidRPr="00D60C83">
              <w:rPr>
                <w:rFonts w:asciiTheme="minorHAnsi" w:hAnsiTheme="minorHAnsi" w:cstheme="minorHAnsi"/>
                <w:sz w:val="22"/>
                <w:szCs w:val="22"/>
              </w:rPr>
              <w:t>If JCB can build a presence in complimentary or alternative markets to construction, we may be able to realise higher returns to offset the pricing competition in construction</w:t>
            </w:r>
          </w:p>
        </w:tc>
      </w:tr>
    </w:tbl>
    <w:p w14:paraId="6E485F14" w14:textId="77777777" w:rsidR="0088018B" w:rsidRPr="00D60C83" w:rsidRDefault="0088018B" w:rsidP="0011055B">
      <w:pPr>
        <w:pStyle w:val="NormalWeb"/>
        <w:shd w:val="clear" w:color="auto" w:fill="FFFFFF"/>
        <w:spacing w:before="0" w:beforeAutospacing="0" w:line="276" w:lineRule="auto"/>
        <w:ind w:left="792"/>
        <w:rPr>
          <w:rFonts w:asciiTheme="minorHAnsi" w:hAnsiTheme="minorHAnsi" w:cstheme="minorHAnsi"/>
          <w:sz w:val="22"/>
          <w:szCs w:val="22"/>
        </w:rPr>
      </w:pPr>
    </w:p>
    <w:p w14:paraId="503DF145" w14:textId="32EEC47B" w:rsidR="0088018B" w:rsidRPr="00D60C83" w:rsidRDefault="00BB774B" w:rsidP="0011055B">
      <w:pPr>
        <w:pStyle w:val="NormalWeb"/>
        <w:numPr>
          <w:ilvl w:val="0"/>
          <w:numId w:val="5"/>
        </w:numPr>
        <w:shd w:val="clear" w:color="auto" w:fill="FFFFFF"/>
        <w:spacing w:before="0" w:beforeAutospacing="0" w:line="276" w:lineRule="auto"/>
        <w:rPr>
          <w:rStyle w:val="BookTitle"/>
        </w:rPr>
      </w:pPr>
      <w:r w:rsidRPr="00D60C83">
        <w:rPr>
          <w:rStyle w:val="BookTitle"/>
        </w:rPr>
        <w:lastRenderedPageBreak/>
        <w:t>JCB Position</w:t>
      </w:r>
    </w:p>
    <w:p w14:paraId="6B99EE0E" w14:textId="77777777" w:rsidR="00BB774B" w:rsidRPr="00D60C83" w:rsidRDefault="00BB774B"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bookmarkStart w:id="1" w:name="_Ref534180146"/>
      <w:r w:rsidRPr="00D60C83">
        <w:rPr>
          <w:rFonts w:asciiTheme="minorHAnsi" w:hAnsiTheme="minorHAnsi" w:cstheme="minorHAnsi"/>
          <w:sz w:val="22"/>
          <w:szCs w:val="22"/>
        </w:rPr>
        <w:t>JCB is seeing growth that corresponds with emerging markets.  JCB has a presence there but this needs to expand in order to capitalise on the market potential (as per the projections for construction).  Our competitors will also be manoeuvring to take advantage therefore we should be conscious to establish a strong foothold as quickly as possible.</w:t>
      </w:r>
      <w:bookmarkEnd w:id="1"/>
      <w:r w:rsidRPr="00D60C83">
        <w:rPr>
          <w:rFonts w:asciiTheme="minorHAnsi" w:hAnsiTheme="minorHAnsi" w:cstheme="minorHAnsi"/>
          <w:sz w:val="22"/>
          <w:szCs w:val="22"/>
        </w:rPr>
        <w:t xml:space="preserve">  </w:t>
      </w:r>
    </w:p>
    <w:p w14:paraId="1CFF274F" w14:textId="77777777" w:rsidR="00BB774B" w:rsidRPr="00D60C83" w:rsidRDefault="00BB774B"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Possible strategies to leverage include:</w:t>
      </w:r>
    </w:p>
    <w:p w14:paraId="011537C3" w14:textId="77777777" w:rsidR="00BB774B" w:rsidRPr="00D60C83" w:rsidRDefault="00BB774B"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utilising the dealer network to increase awareness and pursue contracts.</w:t>
      </w:r>
    </w:p>
    <w:p w14:paraId="0CF46DFD" w14:textId="2CCC30A1" w:rsidR="00BB774B" w:rsidRPr="00D60C83" w:rsidRDefault="00BB774B"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proximity &amp; scale of our manufacturing sites in USA, India, Indonesia &amp; China to expedite time to supply</w:t>
      </w:r>
    </w:p>
    <w:p w14:paraId="307260E3" w14:textId="19FE4954" w:rsidR="00BB774B" w:rsidRPr="00D60C83" w:rsidRDefault="00BB774B"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brand promotion to reinforce JCB reputation in new markets, we can re-cycle material globally at minimal cost</w:t>
      </w:r>
    </w:p>
    <w:p w14:paraId="4A1E04EE" w14:textId="74CF214B" w:rsidR="00BB774B" w:rsidRPr="00D60C83" w:rsidRDefault="00BB774B"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inviting government owners for infrastructure projects relating to major events, eg Olympics, world cup to etc to existing JCB projects or sites</w:t>
      </w:r>
    </w:p>
    <w:p w14:paraId="493D27F1" w14:textId="184825A3" w:rsidR="00BB774B" w:rsidRPr="00D60C83" w:rsidRDefault="00BB774B"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bookmarkStart w:id="2" w:name="_Ref534180151"/>
      <w:r w:rsidRPr="00D60C83">
        <w:rPr>
          <w:rFonts w:asciiTheme="minorHAnsi" w:hAnsiTheme="minorHAnsi" w:cstheme="minorHAnsi"/>
          <w:sz w:val="22"/>
          <w:szCs w:val="22"/>
        </w:rPr>
        <w:t xml:space="preserve">Military </w:t>
      </w:r>
      <w:r w:rsidR="00A5383A" w:rsidRPr="00D60C83">
        <w:rPr>
          <w:rFonts w:asciiTheme="minorHAnsi" w:hAnsiTheme="minorHAnsi" w:cstheme="minorHAnsi"/>
          <w:sz w:val="22"/>
          <w:szCs w:val="22"/>
        </w:rPr>
        <w:t>spending on JCB products has helped our revenue and shield us from negative affects of competition in construction in recent years.  This is a ready and proven product and should be promoted to allies or current countries.  This would help strengthen diversification of income.</w:t>
      </w:r>
      <w:bookmarkEnd w:id="2"/>
    </w:p>
    <w:p w14:paraId="02911DB8" w14:textId="75A488F9" w:rsidR="00A5383A" w:rsidRPr="00D60C83" w:rsidRDefault="00A5383A"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Construction dominates JCB business.  Where else can our products become a standard?  Logistics seems like a natural opportunity to be explored</w:t>
      </w:r>
      <w:r w:rsidR="002B3CDB" w:rsidRPr="00D60C83">
        <w:rPr>
          <w:rFonts w:asciiTheme="minorHAnsi" w:hAnsiTheme="minorHAnsi" w:cstheme="minorHAnsi"/>
          <w:sz w:val="22"/>
          <w:szCs w:val="22"/>
        </w:rPr>
        <w:t xml:space="preserve"> given that almost all of our product relies on logistics for distribution and much of our supply needs mechanised handling (eg telehandler) in the logistics and warehousing chain</w:t>
      </w:r>
      <w:r w:rsidRPr="00D60C83">
        <w:rPr>
          <w:rFonts w:asciiTheme="minorHAnsi" w:hAnsiTheme="minorHAnsi" w:cstheme="minorHAnsi"/>
          <w:sz w:val="22"/>
          <w:szCs w:val="22"/>
        </w:rPr>
        <w:t xml:space="preserve">.  </w:t>
      </w:r>
      <w:r w:rsidR="002B3CDB" w:rsidRPr="00D60C83">
        <w:rPr>
          <w:rFonts w:asciiTheme="minorHAnsi" w:hAnsiTheme="minorHAnsi" w:cstheme="minorHAnsi"/>
          <w:sz w:val="22"/>
          <w:szCs w:val="22"/>
        </w:rPr>
        <w:t xml:space="preserve">Ignoring our own experience, our telehandlers, lifts, loaders etc could be used extensively in dry, raw and palletised material movement.  </w:t>
      </w:r>
      <w:r w:rsidRPr="00D60C83">
        <w:rPr>
          <w:rFonts w:asciiTheme="minorHAnsi" w:hAnsiTheme="minorHAnsi" w:cstheme="minorHAnsi"/>
          <w:sz w:val="22"/>
          <w:szCs w:val="22"/>
        </w:rPr>
        <w:t>A task force should be established to explore how our current products or adaptations thereof could be readily offered into other industries.  An initial target could be to reach 15% non-construction related sales by 2020.</w:t>
      </w:r>
    </w:p>
    <w:p w14:paraId="1F56D0EA" w14:textId="5F99865B" w:rsidR="00076C73" w:rsidRPr="00D60C83" w:rsidRDefault="00531047"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JCB operates in a market with a demand relationship</w:t>
      </w:r>
      <w:r w:rsidR="00076C73" w:rsidRPr="00D60C83">
        <w:rPr>
          <w:rFonts w:asciiTheme="minorHAnsi" w:hAnsiTheme="minorHAnsi" w:cstheme="minorHAnsi"/>
          <w:sz w:val="22"/>
          <w:szCs w:val="22"/>
        </w:rPr>
        <w:t xml:space="preserve"> – the gradient is shallow but there are opportunities to reduce cost with scale</w:t>
      </w:r>
      <w:r w:rsidRPr="00D60C83">
        <w:rPr>
          <w:rFonts w:asciiTheme="minorHAnsi" w:hAnsiTheme="minorHAnsi" w:cstheme="minorHAnsi"/>
          <w:sz w:val="22"/>
          <w:szCs w:val="22"/>
        </w:rPr>
        <w:t xml:space="preserve">.  </w:t>
      </w:r>
      <w:r w:rsidR="007E27E4" w:rsidRPr="00D60C83">
        <w:rPr>
          <w:rFonts w:asciiTheme="minorHAnsi" w:hAnsiTheme="minorHAnsi" w:cstheme="minorHAnsi"/>
          <w:sz w:val="22"/>
          <w:szCs w:val="22"/>
        </w:rPr>
        <w:t xml:space="preserve">We have a small level of demand elasticity.  </w:t>
      </w:r>
    </w:p>
    <w:p w14:paraId="0E2FFD02" w14:textId="77777777" w:rsidR="00076C73" w:rsidRPr="00D60C83" w:rsidRDefault="00076C73" w:rsidP="0011055B">
      <w:pPr>
        <w:pStyle w:val="NormalWeb"/>
        <w:keepNext/>
        <w:shd w:val="clear" w:color="auto" w:fill="FFFFFF"/>
        <w:spacing w:before="0" w:beforeAutospacing="0" w:line="276" w:lineRule="auto"/>
        <w:ind w:left="360"/>
        <w:jc w:val="center"/>
        <w:rPr>
          <w:rFonts w:asciiTheme="minorHAnsi" w:hAnsiTheme="minorHAnsi" w:cstheme="minorHAnsi"/>
        </w:rPr>
      </w:pPr>
      <w:r w:rsidRPr="00D60C83">
        <w:rPr>
          <w:rFonts w:asciiTheme="minorHAnsi" w:hAnsiTheme="minorHAnsi" w:cstheme="minorHAnsi"/>
          <w:noProof/>
        </w:rPr>
        <w:drawing>
          <wp:inline distT="0" distB="0" distL="0" distR="0" wp14:anchorId="46D8E881" wp14:editId="3AB29C6A">
            <wp:extent cx="2878455" cy="2345690"/>
            <wp:effectExtent l="0" t="0" r="0" b="0"/>
            <wp:docPr id="8" name="Picture 8" descr="economics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conomics3.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78455" cy="2345690"/>
                    </a:xfrm>
                    <a:prstGeom prst="rect">
                      <a:avLst/>
                    </a:prstGeom>
                    <a:noFill/>
                    <a:ln>
                      <a:noFill/>
                    </a:ln>
                  </pic:spPr>
                </pic:pic>
              </a:graphicData>
            </a:graphic>
          </wp:inline>
        </w:drawing>
      </w:r>
    </w:p>
    <w:p w14:paraId="74C6B0AA" w14:textId="2A8AE10E" w:rsidR="00076C73" w:rsidRPr="00D60C83" w:rsidRDefault="00076C73" w:rsidP="0011055B">
      <w:pPr>
        <w:pStyle w:val="Caption"/>
        <w:spacing w:line="276" w:lineRule="auto"/>
        <w:jc w:val="center"/>
        <w:rPr>
          <w:rFonts w:asciiTheme="minorHAnsi" w:hAnsiTheme="minorHAnsi" w:cstheme="minorHAnsi"/>
          <w:sz w:val="22"/>
          <w:szCs w:val="22"/>
        </w:rPr>
      </w:pPr>
      <w:r w:rsidRPr="00D60C83">
        <w:rPr>
          <w:rFonts w:asciiTheme="minorHAnsi" w:hAnsiTheme="minorHAnsi" w:cstheme="minorHAnsi"/>
        </w:rPr>
        <w:t xml:space="preserve">Figure </w:t>
      </w:r>
      <w:r w:rsidRPr="00D60C83">
        <w:rPr>
          <w:rFonts w:asciiTheme="minorHAnsi" w:hAnsiTheme="minorHAnsi" w:cstheme="minorHAnsi"/>
        </w:rPr>
        <w:fldChar w:fldCharType="begin"/>
      </w:r>
      <w:r w:rsidRPr="00D60C83">
        <w:rPr>
          <w:rFonts w:asciiTheme="minorHAnsi" w:hAnsiTheme="minorHAnsi" w:cstheme="minorHAnsi"/>
        </w:rPr>
        <w:instrText xml:space="preserve"> SEQ Figure \* ARABIC </w:instrText>
      </w:r>
      <w:r w:rsidRPr="00D60C83">
        <w:rPr>
          <w:rFonts w:asciiTheme="minorHAnsi" w:hAnsiTheme="minorHAnsi" w:cstheme="minorHAnsi"/>
        </w:rPr>
        <w:fldChar w:fldCharType="separate"/>
      </w:r>
      <w:r w:rsidR="00E475F1">
        <w:rPr>
          <w:rFonts w:asciiTheme="minorHAnsi" w:hAnsiTheme="minorHAnsi" w:cstheme="minorHAnsi"/>
          <w:noProof/>
        </w:rPr>
        <w:t>2</w:t>
      </w:r>
      <w:r w:rsidRPr="00D60C83">
        <w:rPr>
          <w:rFonts w:asciiTheme="minorHAnsi" w:hAnsiTheme="minorHAnsi" w:cstheme="minorHAnsi"/>
        </w:rPr>
        <w:fldChar w:fldCharType="end"/>
      </w:r>
      <w:r w:rsidRPr="00D60C83">
        <w:rPr>
          <w:rFonts w:asciiTheme="minorHAnsi" w:hAnsiTheme="minorHAnsi" w:cstheme="minorHAnsi"/>
        </w:rPr>
        <w:t xml:space="preserve"> - Demand relationship</w:t>
      </w:r>
      <w:r w:rsidR="0073546A" w:rsidRPr="00D60C83">
        <w:rPr>
          <w:rFonts w:asciiTheme="minorHAnsi" w:hAnsiTheme="minorHAnsi" w:cstheme="minorHAnsi"/>
        </w:rPr>
        <w:t xml:space="preserve">  </w:t>
      </w:r>
      <w:sdt>
        <w:sdtPr>
          <w:rPr>
            <w:rFonts w:asciiTheme="minorHAnsi" w:hAnsiTheme="minorHAnsi" w:cstheme="minorHAnsi"/>
          </w:rPr>
          <w:id w:val="-1354408833"/>
          <w:citation/>
        </w:sdtPr>
        <w:sdtEndPr/>
        <w:sdtContent>
          <w:r w:rsidR="0073546A" w:rsidRPr="00D60C83">
            <w:rPr>
              <w:rFonts w:asciiTheme="minorHAnsi" w:hAnsiTheme="minorHAnsi" w:cstheme="minorHAnsi"/>
            </w:rPr>
            <w:fldChar w:fldCharType="begin"/>
          </w:r>
          <w:r w:rsidR="0073546A" w:rsidRPr="00D60C83">
            <w:rPr>
              <w:rFonts w:asciiTheme="minorHAnsi" w:hAnsiTheme="minorHAnsi" w:cstheme="minorHAnsi"/>
            </w:rPr>
            <w:instrText xml:space="preserve"> CITATION Ada18 \l 2057 </w:instrText>
          </w:r>
          <w:r w:rsidR="0073546A" w:rsidRPr="00D60C83">
            <w:rPr>
              <w:rFonts w:asciiTheme="minorHAnsi" w:hAnsiTheme="minorHAnsi" w:cstheme="minorHAnsi"/>
            </w:rPr>
            <w:fldChar w:fldCharType="separate"/>
          </w:r>
          <w:r w:rsidR="0073546A" w:rsidRPr="00D60C83">
            <w:rPr>
              <w:rFonts w:asciiTheme="minorHAnsi" w:hAnsiTheme="minorHAnsi" w:cstheme="minorHAnsi"/>
              <w:noProof/>
            </w:rPr>
            <w:t>(Hayes, n.d.)</w:t>
          </w:r>
          <w:r w:rsidR="0073546A" w:rsidRPr="00D60C83">
            <w:rPr>
              <w:rFonts w:asciiTheme="minorHAnsi" w:hAnsiTheme="minorHAnsi" w:cstheme="minorHAnsi"/>
            </w:rPr>
            <w:fldChar w:fldCharType="end"/>
          </w:r>
        </w:sdtContent>
      </w:sdt>
    </w:p>
    <w:p w14:paraId="432128F7" w14:textId="2BAC9E79" w:rsidR="00A5383A" w:rsidRPr="00D60C83" w:rsidRDefault="00531047" w:rsidP="0011055B">
      <w:pPr>
        <w:pStyle w:val="NormalWeb"/>
        <w:shd w:val="clear" w:color="auto" w:fill="FFFFFF"/>
        <w:spacing w:before="0" w:beforeAutospacing="0" w:line="276" w:lineRule="auto"/>
        <w:ind w:left="792"/>
        <w:rPr>
          <w:rFonts w:asciiTheme="minorHAnsi" w:hAnsiTheme="minorHAnsi" w:cstheme="minorHAnsi"/>
          <w:sz w:val="22"/>
          <w:szCs w:val="22"/>
        </w:rPr>
      </w:pPr>
      <w:r w:rsidRPr="00D60C83">
        <w:rPr>
          <w:rFonts w:asciiTheme="minorHAnsi" w:hAnsiTheme="minorHAnsi" w:cstheme="minorHAnsi"/>
          <w:sz w:val="22"/>
          <w:szCs w:val="22"/>
        </w:rPr>
        <w:t xml:space="preserve">As competition increases globally for machinery, pricing is being eroded along with profit.  The more we can maximise our </w:t>
      </w:r>
      <w:r w:rsidR="00B47972" w:rsidRPr="00D60C83">
        <w:rPr>
          <w:rFonts w:asciiTheme="minorHAnsi" w:hAnsiTheme="minorHAnsi" w:cstheme="minorHAnsi"/>
          <w:sz w:val="22"/>
          <w:szCs w:val="22"/>
        </w:rPr>
        <w:t xml:space="preserve">demand, the better economies of scale we will see in our manufacturing which will translate </w:t>
      </w:r>
      <w:r w:rsidR="007E27E4" w:rsidRPr="00D60C83">
        <w:rPr>
          <w:rFonts w:asciiTheme="minorHAnsi" w:hAnsiTheme="minorHAnsi" w:cstheme="minorHAnsi"/>
          <w:sz w:val="22"/>
          <w:szCs w:val="22"/>
        </w:rPr>
        <w:t>to lower cost of production.  In effect, increase how elastic we are.</w:t>
      </w:r>
    </w:p>
    <w:p w14:paraId="2E4A4BCF" w14:textId="60C0982F" w:rsidR="00B47972" w:rsidRPr="00D60C83" w:rsidRDefault="00B47972"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Generating demand</w:t>
      </w:r>
    </w:p>
    <w:p w14:paraId="579B3AA9" w14:textId="6EFDAB63" w:rsidR="00B47972" w:rsidRPr="00D60C83" w:rsidRDefault="00B47972"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lastRenderedPageBreak/>
        <w:t xml:space="preserve">Inline with </w:t>
      </w:r>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REF _Ref534180146 \r \h </w:instrText>
      </w:r>
      <w:r w:rsidR="00D60C83">
        <w:rPr>
          <w:rFonts w:asciiTheme="minorHAnsi" w:hAnsiTheme="minorHAnsi" w:cstheme="minorHAnsi"/>
          <w:sz w:val="22"/>
          <w:szCs w:val="22"/>
        </w:rPr>
        <w:instrText xml:space="preserve"> \* MERGEFORMAT </w:instrText>
      </w:r>
      <w:r w:rsidRPr="00D60C83">
        <w:rPr>
          <w:rFonts w:asciiTheme="minorHAnsi" w:hAnsiTheme="minorHAnsi" w:cstheme="minorHAnsi"/>
          <w:sz w:val="22"/>
          <w:szCs w:val="22"/>
        </w:rPr>
      </w:r>
      <w:r w:rsidRPr="00D60C83">
        <w:rPr>
          <w:rFonts w:asciiTheme="minorHAnsi" w:hAnsiTheme="minorHAnsi" w:cstheme="minorHAnsi"/>
          <w:sz w:val="22"/>
          <w:szCs w:val="22"/>
        </w:rPr>
        <w:fldChar w:fldCharType="separate"/>
      </w:r>
      <w:r w:rsidRPr="00D60C83">
        <w:rPr>
          <w:rFonts w:asciiTheme="minorHAnsi" w:hAnsiTheme="minorHAnsi" w:cstheme="minorHAnsi"/>
          <w:sz w:val="22"/>
          <w:szCs w:val="22"/>
        </w:rPr>
        <w:t>3.1</w:t>
      </w:r>
      <w:r w:rsidRPr="00D60C83">
        <w:rPr>
          <w:rFonts w:asciiTheme="minorHAnsi" w:hAnsiTheme="minorHAnsi" w:cstheme="minorHAnsi"/>
          <w:sz w:val="22"/>
          <w:szCs w:val="22"/>
        </w:rPr>
        <w:fldChar w:fldCharType="end"/>
      </w:r>
      <w:r w:rsidRPr="00D60C83">
        <w:rPr>
          <w:rFonts w:asciiTheme="minorHAnsi" w:hAnsiTheme="minorHAnsi" w:cstheme="minorHAnsi"/>
          <w:sz w:val="22"/>
          <w:szCs w:val="22"/>
        </w:rPr>
        <w:t>&amp;</w:t>
      </w:r>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REF _Ref534180151 \r \h </w:instrText>
      </w:r>
      <w:r w:rsidR="00D60C83">
        <w:rPr>
          <w:rFonts w:asciiTheme="minorHAnsi" w:hAnsiTheme="minorHAnsi" w:cstheme="minorHAnsi"/>
          <w:sz w:val="22"/>
          <w:szCs w:val="22"/>
        </w:rPr>
        <w:instrText xml:space="preserve"> \* MERGEFORMAT </w:instrText>
      </w:r>
      <w:r w:rsidRPr="00D60C83">
        <w:rPr>
          <w:rFonts w:asciiTheme="minorHAnsi" w:hAnsiTheme="minorHAnsi" w:cstheme="minorHAnsi"/>
          <w:sz w:val="22"/>
          <w:szCs w:val="22"/>
        </w:rPr>
      </w:r>
      <w:r w:rsidRPr="00D60C83">
        <w:rPr>
          <w:rFonts w:asciiTheme="minorHAnsi" w:hAnsiTheme="minorHAnsi" w:cstheme="minorHAnsi"/>
          <w:sz w:val="22"/>
          <w:szCs w:val="22"/>
        </w:rPr>
        <w:fldChar w:fldCharType="separate"/>
      </w:r>
      <w:r w:rsidRPr="00D60C83">
        <w:rPr>
          <w:rFonts w:asciiTheme="minorHAnsi" w:hAnsiTheme="minorHAnsi" w:cstheme="minorHAnsi"/>
          <w:sz w:val="22"/>
          <w:szCs w:val="22"/>
        </w:rPr>
        <w:t>3.2</w:t>
      </w:r>
      <w:r w:rsidRPr="00D60C83">
        <w:rPr>
          <w:rFonts w:asciiTheme="minorHAnsi" w:hAnsiTheme="minorHAnsi" w:cstheme="minorHAnsi"/>
          <w:sz w:val="22"/>
          <w:szCs w:val="22"/>
        </w:rPr>
        <w:fldChar w:fldCharType="end"/>
      </w:r>
      <w:r w:rsidR="00076C73" w:rsidRPr="00D60C83">
        <w:rPr>
          <w:rFonts w:asciiTheme="minorHAnsi" w:hAnsiTheme="minorHAnsi" w:cstheme="minorHAnsi"/>
          <w:sz w:val="22"/>
          <w:szCs w:val="22"/>
        </w:rPr>
        <w:t xml:space="preserve"> there are many ways to influence the demand for our product.  Recycling the extensive research </w:t>
      </w:r>
      <w:r w:rsidR="007E27E4" w:rsidRPr="00D60C83">
        <w:rPr>
          <w:rFonts w:asciiTheme="minorHAnsi" w:hAnsiTheme="minorHAnsi" w:cstheme="minorHAnsi"/>
          <w:sz w:val="22"/>
          <w:szCs w:val="22"/>
        </w:rPr>
        <w:t xml:space="preserve">completed with our users and the </w:t>
      </w:r>
      <w:r w:rsidR="003D5A28" w:rsidRPr="00D60C83">
        <w:rPr>
          <w:rFonts w:asciiTheme="minorHAnsi" w:hAnsiTheme="minorHAnsi" w:cstheme="minorHAnsi"/>
          <w:sz w:val="22"/>
          <w:szCs w:val="22"/>
        </w:rPr>
        <w:t>t</w:t>
      </w:r>
      <w:r w:rsidR="007E27E4" w:rsidRPr="00D60C83">
        <w:rPr>
          <w:rFonts w:asciiTheme="minorHAnsi" w:hAnsiTheme="minorHAnsi" w:cstheme="minorHAnsi"/>
          <w:sz w:val="22"/>
          <w:szCs w:val="22"/>
        </w:rPr>
        <w:t xml:space="preserve">echnical innovations </w:t>
      </w:r>
      <w:r w:rsidR="003D5A28" w:rsidRPr="00D60C83">
        <w:rPr>
          <w:rFonts w:asciiTheme="minorHAnsi" w:hAnsiTheme="minorHAnsi" w:cstheme="minorHAnsi"/>
          <w:sz w:val="22"/>
          <w:szCs w:val="22"/>
        </w:rPr>
        <w:t xml:space="preserve">would be a low cost way to differentiate JCB from our competitors as the tool of choice.  </w:t>
      </w:r>
      <w:sdt>
        <w:sdtPr>
          <w:rPr>
            <w:rFonts w:asciiTheme="minorHAnsi" w:hAnsiTheme="minorHAnsi" w:cstheme="minorHAnsi"/>
            <w:sz w:val="22"/>
            <w:szCs w:val="22"/>
          </w:rPr>
          <w:id w:val="-208734776"/>
          <w:citation/>
        </w:sdtPr>
        <w:sdtEndPr/>
        <w:sdtContent>
          <w:r w:rsidR="003D5A28" w:rsidRPr="00D60C83">
            <w:rPr>
              <w:rFonts w:asciiTheme="minorHAnsi" w:hAnsiTheme="minorHAnsi" w:cstheme="minorHAnsi"/>
              <w:sz w:val="22"/>
              <w:szCs w:val="22"/>
            </w:rPr>
            <w:fldChar w:fldCharType="begin"/>
          </w:r>
          <w:r w:rsidR="003D5A28" w:rsidRPr="00D60C83">
            <w:rPr>
              <w:rFonts w:asciiTheme="minorHAnsi" w:hAnsiTheme="minorHAnsi" w:cstheme="minorHAnsi"/>
              <w:sz w:val="22"/>
              <w:szCs w:val="22"/>
            </w:rPr>
            <w:instrText xml:space="preserve">CITATION Equ13 \l 2057 </w:instrText>
          </w:r>
          <w:r w:rsidR="003D5A28" w:rsidRPr="00D60C83">
            <w:rPr>
              <w:rFonts w:asciiTheme="minorHAnsi" w:hAnsiTheme="minorHAnsi" w:cstheme="minorHAnsi"/>
              <w:sz w:val="22"/>
              <w:szCs w:val="22"/>
            </w:rPr>
            <w:fldChar w:fldCharType="separate"/>
          </w:r>
          <w:r w:rsidR="003D5A28" w:rsidRPr="00D60C83">
            <w:rPr>
              <w:rFonts w:asciiTheme="minorHAnsi" w:hAnsiTheme="minorHAnsi" w:cstheme="minorHAnsi"/>
              <w:noProof/>
              <w:sz w:val="22"/>
              <w:szCs w:val="22"/>
            </w:rPr>
            <w:t>(Jackson, 2013)</w:t>
          </w:r>
          <w:r w:rsidR="003D5A28" w:rsidRPr="00D60C83">
            <w:rPr>
              <w:rFonts w:asciiTheme="minorHAnsi" w:hAnsiTheme="minorHAnsi" w:cstheme="minorHAnsi"/>
              <w:sz w:val="22"/>
              <w:szCs w:val="22"/>
            </w:rPr>
            <w:fldChar w:fldCharType="end"/>
          </w:r>
        </w:sdtContent>
      </w:sdt>
    </w:p>
    <w:p w14:paraId="729209E0" w14:textId="7C4811FD" w:rsidR="00B47972" w:rsidRPr="00D60C83" w:rsidRDefault="00B47972"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Demand planning vs build to order</w:t>
      </w:r>
    </w:p>
    <w:p w14:paraId="73E700B5" w14:textId="123B4B45" w:rsidR="00B47972" w:rsidRPr="00D60C83" w:rsidRDefault="00B47972"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JCB has always built to order – this minimises the liability of finished goods however, it means our supply chain economics may not be optimised in terms of procurement batches / lots and our the supply time to customers is prolonged in comparison to competitors.  The speed of supply needs to be assessed in terms of value for our customers.</w:t>
      </w:r>
    </w:p>
    <w:p w14:paraId="08EB3496" w14:textId="33D9C445" w:rsidR="00B47972" w:rsidRPr="00D60C83" w:rsidRDefault="00B47972" w:rsidP="0011055B">
      <w:pPr>
        <w:pStyle w:val="NormalWeb"/>
        <w:numPr>
          <w:ilvl w:val="4"/>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Extending lean methodologies will optimise the make to order efficiency but may not quickly offset the value of speed to supply to customers.</w:t>
      </w:r>
    </w:p>
    <w:p w14:paraId="18A40CEC" w14:textId="79152BEA" w:rsidR="00B47972" w:rsidRPr="00D60C83" w:rsidRDefault="00B47972" w:rsidP="0011055B">
      <w:pPr>
        <w:pStyle w:val="NormalWeb"/>
        <w:numPr>
          <w:ilvl w:val="3"/>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 xml:space="preserve">Introducing a mix of ‘build to order’ and ‘building to forecast’ should be considered.  A task force to </w:t>
      </w:r>
      <w:r w:rsidR="00076C73" w:rsidRPr="00D60C83">
        <w:rPr>
          <w:rFonts w:asciiTheme="minorHAnsi" w:hAnsiTheme="minorHAnsi" w:cstheme="minorHAnsi"/>
          <w:sz w:val="22"/>
          <w:szCs w:val="22"/>
        </w:rPr>
        <w:t>assess</w:t>
      </w:r>
      <w:r w:rsidRPr="00D60C83">
        <w:rPr>
          <w:rFonts w:asciiTheme="minorHAnsi" w:hAnsiTheme="minorHAnsi" w:cstheme="minorHAnsi"/>
          <w:sz w:val="22"/>
          <w:szCs w:val="22"/>
        </w:rPr>
        <w:t xml:space="preserve"> what product lines could adopt this model with low risk of redundancy or parking lot time. </w:t>
      </w:r>
    </w:p>
    <w:p w14:paraId="4715407A" w14:textId="77777777" w:rsidR="0073546A" w:rsidRPr="00D60C83" w:rsidRDefault="0073546A" w:rsidP="0011055B">
      <w:pPr>
        <w:pStyle w:val="ListParagraph"/>
        <w:spacing w:line="276" w:lineRule="auto"/>
        <w:ind w:left="360"/>
        <w:rPr>
          <w:rFonts w:asciiTheme="minorHAnsi" w:hAnsiTheme="minorHAnsi" w:cstheme="minorHAnsi"/>
          <w:sz w:val="24"/>
          <w:szCs w:val="24"/>
        </w:rPr>
      </w:pPr>
    </w:p>
    <w:p w14:paraId="4AF4549E" w14:textId="46EB7586" w:rsidR="0073546A" w:rsidRPr="00D60C83" w:rsidRDefault="0073546A" w:rsidP="0011055B">
      <w:pPr>
        <w:pStyle w:val="NormalWeb"/>
        <w:numPr>
          <w:ilvl w:val="0"/>
          <w:numId w:val="5"/>
        </w:numPr>
        <w:shd w:val="clear" w:color="auto" w:fill="FFFFFF"/>
        <w:spacing w:before="0" w:beforeAutospacing="0" w:line="276" w:lineRule="auto"/>
        <w:rPr>
          <w:rStyle w:val="BookTitle"/>
        </w:rPr>
      </w:pPr>
      <w:r w:rsidRPr="00D60C83">
        <w:rPr>
          <w:rStyle w:val="BookTitle"/>
        </w:rPr>
        <w:t>World Economic Outlook</w:t>
      </w:r>
      <w:sdt>
        <w:sdtPr>
          <w:rPr>
            <w:rStyle w:val="BookTitle"/>
          </w:rPr>
          <w:id w:val="-1934045943"/>
          <w:citation/>
        </w:sdtPr>
        <w:sdtEndPr>
          <w:rPr>
            <w:rStyle w:val="BookTitle"/>
          </w:rPr>
        </w:sdtEndPr>
        <w:sdtContent>
          <w:r w:rsidR="00D60C83" w:rsidRPr="00D60C83">
            <w:rPr>
              <w:rStyle w:val="BookTitle"/>
            </w:rPr>
            <w:fldChar w:fldCharType="begin"/>
          </w:r>
          <w:r w:rsidR="00D60C83" w:rsidRPr="00D60C83">
            <w:rPr>
              <w:rStyle w:val="BookTitle"/>
            </w:rPr>
            <w:instrText xml:space="preserve"> CITATION IMF18 \l 2057 </w:instrText>
          </w:r>
          <w:r w:rsidR="00D60C83" w:rsidRPr="00D60C83">
            <w:rPr>
              <w:rStyle w:val="BookTitle"/>
            </w:rPr>
            <w:fldChar w:fldCharType="separate"/>
          </w:r>
          <w:r w:rsidR="00D60C83" w:rsidRPr="00D60C83">
            <w:rPr>
              <w:rStyle w:val="BookTitle"/>
            </w:rPr>
            <w:t xml:space="preserve"> (IMF, 2018)</w:t>
          </w:r>
          <w:r w:rsidR="00D60C83" w:rsidRPr="00D60C83">
            <w:rPr>
              <w:rStyle w:val="BookTitle"/>
            </w:rPr>
            <w:fldChar w:fldCharType="end"/>
          </w:r>
        </w:sdtContent>
      </w:sdt>
    </w:p>
    <w:p w14:paraId="6543BB3A" w14:textId="1CF3D7CB" w:rsidR="0073546A" w:rsidRPr="00D60C83" w:rsidRDefault="00D60C83" w:rsidP="0011055B">
      <w:pPr>
        <w:pStyle w:val="NormalWeb"/>
        <w:shd w:val="clear" w:color="auto" w:fill="FFFFFF"/>
        <w:spacing w:before="0" w:beforeAutospacing="0" w:line="276" w:lineRule="auto"/>
        <w:ind w:left="792"/>
        <w:rPr>
          <w:rFonts w:asciiTheme="minorHAnsi" w:hAnsiTheme="minorHAnsi" w:cstheme="minorHAnsi"/>
          <w:sz w:val="22"/>
          <w:szCs w:val="22"/>
        </w:rPr>
      </w:pPr>
      <w:r w:rsidRPr="00D60C83">
        <w:rPr>
          <w:rFonts w:asciiTheme="minorHAnsi" w:hAnsiTheme="minorHAnsi" w:cstheme="minorHAnsi"/>
          <w:sz w:val="22"/>
          <w:szCs w:val="22"/>
        </w:rPr>
        <w:t>The following concerns raised by the IMF will not be explored for JCB: “</w:t>
      </w:r>
      <w:r w:rsidR="0073546A" w:rsidRPr="00D60C83">
        <w:rPr>
          <w:rFonts w:asciiTheme="minorHAnsi" w:hAnsiTheme="minorHAnsi" w:cstheme="minorHAnsi"/>
          <w:sz w:val="22"/>
          <w:szCs w:val="22"/>
        </w:rPr>
        <w:t>slow growth in labour productivity combined with aging populations in developed countries and the rise in AI and robotics.</w:t>
      </w:r>
      <w:r w:rsidRPr="00D60C83">
        <w:rPr>
          <w:rFonts w:asciiTheme="minorHAnsi" w:hAnsiTheme="minorHAnsi" w:cstheme="minorHAnsi"/>
          <w:sz w:val="22"/>
          <w:szCs w:val="22"/>
        </w:rPr>
        <w:t>”</w:t>
      </w:r>
      <w:r w:rsidR="0073546A" w:rsidRPr="00D60C83">
        <w:rPr>
          <w:rFonts w:asciiTheme="minorHAnsi" w:hAnsiTheme="minorHAnsi" w:cstheme="minorHAnsi"/>
          <w:sz w:val="22"/>
          <w:szCs w:val="22"/>
        </w:rPr>
        <w:t xml:space="preserve"> </w:t>
      </w:r>
    </w:p>
    <w:p w14:paraId="3C42AF16" w14:textId="35CED9D8" w:rsidR="0073546A" w:rsidRPr="00D60C83" w:rsidRDefault="00D60C83" w:rsidP="0011055B">
      <w:pPr>
        <w:pStyle w:val="NormalWeb"/>
        <w:numPr>
          <w:ilvl w:val="1"/>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Labour rates</w:t>
      </w:r>
    </w:p>
    <w:p w14:paraId="18135BA0" w14:textId="10F4C510" w:rsidR="00D60C83" w:rsidRDefault="00D60C83"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sidRPr="00D60C83">
        <w:rPr>
          <w:rFonts w:asciiTheme="minorHAnsi" w:hAnsiTheme="minorHAnsi" w:cstheme="minorHAnsi"/>
          <w:sz w:val="22"/>
          <w:szCs w:val="22"/>
        </w:rPr>
        <w:t>Declining populations in both Advanced and emerging economies will present challenges in JCB production but may also influence the need to design products that are less reliant on people.</w:t>
      </w:r>
    </w:p>
    <w:p w14:paraId="19389E27" w14:textId="290E8FDE" w:rsidR="00E475F1" w:rsidRPr="00D60C83" w:rsidRDefault="00E475F1" w:rsidP="0011055B">
      <w:pPr>
        <w:pStyle w:val="NormalWeb"/>
        <w:numPr>
          <w:ilvl w:val="2"/>
          <w:numId w:val="5"/>
        </w:numPr>
        <w:shd w:val="clear" w:color="auto" w:fill="FFFFFF"/>
        <w:spacing w:before="0" w:beforeAutospacing="0" w:line="276" w:lineRule="auto"/>
        <w:rPr>
          <w:rFonts w:asciiTheme="minorHAnsi" w:hAnsiTheme="minorHAnsi" w:cstheme="minorHAnsi"/>
          <w:sz w:val="22"/>
          <w:szCs w:val="22"/>
        </w:rPr>
      </w:pPr>
      <w:r>
        <w:rPr>
          <w:rFonts w:asciiTheme="minorHAnsi" w:hAnsiTheme="minorHAnsi" w:cstheme="minorHAnsi"/>
          <w:sz w:val="22"/>
          <w:szCs w:val="22"/>
        </w:rPr>
        <w:t>Furthermore, the impact of migration could skew the workforce availability across economies.</w:t>
      </w:r>
    </w:p>
    <w:p w14:paraId="5B87F39B" w14:textId="1C3F32CF" w:rsidR="00D60C83" w:rsidRDefault="00E475F1" w:rsidP="0011055B">
      <w:pPr>
        <w:pStyle w:val="NormalWeb"/>
        <w:shd w:val="clear" w:color="auto" w:fill="FFFFFF"/>
        <w:spacing w:before="0" w:beforeAutospacing="0" w:line="276" w:lineRule="auto"/>
        <w:ind w:left="1224"/>
        <w:jc w:val="center"/>
        <w:rPr>
          <w:rFonts w:asciiTheme="minorHAnsi" w:hAnsiTheme="minorHAnsi" w:cstheme="minorHAnsi"/>
          <w:sz w:val="22"/>
          <w:szCs w:val="22"/>
        </w:rPr>
      </w:pPr>
      <w:r>
        <w:rPr>
          <w:noProof/>
        </w:rPr>
        <w:lastRenderedPageBreak/>
        <w:drawing>
          <wp:inline distT="0" distB="0" distL="0" distR="0" wp14:anchorId="336F09FE" wp14:editId="45DF2299">
            <wp:extent cx="2609850" cy="69246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609850" cy="6924675"/>
                    </a:xfrm>
                    <a:prstGeom prst="rect">
                      <a:avLst/>
                    </a:prstGeom>
                  </pic:spPr>
                </pic:pic>
              </a:graphicData>
            </a:graphic>
          </wp:inline>
        </w:drawing>
      </w:r>
    </w:p>
    <w:p w14:paraId="3F8CDFE7" w14:textId="1D2E9BBD" w:rsidR="00E475F1" w:rsidRDefault="00E475F1" w:rsidP="0011055B">
      <w:pPr>
        <w:pStyle w:val="Caption"/>
        <w:spacing w:line="276" w:lineRule="auto"/>
        <w:jc w:val="center"/>
        <w:rPr>
          <w:rFonts w:asciiTheme="minorHAnsi" w:hAnsiTheme="minorHAnsi" w:cstheme="minorHAnsi"/>
          <w:sz w:val="22"/>
          <w:szCs w:val="22"/>
        </w:rPr>
      </w:pPr>
      <w:r>
        <w:t xml:space="preserve">Figure </w:t>
      </w:r>
      <w:r w:rsidR="00664C42">
        <w:fldChar w:fldCharType="begin"/>
      </w:r>
      <w:r w:rsidR="00664C42">
        <w:instrText xml:space="preserve"> SEQ Figure \* ARABIC </w:instrText>
      </w:r>
      <w:r w:rsidR="00664C42">
        <w:fldChar w:fldCharType="separate"/>
      </w:r>
      <w:r>
        <w:rPr>
          <w:noProof/>
        </w:rPr>
        <w:t>3</w:t>
      </w:r>
      <w:r w:rsidR="00664C42">
        <w:rPr>
          <w:noProof/>
        </w:rPr>
        <w:fldChar w:fldCharType="end"/>
      </w:r>
      <w:r>
        <w:t xml:space="preserve"> - Population &amp; Migration projections for Economies</w:t>
      </w:r>
      <w:sdt>
        <w:sdtPr>
          <w:id w:val="1403798046"/>
          <w:citation/>
        </w:sdtPr>
        <w:sdtEndPr/>
        <w:sdtContent>
          <w:r>
            <w:fldChar w:fldCharType="begin"/>
          </w:r>
          <w:r>
            <w:instrText xml:space="preserve"> CITATION IMF181 \l 2057 </w:instrText>
          </w:r>
          <w:r>
            <w:fldChar w:fldCharType="separate"/>
          </w:r>
          <w:r>
            <w:rPr>
              <w:noProof/>
            </w:rPr>
            <w:t xml:space="preserve"> (IMF, 2018)</w:t>
          </w:r>
          <w:r>
            <w:fldChar w:fldCharType="end"/>
          </w:r>
        </w:sdtContent>
      </w:sdt>
    </w:p>
    <w:p w14:paraId="298C931F" w14:textId="77777777" w:rsidR="00E475F1" w:rsidRPr="00D60C83" w:rsidRDefault="00E475F1" w:rsidP="0011055B">
      <w:pPr>
        <w:pStyle w:val="NormalWeb"/>
        <w:shd w:val="clear" w:color="auto" w:fill="FFFFFF"/>
        <w:spacing w:before="0" w:beforeAutospacing="0" w:line="276" w:lineRule="auto"/>
        <w:ind w:left="792"/>
        <w:rPr>
          <w:rFonts w:asciiTheme="minorHAnsi" w:hAnsiTheme="minorHAnsi" w:cstheme="minorHAnsi"/>
          <w:sz w:val="22"/>
          <w:szCs w:val="22"/>
        </w:rPr>
      </w:pPr>
    </w:p>
    <w:p w14:paraId="2D520EB3" w14:textId="77777777" w:rsidR="0011055B" w:rsidRDefault="0011055B" w:rsidP="0011055B">
      <w:pPr>
        <w:spacing w:after="160" w:line="276" w:lineRule="auto"/>
        <w:rPr>
          <w:rStyle w:val="BookTitle"/>
          <w:sz w:val="24"/>
          <w:szCs w:val="24"/>
        </w:rPr>
      </w:pPr>
      <w:r>
        <w:rPr>
          <w:rStyle w:val="BookTitle"/>
        </w:rPr>
        <w:br w:type="page"/>
      </w:r>
    </w:p>
    <w:p w14:paraId="52022251" w14:textId="31308459" w:rsidR="00C4308F" w:rsidRDefault="00E475F1" w:rsidP="0011055B">
      <w:pPr>
        <w:pStyle w:val="NormalWeb"/>
        <w:numPr>
          <w:ilvl w:val="0"/>
          <w:numId w:val="5"/>
        </w:numPr>
        <w:shd w:val="clear" w:color="auto" w:fill="FFFFFF"/>
        <w:spacing w:before="0" w:beforeAutospacing="0" w:line="276" w:lineRule="auto"/>
        <w:rPr>
          <w:rStyle w:val="BookTitle"/>
        </w:rPr>
      </w:pPr>
      <w:r>
        <w:rPr>
          <w:rStyle w:val="BookTitle"/>
        </w:rPr>
        <w:lastRenderedPageBreak/>
        <w:t>Recommendations for JCB</w:t>
      </w:r>
    </w:p>
    <w:p w14:paraId="6F3F252D" w14:textId="4E3A7C88" w:rsidR="00044294" w:rsidRPr="00044294" w:rsidRDefault="00044294" w:rsidP="0011055B">
      <w:pPr>
        <w:pStyle w:val="ListParagraph"/>
        <w:numPr>
          <w:ilvl w:val="1"/>
          <w:numId w:val="5"/>
        </w:numPr>
        <w:spacing w:line="276" w:lineRule="auto"/>
        <w:rPr>
          <w:rStyle w:val="BookTitle"/>
          <w:rFonts w:ascii="Segoe UI" w:hAnsi="Segoe UI" w:cs="Segoe UI"/>
          <w:b w:val="0"/>
          <w:i w:val="0"/>
        </w:rPr>
      </w:pPr>
      <w:r w:rsidRPr="00044294">
        <w:rPr>
          <w:rStyle w:val="BookTitle"/>
          <w:rFonts w:ascii="Segoe UI" w:hAnsi="Segoe UI" w:cs="Segoe UI"/>
          <w:b w:val="0"/>
          <w:i w:val="0"/>
        </w:rPr>
        <w:t>Make manufacturing Smart</w:t>
      </w:r>
      <w:r w:rsidR="000D7FE3">
        <w:rPr>
          <w:rStyle w:val="BookTitle"/>
          <w:rFonts w:ascii="Segoe UI" w:hAnsi="Segoe UI" w:cs="Segoe UI"/>
          <w:b w:val="0"/>
          <w:i w:val="0"/>
        </w:rPr>
        <w:t xml:space="preserve"> &amp; Connected</w:t>
      </w:r>
    </w:p>
    <w:p w14:paraId="2FFED800" w14:textId="7C88F2B7" w:rsidR="00044294" w:rsidRDefault="00044294" w:rsidP="0011055B">
      <w:pPr>
        <w:pStyle w:val="ListParagraph"/>
        <w:numPr>
          <w:ilvl w:val="2"/>
          <w:numId w:val="5"/>
        </w:numPr>
        <w:spacing w:line="276" w:lineRule="auto"/>
        <w:rPr>
          <w:rStyle w:val="BookTitle"/>
          <w:rFonts w:ascii="Segoe UI" w:hAnsi="Segoe UI" w:cs="Segoe UI"/>
          <w:b w:val="0"/>
          <w:i w:val="0"/>
        </w:rPr>
      </w:pPr>
      <w:r>
        <w:rPr>
          <w:rStyle w:val="BookTitle"/>
          <w:rFonts w:ascii="Segoe UI" w:hAnsi="Segoe UI" w:cs="Segoe UI"/>
          <w:b w:val="0"/>
          <w:i w:val="0"/>
        </w:rPr>
        <w:t>We have already established the need to be “lean” and win in pricing by reducing manufacturing costs through scale and introducing some hybrid demand and build forecasting.</w:t>
      </w:r>
    </w:p>
    <w:p w14:paraId="2CD46166" w14:textId="13FC91BB" w:rsidR="00044294" w:rsidRDefault="00044294" w:rsidP="0011055B">
      <w:pPr>
        <w:pStyle w:val="ListParagraph"/>
        <w:numPr>
          <w:ilvl w:val="2"/>
          <w:numId w:val="5"/>
        </w:numPr>
        <w:spacing w:line="276" w:lineRule="auto"/>
        <w:rPr>
          <w:rStyle w:val="BookTitle"/>
          <w:rFonts w:ascii="Segoe UI" w:hAnsi="Segoe UI" w:cs="Segoe UI"/>
          <w:b w:val="0"/>
          <w:i w:val="0"/>
        </w:rPr>
      </w:pPr>
      <w:r>
        <w:rPr>
          <w:rStyle w:val="BookTitle"/>
          <w:rFonts w:ascii="Segoe UI" w:hAnsi="Segoe UI" w:cs="Segoe UI"/>
          <w:b w:val="0"/>
          <w:i w:val="0"/>
        </w:rPr>
        <w:t>Line based manufacturing industries are changing globally, and the use of automation is increasing rapidly.  This may be difficult to imagine for our diverse product lines however, with some re-modelling of what, where and how we produce we can take advantage of automation.</w:t>
      </w:r>
    </w:p>
    <w:p w14:paraId="5B6F8009" w14:textId="2D0DAE2E" w:rsidR="00044294" w:rsidRDefault="00044294" w:rsidP="0011055B">
      <w:pPr>
        <w:pStyle w:val="ListParagraph"/>
        <w:numPr>
          <w:ilvl w:val="3"/>
          <w:numId w:val="5"/>
        </w:numPr>
        <w:spacing w:line="276" w:lineRule="auto"/>
        <w:rPr>
          <w:rStyle w:val="BookTitle"/>
          <w:rFonts w:ascii="Segoe UI" w:hAnsi="Segoe UI" w:cs="Segoe UI"/>
          <w:b w:val="0"/>
          <w:i w:val="0"/>
        </w:rPr>
      </w:pPr>
      <w:r>
        <w:rPr>
          <w:rStyle w:val="BookTitle"/>
          <w:rFonts w:ascii="Segoe UI" w:hAnsi="Segoe UI" w:cs="Segoe UI"/>
          <w:b w:val="0"/>
          <w:i w:val="0"/>
        </w:rPr>
        <w:t>Identify our single biggest product line (by volume)</w:t>
      </w:r>
      <w:r w:rsidR="005637AE">
        <w:rPr>
          <w:rStyle w:val="BookTitle"/>
          <w:rFonts w:ascii="Segoe UI" w:hAnsi="Segoe UI" w:cs="Segoe UI"/>
          <w:b w:val="0"/>
          <w:i w:val="0"/>
        </w:rPr>
        <w:t>.</w:t>
      </w:r>
    </w:p>
    <w:p w14:paraId="00DFE738" w14:textId="08194AF0" w:rsidR="005637AE" w:rsidRDefault="005637AE" w:rsidP="0011055B">
      <w:pPr>
        <w:pStyle w:val="ListParagraph"/>
        <w:numPr>
          <w:ilvl w:val="3"/>
          <w:numId w:val="5"/>
        </w:numPr>
        <w:spacing w:line="276" w:lineRule="auto"/>
        <w:rPr>
          <w:rStyle w:val="BookTitle"/>
          <w:rFonts w:ascii="Segoe UI" w:hAnsi="Segoe UI" w:cs="Segoe UI"/>
          <w:b w:val="0"/>
          <w:i w:val="0"/>
        </w:rPr>
      </w:pPr>
      <w:r>
        <w:rPr>
          <w:rStyle w:val="BookTitle"/>
          <w:rFonts w:ascii="Segoe UI" w:hAnsi="Segoe UI" w:cs="Segoe UI"/>
          <w:b w:val="0"/>
          <w:i w:val="0"/>
        </w:rPr>
        <w:t>Rationalise the sites (what can be amalgamated) for this product and what can be built elsewhere.</w:t>
      </w:r>
    </w:p>
    <w:p w14:paraId="4D5C90C9" w14:textId="370FCA8B" w:rsidR="005637AE" w:rsidRDefault="005637AE" w:rsidP="0011055B">
      <w:pPr>
        <w:pStyle w:val="ListParagraph"/>
        <w:numPr>
          <w:ilvl w:val="3"/>
          <w:numId w:val="5"/>
        </w:numPr>
        <w:spacing w:line="276" w:lineRule="auto"/>
        <w:rPr>
          <w:rStyle w:val="BookTitle"/>
          <w:rFonts w:ascii="Segoe UI" w:hAnsi="Segoe UI" w:cs="Segoe UI"/>
          <w:b w:val="0"/>
          <w:i w:val="0"/>
        </w:rPr>
      </w:pPr>
      <w:r>
        <w:rPr>
          <w:rStyle w:val="BookTitle"/>
          <w:rFonts w:ascii="Segoe UI" w:hAnsi="Segoe UI" w:cs="Segoe UI"/>
          <w:b w:val="0"/>
          <w:i w:val="0"/>
        </w:rPr>
        <w:t>Standardise as much as possible on the product.</w:t>
      </w:r>
    </w:p>
    <w:p w14:paraId="519070C3" w14:textId="7634B924" w:rsidR="005637AE" w:rsidRDefault="005637AE" w:rsidP="0011055B">
      <w:pPr>
        <w:pStyle w:val="ListParagraph"/>
        <w:numPr>
          <w:ilvl w:val="3"/>
          <w:numId w:val="5"/>
        </w:numPr>
        <w:spacing w:line="276" w:lineRule="auto"/>
        <w:rPr>
          <w:rStyle w:val="BookTitle"/>
          <w:rFonts w:ascii="Segoe UI" w:hAnsi="Segoe UI" w:cs="Segoe UI"/>
          <w:b w:val="0"/>
          <w:i w:val="0"/>
        </w:rPr>
      </w:pPr>
      <w:r>
        <w:rPr>
          <w:rStyle w:val="BookTitle"/>
          <w:rFonts w:ascii="Segoe UI" w:hAnsi="Segoe UI" w:cs="Segoe UI"/>
          <w:b w:val="0"/>
          <w:i w:val="0"/>
        </w:rPr>
        <w:t>Design automation to build standard elements.</w:t>
      </w:r>
    </w:p>
    <w:p w14:paraId="5FAF7EB5" w14:textId="094B0E42" w:rsidR="000D7FE3" w:rsidRDefault="000D7FE3" w:rsidP="000D7FE3">
      <w:pPr>
        <w:pStyle w:val="ListParagraph"/>
        <w:numPr>
          <w:ilvl w:val="4"/>
          <w:numId w:val="5"/>
        </w:numPr>
        <w:spacing w:line="276" w:lineRule="auto"/>
        <w:rPr>
          <w:rStyle w:val="BookTitle"/>
          <w:rFonts w:ascii="Segoe UI" w:hAnsi="Segoe UI" w:cs="Segoe UI"/>
          <w:b w:val="0"/>
          <w:i w:val="0"/>
        </w:rPr>
      </w:pPr>
      <w:r>
        <w:rPr>
          <w:rStyle w:val="BookTitle"/>
          <w:rFonts w:ascii="Segoe UI" w:hAnsi="Segoe UI" w:cs="Segoe UI"/>
          <w:b w:val="0"/>
          <w:i w:val="0"/>
        </w:rPr>
        <w:t>Allow for future adaptations</w:t>
      </w:r>
    </w:p>
    <w:p w14:paraId="0F1DFEFA" w14:textId="45B56E57" w:rsidR="005637AE" w:rsidRDefault="005637AE" w:rsidP="0011055B">
      <w:pPr>
        <w:pStyle w:val="ListParagraph"/>
        <w:numPr>
          <w:ilvl w:val="1"/>
          <w:numId w:val="5"/>
        </w:numPr>
        <w:spacing w:line="276" w:lineRule="auto"/>
        <w:rPr>
          <w:rStyle w:val="BookTitle"/>
          <w:rFonts w:ascii="Segoe UI" w:hAnsi="Segoe UI" w:cs="Segoe UI"/>
          <w:b w:val="0"/>
          <w:i w:val="0"/>
        </w:rPr>
      </w:pPr>
      <w:r>
        <w:rPr>
          <w:rStyle w:val="BookTitle"/>
          <w:rFonts w:ascii="Segoe UI" w:hAnsi="Segoe UI" w:cs="Segoe UI"/>
          <w:b w:val="0"/>
          <w:i w:val="0"/>
        </w:rPr>
        <w:t>Use smart manufacturing as a complimentary data set</w:t>
      </w:r>
    </w:p>
    <w:p w14:paraId="0B79E6C5" w14:textId="0064C25A" w:rsidR="005637AE" w:rsidRDefault="005637AE" w:rsidP="0011055B">
      <w:pPr>
        <w:pStyle w:val="ListParagraph"/>
        <w:numPr>
          <w:ilvl w:val="2"/>
          <w:numId w:val="5"/>
        </w:numPr>
        <w:spacing w:line="276" w:lineRule="auto"/>
        <w:rPr>
          <w:rStyle w:val="BookTitle"/>
          <w:rFonts w:ascii="Segoe UI" w:hAnsi="Segoe UI" w:cs="Segoe UI"/>
          <w:b w:val="0"/>
          <w:i w:val="0"/>
        </w:rPr>
      </w:pPr>
      <w:r>
        <w:rPr>
          <w:rStyle w:val="BookTitle"/>
          <w:rFonts w:ascii="Segoe UI" w:hAnsi="Segoe UI" w:cs="Segoe UI"/>
          <w:b w:val="0"/>
          <w:i w:val="0"/>
        </w:rPr>
        <w:t>Besides automation for efficiency in production, adding telemetry during production can aid testing and prediction of quality for produce.</w:t>
      </w:r>
    </w:p>
    <w:p w14:paraId="3480A41A" w14:textId="1CCE4CA8" w:rsidR="005637AE" w:rsidRDefault="005637AE" w:rsidP="0011055B">
      <w:pPr>
        <w:pStyle w:val="ListParagraph"/>
        <w:numPr>
          <w:ilvl w:val="2"/>
          <w:numId w:val="5"/>
        </w:numPr>
        <w:spacing w:line="276" w:lineRule="auto"/>
        <w:rPr>
          <w:rStyle w:val="BookTitle"/>
          <w:rFonts w:ascii="Segoe UI" w:hAnsi="Segoe UI" w:cs="Segoe UI"/>
          <w:b w:val="0"/>
          <w:i w:val="0"/>
        </w:rPr>
      </w:pPr>
      <w:r>
        <w:rPr>
          <w:rStyle w:val="BookTitle"/>
          <w:rFonts w:ascii="Segoe UI" w:hAnsi="Segoe UI" w:cs="Segoe UI"/>
          <w:b w:val="0"/>
          <w:i w:val="0"/>
        </w:rPr>
        <w:t>Add this data to design parameters and in service telemetry and you begin to have a digital twin of your product.  This can rapidly accelerate future development.  It can also boost the quality the customers receive and allow JCB to be more pro-active in reliability support.</w:t>
      </w:r>
    </w:p>
    <w:p w14:paraId="315F83B4" w14:textId="7ED3AFEA" w:rsidR="005637AE" w:rsidRPr="005637AE" w:rsidRDefault="005637AE" w:rsidP="000D7FE3">
      <w:pPr>
        <w:pStyle w:val="ListParagraph"/>
        <w:spacing w:line="276" w:lineRule="auto"/>
        <w:rPr>
          <w:rStyle w:val="BookTitle"/>
          <w:rFonts w:ascii="Segoe UI" w:hAnsi="Segoe UI" w:cs="Segoe UI"/>
          <w:b w:val="0"/>
          <w:i w:val="0"/>
        </w:rPr>
      </w:pPr>
      <w:r>
        <w:rPr>
          <w:rStyle w:val="BookTitle"/>
          <w:rFonts w:ascii="Segoe UI" w:hAnsi="Segoe UI" w:cs="Segoe UI"/>
          <w:b w:val="0"/>
          <w:i w:val="0"/>
        </w:rPr>
        <w:t>The result of introducing this kind of automation and connected technology is that you can reduce the labour involved in manufacturing firstly but subsequently you can impact labour needs for design and service.</w:t>
      </w:r>
    </w:p>
    <w:p w14:paraId="77A887EE" w14:textId="11207A12" w:rsidR="000D7FE3" w:rsidRDefault="000D7FE3" w:rsidP="000D7FE3">
      <w:pPr>
        <w:spacing w:line="276" w:lineRule="auto"/>
        <w:ind w:left="720"/>
        <w:rPr>
          <w:rFonts w:ascii="Segoe UI" w:hAnsi="Segoe UI" w:cs="Segoe UI"/>
        </w:rPr>
      </w:pPr>
      <w:r>
        <w:rPr>
          <w:rFonts w:ascii="Segoe UI" w:hAnsi="Segoe UI" w:cs="Segoe UI"/>
        </w:rPr>
        <w:t xml:space="preserve">Calderone eloquently summarises how industry is becoming connected and the advantages that can be realised.  </w:t>
      </w:r>
      <w:sdt>
        <w:sdtPr>
          <w:rPr>
            <w:rFonts w:ascii="Segoe UI" w:hAnsi="Segoe UI" w:cs="Segoe UI"/>
          </w:rPr>
          <w:id w:val="1686170906"/>
          <w:citation/>
        </w:sdtPr>
        <w:sdtEndPr/>
        <w:sdtContent>
          <w:r>
            <w:rPr>
              <w:rFonts w:ascii="Segoe UI" w:hAnsi="Segoe UI" w:cs="Segoe UI"/>
            </w:rPr>
            <w:fldChar w:fldCharType="begin"/>
          </w:r>
          <w:r>
            <w:rPr>
              <w:rFonts w:ascii="Segoe UI" w:hAnsi="Segoe UI" w:cs="Segoe UI"/>
            </w:rPr>
            <w:instrText xml:space="preserve"> CITATION Cal18 \l 2057 </w:instrText>
          </w:r>
          <w:r>
            <w:rPr>
              <w:rFonts w:ascii="Segoe UI" w:hAnsi="Segoe UI" w:cs="Segoe UI"/>
            </w:rPr>
            <w:fldChar w:fldCharType="separate"/>
          </w:r>
          <w:r w:rsidRPr="000D7FE3">
            <w:rPr>
              <w:rFonts w:ascii="Segoe UI" w:hAnsi="Segoe UI" w:cs="Segoe UI"/>
              <w:noProof/>
            </w:rPr>
            <w:t>(Calderone, 2018)</w:t>
          </w:r>
          <w:r>
            <w:rPr>
              <w:rFonts w:ascii="Segoe UI" w:hAnsi="Segoe UI" w:cs="Segoe UI"/>
            </w:rPr>
            <w:fldChar w:fldCharType="end"/>
          </w:r>
        </w:sdtContent>
      </w:sdt>
    </w:p>
    <w:p w14:paraId="25F7CD4C" w14:textId="4E0A5CA9" w:rsidR="004749F2" w:rsidRDefault="004749F2" w:rsidP="000D7FE3">
      <w:pPr>
        <w:spacing w:line="276" w:lineRule="auto"/>
        <w:ind w:left="720"/>
        <w:rPr>
          <w:rFonts w:ascii="Segoe UI" w:hAnsi="Segoe UI" w:cs="Segoe UI"/>
        </w:rPr>
      </w:pPr>
      <w:r>
        <w:rPr>
          <w:rFonts w:ascii="Segoe UI" w:hAnsi="Segoe UI" w:cs="Segoe UI"/>
        </w:rPr>
        <w:t xml:space="preserve">Our construction industry may be behind </w:t>
      </w:r>
      <w:r w:rsidR="00722EC3">
        <w:rPr>
          <w:rFonts w:ascii="Segoe UI" w:hAnsi="Segoe UI" w:cs="Segoe UI"/>
        </w:rPr>
        <w:t>Silicon Valley</w:t>
      </w:r>
      <w:r>
        <w:rPr>
          <w:rFonts w:ascii="Segoe UI" w:hAnsi="Segoe UI" w:cs="Segoe UI"/>
        </w:rPr>
        <w:t xml:space="preserve"> in terms of it’s adoption of technology but this is changing rapidly.  Smart concrete such as Giatec</w:t>
      </w:r>
      <w:sdt>
        <w:sdtPr>
          <w:rPr>
            <w:rFonts w:ascii="Segoe UI" w:hAnsi="Segoe UI" w:cs="Segoe UI"/>
          </w:rPr>
          <w:id w:val="1291701499"/>
          <w:citation/>
        </w:sdtPr>
        <w:sdtEndPr/>
        <w:sdtContent>
          <w:r>
            <w:rPr>
              <w:rFonts w:ascii="Segoe UI" w:hAnsi="Segoe UI" w:cs="Segoe UI"/>
            </w:rPr>
            <w:fldChar w:fldCharType="begin"/>
          </w:r>
          <w:r>
            <w:rPr>
              <w:rFonts w:ascii="Segoe UI" w:hAnsi="Segoe UI" w:cs="Segoe UI"/>
            </w:rPr>
            <w:instrText xml:space="preserve"> CITATION Gia18 \l 2057 </w:instrText>
          </w:r>
          <w:r>
            <w:rPr>
              <w:rFonts w:ascii="Segoe UI" w:hAnsi="Segoe UI" w:cs="Segoe UI"/>
            </w:rPr>
            <w:fldChar w:fldCharType="separate"/>
          </w:r>
          <w:r>
            <w:rPr>
              <w:rFonts w:ascii="Segoe UI" w:hAnsi="Segoe UI" w:cs="Segoe UI"/>
              <w:noProof/>
            </w:rPr>
            <w:t xml:space="preserve"> </w:t>
          </w:r>
          <w:r w:rsidRPr="004749F2">
            <w:rPr>
              <w:rFonts w:ascii="Segoe UI" w:hAnsi="Segoe UI" w:cs="Segoe UI"/>
              <w:noProof/>
            </w:rPr>
            <w:t>(Giatec, 2018)</w:t>
          </w:r>
          <w:r>
            <w:rPr>
              <w:rFonts w:ascii="Segoe UI" w:hAnsi="Segoe UI" w:cs="Segoe UI"/>
            </w:rPr>
            <w:fldChar w:fldCharType="end"/>
          </w:r>
        </w:sdtContent>
      </w:sdt>
      <w:r>
        <w:rPr>
          <w:rFonts w:ascii="Segoe UI" w:hAnsi="Segoe UI" w:cs="Segoe UI"/>
        </w:rPr>
        <w:t xml:space="preserve"> is a prime example of how the industry is becoming connected and familiar with the benefits.  As such, JCB won’t be alone in educating our customers – in fact, they may be already looking to be connected.</w:t>
      </w:r>
    </w:p>
    <w:p w14:paraId="10142470" w14:textId="6B4D5771" w:rsidR="000D7FE3" w:rsidRDefault="000D7FE3" w:rsidP="000D7FE3">
      <w:pPr>
        <w:pStyle w:val="ListParagraph"/>
        <w:numPr>
          <w:ilvl w:val="1"/>
          <w:numId w:val="5"/>
        </w:numPr>
        <w:spacing w:line="276" w:lineRule="auto"/>
        <w:rPr>
          <w:rFonts w:ascii="Segoe UI" w:hAnsi="Segoe UI" w:cs="Segoe UI"/>
        </w:rPr>
      </w:pPr>
      <w:r>
        <w:rPr>
          <w:rFonts w:ascii="Segoe UI" w:hAnsi="Segoe UI" w:cs="Segoe UI"/>
        </w:rPr>
        <w:t xml:space="preserve">Manufacture in the </w:t>
      </w:r>
      <w:r w:rsidR="004749F2">
        <w:rPr>
          <w:rFonts w:ascii="Segoe UI" w:hAnsi="Segoe UI" w:cs="Segoe UI"/>
        </w:rPr>
        <w:t>emerging target market</w:t>
      </w:r>
    </w:p>
    <w:p w14:paraId="2358FDA4" w14:textId="3906EF35" w:rsidR="000D7FE3" w:rsidRDefault="000D7FE3" w:rsidP="000D7FE3">
      <w:pPr>
        <w:pStyle w:val="ListParagraph"/>
        <w:numPr>
          <w:ilvl w:val="2"/>
          <w:numId w:val="5"/>
        </w:numPr>
        <w:spacing w:line="276" w:lineRule="auto"/>
        <w:rPr>
          <w:rFonts w:ascii="Segoe UI" w:hAnsi="Segoe UI" w:cs="Segoe UI"/>
        </w:rPr>
      </w:pPr>
      <w:r>
        <w:rPr>
          <w:rFonts w:ascii="Segoe UI" w:hAnsi="Segoe UI" w:cs="Segoe UI"/>
        </w:rPr>
        <w:t xml:space="preserve">JCB has over 20 factories globally to ensure supply.  Looking ahead to the growth in construction in China, USA, India and Indonesia, it is essential that we expand and scale production facilities in those regions to </w:t>
      </w:r>
      <w:r w:rsidR="007D51AE">
        <w:rPr>
          <w:rFonts w:ascii="Segoe UI" w:hAnsi="Segoe UI" w:cs="Segoe UI"/>
        </w:rPr>
        <w:t>be competitive on cost and time to supply.</w:t>
      </w:r>
    </w:p>
    <w:p w14:paraId="5A138A29" w14:textId="52B3E545" w:rsidR="007D51AE" w:rsidRPr="000D7FE3" w:rsidRDefault="007D51AE" w:rsidP="000D7FE3">
      <w:pPr>
        <w:pStyle w:val="ListParagraph"/>
        <w:numPr>
          <w:ilvl w:val="2"/>
          <w:numId w:val="5"/>
        </w:numPr>
        <w:spacing w:line="276" w:lineRule="auto"/>
        <w:rPr>
          <w:rFonts w:ascii="Segoe UI" w:hAnsi="Segoe UI" w:cs="Segoe UI"/>
        </w:rPr>
      </w:pPr>
      <w:r>
        <w:rPr>
          <w:rFonts w:ascii="Segoe UI" w:hAnsi="Segoe UI" w:cs="Segoe UI"/>
        </w:rPr>
        <w:t>China may be the single greatest opportunity for growth but also the most difficult to establish our business.  Acquisition of some smaller machinery companies may aid the speed at which we can penetrate China and other markets.  Partnerships could also be considered but due to our strong reliance on reputation and leading technology, a partnership could be a high risk strategy.</w:t>
      </w:r>
    </w:p>
    <w:p w14:paraId="5F8D5DAB" w14:textId="77777777" w:rsidR="000D7FE3" w:rsidRDefault="000D7FE3" w:rsidP="000D7FE3">
      <w:pPr>
        <w:spacing w:line="276" w:lineRule="auto"/>
        <w:rPr>
          <w:rFonts w:ascii="Segoe UI" w:hAnsi="Segoe UI" w:cs="Segoe UI"/>
        </w:rPr>
      </w:pPr>
    </w:p>
    <w:p w14:paraId="716BFBC7" w14:textId="6AA24D37" w:rsidR="000D7FE3" w:rsidRDefault="000D7FE3" w:rsidP="000D7FE3">
      <w:pPr>
        <w:spacing w:line="276" w:lineRule="auto"/>
        <w:rPr>
          <w:rFonts w:ascii="Segoe UI" w:hAnsi="Segoe UI" w:cs="Segoe UI"/>
        </w:rPr>
      </w:pPr>
      <w:r>
        <w:rPr>
          <w:rFonts w:ascii="Segoe UI" w:hAnsi="Segoe UI" w:cs="Segoe UI"/>
        </w:rPr>
        <w:t>In short, JCB should take action now to simultaneously build intelligence into our manufacturing and reduce dependency on labour.</w:t>
      </w:r>
    </w:p>
    <w:p w14:paraId="6F791C0E" w14:textId="2FB5E7B9" w:rsidR="007D51AE" w:rsidRPr="00044294" w:rsidRDefault="007D51AE" w:rsidP="000D7FE3">
      <w:pPr>
        <w:spacing w:line="276" w:lineRule="auto"/>
        <w:rPr>
          <w:rFonts w:ascii="Segoe UI" w:hAnsi="Segoe UI" w:cs="Segoe UI"/>
        </w:rPr>
      </w:pPr>
      <w:r>
        <w:rPr>
          <w:rFonts w:ascii="Segoe UI" w:hAnsi="Segoe UI" w:cs="Segoe UI"/>
        </w:rPr>
        <w:t>Additionally, JCB must scale in emerging markets, especially for construction to ensure we can supply the demand ahead of competitors and secure market share.</w:t>
      </w:r>
    </w:p>
    <w:p w14:paraId="20CE8DA1" w14:textId="2F1C1548" w:rsidR="00297FF0" w:rsidRPr="00D60C83" w:rsidRDefault="00297FF0" w:rsidP="0011055B">
      <w:pPr>
        <w:spacing w:line="276" w:lineRule="auto"/>
        <w:rPr>
          <w:rFonts w:asciiTheme="minorHAnsi" w:hAnsiTheme="minorHAnsi" w:cstheme="minorHAnsi"/>
        </w:rPr>
      </w:pPr>
    </w:p>
    <w:p w14:paraId="6369430C" w14:textId="5D405E09" w:rsidR="00E475F1" w:rsidRDefault="00E475F1" w:rsidP="0011055B">
      <w:pPr>
        <w:spacing w:after="160" w:line="276" w:lineRule="auto"/>
        <w:rPr>
          <w:rFonts w:asciiTheme="minorHAnsi" w:hAnsiTheme="minorHAnsi" w:cstheme="minorHAnsi"/>
        </w:rPr>
      </w:pPr>
      <w:r>
        <w:rPr>
          <w:rFonts w:asciiTheme="minorHAnsi" w:hAnsiTheme="minorHAnsi" w:cstheme="minorHAnsi"/>
        </w:rPr>
        <w:br w:type="page"/>
      </w:r>
    </w:p>
    <w:p w14:paraId="09645823" w14:textId="77777777" w:rsidR="00297FF0" w:rsidRPr="00D60C83" w:rsidRDefault="00297FF0" w:rsidP="0011055B">
      <w:pPr>
        <w:spacing w:line="276" w:lineRule="auto"/>
        <w:rPr>
          <w:rFonts w:asciiTheme="minorHAnsi" w:hAnsiTheme="minorHAnsi" w:cstheme="minorHAnsi"/>
        </w:rPr>
      </w:pPr>
    </w:p>
    <w:p w14:paraId="5D863AEE" w14:textId="77777777" w:rsidR="00297FF0" w:rsidRPr="00D60C83" w:rsidRDefault="00297FF0" w:rsidP="0011055B">
      <w:pPr>
        <w:spacing w:line="276" w:lineRule="auto"/>
        <w:rPr>
          <w:rFonts w:asciiTheme="minorHAnsi" w:hAnsiTheme="minorHAnsi" w:cstheme="minorHAnsi"/>
        </w:rPr>
      </w:pPr>
    </w:p>
    <w:p w14:paraId="43A455A3" w14:textId="1DEDE831" w:rsidR="006A1DC0" w:rsidRPr="00E475F1" w:rsidRDefault="00297FF0" w:rsidP="0011055B">
      <w:pPr>
        <w:pStyle w:val="NormalWeb"/>
        <w:numPr>
          <w:ilvl w:val="0"/>
          <w:numId w:val="5"/>
        </w:numPr>
        <w:shd w:val="clear" w:color="auto" w:fill="FFFFFF"/>
        <w:spacing w:before="0" w:beforeAutospacing="0" w:line="276" w:lineRule="auto"/>
        <w:rPr>
          <w:rStyle w:val="BookTitle"/>
        </w:rPr>
      </w:pPr>
      <w:r w:rsidRPr="00E475F1">
        <w:rPr>
          <w:rStyle w:val="BookTitle"/>
        </w:rPr>
        <w:t>Bibliography</w:t>
      </w:r>
    </w:p>
    <w:p w14:paraId="235E447C" w14:textId="77777777" w:rsidR="00722EC3" w:rsidRDefault="00FC3B0A" w:rsidP="00722EC3">
      <w:pPr>
        <w:pStyle w:val="Bibliography"/>
        <w:rPr>
          <w:noProof/>
          <w:sz w:val="24"/>
          <w:szCs w:val="24"/>
        </w:rPr>
      </w:pPr>
      <w:r w:rsidRPr="00D60C83">
        <w:rPr>
          <w:rFonts w:asciiTheme="minorHAnsi" w:hAnsiTheme="minorHAnsi" w:cstheme="minorHAnsi"/>
          <w:sz w:val="22"/>
          <w:szCs w:val="22"/>
        </w:rPr>
        <w:fldChar w:fldCharType="begin"/>
      </w:r>
      <w:r w:rsidRPr="00D60C83">
        <w:rPr>
          <w:rFonts w:asciiTheme="minorHAnsi" w:hAnsiTheme="minorHAnsi" w:cstheme="minorHAnsi"/>
          <w:sz w:val="22"/>
          <w:szCs w:val="22"/>
        </w:rPr>
        <w:instrText xml:space="preserve"> BIBLIOGRAPHY  \l 2057 </w:instrText>
      </w:r>
      <w:r w:rsidRPr="00D60C83">
        <w:rPr>
          <w:rFonts w:asciiTheme="minorHAnsi" w:hAnsiTheme="minorHAnsi" w:cstheme="minorHAnsi"/>
          <w:sz w:val="22"/>
          <w:szCs w:val="22"/>
        </w:rPr>
        <w:fldChar w:fldCharType="separate"/>
      </w:r>
      <w:r w:rsidR="00722EC3">
        <w:rPr>
          <w:noProof/>
        </w:rPr>
        <w:t xml:space="preserve">Anon., 2017. </w:t>
      </w:r>
      <w:r w:rsidR="00722EC3">
        <w:rPr>
          <w:i/>
          <w:iCs/>
          <w:noProof/>
        </w:rPr>
        <w:t xml:space="preserve">The Statistics Portal. </w:t>
      </w:r>
      <w:r w:rsidR="00722EC3">
        <w:rPr>
          <w:noProof/>
        </w:rPr>
        <w:t xml:space="preserve">[Online] </w:t>
      </w:r>
      <w:r w:rsidR="00722EC3">
        <w:rPr>
          <w:noProof/>
        </w:rPr>
        <w:br/>
        <w:t xml:space="preserve">Available at: </w:t>
      </w:r>
      <w:r w:rsidR="00722EC3">
        <w:rPr>
          <w:noProof/>
          <w:u w:val="single"/>
        </w:rPr>
        <w:t>https://www.statista.com/statistics/270374/main-export-partners-for-the-united-kingdom/</w:t>
      </w:r>
      <w:r w:rsidR="00722EC3">
        <w:rPr>
          <w:noProof/>
        </w:rPr>
        <w:br/>
        <w:t>[Accessed 01 December 2018].</w:t>
      </w:r>
    </w:p>
    <w:p w14:paraId="7275FEFE" w14:textId="77777777" w:rsidR="00722EC3" w:rsidRDefault="00722EC3" w:rsidP="00722EC3">
      <w:pPr>
        <w:pStyle w:val="Bibliography"/>
        <w:rPr>
          <w:noProof/>
        </w:rPr>
      </w:pPr>
      <w:r>
        <w:rPr>
          <w:noProof/>
        </w:rPr>
        <w:t xml:space="preserve">Anon., 2018. </w:t>
      </w:r>
      <w:r>
        <w:rPr>
          <w:i/>
          <w:iCs/>
          <w:noProof/>
        </w:rPr>
        <w:t xml:space="preserve">Brand Addition. </w:t>
      </w:r>
      <w:r>
        <w:rPr>
          <w:noProof/>
        </w:rPr>
        <w:t xml:space="preserve">[Online] </w:t>
      </w:r>
      <w:r>
        <w:rPr>
          <w:noProof/>
        </w:rPr>
        <w:br/>
        <w:t xml:space="preserve">Available at: </w:t>
      </w:r>
      <w:r>
        <w:rPr>
          <w:noProof/>
          <w:u w:val="single"/>
        </w:rPr>
        <w:t>http://www.brandaddition.com/project/jcb/</w:t>
      </w:r>
      <w:r>
        <w:rPr>
          <w:noProof/>
        </w:rPr>
        <w:br/>
        <w:t>[Accessed 01 December 2018].</w:t>
      </w:r>
    </w:p>
    <w:p w14:paraId="33C44E16" w14:textId="77777777" w:rsidR="00722EC3" w:rsidRDefault="00722EC3" w:rsidP="00722EC3">
      <w:pPr>
        <w:pStyle w:val="Bibliography"/>
        <w:rPr>
          <w:noProof/>
        </w:rPr>
      </w:pPr>
      <w:r>
        <w:rPr>
          <w:noProof/>
        </w:rPr>
        <w:t xml:space="preserve">Anon., 2018. </w:t>
      </w:r>
      <w:r>
        <w:rPr>
          <w:i/>
          <w:iCs/>
          <w:noProof/>
        </w:rPr>
        <w:t xml:space="preserve">The Construction Index. </w:t>
      </w:r>
      <w:r>
        <w:rPr>
          <w:noProof/>
        </w:rPr>
        <w:t xml:space="preserve">[Online] </w:t>
      </w:r>
      <w:r>
        <w:rPr>
          <w:noProof/>
        </w:rPr>
        <w:br/>
        <w:t xml:space="preserve">Available at: </w:t>
      </w:r>
      <w:r>
        <w:rPr>
          <w:noProof/>
          <w:u w:val="single"/>
        </w:rPr>
        <w:t>https://www.theconstructionindex.co.uk/news/view/us-army-orders-180-more-jcb-excavators</w:t>
      </w:r>
      <w:r>
        <w:rPr>
          <w:noProof/>
        </w:rPr>
        <w:br/>
        <w:t>[Accessed 01 December 2018].</w:t>
      </w:r>
    </w:p>
    <w:p w14:paraId="0CF4668E" w14:textId="77777777" w:rsidR="00722EC3" w:rsidRDefault="00722EC3" w:rsidP="00722EC3">
      <w:pPr>
        <w:pStyle w:val="Bibliography"/>
        <w:rPr>
          <w:noProof/>
        </w:rPr>
      </w:pPr>
      <w:r>
        <w:rPr>
          <w:noProof/>
        </w:rPr>
        <w:t xml:space="preserve">Bivens, J., 2017. </w:t>
      </w:r>
      <w:r>
        <w:rPr>
          <w:i/>
          <w:iCs/>
          <w:noProof/>
        </w:rPr>
        <w:t xml:space="preserve">EPI. </w:t>
      </w:r>
      <w:r>
        <w:rPr>
          <w:noProof/>
        </w:rPr>
        <w:t xml:space="preserve">[Online] </w:t>
      </w:r>
      <w:r>
        <w:rPr>
          <w:noProof/>
        </w:rPr>
        <w:br/>
        <w:t xml:space="preserve">Available at: </w:t>
      </w:r>
      <w:r>
        <w:rPr>
          <w:noProof/>
          <w:u w:val="single"/>
        </w:rPr>
        <w:t>https://www.epi.org/publication/the-potential-macroeconomic-benefits-from-increasing-infrastructure-investment/</w:t>
      </w:r>
      <w:r>
        <w:rPr>
          <w:noProof/>
        </w:rPr>
        <w:br/>
        <w:t>[Accessed 12 December 2018].</w:t>
      </w:r>
    </w:p>
    <w:p w14:paraId="170F10C8" w14:textId="77777777" w:rsidR="00722EC3" w:rsidRDefault="00722EC3" w:rsidP="00722EC3">
      <w:pPr>
        <w:pStyle w:val="Bibliography"/>
        <w:rPr>
          <w:noProof/>
        </w:rPr>
      </w:pPr>
      <w:r>
        <w:rPr>
          <w:noProof/>
        </w:rPr>
        <w:t xml:space="preserve">Blogger, D., 2013. </w:t>
      </w:r>
      <w:r>
        <w:rPr>
          <w:i/>
          <w:iCs/>
          <w:noProof/>
        </w:rPr>
        <w:t xml:space="preserve">The Construction Index. </w:t>
      </w:r>
      <w:r>
        <w:rPr>
          <w:noProof/>
        </w:rPr>
        <w:t xml:space="preserve">[Online] </w:t>
      </w:r>
      <w:r>
        <w:rPr>
          <w:noProof/>
        </w:rPr>
        <w:br/>
        <w:t xml:space="preserve">Available at: </w:t>
      </w:r>
      <w:r>
        <w:rPr>
          <w:noProof/>
          <w:u w:val="single"/>
        </w:rPr>
        <w:t>https://www.theconstructionindex.co.uk/the-digger-blog/view/did-you-know-jcb-contributes-14-billion-to-gdp</w:t>
      </w:r>
      <w:r>
        <w:rPr>
          <w:noProof/>
        </w:rPr>
        <w:br/>
        <w:t>[Accessed 01 December 2018].</w:t>
      </w:r>
    </w:p>
    <w:p w14:paraId="38038F2A" w14:textId="77777777" w:rsidR="00722EC3" w:rsidRDefault="00722EC3" w:rsidP="00722EC3">
      <w:pPr>
        <w:pStyle w:val="Bibliography"/>
        <w:rPr>
          <w:noProof/>
        </w:rPr>
      </w:pPr>
      <w:r>
        <w:rPr>
          <w:noProof/>
        </w:rPr>
        <w:t xml:space="preserve">Calderone, 2018. </w:t>
      </w:r>
      <w:r>
        <w:rPr>
          <w:i/>
          <w:iCs/>
          <w:noProof/>
        </w:rPr>
        <w:t xml:space="preserve">Manufacturing Tomorrow. </w:t>
      </w:r>
      <w:r>
        <w:rPr>
          <w:noProof/>
        </w:rPr>
        <w:t xml:space="preserve">[Online] </w:t>
      </w:r>
      <w:r>
        <w:rPr>
          <w:noProof/>
        </w:rPr>
        <w:br/>
        <w:t xml:space="preserve">Available at: </w:t>
      </w:r>
      <w:r>
        <w:rPr>
          <w:noProof/>
          <w:u w:val="single"/>
        </w:rPr>
        <w:t>https://www.manufacturingtomorrow.com/article/2018/01/the-connected-factory/10819/</w:t>
      </w:r>
      <w:r>
        <w:rPr>
          <w:noProof/>
        </w:rPr>
        <w:br/>
        <w:t>[Accessed 20 December 2018].</w:t>
      </w:r>
    </w:p>
    <w:p w14:paraId="7B98152C" w14:textId="77777777" w:rsidR="00722EC3" w:rsidRDefault="00722EC3" w:rsidP="00722EC3">
      <w:pPr>
        <w:pStyle w:val="Bibliography"/>
        <w:rPr>
          <w:noProof/>
        </w:rPr>
      </w:pPr>
      <w:r>
        <w:rPr>
          <w:noProof/>
        </w:rPr>
        <w:t xml:space="preserve">Eiji Egawa, K. K. M. I. T. E., 2013. </w:t>
      </w:r>
      <w:r>
        <w:rPr>
          <w:i/>
          <w:iCs/>
          <w:noProof/>
        </w:rPr>
        <w:t xml:space="preserve">Use of Construction Machinery in Earthquake Recovery, </w:t>
      </w:r>
      <w:r>
        <w:rPr>
          <w:noProof/>
        </w:rPr>
        <w:t>s.l.: Hitachi.</w:t>
      </w:r>
    </w:p>
    <w:p w14:paraId="14712DCD" w14:textId="77777777" w:rsidR="00722EC3" w:rsidRDefault="00722EC3" w:rsidP="00722EC3">
      <w:pPr>
        <w:pStyle w:val="Bibliography"/>
        <w:rPr>
          <w:noProof/>
        </w:rPr>
      </w:pPr>
      <w:r>
        <w:rPr>
          <w:noProof/>
        </w:rPr>
        <w:t xml:space="preserve">Giatec, 2018. </w:t>
      </w:r>
      <w:r>
        <w:rPr>
          <w:i/>
          <w:iCs/>
          <w:noProof/>
        </w:rPr>
        <w:t xml:space="preserve">Giatec. </w:t>
      </w:r>
      <w:r>
        <w:rPr>
          <w:noProof/>
        </w:rPr>
        <w:t xml:space="preserve">[Online] </w:t>
      </w:r>
      <w:r>
        <w:rPr>
          <w:noProof/>
        </w:rPr>
        <w:br/>
        <w:t xml:space="preserve">Available at: </w:t>
      </w:r>
      <w:r>
        <w:rPr>
          <w:noProof/>
          <w:u w:val="single"/>
        </w:rPr>
        <w:t>https://www.giatecscientific.com/case-studies/</w:t>
      </w:r>
      <w:r>
        <w:rPr>
          <w:noProof/>
        </w:rPr>
        <w:br/>
        <w:t>[Accessed 2018].</w:t>
      </w:r>
    </w:p>
    <w:p w14:paraId="54F6CBD7" w14:textId="77777777" w:rsidR="00722EC3" w:rsidRDefault="00722EC3" w:rsidP="00722EC3">
      <w:pPr>
        <w:pStyle w:val="Bibliography"/>
        <w:rPr>
          <w:noProof/>
        </w:rPr>
      </w:pPr>
      <w:r>
        <w:rPr>
          <w:noProof/>
        </w:rPr>
        <w:t xml:space="preserve">Hayes, A., n.d. </w:t>
      </w:r>
      <w:r>
        <w:rPr>
          <w:i/>
          <w:iCs/>
          <w:noProof/>
        </w:rPr>
        <w:t xml:space="preserve">Investopedia. </w:t>
      </w:r>
      <w:r>
        <w:rPr>
          <w:noProof/>
        </w:rPr>
        <w:t xml:space="preserve">[Online] </w:t>
      </w:r>
      <w:r>
        <w:rPr>
          <w:noProof/>
        </w:rPr>
        <w:br/>
        <w:t xml:space="preserve">Available at: </w:t>
      </w:r>
      <w:r>
        <w:rPr>
          <w:noProof/>
          <w:u w:val="single"/>
        </w:rPr>
        <w:t>https://www.investopedia.com/university/economics/economics4.asp</w:t>
      </w:r>
      <w:r>
        <w:rPr>
          <w:noProof/>
        </w:rPr>
        <w:br/>
        <w:t>[Accessed 20 December 2018].</w:t>
      </w:r>
    </w:p>
    <w:p w14:paraId="1AF6E40E" w14:textId="77777777" w:rsidR="00722EC3" w:rsidRDefault="00722EC3" w:rsidP="00722EC3">
      <w:pPr>
        <w:pStyle w:val="Bibliography"/>
        <w:rPr>
          <w:noProof/>
        </w:rPr>
      </w:pPr>
      <w:r>
        <w:rPr>
          <w:noProof/>
        </w:rPr>
        <w:t xml:space="preserve">IMF, 2018. </w:t>
      </w:r>
      <w:r>
        <w:rPr>
          <w:i/>
          <w:iCs/>
          <w:noProof/>
        </w:rPr>
        <w:t xml:space="preserve">Chapter 2: LABOR FORCE PARTICIPATION IN ADVANCED ECONOMIES: DRIVERS, </w:t>
      </w:r>
      <w:r>
        <w:rPr>
          <w:noProof/>
        </w:rPr>
        <w:t>Washington DC: IMF.</w:t>
      </w:r>
    </w:p>
    <w:p w14:paraId="0C97A49C" w14:textId="77777777" w:rsidR="00722EC3" w:rsidRDefault="00722EC3" w:rsidP="00722EC3">
      <w:pPr>
        <w:pStyle w:val="Bibliography"/>
        <w:rPr>
          <w:noProof/>
        </w:rPr>
      </w:pPr>
      <w:r>
        <w:rPr>
          <w:noProof/>
        </w:rPr>
        <w:t xml:space="preserve">IMF, 2018. </w:t>
      </w:r>
      <w:r>
        <w:rPr>
          <w:i/>
          <w:iCs/>
          <w:noProof/>
        </w:rPr>
        <w:t xml:space="preserve">IMF. </w:t>
      </w:r>
      <w:r>
        <w:rPr>
          <w:noProof/>
        </w:rPr>
        <w:t xml:space="preserve">[Online] </w:t>
      </w:r>
      <w:r>
        <w:rPr>
          <w:noProof/>
        </w:rPr>
        <w:br/>
        <w:t xml:space="preserve">Available at: </w:t>
      </w:r>
      <w:r>
        <w:rPr>
          <w:noProof/>
          <w:u w:val="single"/>
        </w:rPr>
        <w:t>https://www.imf.org/en/Publications/WEO/Issues/2018/03/20/world-economic-outlook-april-2018</w:t>
      </w:r>
      <w:r>
        <w:rPr>
          <w:noProof/>
        </w:rPr>
        <w:br/>
        <w:t>[Accessed 20 December 2018].</w:t>
      </w:r>
    </w:p>
    <w:p w14:paraId="3092BF01" w14:textId="77777777" w:rsidR="00722EC3" w:rsidRDefault="00722EC3" w:rsidP="00722EC3">
      <w:pPr>
        <w:pStyle w:val="Bibliography"/>
        <w:rPr>
          <w:noProof/>
        </w:rPr>
      </w:pPr>
      <w:r>
        <w:rPr>
          <w:noProof/>
        </w:rPr>
        <w:t xml:space="preserve">Jackson, T., 2013. </w:t>
      </w:r>
      <w:r>
        <w:rPr>
          <w:i/>
          <w:iCs/>
          <w:noProof/>
        </w:rPr>
        <w:t xml:space="preserve">Equipment World. </w:t>
      </w:r>
      <w:r>
        <w:rPr>
          <w:noProof/>
        </w:rPr>
        <w:t xml:space="preserve">[Online] </w:t>
      </w:r>
      <w:r>
        <w:rPr>
          <w:noProof/>
        </w:rPr>
        <w:br/>
        <w:t xml:space="preserve">Available at: </w:t>
      </w:r>
      <w:r>
        <w:rPr>
          <w:noProof/>
          <w:u w:val="single"/>
        </w:rPr>
        <w:t>https://www.equipmentworld.com/the-innovations-center-where-jcbs-equipment-design-magic-happens/</w:t>
      </w:r>
      <w:r>
        <w:rPr>
          <w:noProof/>
        </w:rPr>
        <w:br/>
        <w:t>[Accessed 20 December 2018].</w:t>
      </w:r>
    </w:p>
    <w:p w14:paraId="08B64409" w14:textId="77777777" w:rsidR="00722EC3" w:rsidRDefault="00722EC3" w:rsidP="00722EC3">
      <w:pPr>
        <w:pStyle w:val="Bibliography"/>
        <w:rPr>
          <w:noProof/>
        </w:rPr>
      </w:pPr>
      <w:r>
        <w:rPr>
          <w:noProof/>
        </w:rPr>
        <w:t xml:space="preserve">JCB, 2018. </w:t>
      </w:r>
      <w:r>
        <w:rPr>
          <w:i/>
          <w:iCs/>
          <w:noProof/>
        </w:rPr>
        <w:t xml:space="preserve">JCB. </w:t>
      </w:r>
      <w:r>
        <w:rPr>
          <w:noProof/>
        </w:rPr>
        <w:t xml:space="preserve">[Online] </w:t>
      </w:r>
      <w:r>
        <w:rPr>
          <w:noProof/>
        </w:rPr>
        <w:br/>
        <w:t xml:space="preserve">Available at: </w:t>
      </w:r>
      <w:r>
        <w:rPr>
          <w:noProof/>
          <w:u w:val="single"/>
        </w:rPr>
        <w:t>https://www.jcb.com/en-gb/news/2018/09/record-sales-for-jcb-as-market-rebound-stays-strong</w:t>
      </w:r>
      <w:r>
        <w:rPr>
          <w:noProof/>
        </w:rPr>
        <w:br/>
        <w:t>[Accessed 01 December 2018].</w:t>
      </w:r>
    </w:p>
    <w:p w14:paraId="535CC95C" w14:textId="77777777" w:rsidR="00722EC3" w:rsidRDefault="00722EC3" w:rsidP="00722EC3">
      <w:pPr>
        <w:pStyle w:val="Bibliography"/>
        <w:rPr>
          <w:noProof/>
        </w:rPr>
      </w:pPr>
      <w:r>
        <w:rPr>
          <w:noProof/>
        </w:rPr>
        <w:t xml:space="preserve">Mills, F., 2016. </w:t>
      </w:r>
      <w:r>
        <w:rPr>
          <w:i/>
          <w:iCs/>
          <w:noProof/>
        </w:rPr>
        <w:t xml:space="preserve">The B1M. </w:t>
      </w:r>
      <w:r>
        <w:rPr>
          <w:noProof/>
        </w:rPr>
        <w:t xml:space="preserve">[Online] </w:t>
      </w:r>
      <w:r>
        <w:rPr>
          <w:noProof/>
        </w:rPr>
        <w:br/>
        <w:t xml:space="preserve">Available at: </w:t>
      </w:r>
      <w:r>
        <w:rPr>
          <w:noProof/>
          <w:u w:val="single"/>
        </w:rPr>
        <w:t>https://www.theb1m.com/video/top-5-construction-markets-by-2030</w:t>
      </w:r>
      <w:r>
        <w:rPr>
          <w:noProof/>
        </w:rPr>
        <w:br/>
        <w:t>[Accessed 01 December 2018].</w:t>
      </w:r>
    </w:p>
    <w:p w14:paraId="29A5C230" w14:textId="77777777" w:rsidR="00722EC3" w:rsidRDefault="00722EC3" w:rsidP="00722EC3">
      <w:pPr>
        <w:pStyle w:val="Bibliography"/>
        <w:rPr>
          <w:noProof/>
        </w:rPr>
      </w:pPr>
      <w:r>
        <w:rPr>
          <w:noProof/>
        </w:rPr>
        <w:t xml:space="preserve">ONS, 2018. </w:t>
      </w:r>
      <w:r>
        <w:rPr>
          <w:i/>
          <w:iCs/>
          <w:noProof/>
        </w:rPr>
        <w:t xml:space="preserve">ONS. </w:t>
      </w:r>
      <w:r>
        <w:rPr>
          <w:noProof/>
        </w:rPr>
        <w:t xml:space="preserve">[Online] </w:t>
      </w:r>
      <w:r>
        <w:rPr>
          <w:noProof/>
        </w:rPr>
        <w:br/>
        <w:t xml:space="preserve">Available at: </w:t>
      </w:r>
      <w:r>
        <w:rPr>
          <w:noProof/>
          <w:u w:val="single"/>
        </w:rPr>
        <w:t>https://www.ons.gov.uk/businessindustryandtrade/constructionindustry/bulletins/constructionoutputingreatbritain/october2018andnewordersjulytoseptember2018</w:t>
      </w:r>
      <w:r>
        <w:rPr>
          <w:noProof/>
        </w:rPr>
        <w:br/>
        <w:t>[Accessed 30 December 2018].</w:t>
      </w:r>
    </w:p>
    <w:p w14:paraId="57177744" w14:textId="77777777" w:rsidR="00722EC3" w:rsidRDefault="00722EC3" w:rsidP="00722EC3">
      <w:pPr>
        <w:pStyle w:val="Bibliography"/>
        <w:rPr>
          <w:noProof/>
        </w:rPr>
      </w:pPr>
      <w:r>
        <w:rPr>
          <w:noProof/>
        </w:rPr>
        <w:t xml:space="preserve">Sengupta, K., 2002. </w:t>
      </w:r>
      <w:r>
        <w:rPr>
          <w:i/>
          <w:iCs/>
          <w:noProof/>
        </w:rPr>
        <w:t xml:space="preserve">Independent. </w:t>
      </w:r>
      <w:r>
        <w:rPr>
          <w:noProof/>
        </w:rPr>
        <w:t xml:space="preserve">[Online] </w:t>
      </w:r>
      <w:r>
        <w:rPr>
          <w:noProof/>
        </w:rPr>
        <w:br/>
        <w:t xml:space="preserve">Available at: </w:t>
      </w:r>
      <w:r>
        <w:rPr>
          <w:noProof/>
          <w:u w:val="single"/>
        </w:rPr>
        <w:t>https://www.independent.co.uk/news/uk/home-news/armys-equipment-exposed-as-unfit-to-fight-desert-war-171614.html</w:t>
      </w:r>
      <w:r>
        <w:rPr>
          <w:noProof/>
        </w:rPr>
        <w:br/>
        <w:t>[Accessed 12 December 2018].</w:t>
      </w:r>
    </w:p>
    <w:p w14:paraId="3A473EA6" w14:textId="77777777" w:rsidR="00722EC3" w:rsidRDefault="00722EC3" w:rsidP="00722EC3">
      <w:pPr>
        <w:pStyle w:val="Bibliography"/>
        <w:rPr>
          <w:noProof/>
        </w:rPr>
      </w:pPr>
      <w:r>
        <w:rPr>
          <w:noProof/>
        </w:rPr>
        <w:t xml:space="preserve">West, K., 2015. </w:t>
      </w:r>
      <w:r>
        <w:rPr>
          <w:i/>
          <w:iCs/>
          <w:noProof/>
        </w:rPr>
        <w:t xml:space="preserve">The Guardian. </w:t>
      </w:r>
      <w:r>
        <w:rPr>
          <w:noProof/>
        </w:rPr>
        <w:t xml:space="preserve">[Online] </w:t>
      </w:r>
      <w:r>
        <w:rPr>
          <w:noProof/>
        </w:rPr>
        <w:br/>
        <w:t xml:space="preserve">Available at: </w:t>
      </w:r>
      <w:r>
        <w:rPr>
          <w:noProof/>
          <w:u w:val="single"/>
        </w:rPr>
        <w:t>https://www.theguardian.com/business/2015/apr/11/jcb-britain-yellow-digger-money-machine-sales</w:t>
      </w:r>
      <w:r>
        <w:rPr>
          <w:noProof/>
        </w:rPr>
        <w:br/>
        <w:t>[Accessed 01 December 2018].</w:t>
      </w:r>
    </w:p>
    <w:p w14:paraId="29806319" w14:textId="7E35072F" w:rsidR="001577A5" w:rsidRPr="00D60C83" w:rsidRDefault="00FC3B0A" w:rsidP="00722EC3">
      <w:pPr>
        <w:spacing w:line="276" w:lineRule="auto"/>
        <w:rPr>
          <w:rFonts w:asciiTheme="minorHAnsi" w:hAnsiTheme="minorHAnsi" w:cstheme="minorHAnsi"/>
          <w:sz w:val="22"/>
          <w:szCs w:val="22"/>
        </w:rPr>
      </w:pPr>
      <w:r w:rsidRPr="00D60C83">
        <w:rPr>
          <w:rFonts w:asciiTheme="minorHAnsi" w:hAnsiTheme="minorHAnsi" w:cstheme="minorHAnsi"/>
          <w:sz w:val="22"/>
          <w:szCs w:val="22"/>
        </w:rPr>
        <w:fldChar w:fldCharType="end"/>
      </w:r>
      <w:r w:rsidR="00297FF0" w:rsidRPr="00D60C83">
        <w:rPr>
          <w:rFonts w:asciiTheme="minorHAnsi" w:hAnsiTheme="minorHAnsi" w:cstheme="minorHAnsi"/>
        </w:rPr>
        <w:t xml:space="preserve"> </w:t>
      </w:r>
    </w:p>
    <w:sectPr w:rsidR="001577A5" w:rsidRPr="00D60C83" w:rsidSect="00D17B31">
      <w:headerReference w:type="default" r:id="rId11"/>
      <w:footerReference w:type="default" r:id="rId12"/>
      <w:pgSz w:w="11906" w:h="16838"/>
      <w:pgMar w:top="1418" w:right="707" w:bottom="1134" w:left="1440" w:header="426" w:footer="54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9E028A" w14:textId="77777777" w:rsidR="001577A5" w:rsidRDefault="001577A5" w:rsidP="00D17B31">
      <w:r>
        <w:separator/>
      </w:r>
    </w:p>
  </w:endnote>
  <w:endnote w:type="continuationSeparator" w:id="0">
    <w:p w14:paraId="66277CCD" w14:textId="77777777" w:rsidR="001577A5" w:rsidRDefault="001577A5" w:rsidP="00D17B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BE98D7" w14:textId="77777777" w:rsidR="001577A5" w:rsidRDefault="001577A5">
    <w:pPr>
      <w:pStyle w:val="Footer"/>
    </w:pPr>
    <w:r>
      <w:t>Adam Wright – 1803749</w:t>
    </w:r>
    <w:r>
      <w:tab/>
    </w:r>
    <w:r>
      <w:tab/>
    </w: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0C572" w14:textId="77777777" w:rsidR="001577A5" w:rsidRDefault="001577A5" w:rsidP="00D17B31">
      <w:r>
        <w:separator/>
      </w:r>
    </w:p>
  </w:footnote>
  <w:footnote w:type="continuationSeparator" w:id="0">
    <w:p w14:paraId="1A3BEE41" w14:textId="77777777" w:rsidR="001577A5" w:rsidRDefault="001577A5" w:rsidP="00D17B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5B11D" w14:textId="77777777" w:rsidR="001577A5" w:rsidRDefault="001577A5">
    <w:pPr>
      <w:pStyle w:val="Header"/>
    </w:pPr>
    <w:r w:rsidRPr="00A406E5">
      <w:rPr>
        <w:rFonts w:ascii="Arial" w:hAnsi="Arial" w:cs="Arial"/>
        <w:noProof/>
      </w:rPr>
      <w:drawing>
        <wp:anchor distT="0" distB="0" distL="114300" distR="114300" simplePos="0" relativeHeight="251659264" behindDoc="0" locked="0" layoutInCell="1" allowOverlap="1" wp14:anchorId="6443DF8B" wp14:editId="1AE3B203">
          <wp:simplePos x="0" y="0"/>
          <wp:positionH relativeFrom="margin">
            <wp:posOffset>5076825</wp:posOffset>
          </wp:positionH>
          <wp:positionV relativeFrom="paragraph">
            <wp:posOffset>7620</wp:posOffset>
          </wp:positionV>
          <wp:extent cx="1152525" cy="461010"/>
          <wp:effectExtent l="0" t="0" r="9525" b="0"/>
          <wp:wrapSquare wrapText="bothSides"/>
          <wp:docPr id="32" name="Picture 3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152525" cy="461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17B31">
      <w:rPr>
        <w:rFonts w:ascii="Arial" w:hAnsi="Arial" w:cs="Arial"/>
        <w:b/>
      </w:rPr>
      <w:t xml:space="preserve"> </w:t>
    </w:r>
    <w:r>
      <w:rPr>
        <w:rFonts w:ascii="Arial" w:hAnsi="Arial" w:cs="Arial"/>
        <w:b/>
        <w:sz w:val="22"/>
        <w:szCs w:val="22"/>
      </w:rPr>
      <w:t>Global Business Challenges -</w:t>
    </w:r>
    <w:r w:rsidRPr="00BE6A10">
      <w:rPr>
        <w:rFonts w:ascii="Arial" w:hAnsi="Arial" w:cs="Arial"/>
        <w:b/>
        <w:sz w:val="22"/>
        <w:szCs w:val="22"/>
      </w:rPr>
      <w:t xml:space="preserve"> BMMB7006D</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E4977"/>
    <w:multiLevelType w:val="hybridMultilevel"/>
    <w:tmpl w:val="211A32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2F2175"/>
    <w:multiLevelType w:val="hybridMultilevel"/>
    <w:tmpl w:val="E512734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8B5042"/>
    <w:multiLevelType w:val="hybridMultilevel"/>
    <w:tmpl w:val="7AF0ECF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022173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2DC41CD"/>
    <w:multiLevelType w:val="hybridMultilevel"/>
    <w:tmpl w:val="4C888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06BAE"/>
    <w:multiLevelType w:val="hybridMultilevel"/>
    <w:tmpl w:val="90FEF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3F31F9"/>
    <w:multiLevelType w:val="multilevel"/>
    <w:tmpl w:val="C1128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E2603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063515"/>
    <w:multiLevelType w:val="hybridMultilevel"/>
    <w:tmpl w:val="9AC03792"/>
    <w:lvl w:ilvl="0" w:tplc="50C2939E">
      <w:start w:val="4"/>
      <w:numFmt w:val="bullet"/>
      <w:lvlText w:val="-"/>
      <w:lvlJc w:val="left"/>
      <w:pPr>
        <w:ind w:left="1069" w:hanging="360"/>
      </w:pPr>
      <w:rPr>
        <w:rFonts w:ascii="Arial" w:eastAsia="Times New Roman" w:hAnsi="Arial" w:cs="Aria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9" w15:restartNumberingAfterBreak="0">
    <w:nsid w:val="50FD44B1"/>
    <w:multiLevelType w:val="multilevel"/>
    <w:tmpl w:val="F5683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8C24F7A"/>
    <w:multiLevelType w:val="hybridMultilevel"/>
    <w:tmpl w:val="FD1E2A2E"/>
    <w:lvl w:ilvl="0" w:tplc="ED822F9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1EB17E7"/>
    <w:multiLevelType w:val="hybridMultilevel"/>
    <w:tmpl w:val="387C7F3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94E66ED"/>
    <w:multiLevelType w:val="hybridMultilevel"/>
    <w:tmpl w:val="E2FA13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6364BD"/>
    <w:multiLevelType w:val="hybridMultilevel"/>
    <w:tmpl w:val="DFE84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6"/>
  </w:num>
  <w:num w:numId="4">
    <w:abstractNumId w:val="9"/>
  </w:num>
  <w:num w:numId="5">
    <w:abstractNumId w:val="7"/>
  </w:num>
  <w:num w:numId="6">
    <w:abstractNumId w:val="5"/>
  </w:num>
  <w:num w:numId="7">
    <w:abstractNumId w:val="4"/>
  </w:num>
  <w:num w:numId="8">
    <w:abstractNumId w:val="13"/>
  </w:num>
  <w:num w:numId="9">
    <w:abstractNumId w:val="12"/>
  </w:num>
  <w:num w:numId="10">
    <w:abstractNumId w:val="11"/>
  </w:num>
  <w:num w:numId="11">
    <w:abstractNumId w:val="2"/>
  </w:num>
  <w:num w:numId="12">
    <w:abstractNumId w:val="1"/>
  </w:num>
  <w:num w:numId="13">
    <w:abstractNumId w:val="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B31"/>
    <w:rsid w:val="00044294"/>
    <w:rsid w:val="00076C73"/>
    <w:rsid w:val="000D32A6"/>
    <w:rsid w:val="000D464D"/>
    <w:rsid w:val="000D7FE3"/>
    <w:rsid w:val="000E3DCA"/>
    <w:rsid w:val="000F3FB6"/>
    <w:rsid w:val="0011055B"/>
    <w:rsid w:val="001577A5"/>
    <w:rsid w:val="002446B5"/>
    <w:rsid w:val="00287F6E"/>
    <w:rsid w:val="00297FF0"/>
    <w:rsid w:val="002B3CDB"/>
    <w:rsid w:val="002C519F"/>
    <w:rsid w:val="003A4B62"/>
    <w:rsid w:val="003D5A28"/>
    <w:rsid w:val="004749F2"/>
    <w:rsid w:val="004B516E"/>
    <w:rsid w:val="004E71FD"/>
    <w:rsid w:val="00517C1D"/>
    <w:rsid w:val="00531047"/>
    <w:rsid w:val="005637AE"/>
    <w:rsid w:val="00664C42"/>
    <w:rsid w:val="006A1DC0"/>
    <w:rsid w:val="00717027"/>
    <w:rsid w:val="00722EC3"/>
    <w:rsid w:val="0073546A"/>
    <w:rsid w:val="00771039"/>
    <w:rsid w:val="007D51AE"/>
    <w:rsid w:val="007E27E4"/>
    <w:rsid w:val="0088018B"/>
    <w:rsid w:val="0096251F"/>
    <w:rsid w:val="009C74B0"/>
    <w:rsid w:val="00A5383A"/>
    <w:rsid w:val="00B44248"/>
    <w:rsid w:val="00B47972"/>
    <w:rsid w:val="00BB774B"/>
    <w:rsid w:val="00BC5F96"/>
    <w:rsid w:val="00C32DC9"/>
    <w:rsid w:val="00C4308F"/>
    <w:rsid w:val="00D17B31"/>
    <w:rsid w:val="00D60C83"/>
    <w:rsid w:val="00D63082"/>
    <w:rsid w:val="00D8243C"/>
    <w:rsid w:val="00DD3CB8"/>
    <w:rsid w:val="00E475F1"/>
    <w:rsid w:val="00EB6364"/>
    <w:rsid w:val="00F724E2"/>
    <w:rsid w:val="00FC3B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A2B0069"/>
  <w15:chartTrackingRefBased/>
  <w15:docId w15:val="{B54A9778-439E-4EF3-8584-CAAF8D515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17B31"/>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E475F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17B31"/>
    <w:pPr>
      <w:tabs>
        <w:tab w:val="center" w:pos="4513"/>
        <w:tab w:val="right" w:pos="9026"/>
      </w:tabs>
    </w:pPr>
  </w:style>
  <w:style w:type="character" w:customStyle="1" w:styleId="HeaderChar">
    <w:name w:val="Header Char"/>
    <w:basedOn w:val="DefaultParagraphFont"/>
    <w:link w:val="Header"/>
    <w:uiPriority w:val="99"/>
    <w:rsid w:val="00D17B31"/>
  </w:style>
  <w:style w:type="paragraph" w:styleId="Footer">
    <w:name w:val="footer"/>
    <w:basedOn w:val="Normal"/>
    <w:link w:val="FooterChar"/>
    <w:uiPriority w:val="99"/>
    <w:unhideWhenUsed/>
    <w:rsid w:val="00D17B31"/>
    <w:pPr>
      <w:tabs>
        <w:tab w:val="center" w:pos="4513"/>
        <w:tab w:val="right" w:pos="9026"/>
      </w:tabs>
    </w:pPr>
  </w:style>
  <w:style w:type="character" w:customStyle="1" w:styleId="FooterChar">
    <w:name w:val="Footer Char"/>
    <w:basedOn w:val="DefaultParagraphFont"/>
    <w:link w:val="Footer"/>
    <w:uiPriority w:val="99"/>
    <w:rsid w:val="00D17B31"/>
  </w:style>
  <w:style w:type="character" w:styleId="Hyperlink">
    <w:name w:val="Hyperlink"/>
    <w:uiPriority w:val="99"/>
    <w:unhideWhenUsed/>
    <w:rsid w:val="00D17B31"/>
    <w:rPr>
      <w:color w:val="0000FF"/>
      <w:u w:val="single"/>
    </w:rPr>
  </w:style>
  <w:style w:type="paragraph" w:styleId="ListParagraph">
    <w:name w:val="List Paragraph"/>
    <w:basedOn w:val="Normal"/>
    <w:link w:val="ListParagraphChar"/>
    <w:uiPriority w:val="34"/>
    <w:qFormat/>
    <w:rsid w:val="00D17B31"/>
    <w:pPr>
      <w:ind w:left="720"/>
      <w:contextualSpacing/>
    </w:pPr>
  </w:style>
  <w:style w:type="character" w:customStyle="1" w:styleId="ListParagraphChar">
    <w:name w:val="List Paragraph Char"/>
    <w:link w:val="ListParagraph"/>
    <w:uiPriority w:val="34"/>
    <w:locked/>
    <w:rsid w:val="00D17B31"/>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D17B31"/>
    <w:pPr>
      <w:spacing w:before="100" w:beforeAutospacing="1" w:after="100" w:afterAutospacing="1"/>
    </w:pPr>
    <w:rPr>
      <w:sz w:val="24"/>
      <w:szCs w:val="24"/>
    </w:rPr>
  </w:style>
  <w:style w:type="character" w:styleId="Strong">
    <w:name w:val="Strong"/>
    <w:basedOn w:val="DefaultParagraphFont"/>
    <w:uiPriority w:val="22"/>
    <w:qFormat/>
    <w:rsid w:val="00D17B31"/>
    <w:rPr>
      <w:b/>
      <w:bCs/>
    </w:rPr>
  </w:style>
  <w:style w:type="paragraph" w:styleId="BalloonText">
    <w:name w:val="Balloon Text"/>
    <w:basedOn w:val="Normal"/>
    <w:link w:val="BalloonTextChar"/>
    <w:uiPriority w:val="99"/>
    <w:semiHidden/>
    <w:unhideWhenUsed/>
    <w:rsid w:val="00B442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248"/>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F724E2"/>
    <w:rPr>
      <w:sz w:val="16"/>
      <w:szCs w:val="16"/>
    </w:rPr>
  </w:style>
  <w:style w:type="paragraph" w:styleId="CommentText">
    <w:name w:val="annotation text"/>
    <w:basedOn w:val="Normal"/>
    <w:link w:val="CommentTextChar"/>
    <w:uiPriority w:val="99"/>
    <w:semiHidden/>
    <w:unhideWhenUsed/>
    <w:rsid w:val="00F724E2"/>
  </w:style>
  <w:style w:type="character" w:customStyle="1" w:styleId="CommentTextChar">
    <w:name w:val="Comment Text Char"/>
    <w:basedOn w:val="DefaultParagraphFont"/>
    <w:link w:val="CommentText"/>
    <w:uiPriority w:val="99"/>
    <w:semiHidden/>
    <w:rsid w:val="00F724E2"/>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F724E2"/>
    <w:rPr>
      <w:b/>
      <w:bCs/>
    </w:rPr>
  </w:style>
  <w:style w:type="character" w:customStyle="1" w:styleId="CommentSubjectChar">
    <w:name w:val="Comment Subject Char"/>
    <w:basedOn w:val="CommentTextChar"/>
    <w:link w:val="CommentSubject"/>
    <w:uiPriority w:val="99"/>
    <w:semiHidden/>
    <w:rsid w:val="00F724E2"/>
    <w:rPr>
      <w:rFonts w:ascii="Times New Roman" w:eastAsia="Times New Roman" w:hAnsi="Times New Roman" w:cs="Times New Roman"/>
      <w:b/>
      <w:bCs/>
      <w:sz w:val="20"/>
      <w:szCs w:val="20"/>
      <w:lang w:eastAsia="en-GB"/>
    </w:rPr>
  </w:style>
  <w:style w:type="paragraph" w:styleId="Caption">
    <w:name w:val="caption"/>
    <w:basedOn w:val="Normal"/>
    <w:next w:val="Normal"/>
    <w:uiPriority w:val="35"/>
    <w:unhideWhenUsed/>
    <w:qFormat/>
    <w:rsid w:val="00C4308F"/>
    <w:pPr>
      <w:spacing w:after="200"/>
    </w:pPr>
    <w:rPr>
      <w:i/>
      <w:iCs/>
      <w:color w:val="44546A" w:themeColor="text2"/>
      <w:sz w:val="18"/>
      <w:szCs w:val="18"/>
    </w:rPr>
  </w:style>
  <w:style w:type="paragraph" w:styleId="Bibliography">
    <w:name w:val="Bibliography"/>
    <w:basedOn w:val="Normal"/>
    <w:next w:val="Normal"/>
    <w:uiPriority w:val="37"/>
    <w:unhideWhenUsed/>
    <w:rsid w:val="00FC3B0A"/>
  </w:style>
  <w:style w:type="character" w:styleId="UnresolvedMention">
    <w:name w:val="Unresolved Mention"/>
    <w:basedOn w:val="DefaultParagraphFont"/>
    <w:uiPriority w:val="99"/>
    <w:semiHidden/>
    <w:unhideWhenUsed/>
    <w:rsid w:val="00297FF0"/>
    <w:rPr>
      <w:color w:val="808080"/>
      <w:shd w:val="clear" w:color="auto" w:fill="E6E6E6"/>
    </w:rPr>
  </w:style>
  <w:style w:type="table" w:styleId="TableGrid">
    <w:name w:val="Table Grid"/>
    <w:basedOn w:val="TableNormal"/>
    <w:uiPriority w:val="39"/>
    <w:rsid w:val="002446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
    <w:name w:val="Grid Table 7 Colorful"/>
    <w:basedOn w:val="TableNormal"/>
    <w:uiPriority w:val="52"/>
    <w:rsid w:val="002446B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character" w:customStyle="1" w:styleId="tablesubtitle">
    <w:name w:val="table__subtitle"/>
    <w:basedOn w:val="DefaultParagraphFont"/>
    <w:rsid w:val="0096251F"/>
  </w:style>
  <w:style w:type="character" w:styleId="FollowedHyperlink">
    <w:name w:val="FollowedHyperlink"/>
    <w:basedOn w:val="DefaultParagraphFont"/>
    <w:uiPriority w:val="99"/>
    <w:semiHidden/>
    <w:unhideWhenUsed/>
    <w:rsid w:val="0073546A"/>
    <w:rPr>
      <w:color w:val="954F72" w:themeColor="followedHyperlink"/>
      <w:u w:val="single"/>
    </w:rPr>
  </w:style>
  <w:style w:type="character" w:styleId="BookTitle">
    <w:name w:val="Book Title"/>
    <w:basedOn w:val="DefaultParagraphFont"/>
    <w:uiPriority w:val="33"/>
    <w:qFormat/>
    <w:rsid w:val="00D60C83"/>
    <w:rPr>
      <w:b/>
      <w:bCs/>
      <w:i/>
      <w:iCs/>
      <w:spacing w:val="5"/>
    </w:rPr>
  </w:style>
  <w:style w:type="character" w:customStyle="1" w:styleId="Heading1Char">
    <w:name w:val="Heading 1 Char"/>
    <w:basedOn w:val="DefaultParagraphFont"/>
    <w:link w:val="Heading1"/>
    <w:uiPriority w:val="9"/>
    <w:rsid w:val="00E475F1"/>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E475F1"/>
    <w:pPr>
      <w:spacing w:line="259" w:lineRule="auto"/>
      <w:outlineLvl w:val="9"/>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44568">
      <w:bodyDiv w:val="1"/>
      <w:marLeft w:val="0"/>
      <w:marRight w:val="0"/>
      <w:marTop w:val="0"/>
      <w:marBottom w:val="0"/>
      <w:divBdr>
        <w:top w:val="none" w:sz="0" w:space="0" w:color="auto"/>
        <w:left w:val="none" w:sz="0" w:space="0" w:color="auto"/>
        <w:bottom w:val="none" w:sz="0" w:space="0" w:color="auto"/>
        <w:right w:val="none" w:sz="0" w:space="0" w:color="auto"/>
      </w:divBdr>
    </w:div>
    <w:div w:id="180171514">
      <w:bodyDiv w:val="1"/>
      <w:marLeft w:val="0"/>
      <w:marRight w:val="0"/>
      <w:marTop w:val="0"/>
      <w:marBottom w:val="0"/>
      <w:divBdr>
        <w:top w:val="none" w:sz="0" w:space="0" w:color="auto"/>
        <w:left w:val="none" w:sz="0" w:space="0" w:color="auto"/>
        <w:bottom w:val="none" w:sz="0" w:space="0" w:color="auto"/>
        <w:right w:val="none" w:sz="0" w:space="0" w:color="auto"/>
      </w:divBdr>
    </w:div>
    <w:div w:id="271012381">
      <w:bodyDiv w:val="1"/>
      <w:marLeft w:val="0"/>
      <w:marRight w:val="0"/>
      <w:marTop w:val="0"/>
      <w:marBottom w:val="0"/>
      <w:divBdr>
        <w:top w:val="none" w:sz="0" w:space="0" w:color="auto"/>
        <w:left w:val="none" w:sz="0" w:space="0" w:color="auto"/>
        <w:bottom w:val="none" w:sz="0" w:space="0" w:color="auto"/>
        <w:right w:val="none" w:sz="0" w:space="0" w:color="auto"/>
      </w:divBdr>
    </w:div>
    <w:div w:id="409157162">
      <w:bodyDiv w:val="1"/>
      <w:marLeft w:val="0"/>
      <w:marRight w:val="0"/>
      <w:marTop w:val="0"/>
      <w:marBottom w:val="0"/>
      <w:divBdr>
        <w:top w:val="none" w:sz="0" w:space="0" w:color="auto"/>
        <w:left w:val="none" w:sz="0" w:space="0" w:color="auto"/>
        <w:bottom w:val="none" w:sz="0" w:space="0" w:color="auto"/>
        <w:right w:val="none" w:sz="0" w:space="0" w:color="auto"/>
      </w:divBdr>
    </w:div>
    <w:div w:id="458912563">
      <w:bodyDiv w:val="1"/>
      <w:marLeft w:val="0"/>
      <w:marRight w:val="0"/>
      <w:marTop w:val="0"/>
      <w:marBottom w:val="0"/>
      <w:divBdr>
        <w:top w:val="none" w:sz="0" w:space="0" w:color="auto"/>
        <w:left w:val="none" w:sz="0" w:space="0" w:color="auto"/>
        <w:bottom w:val="none" w:sz="0" w:space="0" w:color="auto"/>
        <w:right w:val="none" w:sz="0" w:space="0" w:color="auto"/>
      </w:divBdr>
    </w:div>
    <w:div w:id="504906200">
      <w:bodyDiv w:val="1"/>
      <w:marLeft w:val="0"/>
      <w:marRight w:val="0"/>
      <w:marTop w:val="0"/>
      <w:marBottom w:val="0"/>
      <w:divBdr>
        <w:top w:val="none" w:sz="0" w:space="0" w:color="auto"/>
        <w:left w:val="none" w:sz="0" w:space="0" w:color="auto"/>
        <w:bottom w:val="none" w:sz="0" w:space="0" w:color="auto"/>
        <w:right w:val="none" w:sz="0" w:space="0" w:color="auto"/>
      </w:divBdr>
    </w:div>
    <w:div w:id="628048474">
      <w:bodyDiv w:val="1"/>
      <w:marLeft w:val="0"/>
      <w:marRight w:val="0"/>
      <w:marTop w:val="0"/>
      <w:marBottom w:val="0"/>
      <w:divBdr>
        <w:top w:val="none" w:sz="0" w:space="0" w:color="auto"/>
        <w:left w:val="none" w:sz="0" w:space="0" w:color="auto"/>
        <w:bottom w:val="none" w:sz="0" w:space="0" w:color="auto"/>
        <w:right w:val="none" w:sz="0" w:space="0" w:color="auto"/>
      </w:divBdr>
    </w:div>
    <w:div w:id="653293241">
      <w:bodyDiv w:val="1"/>
      <w:marLeft w:val="0"/>
      <w:marRight w:val="0"/>
      <w:marTop w:val="0"/>
      <w:marBottom w:val="0"/>
      <w:divBdr>
        <w:top w:val="none" w:sz="0" w:space="0" w:color="auto"/>
        <w:left w:val="none" w:sz="0" w:space="0" w:color="auto"/>
        <w:bottom w:val="none" w:sz="0" w:space="0" w:color="auto"/>
        <w:right w:val="none" w:sz="0" w:space="0" w:color="auto"/>
      </w:divBdr>
    </w:div>
    <w:div w:id="657729122">
      <w:bodyDiv w:val="1"/>
      <w:marLeft w:val="0"/>
      <w:marRight w:val="0"/>
      <w:marTop w:val="0"/>
      <w:marBottom w:val="0"/>
      <w:divBdr>
        <w:top w:val="none" w:sz="0" w:space="0" w:color="auto"/>
        <w:left w:val="none" w:sz="0" w:space="0" w:color="auto"/>
        <w:bottom w:val="none" w:sz="0" w:space="0" w:color="auto"/>
        <w:right w:val="none" w:sz="0" w:space="0" w:color="auto"/>
      </w:divBdr>
    </w:div>
    <w:div w:id="723914600">
      <w:bodyDiv w:val="1"/>
      <w:marLeft w:val="0"/>
      <w:marRight w:val="0"/>
      <w:marTop w:val="0"/>
      <w:marBottom w:val="0"/>
      <w:divBdr>
        <w:top w:val="none" w:sz="0" w:space="0" w:color="auto"/>
        <w:left w:val="none" w:sz="0" w:space="0" w:color="auto"/>
        <w:bottom w:val="none" w:sz="0" w:space="0" w:color="auto"/>
        <w:right w:val="none" w:sz="0" w:space="0" w:color="auto"/>
      </w:divBdr>
    </w:div>
    <w:div w:id="1008214748">
      <w:bodyDiv w:val="1"/>
      <w:marLeft w:val="0"/>
      <w:marRight w:val="0"/>
      <w:marTop w:val="0"/>
      <w:marBottom w:val="0"/>
      <w:divBdr>
        <w:top w:val="none" w:sz="0" w:space="0" w:color="auto"/>
        <w:left w:val="none" w:sz="0" w:space="0" w:color="auto"/>
        <w:bottom w:val="none" w:sz="0" w:space="0" w:color="auto"/>
        <w:right w:val="none" w:sz="0" w:space="0" w:color="auto"/>
      </w:divBdr>
    </w:div>
    <w:div w:id="1073508915">
      <w:bodyDiv w:val="1"/>
      <w:marLeft w:val="0"/>
      <w:marRight w:val="0"/>
      <w:marTop w:val="0"/>
      <w:marBottom w:val="0"/>
      <w:divBdr>
        <w:top w:val="none" w:sz="0" w:space="0" w:color="auto"/>
        <w:left w:val="none" w:sz="0" w:space="0" w:color="auto"/>
        <w:bottom w:val="none" w:sz="0" w:space="0" w:color="auto"/>
        <w:right w:val="none" w:sz="0" w:space="0" w:color="auto"/>
      </w:divBdr>
    </w:div>
    <w:div w:id="1183788062">
      <w:bodyDiv w:val="1"/>
      <w:marLeft w:val="0"/>
      <w:marRight w:val="0"/>
      <w:marTop w:val="0"/>
      <w:marBottom w:val="0"/>
      <w:divBdr>
        <w:top w:val="none" w:sz="0" w:space="0" w:color="auto"/>
        <w:left w:val="none" w:sz="0" w:space="0" w:color="auto"/>
        <w:bottom w:val="none" w:sz="0" w:space="0" w:color="auto"/>
        <w:right w:val="none" w:sz="0" w:space="0" w:color="auto"/>
      </w:divBdr>
    </w:div>
    <w:div w:id="1216166318">
      <w:bodyDiv w:val="1"/>
      <w:marLeft w:val="0"/>
      <w:marRight w:val="0"/>
      <w:marTop w:val="0"/>
      <w:marBottom w:val="0"/>
      <w:divBdr>
        <w:top w:val="none" w:sz="0" w:space="0" w:color="auto"/>
        <w:left w:val="none" w:sz="0" w:space="0" w:color="auto"/>
        <w:bottom w:val="none" w:sz="0" w:space="0" w:color="auto"/>
        <w:right w:val="none" w:sz="0" w:space="0" w:color="auto"/>
      </w:divBdr>
    </w:div>
    <w:div w:id="1298099093">
      <w:bodyDiv w:val="1"/>
      <w:marLeft w:val="0"/>
      <w:marRight w:val="0"/>
      <w:marTop w:val="0"/>
      <w:marBottom w:val="0"/>
      <w:divBdr>
        <w:top w:val="none" w:sz="0" w:space="0" w:color="auto"/>
        <w:left w:val="none" w:sz="0" w:space="0" w:color="auto"/>
        <w:bottom w:val="none" w:sz="0" w:space="0" w:color="auto"/>
        <w:right w:val="none" w:sz="0" w:space="0" w:color="auto"/>
      </w:divBdr>
    </w:div>
    <w:div w:id="1320378179">
      <w:bodyDiv w:val="1"/>
      <w:marLeft w:val="0"/>
      <w:marRight w:val="0"/>
      <w:marTop w:val="0"/>
      <w:marBottom w:val="0"/>
      <w:divBdr>
        <w:top w:val="none" w:sz="0" w:space="0" w:color="auto"/>
        <w:left w:val="none" w:sz="0" w:space="0" w:color="auto"/>
        <w:bottom w:val="none" w:sz="0" w:space="0" w:color="auto"/>
        <w:right w:val="none" w:sz="0" w:space="0" w:color="auto"/>
      </w:divBdr>
    </w:div>
    <w:div w:id="1322586670">
      <w:bodyDiv w:val="1"/>
      <w:marLeft w:val="0"/>
      <w:marRight w:val="0"/>
      <w:marTop w:val="0"/>
      <w:marBottom w:val="0"/>
      <w:divBdr>
        <w:top w:val="none" w:sz="0" w:space="0" w:color="auto"/>
        <w:left w:val="none" w:sz="0" w:space="0" w:color="auto"/>
        <w:bottom w:val="none" w:sz="0" w:space="0" w:color="auto"/>
        <w:right w:val="none" w:sz="0" w:space="0" w:color="auto"/>
      </w:divBdr>
    </w:div>
    <w:div w:id="1327442120">
      <w:bodyDiv w:val="1"/>
      <w:marLeft w:val="0"/>
      <w:marRight w:val="0"/>
      <w:marTop w:val="0"/>
      <w:marBottom w:val="0"/>
      <w:divBdr>
        <w:top w:val="none" w:sz="0" w:space="0" w:color="auto"/>
        <w:left w:val="none" w:sz="0" w:space="0" w:color="auto"/>
        <w:bottom w:val="none" w:sz="0" w:space="0" w:color="auto"/>
        <w:right w:val="none" w:sz="0" w:space="0" w:color="auto"/>
      </w:divBdr>
    </w:div>
    <w:div w:id="1440219687">
      <w:bodyDiv w:val="1"/>
      <w:marLeft w:val="0"/>
      <w:marRight w:val="0"/>
      <w:marTop w:val="0"/>
      <w:marBottom w:val="0"/>
      <w:divBdr>
        <w:top w:val="none" w:sz="0" w:space="0" w:color="auto"/>
        <w:left w:val="none" w:sz="0" w:space="0" w:color="auto"/>
        <w:bottom w:val="none" w:sz="0" w:space="0" w:color="auto"/>
        <w:right w:val="none" w:sz="0" w:space="0" w:color="auto"/>
      </w:divBdr>
    </w:div>
    <w:div w:id="1532297941">
      <w:bodyDiv w:val="1"/>
      <w:marLeft w:val="0"/>
      <w:marRight w:val="0"/>
      <w:marTop w:val="0"/>
      <w:marBottom w:val="0"/>
      <w:divBdr>
        <w:top w:val="none" w:sz="0" w:space="0" w:color="auto"/>
        <w:left w:val="none" w:sz="0" w:space="0" w:color="auto"/>
        <w:bottom w:val="none" w:sz="0" w:space="0" w:color="auto"/>
        <w:right w:val="none" w:sz="0" w:space="0" w:color="auto"/>
      </w:divBdr>
    </w:div>
    <w:div w:id="1553153733">
      <w:bodyDiv w:val="1"/>
      <w:marLeft w:val="0"/>
      <w:marRight w:val="0"/>
      <w:marTop w:val="0"/>
      <w:marBottom w:val="0"/>
      <w:divBdr>
        <w:top w:val="none" w:sz="0" w:space="0" w:color="auto"/>
        <w:left w:val="none" w:sz="0" w:space="0" w:color="auto"/>
        <w:bottom w:val="none" w:sz="0" w:space="0" w:color="auto"/>
        <w:right w:val="none" w:sz="0" w:space="0" w:color="auto"/>
      </w:divBdr>
    </w:div>
    <w:div w:id="1714692789">
      <w:bodyDiv w:val="1"/>
      <w:marLeft w:val="0"/>
      <w:marRight w:val="0"/>
      <w:marTop w:val="0"/>
      <w:marBottom w:val="0"/>
      <w:divBdr>
        <w:top w:val="none" w:sz="0" w:space="0" w:color="auto"/>
        <w:left w:val="none" w:sz="0" w:space="0" w:color="auto"/>
        <w:bottom w:val="none" w:sz="0" w:space="0" w:color="auto"/>
        <w:right w:val="none" w:sz="0" w:space="0" w:color="auto"/>
      </w:divBdr>
    </w:div>
    <w:div w:id="1787119500">
      <w:bodyDiv w:val="1"/>
      <w:marLeft w:val="0"/>
      <w:marRight w:val="0"/>
      <w:marTop w:val="0"/>
      <w:marBottom w:val="0"/>
      <w:divBdr>
        <w:top w:val="none" w:sz="0" w:space="0" w:color="auto"/>
        <w:left w:val="none" w:sz="0" w:space="0" w:color="auto"/>
        <w:bottom w:val="none" w:sz="0" w:space="0" w:color="auto"/>
        <w:right w:val="none" w:sz="0" w:space="0" w:color="auto"/>
      </w:divBdr>
    </w:div>
    <w:div w:id="1921254746">
      <w:bodyDiv w:val="1"/>
      <w:marLeft w:val="0"/>
      <w:marRight w:val="0"/>
      <w:marTop w:val="0"/>
      <w:marBottom w:val="0"/>
      <w:divBdr>
        <w:top w:val="none" w:sz="0" w:space="0" w:color="auto"/>
        <w:left w:val="none" w:sz="0" w:space="0" w:color="auto"/>
        <w:bottom w:val="none" w:sz="0" w:space="0" w:color="auto"/>
        <w:right w:val="none" w:sz="0" w:space="0" w:color="auto"/>
      </w:divBdr>
    </w:div>
    <w:div w:id="1952318583">
      <w:bodyDiv w:val="1"/>
      <w:marLeft w:val="0"/>
      <w:marRight w:val="0"/>
      <w:marTop w:val="0"/>
      <w:marBottom w:val="0"/>
      <w:divBdr>
        <w:top w:val="none" w:sz="0" w:space="0" w:color="auto"/>
        <w:left w:val="none" w:sz="0" w:space="0" w:color="auto"/>
        <w:bottom w:val="none" w:sz="0" w:space="0" w:color="auto"/>
        <w:right w:val="none" w:sz="0" w:space="0" w:color="auto"/>
      </w:divBdr>
    </w:div>
    <w:div w:id="1985546857">
      <w:bodyDiv w:val="1"/>
      <w:marLeft w:val="0"/>
      <w:marRight w:val="0"/>
      <w:marTop w:val="0"/>
      <w:marBottom w:val="0"/>
      <w:divBdr>
        <w:top w:val="none" w:sz="0" w:space="0" w:color="auto"/>
        <w:left w:val="none" w:sz="0" w:space="0" w:color="auto"/>
        <w:bottom w:val="none" w:sz="0" w:space="0" w:color="auto"/>
        <w:right w:val="none" w:sz="0" w:space="0" w:color="auto"/>
      </w:divBdr>
    </w:div>
    <w:div w:id="2065829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Dig13</b:Tag>
    <b:SourceType>InternetSite</b:SourceType>
    <b:Guid>{7D355094-BD3C-4F71-8FD4-4814FCD37AB4}</b:Guid>
    <b:Title>The Construction Index</b:Title>
    <b:Year>2013</b:Year>
    <b:Author>
      <b:Author>
        <b:NameList>
          <b:Person>
            <b:Last>Blogger</b:Last>
            <b:First>Digger</b:First>
          </b:Person>
        </b:NameList>
      </b:Author>
    </b:Author>
    <b:YearAccessed>2018</b:YearAccessed>
    <b:MonthAccessed>December</b:MonthAccessed>
    <b:DayAccessed>01</b:DayAccessed>
    <b:URL>https://www.theconstructionindex.co.uk/the-digger-blog/view/did-you-know-jcb-contributes-14-billion-to-gdp</b:URL>
    <b:RefOrder>2</b:RefOrder>
  </b:Source>
  <b:Source>
    <b:Tag>Kar15</b:Tag>
    <b:SourceType>InternetSite</b:SourceType>
    <b:Guid>{D687A1C1-582E-45AD-B223-E76815A6F4BB}</b:Guid>
    <b:Author>
      <b:Author>
        <b:NameList>
          <b:Person>
            <b:Last>West</b:Last>
            <b:First>Karl</b:First>
          </b:Person>
        </b:NameList>
      </b:Author>
    </b:Author>
    <b:Title>The Guardian</b:Title>
    <b:Year>2015</b:Year>
    <b:YearAccessed>2018</b:YearAccessed>
    <b:MonthAccessed>December</b:MonthAccessed>
    <b:DayAccessed>01</b:DayAccessed>
    <b:URL>https://www.theguardian.com/business/2015/apr/11/jcb-britain-yellow-digger-money-machine-sales</b:URL>
    <b:RefOrder>3</b:RefOrder>
  </b:Source>
  <b:Source>
    <b:Tag>Fre16</b:Tag>
    <b:SourceType>InternetSite</b:SourceType>
    <b:Guid>{F5DB931B-1EDB-4184-B434-196B01B1BE79}</b:Guid>
    <b:Author>
      <b:Author>
        <b:NameList>
          <b:Person>
            <b:Last>Mills</b:Last>
            <b:First>Fred</b:First>
          </b:Person>
        </b:NameList>
      </b:Author>
    </b:Author>
    <b:Title>The B1M</b:Title>
    <b:Year>2016</b:Year>
    <b:YearAccessed>2018</b:YearAccessed>
    <b:MonthAccessed>December</b:MonthAccessed>
    <b:DayAccessed>01</b:DayAccessed>
    <b:URL>https://www.theb1m.com/video/top-5-construction-markets-by-2030</b:URL>
    <b:RefOrder>4</b:RefOrder>
  </b:Source>
  <b:Source>
    <b:Tag>The18</b:Tag>
    <b:SourceType>InternetSite</b:SourceType>
    <b:Guid>{8AE2EFA3-5ACF-4380-8CF5-6C6EB4F1DD0C}</b:Guid>
    <b:Title>The Construction Index</b:Title>
    <b:Year>2018</b:Year>
    <b:YearAccessed>2018</b:YearAccessed>
    <b:MonthAccessed>December</b:MonthAccessed>
    <b:DayAccessed>01</b:DayAccessed>
    <b:URL>https://www.theconstructionindex.co.uk/news/view/us-army-orders-180-more-jcb-excavators</b:URL>
    <b:RefOrder>5</b:RefOrder>
  </b:Source>
  <b:Source>
    <b:Tag>Eij13</b:Tag>
    <b:SourceType>Report</b:SourceType>
    <b:Guid>{18D990D4-0A54-4EAE-9C50-B9A89DA2BBB3}</b:Guid>
    <b:Author>
      <b:Author>
        <b:NameList>
          <b:Person>
            <b:Last>Eiji Egawa</b:Last>
            <b:First>Kensuke</b:First>
            <b:Middle>Kawamura, Masaharu Ikuta, Takayuki Eguchi</b:Middle>
          </b:Person>
        </b:NameList>
      </b:Author>
    </b:Author>
    <b:Title>Use of Construction Machinery in Earthquake Recovery</b:Title>
    <b:Year>2013</b:Year>
    <b:Publisher>Hitachi</b:Publisher>
    <b:RefOrder>6</b:RefOrder>
  </b:Source>
  <b:Source>
    <b:Tag>The17</b:Tag>
    <b:SourceType>InternetSite</b:SourceType>
    <b:Guid>{B32DE726-0B79-40C5-9BB6-CDD1EC9D84D7}</b:Guid>
    <b:Title>The Statistics Portal</b:Title>
    <b:Year>2017</b:Year>
    <b:YearAccessed>2018</b:YearAccessed>
    <b:MonthAccessed>December</b:MonthAccessed>
    <b:DayAccessed>01</b:DayAccessed>
    <b:URL>https://www.statista.com/statistics/270374/main-export-partners-for-the-united-kingdom/</b:URL>
    <b:RefOrder>11</b:RefOrder>
  </b:Source>
  <b:Source>
    <b:Tag>Bra18</b:Tag>
    <b:SourceType>InternetSite</b:SourceType>
    <b:Guid>{A7937DB4-FB2C-4C90-95F1-B7795628C891}</b:Guid>
    <b:Title>Brand Addition</b:Title>
    <b:Year>2018</b:Year>
    <b:YearAccessed>2018</b:YearAccessed>
    <b:MonthAccessed>December </b:MonthAccessed>
    <b:DayAccessed>01</b:DayAccessed>
    <b:URL>http://www.brandaddition.com/project/jcb/</b:URL>
    <b:RefOrder>1</b:RefOrder>
  </b:Source>
  <b:Source>
    <b:Tag>JCB18</b:Tag>
    <b:SourceType>InternetSite</b:SourceType>
    <b:Guid>{182CE825-EA71-450B-A166-450755C3B466}</b:Guid>
    <b:Title>JCB</b:Title>
    <b:Year>2018</b:Year>
    <b:Author>
      <b:Author>
        <b:Corporate>JCB</b:Corporate>
      </b:Author>
    </b:Author>
    <b:YearAccessed>2018</b:YearAccessed>
    <b:MonthAccessed>December</b:MonthAccessed>
    <b:DayAccessed>01</b:DayAccessed>
    <b:URL>https://www.jcb.com/en-gb/news/2018/09/record-sales-for-jcb-as-market-rebound-stays-strong</b:URL>
    <b:RefOrder>7</b:RefOrder>
  </b:Source>
  <b:Source>
    <b:Tag>Equ13</b:Tag>
    <b:SourceType>InternetSite</b:SourceType>
    <b:Guid>{B9526A15-F637-4810-B104-EE57AA2E5FAD}</b:Guid>
    <b:Title>Equipment World</b:Title>
    <b:Year>2013</b:Year>
    <b:YearAccessed>2018</b:YearAccessed>
    <b:MonthAccessed>December</b:MonthAccessed>
    <b:DayAccessed>20</b:DayAccessed>
    <b:URL>https://www.equipmentworld.com/the-innovations-center-where-jcbs-equipment-design-magic-happens/</b:URL>
    <b:Author>
      <b:Author>
        <b:NameList>
          <b:Person>
            <b:Last>Jackson</b:Last>
            <b:First>Tom</b:First>
          </b:Person>
        </b:NameList>
      </b:Author>
    </b:Author>
    <b:RefOrder>13</b:RefOrder>
  </b:Source>
  <b:Source>
    <b:Tag>ONS18</b:Tag>
    <b:SourceType>InternetSite</b:SourceType>
    <b:Guid>{6F946EBA-B9A4-426B-9770-B07F7633FD13}</b:Guid>
    <b:Author>
      <b:Author>
        <b:Corporate>ONS</b:Corporate>
      </b:Author>
    </b:Author>
    <b:Title>ONS</b:Title>
    <b:Year>2018</b:Year>
    <b:YearAccessed>2018</b:YearAccessed>
    <b:MonthAccessed>December</b:MonthAccessed>
    <b:DayAccessed>30</b:DayAccessed>
    <b:URL>https://www.ons.gov.uk/businessindustryandtrade/constructionindustry/bulletins/constructionoutputingreatbritain/october2018andnewordersjulytoseptember2018</b:URL>
    <b:RefOrder>10</b:RefOrder>
  </b:Source>
  <b:Source>
    <b:Tag>Jos17</b:Tag>
    <b:SourceType>InternetSite</b:SourceType>
    <b:Guid>{8E7CD8E1-E329-420F-B339-0A4F6FBCD1C7}</b:Guid>
    <b:Author>
      <b:Author>
        <b:NameList>
          <b:Person>
            <b:Last>Bivens</b:Last>
            <b:First>Josh</b:First>
          </b:Person>
        </b:NameList>
      </b:Author>
    </b:Author>
    <b:Title>EPI</b:Title>
    <b:Year>2017</b:Year>
    <b:YearAccessed>2018</b:YearAccessed>
    <b:MonthAccessed>December</b:MonthAccessed>
    <b:DayAccessed>12</b:DayAccessed>
    <b:URL>https://www.epi.org/publication/the-potential-macroeconomic-benefits-from-increasing-infrastructure-investment/</b:URL>
    <b:RefOrder>9</b:RefOrder>
  </b:Source>
  <b:Source>
    <b:Tag>Kim02</b:Tag>
    <b:SourceType>InternetSite</b:SourceType>
    <b:Guid>{59FC1E58-2899-4666-B7B9-94B74B5DBFC2}</b:Guid>
    <b:Author>
      <b:Author>
        <b:NameList>
          <b:Person>
            <b:Last>Sengupta</b:Last>
            <b:First>Kim</b:First>
          </b:Person>
        </b:NameList>
      </b:Author>
    </b:Author>
    <b:Title>Independent</b:Title>
    <b:Year>2002</b:Year>
    <b:YearAccessed>2018</b:YearAccessed>
    <b:MonthAccessed>December</b:MonthAccessed>
    <b:DayAccessed>12</b:DayAccessed>
    <b:URL>https://www.independent.co.uk/news/uk/home-news/armys-equipment-exposed-as-unfit-to-fight-desert-war-171614.html</b:URL>
    <b:RefOrder>8</b:RefOrder>
  </b:Source>
  <b:Source>
    <b:Tag>Ada18</b:Tag>
    <b:SourceType>InternetSite</b:SourceType>
    <b:Guid>{8BCBED32-C445-43D1-B93F-8F652AFAE499}</b:Guid>
    <b:Author>
      <b:Author>
        <b:NameList>
          <b:Person>
            <b:Last>Hayes</b:Last>
            <b:First>Adam</b:First>
          </b:Person>
        </b:NameList>
      </b:Author>
    </b:Author>
    <b:Title>Investopedia</b:Title>
    <b:YearAccessed>2018</b:YearAccessed>
    <b:MonthAccessed>December</b:MonthAccessed>
    <b:DayAccessed>20</b:DayAccessed>
    <b:URL>https://www.investopedia.com/university/economics/economics4.asp</b:URL>
    <b:RefOrder>12</b:RefOrder>
  </b:Source>
  <b:Source>
    <b:Tag>IMF18</b:Tag>
    <b:SourceType>InternetSite</b:SourceType>
    <b:Guid>{D1DC4582-989A-4206-948D-27BA08551BE7}</b:Guid>
    <b:Author>
      <b:Author>
        <b:Corporate>IMF</b:Corporate>
      </b:Author>
    </b:Author>
    <b:Title>IMF</b:Title>
    <b:Year>2018</b:Year>
    <b:YearAccessed>2018</b:YearAccessed>
    <b:MonthAccessed>December</b:MonthAccessed>
    <b:DayAccessed>20</b:DayAccessed>
    <b:URL>https://www.imf.org/en/Publications/WEO/Issues/2018/03/20/world-economic-outlook-april-2018</b:URL>
    <b:RefOrder>14</b:RefOrder>
  </b:Source>
  <b:Source>
    <b:Tag>IMF181</b:Tag>
    <b:SourceType>Report</b:SourceType>
    <b:Guid>{06917630-8D02-492B-8D35-AD3B81AB9820}</b:Guid>
    <b:Author>
      <b:Author>
        <b:Corporate>IMF</b:Corporate>
      </b:Author>
    </b:Author>
    <b:Title>Chapter 2: LABOR FORCE PARTICIPATION IN ADVANCED ECONOMIES: DRIVERS</b:Title>
    <b:Year>2018</b:Year>
    <b:Publisher>IMF</b:Publisher>
    <b:City>Washington DC</b:City>
    <b:RefOrder>15</b:RefOrder>
  </b:Source>
  <b:Source>
    <b:Tag>Cal18</b:Tag>
    <b:SourceType>InternetSite</b:SourceType>
    <b:Guid>{F9A0B1B3-C838-429E-89DD-E524CDB30E8E}</b:Guid>
    <b:Title>Manufacturing Tomorrow</b:Title>
    <b:Year>2018</b:Year>
    <b:Author>
      <b:Author>
        <b:NameList>
          <b:Person>
            <b:Last>Calderone</b:Last>
          </b:Person>
        </b:NameList>
      </b:Author>
    </b:Author>
    <b:YearAccessed>2018</b:YearAccessed>
    <b:MonthAccessed>December</b:MonthAccessed>
    <b:DayAccessed>20</b:DayAccessed>
    <b:URL>https://www.manufacturingtomorrow.com/article/2018/01/the-connected-factory/10819/</b:URL>
    <b:RefOrder>16</b:RefOrder>
  </b:Source>
  <b:Source>
    <b:Tag>Gia18</b:Tag>
    <b:SourceType>InternetSite</b:SourceType>
    <b:Guid>{628FA5C9-7C33-422D-9F9C-C8FB05930DB9}</b:Guid>
    <b:Author>
      <b:Author>
        <b:Corporate>Giatec</b:Corporate>
      </b:Author>
    </b:Author>
    <b:Title>Giatec</b:Title>
    <b:Year>2018</b:Year>
    <b:YearAccessed>2018</b:YearAccessed>
    <b:URL>https://www.giatecscientific.com/case-studies/</b:URL>
    <b:RefOrder>17</b:RefOrder>
  </b:Source>
</b:Sources>
</file>

<file path=customXml/itemProps1.xml><?xml version="1.0" encoding="utf-8"?>
<ds:datastoreItem xmlns:ds="http://schemas.openxmlformats.org/officeDocument/2006/customXml" ds:itemID="{2A012F4F-8C48-4394-B693-D60E1508D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1155</TotalTime>
  <Pages>10</Pages>
  <Words>2673</Words>
  <Characters>15238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Wright</dc:creator>
  <cp:keywords/>
  <dc:description/>
  <cp:lastModifiedBy>Adam Wright</cp:lastModifiedBy>
  <cp:revision>18</cp:revision>
  <cp:lastPrinted>2018-12-30T10:36:00Z</cp:lastPrinted>
  <dcterms:created xsi:type="dcterms:W3CDTF">2018-12-30T10:25:00Z</dcterms:created>
  <dcterms:modified xsi:type="dcterms:W3CDTF">2019-01-06T13:53:00Z</dcterms:modified>
</cp:coreProperties>
</file>