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E2A09B5" w14:paraId="5E5787A5" wp14:noSpellErr="1" wp14:textId="380DCE3A">
      <w:pPr>
        <w:jc w:val="center"/>
      </w:pPr>
      <w:bookmarkStart w:name="_GoBack" w:id="0"/>
      <w:bookmarkEnd w:id="0"/>
      <w:r w:rsidRPr="6E2A09B5" w:rsidR="6E2A09B5">
        <w:rPr>
          <w:sz w:val="28"/>
          <w:szCs w:val="28"/>
          <w:u w:val="single"/>
        </w:rPr>
        <w:t>Resource Pack Rationale</w:t>
      </w:r>
    </w:p>
    <w:p w:rsidR="6E2A09B5" w:rsidP="6E2A09B5" w:rsidRDefault="6E2A09B5" w14:paraId="783582D3" w14:textId="6AF80B7A">
      <w:pPr>
        <w:pStyle w:val="Normal"/>
        <w:spacing w:line="360" w:lineRule="auto"/>
        <w:jc w:val="left"/>
        <w:rPr>
          <w:sz w:val="24"/>
          <w:szCs w:val="24"/>
          <w:u w:val="none"/>
        </w:rPr>
      </w:pPr>
      <w:r w:rsidRPr="6E2A09B5" w:rsidR="6E2A09B5">
        <w:rPr>
          <w:sz w:val="24"/>
          <w:szCs w:val="24"/>
          <w:u w:val="none"/>
        </w:rPr>
        <w:t xml:space="preserve">The resource pack designed is targeted for aiding learning in KS2, year 3. The resource pack is Merlin themed as Merlin is a local legend within Carmarthen and teaching children about local legends and stories about where they are from helps them establish a sense of identity as they connect with their home/local town. The Welsh Government (2013) notes in a </w:t>
      </w:r>
      <w:proofErr w:type="spellStart"/>
      <w:r w:rsidRPr="6E2A09B5" w:rsidR="6E2A09B5">
        <w:rPr>
          <w:sz w:val="24"/>
          <w:szCs w:val="24"/>
          <w:u w:val="none"/>
        </w:rPr>
        <w:t>Cwricwlwm</w:t>
      </w:r>
      <w:proofErr w:type="spellEnd"/>
      <w:r w:rsidRPr="6E2A09B5" w:rsidR="6E2A09B5">
        <w:rPr>
          <w:sz w:val="24"/>
          <w:szCs w:val="24"/>
          <w:u w:val="none"/>
        </w:rPr>
        <w:t xml:space="preserve"> </w:t>
      </w:r>
      <w:proofErr w:type="spellStart"/>
      <w:r w:rsidRPr="6E2A09B5" w:rsidR="6E2A09B5">
        <w:rPr>
          <w:sz w:val="24"/>
          <w:szCs w:val="24"/>
          <w:u w:val="none"/>
        </w:rPr>
        <w:t>Cymreig</w:t>
      </w:r>
      <w:proofErr w:type="spellEnd"/>
      <w:r w:rsidRPr="6E2A09B5" w:rsidR="6E2A09B5">
        <w:rPr>
          <w:sz w:val="24"/>
          <w:szCs w:val="24"/>
          <w:u w:val="none"/>
        </w:rPr>
        <w:t xml:space="preserve"> document about history that although there was not an obligation to do so, many history teachers would teach about a British history dominated by England which does not show the distinctiveness between the different countries within the UK and can leave the other countries marginalised at times. Within the resource pack is a brief background to Merlin telling of how he discovered the red and white dragons fighting which led to the red dragon on the Welsh flag, as well as Merlin’s oak as it is more specific to Carmarthen. Although this resource uses a Merlin and wizard theme, it has a focus on teaching different elements of maths according to the National Literacy and Numeracy Framework, including the use of number facts and relationships, fractions, decimals, percentages and ratios, length, weight/mass and capacity, and shapes.</w:t>
      </w:r>
    </w:p>
    <w:p w:rsidR="6E2A09B5" w:rsidP="4C983892" w:rsidRDefault="6E2A09B5" w14:paraId="3C023D16" w14:textId="3D7FB4C2">
      <w:pPr>
        <w:pStyle w:val="Normal"/>
        <w:spacing w:line="360" w:lineRule="auto"/>
        <w:jc w:val="left"/>
        <w:rPr>
          <w:sz w:val="24"/>
          <w:szCs w:val="24"/>
          <w:u w:val="none"/>
        </w:rPr>
      </w:pPr>
      <w:r w:rsidRPr="4C983892" w:rsidR="4C983892">
        <w:rPr>
          <w:sz w:val="24"/>
          <w:szCs w:val="24"/>
          <w:u w:val="none"/>
        </w:rPr>
        <w:t>The first task is a conversion worksheet. It gives children the opportunity to apply their math skills to money as well as add, subtract and multiply decimals, which can then be translated into fractions and percentages. The Welsh Government (2016) expresses in the LNF that children in year 3 should be taught to use halves and quarters so the currencies in the worksheet are worth £5, £3.50 and £1.25. Once values are worked out, the worksheet tests ability to half and double certain values using the context of money. The activity can help children understand the value of money and how different items can have a range of different prices.</w:t>
      </w:r>
      <w:r w:rsidRPr="4C983892" w:rsidR="4C983892">
        <w:rPr>
          <w:sz w:val="24"/>
          <w:szCs w:val="24"/>
          <w:u w:val="none"/>
        </w:rPr>
        <w:t xml:space="preserve"> It is important for young children to understand the importance of and how money works so they </w:t>
      </w:r>
      <w:proofErr w:type="gramStart"/>
      <w:r w:rsidRPr="4C983892" w:rsidR="4C983892">
        <w:rPr>
          <w:sz w:val="24"/>
          <w:szCs w:val="24"/>
          <w:u w:val="none"/>
        </w:rPr>
        <w:t>are able to</w:t>
      </w:r>
      <w:proofErr w:type="gramEnd"/>
      <w:r w:rsidRPr="4C983892" w:rsidR="4C983892">
        <w:rPr>
          <w:sz w:val="24"/>
          <w:szCs w:val="24"/>
          <w:u w:val="none"/>
        </w:rPr>
        <w:t xml:space="preserve"> better handle their finances as they get older. </w:t>
      </w:r>
      <w:proofErr w:type="spellStart"/>
      <w:r w:rsidRPr="4C983892" w:rsidR="4C983892">
        <w:rPr>
          <w:sz w:val="24"/>
          <w:szCs w:val="24"/>
          <w:u w:val="none"/>
        </w:rPr>
        <w:t>Mercieca</w:t>
      </w:r>
      <w:proofErr w:type="spellEnd"/>
      <w:r w:rsidRPr="4C983892" w:rsidR="4C983892">
        <w:rPr>
          <w:sz w:val="24"/>
          <w:szCs w:val="24"/>
          <w:u w:val="none"/>
        </w:rPr>
        <w:t xml:space="preserve"> (2014) writes that studies and surveys carried out by the Personal Finance Education Group shows that 64% of have their first bank or building society account before they even start secondary school and that nearly 75% of 15-year olds that have a bank account have a debit card. Bringing the concepts of money into education at an early age can set a foundation of financial knowledge to be built upon throughout education, leading to better financial skills as an adult.</w:t>
      </w:r>
    </w:p>
    <w:p w:rsidR="6E2A09B5" w:rsidP="6E2A09B5" w:rsidRDefault="6E2A09B5" w14:noSpellErr="1" w14:paraId="47129583" w14:textId="36742599">
      <w:pPr>
        <w:pStyle w:val="Normal"/>
        <w:spacing w:line="360" w:lineRule="auto"/>
        <w:jc w:val="left"/>
        <w:rPr>
          <w:sz w:val="24"/>
          <w:szCs w:val="24"/>
          <w:u w:val="none"/>
        </w:rPr>
      </w:pPr>
      <w:r w:rsidRPr="6E2A09B5" w:rsidR="6E2A09B5">
        <w:rPr>
          <w:sz w:val="24"/>
          <w:szCs w:val="24"/>
          <w:u w:val="none"/>
        </w:rPr>
        <w:t>The second activity of this resource pack requires learners to help Merlin figure out how many of different ingredients are required for his ‘potions’. This activity also requires learners to make their own drinks. The drinks are healthy, being made up of fruit, fruit juices, water and honey. A future area of learning within the Welsh curriculum is Health and Well-being and helping children understand how factors such as nutrition and how to make informed decisions about their health (Welsh Government, 2017) is incorporated within the cross-curricular activity. Number facts and relationships are part of the LNF (Welsh Government, 2016) and this activity encourages learners to recall their 3,4,5 and 10 multiplication tables to solve problems as well as reading and writing numbers up to a thousand. It also involves capacity and using litres and half litres to the nearest 100ml as each recipe is for 500ml of the drink. Furthermore, it helps teach learners the relationship between grams and kilograms and litres and millilitres. The second part of the activity is hands-on where learners will weigh and measure their own ingredients together in order to make their drinks. Isaacs (2007) expressed the importance of teachers bringing in different materials for children to interact and learn with that aid their development as part of Montessori’s approach. Allowing learners to make drinks with healthy ingredients can inspire them to use their creativity to make more healthy food or drink products to aid their nutrition as they develop. Bruce (2012) notes how Montessori believed children should receive real experiences rather than play experiences and this activity uses all real ingredients and equipment, teaching learners skills and knowledge that can translate into adulthood.</w:t>
      </w:r>
    </w:p>
    <w:p w:rsidR="6E2A09B5" w:rsidP="4C983892" w:rsidRDefault="6E2A09B5" w14:paraId="76DEB6D4" w14:textId="2414B071" w14:noSpellErr="1">
      <w:pPr>
        <w:pStyle w:val="Normal"/>
        <w:spacing w:line="360" w:lineRule="auto"/>
        <w:jc w:val="left"/>
        <w:rPr>
          <w:sz w:val="24"/>
          <w:szCs w:val="24"/>
          <w:u w:val="none"/>
        </w:rPr>
      </w:pPr>
      <w:r w:rsidRPr="4C983892" w:rsidR="4C983892">
        <w:rPr>
          <w:sz w:val="24"/>
          <w:szCs w:val="24"/>
          <w:u w:val="none"/>
        </w:rPr>
        <w:t xml:space="preserve">The third task within the resource pack involves learners going outside to measure and draw the foundations of the new magician’s headquarters for Merlin. This activity takes place outdoors allowing children the freedom of learning outside and integrating the outdoor environment with the indoor environment. Tovey (2013) outlines factors of outdoor learning and the Froebelian approach which include allowing children free movement during activities and giving them first-hand experiences, which help them operate at their highest level. Learning outdoors also instils a respect for the outdoors in the learners. This activity is designed to be done in groups. Baines et al (2009) state that learning how to interact and work with others is one of the most important parts of learning and growing up. Group work helps build intellectual and social skills such as helping others without over-helping and taking over, reaching compromises as well as developing the ability to bring others into the activity or discussion. This activity further uses fractions as the measurements must be done to a quarter of the measurement asked for. Length is an element of the </w:t>
      </w:r>
      <w:proofErr w:type="gramStart"/>
      <w:r w:rsidRPr="4C983892" w:rsidR="4C983892">
        <w:rPr>
          <w:sz w:val="24"/>
          <w:szCs w:val="24"/>
          <w:u w:val="none"/>
        </w:rPr>
        <w:t>LNF</w:t>
      </w:r>
      <w:proofErr w:type="gramEnd"/>
      <w:r w:rsidRPr="4C983892" w:rsidR="4C983892">
        <w:rPr>
          <w:sz w:val="24"/>
          <w:szCs w:val="24"/>
          <w:u w:val="none"/>
        </w:rPr>
        <w:t xml:space="preserve"> and this activity teaches children to understand what perimeter is and how it can be used as well as how to choose a relevant unit of measurement. The Welsh Government’s LNF (2016) also wants children to be taught to recognise and classify different shapes including triangles, squares, rectangles and pentagons, each of which are included in the activity.</w:t>
      </w:r>
    </w:p>
    <w:p w:rsidR="4C983892" w:rsidP="4C983892" w:rsidRDefault="4C983892" w14:noSpellErr="1" w14:paraId="2A21FC71" w14:textId="31BA24F0">
      <w:pPr>
        <w:pStyle w:val="Normal"/>
        <w:spacing w:line="360" w:lineRule="auto"/>
        <w:jc w:val="left"/>
        <w:rPr>
          <w:sz w:val="24"/>
          <w:szCs w:val="24"/>
          <w:u w:val="none"/>
        </w:rPr>
      </w:pPr>
      <w:r w:rsidRPr="4C983892" w:rsidR="4C983892">
        <w:rPr>
          <w:sz w:val="24"/>
          <w:szCs w:val="24"/>
          <w:u w:val="single"/>
        </w:rPr>
        <w:t>References</w:t>
      </w:r>
    </w:p>
    <w:p w:rsidR="4C983892" w:rsidP="4C983892" w:rsidRDefault="4C983892" w14:noSpellErr="1" w14:paraId="7EB77B7E" w14:textId="2D6C6B09">
      <w:pPr>
        <w:pStyle w:val="Normal"/>
        <w:spacing w:line="360" w:lineRule="auto"/>
        <w:jc w:val="left"/>
        <w:rPr>
          <w:sz w:val="24"/>
          <w:szCs w:val="24"/>
          <w:u w:val="none"/>
        </w:rPr>
      </w:pPr>
      <w:r w:rsidRPr="4C983892" w:rsidR="4C983892">
        <w:rPr>
          <w:sz w:val="24"/>
          <w:szCs w:val="24"/>
          <w:u w:val="none"/>
        </w:rPr>
        <w:t xml:space="preserve">Astro, 2016, </w:t>
      </w:r>
      <w:r w:rsidRPr="4C983892" w:rsidR="4C983892">
        <w:rPr>
          <w:i w:val="1"/>
          <w:iCs w:val="1"/>
          <w:sz w:val="24"/>
          <w:szCs w:val="24"/>
          <w:u w:val="none"/>
        </w:rPr>
        <w:t>Bubbling Potion</w:t>
      </w:r>
      <w:r w:rsidRPr="4C983892" w:rsidR="4C983892">
        <w:rPr>
          <w:i w:val="0"/>
          <w:iCs w:val="0"/>
          <w:sz w:val="24"/>
          <w:szCs w:val="24"/>
          <w:u w:val="none"/>
        </w:rPr>
        <w:t xml:space="preserve">, available at </w:t>
      </w:r>
      <w:hyperlink r:id="R957dce0cc4b54833">
        <w:r w:rsidRPr="4C983892" w:rsidR="4C983892">
          <w:rPr>
            <w:rStyle w:val="Hyperlink"/>
            <w:rFonts w:ascii="Calibri" w:hAnsi="Calibri" w:eastAsia="Calibri" w:cs="Calibri"/>
            <w:noProof w:val="0"/>
            <w:sz w:val="24"/>
            <w:szCs w:val="24"/>
            <w:lang w:val="en-GB"/>
          </w:rPr>
          <w:t>https://openclipart.org/detail/245369/bubbling-potion</w:t>
        </w:r>
      </w:hyperlink>
      <w:r w:rsidRPr="4C983892" w:rsidR="4C983892">
        <w:rPr>
          <w:rFonts w:ascii="Calibri" w:hAnsi="Calibri" w:eastAsia="Calibri" w:cs="Calibri"/>
          <w:noProof w:val="0"/>
          <w:sz w:val="24"/>
          <w:szCs w:val="24"/>
          <w:lang w:val="en-GB"/>
        </w:rPr>
        <w:t>, accessed 05/03/19 [Image].</w:t>
      </w:r>
    </w:p>
    <w:p w:rsidR="4C983892" w:rsidP="4C983892" w:rsidRDefault="4C983892" w14:noSpellErr="1" w14:paraId="2620FDD2" w14:textId="208820F4">
      <w:pPr>
        <w:pStyle w:val="Normal"/>
        <w:spacing w:after="160" w:line="259" w:lineRule="auto"/>
        <w:jc w:val="left"/>
        <w:rPr>
          <w:rFonts w:ascii="Calibri" w:hAnsi="Calibri" w:eastAsia="Calibri" w:cs="Calibri"/>
          <w:noProof w:val="0"/>
          <w:color w:val="0563C1"/>
          <w:sz w:val="24"/>
          <w:szCs w:val="24"/>
          <w:u w:val="single"/>
          <w:lang w:val="en-GB"/>
        </w:rPr>
      </w:pPr>
      <w:r w:rsidRPr="4C983892" w:rsidR="4C983892">
        <w:rPr>
          <w:rFonts w:ascii="Calibri" w:hAnsi="Calibri" w:eastAsia="Calibri" w:cs="Calibri"/>
          <w:noProof w:val="0"/>
          <w:sz w:val="24"/>
          <w:szCs w:val="24"/>
          <w:lang w:val="en-GB"/>
        </w:rPr>
        <w:t xml:space="preserve">Awasthi, D., 2019, </w:t>
      </w:r>
      <w:r w:rsidRPr="4C983892" w:rsidR="4C983892">
        <w:rPr>
          <w:rFonts w:ascii="Calibri" w:hAnsi="Calibri" w:eastAsia="Calibri" w:cs="Calibri"/>
          <w:i w:val="1"/>
          <w:iCs w:val="1"/>
          <w:noProof w:val="0"/>
          <w:sz w:val="24"/>
          <w:szCs w:val="24"/>
          <w:lang w:val="en-GB"/>
        </w:rPr>
        <w:t>10 Healthy Drinks for Kids (Besides Water)</w:t>
      </w:r>
      <w:r w:rsidRPr="4C983892" w:rsidR="4C983892">
        <w:rPr>
          <w:rFonts w:ascii="Calibri" w:hAnsi="Calibri" w:eastAsia="Calibri" w:cs="Calibri"/>
          <w:i w:val="0"/>
          <w:iCs w:val="0"/>
          <w:noProof w:val="0"/>
          <w:sz w:val="24"/>
          <w:szCs w:val="24"/>
          <w:lang w:val="en-GB"/>
        </w:rPr>
        <w:t xml:space="preserve">, available at </w:t>
      </w:r>
      <w:hyperlink r:id="R3f70fa713bf24b57">
        <w:r w:rsidRPr="4C983892" w:rsidR="4C983892">
          <w:rPr>
            <w:rStyle w:val="Hyperlink"/>
            <w:rFonts w:ascii="Calibri" w:hAnsi="Calibri" w:eastAsia="Calibri" w:cs="Calibri"/>
            <w:noProof w:val="0"/>
            <w:color w:val="0563C1"/>
            <w:sz w:val="24"/>
            <w:szCs w:val="24"/>
            <w:u w:val="single"/>
            <w:lang w:val="en-GB"/>
          </w:rPr>
          <w:t>https://www.momjunction.com/articles/healthy-drinks-for-your-kid_00120578/#gref</w:t>
        </w:r>
      </w:hyperlink>
      <w:r w:rsidRPr="4C983892" w:rsidR="4C983892">
        <w:rPr>
          <w:rFonts w:ascii="Calibri" w:hAnsi="Calibri" w:eastAsia="Calibri" w:cs="Calibri"/>
          <w:i w:val="0"/>
          <w:iCs w:val="0"/>
          <w:noProof w:val="0"/>
          <w:sz w:val="24"/>
          <w:szCs w:val="24"/>
          <w:lang w:val="en-GB"/>
        </w:rPr>
        <w:t>, accessed 06/03/19.</w:t>
      </w:r>
    </w:p>
    <w:p w:rsidR="4C983892" w:rsidP="4C983892" w:rsidRDefault="4C983892" w14:noSpellErr="1" w14:paraId="431D686C" w14:textId="68FC20E9">
      <w:pPr>
        <w:pStyle w:val="Normal"/>
        <w:spacing w:after="160" w:line="259" w:lineRule="auto"/>
        <w:jc w:val="left"/>
        <w:rPr>
          <w:rFonts w:ascii="Calibri" w:hAnsi="Calibri" w:eastAsia="Calibri" w:cs="Calibri"/>
          <w:i w:val="0"/>
          <w:iCs w:val="0"/>
          <w:noProof w:val="0"/>
          <w:sz w:val="24"/>
          <w:szCs w:val="24"/>
          <w:lang w:val="en-GB"/>
        </w:rPr>
      </w:pPr>
      <w:r w:rsidRPr="4C983892" w:rsidR="4C983892">
        <w:rPr>
          <w:rFonts w:ascii="Calibri" w:hAnsi="Calibri" w:eastAsia="Calibri" w:cs="Calibri"/>
          <w:i w:val="0"/>
          <w:iCs w:val="0"/>
          <w:noProof w:val="0"/>
          <w:sz w:val="24"/>
          <w:szCs w:val="24"/>
          <w:lang w:val="en-GB"/>
        </w:rPr>
        <w:t xml:space="preserve">Baines, E., 2009, </w:t>
      </w:r>
      <w:r w:rsidRPr="4C983892" w:rsidR="4C983892">
        <w:rPr>
          <w:rFonts w:ascii="Calibri" w:hAnsi="Calibri" w:eastAsia="Calibri" w:cs="Calibri"/>
          <w:i w:val="1"/>
          <w:iCs w:val="1"/>
          <w:noProof w:val="0"/>
          <w:sz w:val="24"/>
          <w:szCs w:val="24"/>
          <w:lang w:val="en-GB"/>
        </w:rPr>
        <w:t>Promoting effective group work in the primary classroom a handbook for teachers and practitioners</w:t>
      </w:r>
      <w:r w:rsidRPr="4C983892" w:rsidR="4C983892">
        <w:rPr>
          <w:rFonts w:ascii="Calibri" w:hAnsi="Calibri" w:eastAsia="Calibri" w:cs="Calibri"/>
          <w:i w:val="0"/>
          <w:iCs w:val="0"/>
          <w:noProof w:val="0"/>
          <w:sz w:val="24"/>
          <w:szCs w:val="24"/>
          <w:lang w:val="en-GB"/>
        </w:rPr>
        <w:t>, London: Routledge.</w:t>
      </w:r>
    </w:p>
    <w:p w:rsidR="4C983892" w:rsidP="4C983892" w:rsidRDefault="4C983892" w14:noSpellErr="1" w14:paraId="6176418A" w14:textId="464F6B40">
      <w:pPr>
        <w:pStyle w:val="Normal"/>
        <w:spacing w:after="160" w:line="259" w:lineRule="auto"/>
        <w:jc w:val="left"/>
        <w:rPr>
          <w:rFonts w:ascii="Calibri" w:hAnsi="Calibri" w:eastAsia="Calibri" w:cs="Calibri"/>
          <w:i w:val="0"/>
          <w:iCs w:val="0"/>
          <w:noProof w:val="0"/>
          <w:sz w:val="24"/>
          <w:szCs w:val="24"/>
          <w:lang w:val="en-GB"/>
        </w:rPr>
      </w:pPr>
      <w:r w:rsidRPr="4C983892" w:rsidR="4C983892">
        <w:rPr>
          <w:rFonts w:ascii="Calibri" w:hAnsi="Calibri" w:eastAsia="Calibri" w:cs="Calibri"/>
          <w:i w:val="0"/>
          <w:iCs w:val="0"/>
          <w:noProof w:val="0"/>
          <w:sz w:val="24"/>
          <w:szCs w:val="24"/>
          <w:lang w:val="en-GB"/>
        </w:rPr>
        <w:t xml:space="preserve">Bruce, T., 2012, </w:t>
      </w:r>
      <w:r w:rsidRPr="4C983892" w:rsidR="4C983892">
        <w:rPr>
          <w:rFonts w:ascii="Calibri" w:hAnsi="Calibri" w:eastAsia="Calibri" w:cs="Calibri"/>
          <w:i w:val="1"/>
          <w:iCs w:val="1"/>
          <w:noProof w:val="0"/>
          <w:sz w:val="24"/>
          <w:szCs w:val="24"/>
          <w:lang w:val="en-GB"/>
        </w:rPr>
        <w:t>Early Childhood Practice: Froebel Today</w:t>
      </w:r>
      <w:r w:rsidRPr="4C983892" w:rsidR="4C983892">
        <w:rPr>
          <w:rFonts w:ascii="Calibri" w:hAnsi="Calibri" w:eastAsia="Calibri" w:cs="Calibri"/>
          <w:i w:val="0"/>
          <w:iCs w:val="0"/>
          <w:noProof w:val="0"/>
          <w:sz w:val="24"/>
          <w:szCs w:val="24"/>
          <w:lang w:val="en-GB"/>
        </w:rPr>
        <w:t>, London: Sage.</w:t>
      </w:r>
    </w:p>
    <w:p w:rsidR="4C983892" w:rsidP="4C983892" w:rsidRDefault="4C983892" w14:noSpellErr="1" w14:paraId="5A6BE799" w14:textId="076E1A8F">
      <w:pPr>
        <w:pStyle w:val="Normal"/>
        <w:spacing w:after="160" w:line="259" w:lineRule="auto"/>
        <w:jc w:val="left"/>
        <w:rPr>
          <w:rFonts w:ascii="Calibri" w:hAnsi="Calibri" w:eastAsia="Calibri" w:cs="Calibri"/>
          <w:noProof w:val="0"/>
          <w:color w:val="0563C1"/>
          <w:sz w:val="24"/>
          <w:szCs w:val="24"/>
          <w:u w:val="single"/>
          <w:lang w:val="en-GB"/>
        </w:rPr>
      </w:pPr>
      <w:r w:rsidRPr="4C983892" w:rsidR="4C983892">
        <w:rPr>
          <w:rFonts w:ascii="Calibri" w:hAnsi="Calibri" w:eastAsia="Calibri" w:cs="Calibri"/>
          <w:noProof w:val="0"/>
          <w:sz w:val="24"/>
          <w:szCs w:val="24"/>
          <w:lang w:val="en-GB"/>
        </w:rPr>
        <w:t xml:space="preserve">Imogen, 2017, </w:t>
      </w:r>
      <w:r w:rsidRPr="4C983892" w:rsidR="4C983892">
        <w:rPr>
          <w:rFonts w:ascii="Calibri" w:hAnsi="Calibri" w:eastAsia="Calibri" w:cs="Calibri"/>
          <w:i w:val="1"/>
          <w:iCs w:val="1"/>
          <w:noProof w:val="0"/>
          <w:sz w:val="24"/>
          <w:szCs w:val="24"/>
          <w:lang w:val="en-GB"/>
        </w:rPr>
        <w:t>Merlin’s Carmarthenshire</w:t>
      </w:r>
      <w:r w:rsidRPr="4C983892" w:rsidR="4C983892">
        <w:rPr>
          <w:rFonts w:ascii="Calibri" w:hAnsi="Calibri" w:eastAsia="Calibri" w:cs="Calibri"/>
          <w:i w:val="0"/>
          <w:iCs w:val="0"/>
          <w:noProof w:val="0"/>
          <w:sz w:val="24"/>
          <w:szCs w:val="24"/>
          <w:lang w:val="en-GB"/>
        </w:rPr>
        <w:t xml:space="preserve">, available at </w:t>
      </w:r>
      <w:hyperlink r:id="R11af96cde83242cb">
        <w:r w:rsidRPr="4C983892" w:rsidR="4C983892">
          <w:rPr>
            <w:rStyle w:val="Hyperlink"/>
            <w:rFonts w:ascii="Calibri" w:hAnsi="Calibri" w:eastAsia="Calibri" w:cs="Calibri"/>
            <w:noProof w:val="0"/>
            <w:color w:val="0563C1"/>
            <w:sz w:val="24"/>
            <w:szCs w:val="24"/>
            <w:u w:val="single"/>
            <w:lang w:val="en-GB"/>
          </w:rPr>
          <w:t>https://westwalesholidaycottages.co.uk/blog/merlins-carmarthenshire/</w:t>
        </w:r>
      </w:hyperlink>
      <w:r w:rsidRPr="4C983892" w:rsidR="4C983892">
        <w:rPr>
          <w:rFonts w:ascii="Calibri" w:hAnsi="Calibri" w:eastAsia="Calibri" w:cs="Calibri"/>
          <w:i w:val="0"/>
          <w:iCs w:val="0"/>
          <w:noProof w:val="0"/>
          <w:sz w:val="24"/>
          <w:szCs w:val="24"/>
          <w:lang w:val="en-GB"/>
        </w:rPr>
        <w:t>, accessed 05/03/19.</w:t>
      </w:r>
    </w:p>
    <w:p w:rsidR="4C983892" w:rsidP="4C983892" w:rsidRDefault="4C983892" w14:noSpellErr="1" w14:paraId="73D00433" w14:textId="63179C9C">
      <w:pPr>
        <w:pStyle w:val="Normal"/>
        <w:spacing w:after="160" w:line="259" w:lineRule="auto"/>
        <w:jc w:val="left"/>
        <w:rPr>
          <w:rFonts w:ascii="Calibri" w:hAnsi="Calibri" w:eastAsia="Calibri" w:cs="Calibri"/>
          <w:i w:val="0"/>
          <w:iCs w:val="0"/>
          <w:noProof w:val="0"/>
          <w:sz w:val="24"/>
          <w:szCs w:val="24"/>
          <w:lang w:val="en-GB"/>
        </w:rPr>
      </w:pPr>
      <w:r w:rsidRPr="4C983892" w:rsidR="4C983892">
        <w:rPr>
          <w:rFonts w:ascii="Calibri" w:hAnsi="Calibri" w:eastAsia="Calibri" w:cs="Calibri"/>
          <w:i w:val="0"/>
          <w:iCs w:val="0"/>
          <w:noProof w:val="0"/>
          <w:sz w:val="24"/>
          <w:szCs w:val="24"/>
          <w:lang w:val="en-GB"/>
        </w:rPr>
        <w:t xml:space="preserve">Isaacs, B., </w:t>
      </w:r>
      <w:r w:rsidRPr="4C983892" w:rsidR="4C983892">
        <w:rPr>
          <w:rFonts w:ascii="Calibri" w:hAnsi="Calibri" w:eastAsia="Calibri" w:cs="Calibri"/>
          <w:i w:val="1"/>
          <w:iCs w:val="1"/>
          <w:noProof w:val="0"/>
          <w:sz w:val="24"/>
          <w:szCs w:val="24"/>
          <w:lang w:val="en-GB"/>
        </w:rPr>
        <w:t>Bringing the Montessori Approach to your Early Years</w:t>
      </w:r>
      <w:r w:rsidRPr="4C983892" w:rsidR="4C983892">
        <w:rPr>
          <w:rFonts w:ascii="Calibri" w:hAnsi="Calibri" w:eastAsia="Calibri" w:cs="Calibri"/>
          <w:i w:val="0"/>
          <w:iCs w:val="0"/>
          <w:noProof w:val="0"/>
          <w:sz w:val="24"/>
          <w:szCs w:val="24"/>
          <w:lang w:val="en-GB"/>
        </w:rPr>
        <w:t>, 2</w:t>
      </w:r>
      <w:r w:rsidRPr="4C983892" w:rsidR="4C983892">
        <w:rPr>
          <w:rFonts w:ascii="Calibri" w:hAnsi="Calibri" w:eastAsia="Calibri" w:cs="Calibri"/>
          <w:i w:val="0"/>
          <w:iCs w:val="0"/>
          <w:noProof w:val="0"/>
          <w:sz w:val="24"/>
          <w:szCs w:val="24"/>
          <w:vertAlign w:val="superscript"/>
          <w:lang w:val="en-GB"/>
        </w:rPr>
        <w:t>nd</w:t>
      </w:r>
      <w:r w:rsidRPr="4C983892" w:rsidR="4C983892">
        <w:rPr>
          <w:rFonts w:ascii="Calibri" w:hAnsi="Calibri" w:eastAsia="Calibri" w:cs="Calibri"/>
          <w:i w:val="0"/>
          <w:iCs w:val="0"/>
          <w:noProof w:val="0"/>
          <w:sz w:val="24"/>
          <w:szCs w:val="24"/>
          <w:lang w:val="en-GB"/>
        </w:rPr>
        <w:t xml:space="preserve"> ed., London: Routledge.</w:t>
      </w:r>
    </w:p>
    <w:p w:rsidR="4C983892" w:rsidP="4C983892" w:rsidRDefault="4C983892" w14:noSpellErr="1" w14:paraId="653D76E0" w14:textId="4F7CAE9D">
      <w:pPr>
        <w:pStyle w:val="Normal"/>
        <w:spacing w:after="160" w:line="259" w:lineRule="auto"/>
        <w:jc w:val="left"/>
        <w:rPr>
          <w:rFonts w:ascii="Calibri" w:hAnsi="Calibri" w:eastAsia="Calibri" w:cs="Calibri"/>
          <w:noProof w:val="0"/>
          <w:sz w:val="22"/>
          <w:szCs w:val="22"/>
          <w:lang w:val="en-GB"/>
        </w:rPr>
      </w:pPr>
      <w:r w:rsidRPr="4C983892" w:rsidR="4C983892">
        <w:rPr>
          <w:rFonts w:ascii="Calibri" w:hAnsi="Calibri" w:eastAsia="Calibri" w:cs="Calibri"/>
          <w:noProof w:val="0"/>
          <w:sz w:val="24"/>
          <w:szCs w:val="24"/>
          <w:lang w:val="en-GB"/>
        </w:rPr>
        <w:t xml:space="preserve">Land of Legends, n.d., </w:t>
      </w:r>
      <w:r w:rsidRPr="4C983892" w:rsidR="4C983892">
        <w:rPr>
          <w:rFonts w:ascii="Calibri" w:hAnsi="Calibri" w:eastAsia="Calibri" w:cs="Calibri"/>
          <w:i w:val="1"/>
          <w:iCs w:val="1"/>
          <w:noProof w:val="0"/>
          <w:sz w:val="24"/>
          <w:szCs w:val="24"/>
          <w:lang w:val="en-GB"/>
        </w:rPr>
        <w:t>Carmarthenshire County Museum</w:t>
      </w:r>
      <w:r w:rsidRPr="4C983892" w:rsidR="4C983892">
        <w:rPr>
          <w:rFonts w:ascii="Calibri" w:hAnsi="Calibri" w:eastAsia="Calibri" w:cs="Calibri"/>
          <w:i w:val="0"/>
          <w:iCs w:val="0"/>
          <w:noProof w:val="0"/>
          <w:sz w:val="24"/>
          <w:szCs w:val="24"/>
          <w:lang w:val="en-GB"/>
        </w:rPr>
        <w:t xml:space="preserve">, available at </w:t>
      </w:r>
      <w:hyperlink r:id="R3da18349c28a4753">
        <w:r w:rsidRPr="4C983892" w:rsidR="4C983892">
          <w:rPr>
            <w:rStyle w:val="Hyperlink"/>
            <w:rFonts w:ascii="Calibri" w:hAnsi="Calibri" w:eastAsia="Calibri" w:cs="Calibri"/>
            <w:noProof w:val="0"/>
            <w:color w:val="0563C1"/>
            <w:sz w:val="24"/>
            <w:szCs w:val="24"/>
            <w:u w:val="single"/>
            <w:lang w:val="en-GB"/>
          </w:rPr>
          <w:t>http://www.landoflegends.wales/location/carmarthenshire-county-museum</w:t>
        </w:r>
      </w:hyperlink>
      <w:r w:rsidRPr="4C983892" w:rsidR="4C983892">
        <w:rPr>
          <w:rFonts w:ascii="Calibri" w:hAnsi="Calibri" w:eastAsia="Calibri" w:cs="Calibri"/>
          <w:i w:val="0"/>
          <w:iCs w:val="0"/>
          <w:noProof w:val="0"/>
          <w:sz w:val="24"/>
          <w:szCs w:val="24"/>
          <w:lang w:val="en-GB"/>
        </w:rPr>
        <w:t>, accessed 05/03/19.</w:t>
      </w:r>
    </w:p>
    <w:p w:rsidR="4C983892" w:rsidP="4C983892" w:rsidRDefault="4C983892" w14:paraId="224E9D05" w14:textId="1799A738">
      <w:pPr>
        <w:pStyle w:val="Normal"/>
        <w:spacing w:after="160" w:line="259" w:lineRule="auto"/>
        <w:jc w:val="left"/>
        <w:rPr>
          <w:rFonts w:ascii="Calibri" w:hAnsi="Calibri" w:eastAsia="Calibri" w:cs="Calibri"/>
          <w:noProof w:val="0"/>
          <w:sz w:val="22"/>
          <w:szCs w:val="22"/>
          <w:lang w:val="en-GB"/>
        </w:rPr>
      </w:pPr>
      <w:proofErr w:type="spellStart"/>
      <w:r w:rsidRPr="4C983892" w:rsidR="4C983892">
        <w:rPr>
          <w:rFonts w:ascii="Calibri" w:hAnsi="Calibri" w:eastAsia="Calibri" w:cs="Calibri"/>
          <w:i w:val="0"/>
          <w:iCs w:val="0"/>
          <w:noProof w:val="0"/>
          <w:sz w:val="24"/>
          <w:szCs w:val="24"/>
          <w:lang w:val="en-GB"/>
        </w:rPr>
        <w:t>Mercieca</w:t>
      </w:r>
      <w:proofErr w:type="spellEnd"/>
      <w:r w:rsidRPr="4C983892" w:rsidR="4C983892">
        <w:rPr>
          <w:rFonts w:ascii="Calibri" w:hAnsi="Calibri" w:eastAsia="Calibri" w:cs="Calibri"/>
          <w:i w:val="0"/>
          <w:iCs w:val="0"/>
          <w:noProof w:val="0"/>
          <w:sz w:val="24"/>
          <w:szCs w:val="24"/>
          <w:lang w:val="en-GB"/>
        </w:rPr>
        <w:t xml:space="preserve">, M., 2014, </w:t>
      </w:r>
      <w:r w:rsidRPr="4C983892" w:rsidR="4C983892">
        <w:rPr>
          <w:rFonts w:ascii="Calibri" w:hAnsi="Calibri" w:eastAsia="Calibri" w:cs="Calibri"/>
          <w:i w:val="1"/>
          <w:iCs w:val="1"/>
          <w:noProof w:val="0"/>
          <w:sz w:val="24"/>
          <w:szCs w:val="24"/>
          <w:lang w:val="en-GB"/>
        </w:rPr>
        <w:t>Why primary schools should be teaching money matters</w:t>
      </w:r>
      <w:r w:rsidRPr="4C983892" w:rsidR="4C983892">
        <w:rPr>
          <w:rFonts w:ascii="Calibri" w:hAnsi="Calibri" w:eastAsia="Calibri" w:cs="Calibri"/>
          <w:i w:val="0"/>
          <w:iCs w:val="0"/>
          <w:noProof w:val="0"/>
          <w:sz w:val="24"/>
          <w:szCs w:val="24"/>
          <w:lang w:val="en-GB"/>
        </w:rPr>
        <w:t xml:space="preserve">, available at </w:t>
      </w:r>
      <w:hyperlink r:id="R4c459b961eaa4f2a">
        <w:r w:rsidRPr="4C983892" w:rsidR="4C983892">
          <w:rPr>
            <w:rStyle w:val="Hyperlink"/>
            <w:rFonts w:ascii="Calibri" w:hAnsi="Calibri" w:eastAsia="Calibri" w:cs="Calibri"/>
            <w:noProof w:val="0"/>
            <w:color w:val="0563C1"/>
            <w:sz w:val="24"/>
            <w:szCs w:val="24"/>
            <w:u w:val="single"/>
            <w:lang w:val="en-GB"/>
          </w:rPr>
          <w:t>https://www.theguardian.com/sustainable-business/2014/dec/09/why-money-must-be-part-of-the-formal-school-curriculum</w:t>
        </w:r>
      </w:hyperlink>
      <w:r w:rsidRPr="4C983892" w:rsidR="4C983892">
        <w:rPr>
          <w:rFonts w:ascii="Calibri" w:hAnsi="Calibri" w:eastAsia="Calibri" w:cs="Calibri"/>
          <w:i w:val="0"/>
          <w:iCs w:val="0"/>
          <w:noProof w:val="0"/>
          <w:sz w:val="24"/>
          <w:szCs w:val="24"/>
          <w:lang w:val="en-GB"/>
        </w:rPr>
        <w:t>, accessed 13/05/19.</w:t>
      </w:r>
    </w:p>
    <w:p w:rsidR="4C983892" w:rsidP="4C983892" w:rsidRDefault="4C983892" w14:noSpellErr="1" w14:paraId="19DBB4E6" w14:textId="5B436550">
      <w:pPr>
        <w:pStyle w:val="Normal"/>
        <w:spacing w:after="160" w:line="259" w:lineRule="auto"/>
        <w:jc w:val="left"/>
        <w:rPr>
          <w:rFonts w:ascii="Calibri" w:hAnsi="Calibri" w:eastAsia="Calibri" w:cs="Calibri"/>
          <w:noProof w:val="0"/>
          <w:sz w:val="22"/>
          <w:szCs w:val="22"/>
          <w:lang w:val="en-GB"/>
        </w:rPr>
      </w:pPr>
      <w:r w:rsidRPr="4C983892" w:rsidR="4C983892">
        <w:rPr>
          <w:rFonts w:ascii="Calibri" w:hAnsi="Calibri" w:eastAsia="Calibri" w:cs="Calibri"/>
          <w:noProof w:val="0"/>
          <w:sz w:val="24"/>
          <w:szCs w:val="24"/>
          <w:lang w:val="en-GB"/>
        </w:rPr>
        <w:t xml:space="preserve">Merlin’s Hill Centre, n.d., </w:t>
      </w:r>
      <w:r w:rsidRPr="4C983892" w:rsidR="4C983892">
        <w:rPr>
          <w:rFonts w:ascii="Calibri" w:hAnsi="Calibri" w:eastAsia="Calibri" w:cs="Calibri"/>
          <w:i w:val="1"/>
          <w:iCs w:val="1"/>
          <w:noProof w:val="0"/>
          <w:sz w:val="24"/>
          <w:szCs w:val="24"/>
          <w:lang w:val="en-GB"/>
        </w:rPr>
        <w:t>Merlin and the Hillfort</w:t>
      </w:r>
      <w:r w:rsidRPr="4C983892" w:rsidR="4C983892">
        <w:rPr>
          <w:rFonts w:ascii="Calibri" w:hAnsi="Calibri" w:eastAsia="Calibri" w:cs="Calibri"/>
          <w:i w:val="0"/>
          <w:iCs w:val="0"/>
          <w:noProof w:val="0"/>
          <w:sz w:val="24"/>
          <w:szCs w:val="24"/>
          <w:lang w:val="en-GB"/>
        </w:rPr>
        <w:t xml:space="preserve">, available at </w:t>
      </w:r>
      <w:hyperlink r:id="Re61af45322bc4f9d">
        <w:r w:rsidRPr="4C983892" w:rsidR="4C983892">
          <w:rPr>
            <w:rStyle w:val="Hyperlink"/>
            <w:rFonts w:ascii="Calibri" w:hAnsi="Calibri" w:eastAsia="Calibri" w:cs="Calibri"/>
            <w:noProof w:val="0"/>
            <w:color w:val="0563C1"/>
            <w:sz w:val="24"/>
            <w:szCs w:val="24"/>
            <w:u w:val="single"/>
            <w:lang w:val="en-GB"/>
          </w:rPr>
          <w:t>http://www.merlinshill.com/pages/merlin.html</w:t>
        </w:r>
      </w:hyperlink>
      <w:r w:rsidRPr="4C983892" w:rsidR="4C983892">
        <w:rPr>
          <w:rFonts w:ascii="Calibri" w:hAnsi="Calibri" w:eastAsia="Calibri" w:cs="Calibri"/>
          <w:i w:val="0"/>
          <w:iCs w:val="0"/>
          <w:noProof w:val="0"/>
          <w:sz w:val="24"/>
          <w:szCs w:val="24"/>
          <w:lang w:val="en-GB"/>
        </w:rPr>
        <w:t>, accessed 05/03/19.</w:t>
      </w:r>
    </w:p>
    <w:p w:rsidR="4C983892" w:rsidP="4C983892" w:rsidRDefault="4C983892" w14:noSpellErr="1" w14:paraId="2EBD52D0" w14:textId="6ECFA7B1">
      <w:pPr>
        <w:pStyle w:val="Normal"/>
        <w:spacing w:line="360" w:lineRule="auto"/>
        <w:jc w:val="left"/>
        <w:rPr>
          <w:sz w:val="24"/>
          <w:szCs w:val="24"/>
          <w:u w:val="single"/>
        </w:rPr>
      </w:pPr>
      <w:r w:rsidRPr="4C983892" w:rsidR="4C983892">
        <w:rPr>
          <w:sz w:val="24"/>
          <w:szCs w:val="24"/>
          <w:u w:val="none"/>
        </w:rPr>
        <w:t xml:space="preserve">Pinterest, n.d., </w:t>
      </w:r>
      <w:r w:rsidRPr="4C983892" w:rsidR="4C983892">
        <w:rPr>
          <w:i w:val="1"/>
          <w:iCs w:val="1"/>
          <w:sz w:val="24"/>
          <w:szCs w:val="24"/>
          <w:u w:val="none"/>
        </w:rPr>
        <w:t>Merlin the Wizard</w:t>
      </w:r>
      <w:r w:rsidRPr="4C983892" w:rsidR="4C983892">
        <w:rPr>
          <w:i w:val="0"/>
          <w:iCs w:val="0"/>
          <w:sz w:val="24"/>
          <w:szCs w:val="24"/>
          <w:u w:val="none"/>
        </w:rPr>
        <w:t xml:space="preserve">, available at </w:t>
      </w:r>
      <w:hyperlink r:id="R3c4e2812337243b4">
        <w:r w:rsidRPr="4C983892" w:rsidR="4C983892">
          <w:rPr>
            <w:rStyle w:val="Hyperlink"/>
            <w:rFonts w:ascii="Calibri" w:hAnsi="Calibri" w:eastAsia="Calibri" w:cs="Calibri"/>
            <w:noProof w:val="0"/>
            <w:sz w:val="24"/>
            <w:szCs w:val="24"/>
            <w:lang w:val="en-GB"/>
          </w:rPr>
          <w:t>https://www.pinterest.co.uk/pin/125889752059115892/</w:t>
        </w:r>
      </w:hyperlink>
      <w:r w:rsidRPr="4C983892" w:rsidR="4C983892">
        <w:rPr>
          <w:rFonts w:ascii="Calibri" w:hAnsi="Calibri" w:eastAsia="Calibri" w:cs="Calibri"/>
          <w:noProof w:val="0"/>
          <w:sz w:val="24"/>
          <w:szCs w:val="24"/>
          <w:lang w:val="en-GB"/>
        </w:rPr>
        <w:t>, accessed 05/03/19 [Image].</w:t>
      </w:r>
    </w:p>
    <w:p w:rsidR="4C983892" w:rsidP="4C983892" w:rsidRDefault="4C983892" w14:noSpellErr="1" w14:paraId="596B31FD" w14:textId="1F01E315">
      <w:pPr>
        <w:pStyle w:val="Normal"/>
        <w:spacing w:line="360" w:lineRule="auto"/>
        <w:jc w:val="left"/>
        <w:rPr>
          <w:rFonts w:ascii="Calibri" w:hAnsi="Calibri" w:eastAsia="Calibri" w:cs="Calibri"/>
          <w:noProof w:val="0"/>
          <w:sz w:val="24"/>
          <w:szCs w:val="24"/>
          <w:lang w:val="en-GB"/>
        </w:rPr>
      </w:pPr>
      <w:r w:rsidRPr="4C983892" w:rsidR="4C983892">
        <w:rPr>
          <w:rFonts w:ascii="Calibri" w:hAnsi="Calibri" w:eastAsia="Calibri" w:cs="Calibri"/>
          <w:noProof w:val="0"/>
          <w:sz w:val="24"/>
          <w:szCs w:val="24"/>
          <w:lang w:val="en-GB"/>
        </w:rPr>
        <w:t xml:space="preserve">Tovey, H., 2013, </w:t>
      </w:r>
      <w:r w:rsidRPr="4C983892" w:rsidR="4C983892">
        <w:rPr>
          <w:rFonts w:ascii="Calibri" w:hAnsi="Calibri" w:eastAsia="Calibri" w:cs="Calibri"/>
          <w:i w:val="1"/>
          <w:iCs w:val="1"/>
          <w:noProof w:val="0"/>
          <w:sz w:val="24"/>
          <w:szCs w:val="24"/>
          <w:lang w:val="en-GB"/>
        </w:rPr>
        <w:t>Bringing the Froebel Approach to your Early Years Practice</w:t>
      </w:r>
      <w:r w:rsidRPr="4C983892" w:rsidR="4C983892">
        <w:rPr>
          <w:rFonts w:ascii="Calibri" w:hAnsi="Calibri" w:eastAsia="Calibri" w:cs="Calibri"/>
          <w:i w:val="0"/>
          <w:iCs w:val="0"/>
          <w:noProof w:val="0"/>
          <w:sz w:val="24"/>
          <w:szCs w:val="24"/>
          <w:lang w:val="en-GB"/>
        </w:rPr>
        <w:t>, Oxon: Routledge.</w:t>
      </w:r>
    </w:p>
    <w:p w:rsidR="4C983892" w:rsidP="4C983892" w:rsidRDefault="4C983892" w14:noSpellErr="1" w14:paraId="3CD67CDD" w14:textId="745D9D31">
      <w:pPr>
        <w:pStyle w:val="Normal"/>
        <w:spacing w:after="160" w:line="259" w:lineRule="auto"/>
        <w:jc w:val="left"/>
        <w:rPr>
          <w:rFonts w:ascii="Calibri" w:hAnsi="Calibri" w:eastAsia="Calibri" w:cs="Calibri"/>
          <w:noProof w:val="0"/>
          <w:color w:val="0563C1"/>
          <w:sz w:val="24"/>
          <w:szCs w:val="24"/>
          <w:u w:val="single"/>
          <w:lang w:val="en-GB"/>
        </w:rPr>
      </w:pPr>
      <w:r w:rsidRPr="4C983892" w:rsidR="4C983892">
        <w:rPr>
          <w:rFonts w:ascii="Calibri" w:hAnsi="Calibri" w:eastAsia="Calibri" w:cs="Calibri"/>
          <w:noProof w:val="0"/>
          <w:sz w:val="24"/>
          <w:szCs w:val="24"/>
          <w:lang w:val="en-GB"/>
        </w:rPr>
        <w:t xml:space="preserve">Visit Wales, n.d., </w:t>
      </w:r>
      <w:r w:rsidRPr="4C983892" w:rsidR="4C983892">
        <w:rPr>
          <w:rFonts w:ascii="Calibri" w:hAnsi="Calibri" w:eastAsia="Calibri" w:cs="Calibri"/>
          <w:i w:val="1"/>
          <w:iCs w:val="1"/>
          <w:noProof w:val="0"/>
          <w:sz w:val="24"/>
          <w:szCs w:val="24"/>
          <w:lang w:val="en-GB"/>
        </w:rPr>
        <w:t>Discover King Arthur’s Wales</w:t>
      </w:r>
      <w:r w:rsidRPr="4C983892" w:rsidR="4C983892">
        <w:rPr>
          <w:rFonts w:ascii="Calibri" w:hAnsi="Calibri" w:eastAsia="Calibri" w:cs="Calibri"/>
          <w:i w:val="0"/>
          <w:iCs w:val="0"/>
          <w:noProof w:val="0"/>
          <w:sz w:val="24"/>
          <w:szCs w:val="24"/>
          <w:lang w:val="en-GB"/>
        </w:rPr>
        <w:t xml:space="preserve">, available at </w:t>
      </w:r>
      <w:hyperlink r:id="Rc64079854ad24ca8">
        <w:r w:rsidRPr="4C983892" w:rsidR="4C983892">
          <w:rPr>
            <w:rStyle w:val="Hyperlink"/>
            <w:rFonts w:ascii="Calibri" w:hAnsi="Calibri" w:eastAsia="Calibri" w:cs="Calibri"/>
            <w:noProof w:val="0"/>
            <w:color w:val="0563C1"/>
            <w:sz w:val="24"/>
            <w:szCs w:val="24"/>
            <w:u w:val="single"/>
            <w:lang w:val="en-GB"/>
          </w:rPr>
          <w:t>https://www.visitwales.com/explore/traditions-history/king-arthur-myth-history-locations</w:t>
        </w:r>
      </w:hyperlink>
      <w:r w:rsidRPr="4C983892" w:rsidR="4C983892">
        <w:rPr>
          <w:rFonts w:ascii="Calibri" w:hAnsi="Calibri" w:eastAsia="Calibri" w:cs="Calibri"/>
          <w:i w:val="0"/>
          <w:iCs w:val="0"/>
          <w:noProof w:val="0"/>
          <w:sz w:val="24"/>
          <w:szCs w:val="24"/>
          <w:lang w:val="en-GB"/>
        </w:rPr>
        <w:t>, accessed 05/03/19.</w:t>
      </w:r>
    </w:p>
    <w:p w:rsidR="4C983892" w:rsidP="4C983892" w:rsidRDefault="4C983892" w14:paraId="5A360696" w14:textId="53B70452">
      <w:pPr>
        <w:pStyle w:val="Normal"/>
        <w:spacing w:after="160" w:line="259" w:lineRule="auto"/>
        <w:jc w:val="left"/>
        <w:rPr>
          <w:rFonts w:ascii="Calibri" w:hAnsi="Calibri" w:eastAsia="Calibri" w:cs="Calibri"/>
          <w:noProof w:val="0"/>
          <w:sz w:val="22"/>
          <w:szCs w:val="22"/>
          <w:lang w:val="en-GB"/>
        </w:rPr>
      </w:pPr>
      <w:r w:rsidRPr="4C983892" w:rsidR="4C983892">
        <w:rPr>
          <w:rFonts w:ascii="Calibri" w:hAnsi="Calibri" w:eastAsia="Calibri" w:cs="Calibri"/>
          <w:i w:val="0"/>
          <w:iCs w:val="0"/>
          <w:noProof w:val="0"/>
          <w:sz w:val="24"/>
          <w:szCs w:val="24"/>
          <w:lang w:val="en-GB"/>
        </w:rPr>
        <w:t xml:space="preserve">Welsh Government, 2017, </w:t>
      </w:r>
      <w:r w:rsidRPr="4C983892" w:rsidR="4C983892">
        <w:rPr>
          <w:rFonts w:ascii="Calibri" w:hAnsi="Calibri" w:eastAsia="Calibri" w:cs="Calibri"/>
          <w:i w:val="1"/>
          <w:iCs w:val="1"/>
          <w:noProof w:val="0"/>
          <w:sz w:val="24"/>
          <w:szCs w:val="24"/>
          <w:lang w:val="en-GB"/>
        </w:rPr>
        <w:t xml:space="preserve">Health and Well-being </w:t>
      </w:r>
      <w:proofErr w:type="spellStart"/>
      <w:r w:rsidRPr="4C983892" w:rsidR="4C983892">
        <w:rPr>
          <w:rFonts w:ascii="Calibri" w:hAnsi="Calibri" w:eastAsia="Calibri" w:cs="Calibri"/>
          <w:i w:val="1"/>
          <w:iCs w:val="1"/>
          <w:noProof w:val="0"/>
          <w:sz w:val="24"/>
          <w:szCs w:val="24"/>
          <w:lang w:val="en-GB"/>
        </w:rPr>
        <w:t>AofLE</w:t>
      </w:r>
      <w:proofErr w:type="spellEnd"/>
      <w:r w:rsidRPr="4C983892" w:rsidR="4C983892">
        <w:rPr>
          <w:rFonts w:ascii="Calibri" w:hAnsi="Calibri" w:eastAsia="Calibri" w:cs="Calibri"/>
          <w:i w:val="0"/>
          <w:iCs w:val="0"/>
          <w:noProof w:val="0"/>
          <w:sz w:val="24"/>
          <w:szCs w:val="24"/>
          <w:lang w:val="en-GB"/>
        </w:rPr>
        <w:t xml:space="preserve">, available at </w:t>
      </w:r>
      <w:hyperlink r:id="R75050c9a239143f4">
        <w:r w:rsidRPr="4C983892" w:rsidR="4C983892">
          <w:rPr>
            <w:rStyle w:val="Hyperlink"/>
            <w:rFonts w:ascii="Calibri" w:hAnsi="Calibri" w:eastAsia="Calibri" w:cs="Calibri"/>
            <w:noProof w:val="0"/>
            <w:color w:val="0563C1"/>
            <w:sz w:val="24"/>
            <w:szCs w:val="24"/>
            <w:u w:val="single"/>
            <w:lang w:val="en-GB"/>
          </w:rPr>
          <w:t>https://beta.gov.wales/sites/default/files/publications/2018-07/health-and-well-being-aole-december-2017.pdf</w:t>
        </w:r>
      </w:hyperlink>
      <w:r w:rsidRPr="4C983892" w:rsidR="4C983892">
        <w:rPr>
          <w:rFonts w:ascii="Calibri" w:hAnsi="Calibri" w:eastAsia="Calibri" w:cs="Calibri"/>
          <w:i w:val="0"/>
          <w:iCs w:val="0"/>
          <w:noProof w:val="0"/>
          <w:sz w:val="24"/>
          <w:szCs w:val="24"/>
          <w:lang w:val="en-GB"/>
        </w:rPr>
        <w:t>, accessed 13/03/19.</w:t>
      </w:r>
    </w:p>
    <w:p w:rsidR="4C983892" w:rsidP="4C983892" w:rsidRDefault="4C983892" w14:noSpellErr="1" w14:paraId="5F2EEDC6" w14:textId="0606024D">
      <w:pPr>
        <w:pStyle w:val="Normal"/>
        <w:spacing w:after="160" w:line="259" w:lineRule="auto"/>
        <w:jc w:val="left"/>
        <w:rPr>
          <w:rFonts w:ascii="Calibri" w:hAnsi="Calibri" w:eastAsia="Calibri" w:cs="Calibri"/>
          <w:i w:val="0"/>
          <w:iCs w:val="0"/>
          <w:noProof w:val="0"/>
          <w:sz w:val="24"/>
          <w:szCs w:val="24"/>
          <w:lang w:val="en-GB"/>
        </w:rPr>
      </w:pPr>
      <w:r w:rsidRPr="4C983892" w:rsidR="4C983892">
        <w:rPr>
          <w:rFonts w:ascii="Calibri" w:hAnsi="Calibri" w:eastAsia="Calibri" w:cs="Calibri"/>
          <w:i w:val="0"/>
          <w:iCs w:val="0"/>
          <w:noProof w:val="0"/>
          <w:sz w:val="24"/>
          <w:szCs w:val="24"/>
          <w:lang w:val="en-GB"/>
        </w:rPr>
        <w:t xml:space="preserve">Welsh Government, 2016, </w:t>
      </w:r>
      <w:r w:rsidRPr="4C983892" w:rsidR="4C983892">
        <w:rPr>
          <w:rFonts w:ascii="Calibri" w:hAnsi="Calibri" w:eastAsia="Calibri" w:cs="Calibri"/>
          <w:i w:val="1"/>
          <w:iCs w:val="1"/>
          <w:noProof w:val="0"/>
          <w:sz w:val="24"/>
          <w:szCs w:val="24"/>
          <w:lang w:val="en-GB"/>
        </w:rPr>
        <w:t xml:space="preserve">Programme of Study for Mathematics Key Stages 2-4, </w:t>
      </w:r>
      <w:r w:rsidRPr="4C983892" w:rsidR="4C983892">
        <w:rPr>
          <w:rFonts w:ascii="Calibri" w:hAnsi="Calibri" w:eastAsia="Calibri" w:cs="Calibri"/>
          <w:i w:val="0"/>
          <w:iCs w:val="0"/>
          <w:noProof w:val="0"/>
          <w:sz w:val="24"/>
          <w:szCs w:val="24"/>
          <w:lang w:val="en-GB"/>
        </w:rPr>
        <w:t>available at</w:t>
      </w:r>
      <w:r w:rsidRPr="4C983892" w:rsidR="4C983892">
        <w:rPr>
          <w:rFonts w:ascii="Calibri" w:hAnsi="Calibri" w:eastAsia="Calibri" w:cs="Calibri"/>
          <w:i w:val="1"/>
          <w:iCs w:val="1"/>
          <w:noProof w:val="0"/>
          <w:sz w:val="24"/>
          <w:szCs w:val="24"/>
          <w:lang w:val="en-GB"/>
        </w:rPr>
        <w:t xml:space="preserve"> </w:t>
      </w:r>
      <w:hyperlink r:id="R09a6407d4e2d404b">
        <w:r w:rsidRPr="4C983892" w:rsidR="4C983892">
          <w:rPr>
            <w:rStyle w:val="Hyperlink"/>
            <w:rFonts w:ascii="Calibri" w:hAnsi="Calibri" w:eastAsia="Calibri" w:cs="Calibri"/>
            <w:noProof w:val="0"/>
            <w:color w:val="0563C1"/>
            <w:sz w:val="24"/>
            <w:szCs w:val="24"/>
            <w:u w:val="single"/>
            <w:lang w:val="en-GB"/>
          </w:rPr>
          <w:t>https://learning.gov.wales/docs/learningwales/publications/150717-nc-maths-en-v2.pdf</w:t>
        </w:r>
      </w:hyperlink>
      <w:r w:rsidRPr="4C983892" w:rsidR="4C983892">
        <w:rPr>
          <w:rFonts w:ascii="Calibri" w:hAnsi="Calibri" w:eastAsia="Calibri" w:cs="Calibri"/>
          <w:i w:val="0"/>
          <w:iCs w:val="0"/>
          <w:noProof w:val="0"/>
          <w:sz w:val="24"/>
          <w:szCs w:val="24"/>
          <w:lang w:val="en-GB"/>
        </w:rPr>
        <w:t>, accessed 05/03/19.</w:t>
      </w:r>
    </w:p>
    <w:p w:rsidR="4C983892" w:rsidP="4C983892" w:rsidRDefault="4C983892" w14:paraId="5804A2A3" w14:textId="0098F86F">
      <w:pPr>
        <w:pStyle w:val="Normal"/>
        <w:spacing w:after="160" w:line="259" w:lineRule="auto"/>
        <w:jc w:val="left"/>
        <w:rPr>
          <w:rFonts w:ascii="Calibri" w:hAnsi="Calibri" w:eastAsia="Calibri" w:cs="Calibri"/>
          <w:i w:val="0"/>
          <w:iCs w:val="0"/>
          <w:noProof w:val="0"/>
          <w:sz w:val="24"/>
          <w:szCs w:val="24"/>
          <w:lang w:val="en-GB"/>
        </w:rPr>
      </w:pPr>
      <w:r w:rsidRPr="4C983892" w:rsidR="4C983892">
        <w:rPr>
          <w:rFonts w:ascii="Calibri" w:hAnsi="Calibri" w:eastAsia="Calibri" w:cs="Calibri"/>
          <w:i w:val="0"/>
          <w:iCs w:val="0"/>
          <w:noProof w:val="0"/>
          <w:sz w:val="24"/>
          <w:szCs w:val="24"/>
          <w:lang w:val="en-GB"/>
        </w:rPr>
        <w:t>Welsh Government, 2013,</w:t>
      </w:r>
      <w:r w:rsidRPr="4C983892" w:rsidR="4C983892">
        <w:rPr>
          <w:rFonts w:ascii="Calibri" w:hAnsi="Calibri" w:eastAsia="Calibri" w:cs="Calibri"/>
          <w:i w:val="0"/>
          <w:iCs w:val="0"/>
          <w:noProof w:val="0"/>
          <w:sz w:val="24"/>
          <w:szCs w:val="24"/>
          <w:lang w:val="en-GB"/>
        </w:rPr>
        <w:t xml:space="preserve"> </w:t>
      </w:r>
      <w:r w:rsidRPr="4C983892" w:rsidR="4C983892">
        <w:rPr>
          <w:rFonts w:ascii="Calibri" w:hAnsi="Calibri" w:eastAsia="Calibri" w:cs="Calibri"/>
          <w:i w:val="1"/>
          <w:iCs w:val="1"/>
          <w:noProof w:val="0"/>
          <w:sz w:val="24"/>
          <w:szCs w:val="24"/>
          <w:lang w:val="en-GB"/>
        </w:rPr>
        <w:t xml:space="preserve">The </w:t>
      </w:r>
      <w:proofErr w:type="spellStart"/>
      <w:r w:rsidRPr="4C983892" w:rsidR="4C983892">
        <w:rPr>
          <w:rFonts w:ascii="Calibri" w:hAnsi="Calibri" w:eastAsia="Calibri" w:cs="Calibri"/>
          <w:i w:val="1"/>
          <w:iCs w:val="1"/>
          <w:noProof w:val="0"/>
          <w:sz w:val="24"/>
          <w:szCs w:val="24"/>
          <w:lang w:val="en-GB"/>
        </w:rPr>
        <w:t>Cwricwlwm</w:t>
      </w:r>
      <w:proofErr w:type="spellEnd"/>
      <w:r w:rsidRPr="4C983892" w:rsidR="4C983892">
        <w:rPr>
          <w:rFonts w:ascii="Calibri" w:hAnsi="Calibri" w:eastAsia="Calibri" w:cs="Calibri"/>
          <w:i w:val="1"/>
          <w:iCs w:val="1"/>
          <w:noProof w:val="0"/>
          <w:sz w:val="24"/>
          <w:szCs w:val="24"/>
          <w:lang w:val="en-GB"/>
        </w:rPr>
        <w:t xml:space="preserve"> </w:t>
      </w:r>
      <w:proofErr w:type="spellStart"/>
      <w:r w:rsidRPr="4C983892" w:rsidR="4C983892">
        <w:rPr>
          <w:rFonts w:ascii="Calibri" w:hAnsi="Calibri" w:eastAsia="Calibri" w:cs="Calibri"/>
          <w:i w:val="1"/>
          <w:iCs w:val="1"/>
          <w:noProof w:val="0"/>
          <w:sz w:val="24"/>
          <w:szCs w:val="24"/>
          <w:lang w:val="en-GB"/>
        </w:rPr>
        <w:t>Cymreig</w:t>
      </w:r>
      <w:proofErr w:type="spellEnd"/>
      <w:r w:rsidRPr="4C983892" w:rsidR="4C983892">
        <w:rPr>
          <w:rFonts w:ascii="Calibri" w:hAnsi="Calibri" w:eastAsia="Calibri" w:cs="Calibri"/>
          <w:i w:val="1"/>
          <w:iCs w:val="1"/>
          <w:noProof w:val="0"/>
          <w:sz w:val="24"/>
          <w:szCs w:val="24"/>
          <w:lang w:val="en-GB"/>
        </w:rPr>
        <w:t>, history and the story of Wales</w:t>
      </w:r>
      <w:r w:rsidRPr="4C983892" w:rsidR="4C983892">
        <w:rPr>
          <w:rFonts w:ascii="Calibri" w:hAnsi="Calibri" w:eastAsia="Calibri" w:cs="Calibri"/>
          <w:i w:val="0"/>
          <w:iCs w:val="0"/>
          <w:noProof w:val="0"/>
          <w:sz w:val="24"/>
          <w:szCs w:val="24"/>
          <w:lang w:val="en-GB"/>
        </w:rPr>
        <w:t xml:space="preserve">, available at </w:t>
      </w:r>
      <w:hyperlink r:id="R5be6a79d75fb4fbc">
        <w:r w:rsidRPr="4C983892" w:rsidR="4C983892">
          <w:rPr>
            <w:rStyle w:val="Hyperlink"/>
            <w:rFonts w:ascii="Calibri" w:hAnsi="Calibri" w:eastAsia="Calibri" w:cs="Calibri"/>
            <w:i w:val="0"/>
            <w:iCs w:val="0"/>
            <w:noProof w:val="0"/>
            <w:sz w:val="24"/>
            <w:szCs w:val="24"/>
            <w:lang w:val="en-GB"/>
          </w:rPr>
          <w:t>https://learning.gov.wales/docs/learningwales/publications/190920-cwricwlwm-cymreig-final-report-en.pdf</w:t>
        </w:r>
      </w:hyperlink>
      <w:r w:rsidRPr="4C983892" w:rsidR="4C983892">
        <w:rPr>
          <w:rFonts w:ascii="Calibri" w:hAnsi="Calibri" w:eastAsia="Calibri" w:cs="Calibri"/>
          <w:i w:val="0"/>
          <w:iCs w:val="0"/>
          <w:noProof w:val="0"/>
          <w:sz w:val="24"/>
          <w:szCs w:val="24"/>
          <w:lang w:val="en-GB"/>
        </w:rPr>
        <w:t>, accessed 12/03/19.</w:t>
      </w:r>
    </w:p>
    <w:p w:rsidR="4C983892" w:rsidP="4C983892" w:rsidRDefault="4C983892" w14:noSpellErr="1" w14:paraId="71EB11C4" w14:textId="39E23AE0">
      <w:pPr>
        <w:pStyle w:val="Normal"/>
        <w:spacing w:after="160" w:line="259" w:lineRule="auto"/>
        <w:jc w:val="left"/>
        <w:rPr>
          <w:rFonts w:ascii="Calibri" w:hAnsi="Calibri" w:eastAsia="Calibri" w:cs="Calibri"/>
          <w:i w:val="0"/>
          <w:iCs w:val="0"/>
          <w:noProof w:val="0"/>
          <w:sz w:val="24"/>
          <w:szCs w:val="24"/>
          <w:lang w:val="en-GB"/>
        </w:rPr>
      </w:pPr>
      <w:r w:rsidRPr="4C983892" w:rsidR="4C983892">
        <w:rPr>
          <w:rFonts w:ascii="Calibri" w:hAnsi="Calibri" w:eastAsia="Calibri" w:cs="Calibri"/>
          <w:noProof w:val="0"/>
          <w:sz w:val="24"/>
          <w:szCs w:val="24"/>
          <w:lang w:val="en-GB"/>
        </w:rPr>
        <w:t xml:space="preserve">Wikipedia, n.d., </w:t>
      </w:r>
      <w:r w:rsidRPr="4C983892" w:rsidR="4C983892">
        <w:rPr>
          <w:rFonts w:ascii="Calibri" w:hAnsi="Calibri" w:eastAsia="Calibri" w:cs="Calibri"/>
          <w:i w:val="1"/>
          <w:iCs w:val="1"/>
          <w:noProof w:val="0"/>
          <w:sz w:val="24"/>
          <w:szCs w:val="24"/>
          <w:lang w:val="en-GB"/>
        </w:rPr>
        <w:t xml:space="preserve">Y </w:t>
      </w:r>
      <w:proofErr w:type="spellStart"/>
      <w:r w:rsidRPr="4C983892" w:rsidR="4C983892">
        <w:rPr>
          <w:rFonts w:ascii="Calibri" w:hAnsi="Calibri" w:eastAsia="Calibri" w:cs="Calibri"/>
          <w:i w:val="1"/>
          <w:iCs w:val="1"/>
          <w:noProof w:val="0"/>
          <w:sz w:val="24"/>
          <w:szCs w:val="24"/>
          <w:lang w:val="en-GB"/>
        </w:rPr>
        <w:t>Ddraig</w:t>
      </w:r>
      <w:proofErr w:type="spellEnd"/>
      <w:r w:rsidRPr="4C983892" w:rsidR="4C983892">
        <w:rPr>
          <w:rFonts w:ascii="Calibri" w:hAnsi="Calibri" w:eastAsia="Calibri" w:cs="Calibri"/>
          <w:i w:val="1"/>
          <w:iCs w:val="1"/>
          <w:noProof w:val="0"/>
          <w:sz w:val="24"/>
          <w:szCs w:val="24"/>
          <w:lang w:val="en-GB"/>
        </w:rPr>
        <w:t xml:space="preserve"> Goch</w:t>
      </w:r>
      <w:r w:rsidRPr="4C983892" w:rsidR="4C983892">
        <w:rPr>
          <w:rFonts w:ascii="Calibri" w:hAnsi="Calibri" w:eastAsia="Calibri" w:cs="Calibri"/>
          <w:i w:val="0"/>
          <w:iCs w:val="0"/>
          <w:noProof w:val="0"/>
          <w:sz w:val="24"/>
          <w:szCs w:val="24"/>
          <w:lang w:val="en-GB"/>
        </w:rPr>
        <w:t xml:space="preserve">, available at </w:t>
      </w:r>
      <w:hyperlink r:id="R7a14498b3cb84bd7">
        <w:r w:rsidRPr="4C983892" w:rsidR="4C983892">
          <w:rPr>
            <w:rStyle w:val="Hyperlink"/>
            <w:rFonts w:ascii="Calibri" w:hAnsi="Calibri" w:eastAsia="Calibri" w:cs="Calibri"/>
            <w:i w:val="0"/>
            <w:iCs w:val="0"/>
            <w:noProof w:val="0"/>
            <w:sz w:val="24"/>
            <w:szCs w:val="24"/>
            <w:lang w:val="en-GB"/>
          </w:rPr>
          <w:t>https://en.wikipedia.org/wiki/Welsh_Dragon#/media/File:Welsh_Dragon_(Y_Ddraig_Goch).svg</w:t>
        </w:r>
      </w:hyperlink>
      <w:r w:rsidRPr="4C983892" w:rsidR="4C983892">
        <w:rPr>
          <w:rFonts w:ascii="Calibri" w:hAnsi="Calibri" w:eastAsia="Calibri" w:cs="Calibri"/>
          <w:i w:val="0"/>
          <w:iCs w:val="0"/>
          <w:noProof w:val="0"/>
          <w:sz w:val="24"/>
          <w:szCs w:val="24"/>
          <w:lang w:val="en-GB"/>
        </w:rPr>
        <w:t>, accessed 05/03/19 [Image].</w:t>
      </w:r>
    </w:p>
    <w:p w:rsidR="4C983892" w:rsidP="4C983892" w:rsidRDefault="4C983892" w14:paraId="50C613D1" w14:textId="5E42C76B">
      <w:pPr>
        <w:pStyle w:val="Normal"/>
        <w:spacing w:line="360" w:lineRule="auto"/>
        <w:jc w:val="left"/>
        <w:rPr>
          <w:rFonts w:ascii="Calibri" w:hAnsi="Calibri" w:eastAsia="Calibri" w:cs="Calibri"/>
          <w:i w:val="0"/>
          <w:iCs w:val="0"/>
          <w:noProof w:val="0"/>
          <w:sz w:val="24"/>
          <w:szCs w:val="24"/>
          <w:lang w:val="en-GB"/>
        </w:rPr>
      </w:pPr>
      <w:proofErr w:type="spellStart"/>
      <w:r w:rsidRPr="4C983892" w:rsidR="4C983892">
        <w:rPr>
          <w:rFonts w:ascii="Calibri" w:hAnsi="Calibri" w:eastAsia="Calibri" w:cs="Calibri"/>
          <w:i w:val="0"/>
          <w:iCs w:val="0"/>
          <w:noProof w:val="0"/>
          <w:sz w:val="24"/>
          <w:szCs w:val="24"/>
          <w:lang w:val="en-GB"/>
        </w:rPr>
        <w:t>WorldArtsMe</w:t>
      </w:r>
      <w:proofErr w:type="spellEnd"/>
      <w:r w:rsidRPr="4C983892" w:rsidR="4C983892">
        <w:rPr>
          <w:rFonts w:ascii="Calibri" w:hAnsi="Calibri" w:eastAsia="Calibri" w:cs="Calibri"/>
          <w:i w:val="0"/>
          <w:iCs w:val="0"/>
          <w:noProof w:val="0"/>
          <w:sz w:val="24"/>
          <w:szCs w:val="24"/>
          <w:lang w:val="en-GB"/>
        </w:rPr>
        <w:t xml:space="preserve">, n.d., </w:t>
      </w:r>
      <w:r w:rsidRPr="4C983892" w:rsidR="4C983892">
        <w:rPr>
          <w:rFonts w:ascii="Calibri" w:hAnsi="Calibri" w:eastAsia="Calibri" w:cs="Calibri"/>
          <w:i w:val="1"/>
          <w:iCs w:val="1"/>
          <w:noProof w:val="0"/>
          <w:sz w:val="24"/>
          <w:szCs w:val="24"/>
          <w:lang w:val="en-GB"/>
        </w:rPr>
        <w:t>Cold Drink Clipart Image #1</w:t>
      </w:r>
      <w:r w:rsidRPr="4C983892" w:rsidR="4C983892">
        <w:rPr>
          <w:rFonts w:ascii="Calibri" w:hAnsi="Calibri" w:eastAsia="Calibri" w:cs="Calibri"/>
          <w:i w:val="0"/>
          <w:iCs w:val="0"/>
          <w:noProof w:val="0"/>
          <w:sz w:val="24"/>
          <w:szCs w:val="24"/>
          <w:lang w:val="en-GB"/>
        </w:rPr>
        <w:t xml:space="preserve">, available at </w:t>
      </w:r>
      <w:hyperlink r:id="R33d4bfeb70d149bb">
        <w:r w:rsidRPr="4C983892" w:rsidR="4C983892">
          <w:rPr>
            <w:rStyle w:val="Hyperlink"/>
            <w:rFonts w:ascii="Calibri" w:hAnsi="Calibri" w:eastAsia="Calibri" w:cs="Calibri"/>
            <w:i w:val="0"/>
            <w:iCs w:val="0"/>
            <w:noProof w:val="0"/>
            <w:sz w:val="24"/>
            <w:szCs w:val="24"/>
            <w:lang w:val="en-GB"/>
          </w:rPr>
          <w:t>http://worldartsme.com/cold-drink-clipart.html#gal_post_82032_cold-drink-clipart-1.jpg</w:t>
        </w:r>
      </w:hyperlink>
      <w:r w:rsidRPr="4C983892" w:rsidR="4C983892">
        <w:rPr>
          <w:rFonts w:ascii="Calibri" w:hAnsi="Calibri" w:eastAsia="Calibri" w:cs="Calibri"/>
          <w:i w:val="0"/>
          <w:iCs w:val="0"/>
          <w:noProof w:val="0"/>
          <w:sz w:val="24"/>
          <w:szCs w:val="24"/>
          <w:lang w:val="en-GB"/>
        </w:rPr>
        <w:t>, accessed 05/03/19</w:t>
      </w:r>
    </w:p>
    <w:p w:rsidR="6E2A09B5" w:rsidP="6E2A09B5" w:rsidRDefault="6E2A09B5" w14:paraId="03AFC3EF" w14:textId="27EDF8C5">
      <w:pPr>
        <w:pStyle w:val="Normal"/>
        <w:spacing w:line="360" w:lineRule="auto"/>
        <w:jc w:val="left"/>
        <w:rPr>
          <w:sz w:val="24"/>
          <w:szCs w:val="24"/>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BFCF66C"/>
  <w15:docId w15:val="{76230e41-2181-42ca-a131-62e2e2de584a}"/>
  <w:rsids>
    <w:rsidRoot w:val="1BFCF66C"/>
    <w:rsid w:val="1BFCF66C"/>
    <w:rsid w:val="4C983892"/>
    <w:rsid w:val="6E2A09B5"/>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openclipart.org/detail/245369/bubbling-potion" TargetMode="External" Id="R957dce0cc4b54833" /><Relationship Type="http://schemas.openxmlformats.org/officeDocument/2006/relationships/hyperlink" Target="https://www.momjunction.com/articles/healthy-drinks-for-your-kid_00120578/#gref" TargetMode="External" Id="R3f70fa713bf24b57" /><Relationship Type="http://schemas.openxmlformats.org/officeDocument/2006/relationships/hyperlink" Target="https://westwalesholidaycottages.co.uk/blog/merlins-carmarthenshire/" TargetMode="External" Id="R11af96cde83242cb" /><Relationship Type="http://schemas.openxmlformats.org/officeDocument/2006/relationships/hyperlink" Target="http://www.landoflegends.wales/location/carmarthenshire-county-museum" TargetMode="External" Id="R3da18349c28a4753" /><Relationship Type="http://schemas.openxmlformats.org/officeDocument/2006/relationships/hyperlink" Target="https://www.theguardian.com/sustainable-business/2014/dec/09/why-money-must-be-part-of-the-formal-school-curriculum" TargetMode="External" Id="R4c459b961eaa4f2a" /><Relationship Type="http://schemas.openxmlformats.org/officeDocument/2006/relationships/hyperlink" Target="http://www.merlinshill.com/pages/merlin.html" TargetMode="External" Id="Re61af45322bc4f9d" /><Relationship Type="http://schemas.openxmlformats.org/officeDocument/2006/relationships/hyperlink" Target="https://www.pinterest.co.uk/pin/125889752059115892/" TargetMode="External" Id="R3c4e2812337243b4" /><Relationship Type="http://schemas.openxmlformats.org/officeDocument/2006/relationships/hyperlink" Target="https://www.visitwales.com/explore/traditions-history/king-arthur-myth-history-locations" TargetMode="External" Id="Rc64079854ad24ca8" /><Relationship Type="http://schemas.openxmlformats.org/officeDocument/2006/relationships/hyperlink" Target="https://beta.gov.wales/sites/default/files/publications/2018-07/health-and-well-being-aole-december-2017.pdf" TargetMode="External" Id="R75050c9a239143f4" /><Relationship Type="http://schemas.openxmlformats.org/officeDocument/2006/relationships/hyperlink" Target="https://learning.gov.wales/docs/learningwales/publications/150717-nc-maths-en-v2.pdf" TargetMode="External" Id="R09a6407d4e2d404b" /><Relationship Type="http://schemas.openxmlformats.org/officeDocument/2006/relationships/hyperlink" Target="https://learning.gov.wales/docs/learningwales/publications/190920-cwricwlwm-cymreig-final-report-en.pdf" TargetMode="External" Id="R5be6a79d75fb4fbc" /><Relationship Type="http://schemas.openxmlformats.org/officeDocument/2006/relationships/hyperlink" Target="https://en.wikipedia.org/wiki/Welsh_Dragon#/media/File:Welsh_Dragon_(Y_Ddraig_Goch).svg" TargetMode="External" Id="R7a14498b3cb84bd7" /><Relationship Type="http://schemas.openxmlformats.org/officeDocument/2006/relationships/hyperlink" Target="http://worldartsme.com/cold-drink-clipart.html#gal_post_82032_cold-drink-clipart-1.jpg" TargetMode="External" Id="R33d4bfeb70d149b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Joseph Sanderson (1500893)</dc:creator>
  <keywords/>
  <dc:description/>
  <lastModifiedBy>Joseph Sanderson (1500893)</lastModifiedBy>
  <revision>3</revision>
  <dcterms:created xsi:type="dcterms:W3CDTF">2019-03-15T11:19:14.9040142Z</dcterms:created>
  <dcterms:modified xsi:type="dcterms:W3CDTF">2019-03-18T11:26:55.5784667Z</dcterms:modified>
</coreProperties>
</file>