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F5690" w:rsidP="238B9F42" w:rsidRDefault="4B099F65" w14:paraId="455093F5" w14:textId="2E130BAF">
      <w:pPr>
        <w:shd w:val="clear" w:color="auto" w:fill="FFFFFF" w:themeFill="background1"/>
        <w:jc w:val="center"/>
        <w:rPr>
          <w:rFonts w:ascii="system-ui" w:hAnsi="system-ui" w:eastAsia="system-ui" w:cs="system-ui"/>
          <w:b/>
          <w:bCs/>
          <w:color w:val="24292E"/>
          <w:sz w:val="21"/>
          <w:szCs w:val="21"/>
        </w:rPr>
      </w:pPr>
      <w:r>
        <w:t xml:space="preserve">    </w:t>
      </w:r>
    </w:p>
    <w:p w:rsidR="00AF5690" w:rsidP="1703EFF3" w:rsidRDefault="0B6BCE63" w14:paraId="46965570" w14:textId="169C3540">
      <w:pPr>
        <w:shd w:val="clear" w:color="auto" w:fill="FFFFFF" w:themeFill="background1"/>
        <w:jc w:val="center"/>
        <w:rPr>
          <w:rFonts w:ascii="Arial" w:hAnsi="Arial" w:eastAsia="Arial" w:cs="Arial"/>
          <w:b/>
          <w:bCs/>
          <w:color w:val="24292E"/>
          <w:sz w:val="22"/>
          <w:szCs w:val="22"/>
        </w:rPr>
      </w:pPr>
      <w:r w:rsidRPr="1703EFF3">
        <w:rPr>
          <w:rFonts w:ascii="Arial" w:hAnsi="Arial" w:eastAsia="Arial" w:cs="Arial"/>
          <w:b/>
          <w:bCs/>
          <w:color w:val="24292E"/>
          <w:sz w:val="22"/>
          <w:szCs w:val="22"/>
        </w:rPr>
        <w:t>A Scoping Review of Community-Based Interventions for Loneliness in Older Adults in the UK</w:t>
      </w:r>
    </w:p>
    <w:p w:rsidR="00AF5690" w:rsidP="238B9F42" w:rsidRDefault="0B6BCE63" w14:paraId="2C8647E4" w14:textId="7D79827D">
      <w:pPr>
        <w:shd w:val="clear" w:color="auto" w:fill="FFFFFF" w:themeFill="background1"/>
        <w:jc w:val="center"/>
        <w:rPr>
          <w:rFonts w:ascii="Arial" w:hAnsi="Arial" w:eastAsia="Arial" w:cs="Arial"/>
          <w:color w:val="24292E"/>
          <w:sz w:val="22"/>
          <w:szCs w:val="22"/>
        </w:rPr>
      </w:pPr>
      <w:r w:rsidRPr="238B9F42">
        <w:rPr>
          <w:rFonts w:ascii="Arial" w:hAnsi="Arial" w:eastAsia="Arial" w:cs="Arial"/>
          <w:b/>
          <w:bCs/>
          <w:color w:val="24292E"/>
          <w:sz w:val="22"/>
          <w:szCs w:val="22"/>
        </w:rPr>
        <w:t>Module Code:</w:t>
      </w:r>
      <w:r w:rsidRPr="238B9F42">
        <w:rPr>
          <w:rFonts w:ascii="Arial" w:hAnsi="Arial" w:eastAsia="Arial" w:cs="Arial"/>
          <w:color w:val="24292E"/>
          <w:sz w:val="22"/>
          <w:szCs w:val="22"/>
        </w:rPr>
        <w:t xml:space="preserve"> BMHP5019</w:t>
      </w:r>
      <w:r w:rsidR="0080365C">
        <w:br/>
      </w:r>
      <w:r w:rsidRPr="238B9F42">
        <w:rPr>
          <w:rFonts w:ascii="Arial" w:hAnsi="Arial" w:eastAsia="Arial" w:cs="Arial"/>
          <w:b/>
          <w:bCs/>
          <w:color w:val="24292E"/>
          <w:sz w:val="22"/>
          <w:szCs w:val="22"/>
        </w:rPr>
        <w:t>Module Title:</w:t>
      </w:r>
      <w:r w:rsidRPr="238B9F42">
        <w:rPr>
          <w:rFonts w:ascii="Arial" w:hAnsi="Arial" w:eastAsia="Arial" w:cs="Arial"/>
          <w:color w:val="24292E"/>
          <w:sz w:val="22"/>
          <w:szCs w:val="22"/>
        </w:rPr>
        <w:t xml:space="preserve"> Introduction to Independent Research Skills</w:t>
      </w:r>
    </w:p>
    <w:p w:rsidR="00AF5690" w:rsidP="238B9F42" w:rsidRDefault="0B6BCE63" w14:paraId="5A126544" w14:textId="0E8C37F7">
      <w:pPr>
        <w:shd w:val="clear" w:color="auto" w:fill="FFFFFF" w:themeFill="background1"/>
        <w:jc w:val="center"/>
        <w:rPr>
          <w:rFonts w:ascii="Arial" w:hAnsi="Arial" w:eastAsia="Arial" w:cs="Arial"/>
          <w:color w:val="24292E"/>
          <w:sz w:val="22"/>
          <w:szCs w:val="22"/>
        </w:rPr>
      </w:pPr>
      <w:r w:rsidRPr="238B9F42">
        <w:rPr>
          <w:rFonts w:ascii="Arial" w:hAnsi="Arial" w:eastAsia="Arial" w:cs="Arial"/>
          <w:b/>
          <w:bCs/>
          <w:color w:val="24292E"/>
          <w:sz w:val="22"/>
          <w:szCs w:val="22"/>
        </w:rPr>
        <w:t>Student Name:</w:t>
      </w:r>
      <w:r w:rsidRPr="238B9F42">
        <w:rPr>
          <w:rFonts w:ascii="Arial" w:hAnsi="Arial" w:eastAsia="Arial" w:cs="Arial"/>
          <w:color w:val="24292E"/>
          <w:sz w:val="22"/>
          <w:szCs w:val="22"/>
        </w:rPr>
        <w:t xml:space="preserve"> Nichola Timothy </w:t>
      </w:r>
      <w:r w:rsidR="0080365C">
        <w:br/>
      </w:r>
      <w:r w:rsidRPr="238B9F42">
        <w:rPr>
          <w:rFonts w:ascii="Arial" w:hAnsi="Arial" w:eastAsia="Arial" w:cs="Arial"/>
          <w:b/>
          <w:bCs/>
          <w:color w:val="24292E"/>
          <w:sz w:val="22"/>
          <w:szCs w:val="22"/>
        </w:rPr>
        <w:t>Student Number:</w:t>
      </w:r>
      <w:r w:rsidRPr="238B9F42">
        <w:rPr>
          <w:rFonts w:ascii="Arial" w:hAnsi="Arial" w:eastAsia="Arial" w:cs="Arial"/>
          <w:color w:val="24292E"/>
          <w:sz w:val="22"/>
          <w:szCs w:val="22"/>
        </w:rPr>
        <w:t xml:space="preserve"> 2407528</w:t>
      </w:r>
    </w:p>
    <w:p w:rsidRPr="00D44EA1" w:rsidR="00AF5690" w:rsidP="238B9F42" w:rsidRDefault="0B6BCE63" w14:paraId="5D7A5A0F" w14:textId="67D8C065">
      <w:pPr>
        <w:shd w:val="clear" w:color="auto" w:fill="FFFFFF" w:themeFill="background1"/>
        <w:jc w:val="center"/>
        <w:rPr>
          <w:rFonts w:ascii="Arial" w:hAnsi="Arial" w:eastAsia="Arial" w:cs="Arial"/>
          <w:color w:val="24292E"/>
          <w:sz w:val="22"/>
          <w:szCs w:val="22"/>
          <w:highlight w:val="yellow"/>
        </w:rPr>
      </w:pPr>
      <w:r w:rsidRPr="36A6E8A7" w:rsidR="0B6BCE63">
        <w:rPr>
          <w:rFonts w:ascii="Arial" w:hAnsi="Arial" w:eastAsia="Arial" w:cs="Arial"/>
          <w:b w:val="1"/>
          <w:bCs w:val="1"/>
          <w:color w:val="24292E"/>
          <w:sz w:val="22"/>
          <w:szCs w:val="22"/>
        </w:rPr>
        <w:t>Submission Date:</w:t>
      </w:r>
      <w:r w:rsidRPr="36A6E8A7" w:rsidR="0B6BCE63">
        <w:rPr>
          <w:rFonts w:ascii="Arial" w:hAnsi="Arial" w:eastAsia="Arial" w:cs="Arial"/>
          <w:color w:val="24292E"/>
          <w:sz w:val="22"/>
          <w:szCs w:val="22"/>
        </w:rPr>
        <w:t xml:space="preserve"> </w:t>
      </w:r>
      <w:r w:rsidRPr="36A6E8A7" w:rsidR="00A87BEB">
        <w:rPr>
          <w:rFonts w:ascii="Arial" w:hAnsi="Arial" w:eastAsia="Arial" w:cs="Arial"/>
          <w:color w:val="24292E"/>
          <w:sz w:val="22"/>
          <w:szCs w:val="22"/>
        </w:rPr>
        <w:t>20</w:t>
      </w:r>
      <w:r w:rsidRPr="36A6E8A7" w:rsidR="00A87BEB">
        <w:rPr>
          <w:rFonts w:ascii="Arial" w:hAnsi="Arial" w:eastAsia="Arial" w:cs="Arial"/>
          <w:color w:val="24292E"/>
          <w:sz w:val="22"/>
          <w:szCs w:val="22"/>
          <w:vertAlign w:val="superscript"/>
        </w:rPr>
        <w:t>th</w:t>
      </w:r>
      <w:r w:rsidRPr="36A6E8A7" w:rsidR="00A87BEB">
        <w:rPr>
          <w:rFonts w:ascii="Arial" w:hAnsi="Arial" w:eastAsia="Arial" w:cs="Arial"/>
          <w:color w:val="24292E"/>
          <w:sz w:val="22"/>
          <w:szCs w:val="22"/>
        </w:rPr>
        <w:t xml:space="preserve"> July 2026</w:t>
      </w:r>
      <w:r>
        <w:br/>
      </w:r>
    </w:p>
    <w:p w:rsidR="00AF5690" w:rsidP="238B9F42" w:rsidRDefault="0B6BCE63" w14:paraId="419D35E6" w14:textId="5CFF9982">
      <w:pPr>
        <w:shd w:val="clear" w:color="auto" w:fill="FFFFFF" w:themeFill="background1"/>
        <w:jc w:val="center"/>
        <w:rPr>
          <w:rFonts w:ascii="Arial" w:hAnsi="Arial" w:eastAsia="Arial" w:cs="Arial"/>
          <w:color w:val="24292E"/>
          <w:sz w:val="22"/>
          <w:szCs w:val="22"/>
        </w:rPr>
      </w:pPr>
      <w:r w:rsidRPr="238B9F42">
        <w:rPr>
          <w:rFonts w:ascii="Arial" w:hAnsi="Arial" w:eastAsia="Arial" w:cs="Arial"/>
          <w:b/>
          <w:bCs/>
          <w:color w:val="24292E"/>
          <w:sz w:val="22"/>
          <w:szCs w:val="22"/>
        </w:rPr>
        <w:t>Lecturers:</w:t>
      </w:r>
      <w:r w:rsidRPr="238B9F42">
        <w:rPr>
          <w:rFonts w:ascii="Arial" w:hAnsi="Arial" w:eastAsia="Arial" w:cs="Arial"/>
          <w:color w:val="24292E"/>
          <w:sz w:val="22"/>
          <w:szCs w:val="22"/>
        </w:rPr>
        <w:t xml:space="preserve"> Philip Jones, Raheela </w:t>
      </w:r>
      <w:r w:rsidRPr="238B9F42" w:rsidR="7E7416D8">
        <w:rPr>
          <w:rFonts w:ascii="Arial" w:hAnsi="Arial" w:eastAsia="Arial" w:cs="Arial"/>
          <w:color w:val="24292E"/>
          <w:sz w:val="22"/>
          <w:szCs w:val="22"/>
        </w:rPr>
        <w:t>Shaikh,</w:t>
      </w:r>
      <w:r w:rsidRPr="238B9F42">
        <w:rPr>
          <w:rFonts w:ascii="Arial" w:hAnsi="Arial" w:eastAsia="Arial" w:cs="Arial"/>
          <w:color w:val="24292E"/>
          <w:sz w:val="22"/>
          <w:szCs w:val="22"/>
        </w:rPr>
        <w:t xml:space="preserve"> and Zakiyyah Ahmed</w:t>
      </w:r>
      <w:r w:rsidR="0080365C">
        <w:br/>
      </w:r>
      <w:r w:rsidRPr="238B9F42">
        <w:rPr>
          <w:rFonts w:ascii="Arial" w:hAnsi="Arial" w:eastAsia="Arial" w:cs="Arial"/>
          <w:b/>
          <w:bCs/>
          <w:color w:val="24292E"/>
          <w:sz w:val="22"/>
          <w:szCs w:val="22"/>
        </w:rPr>
        <w:t>Internal Verifier:</w:t>
      </w:r>
      <w:r w:rsidRPr="238B9F42">
        <w:rPr>
          <w:rFonts w:ascii="Arial" w:hAnsi="Arial" w:eastAsia="Arial" w:cs="Arial"/>
          <w:color w:val="24292E"/>
          <w:sz w:val="22"/>
          <w:szCs w:val="22"/>
        </w:rPr>
        <w:t xml:space="preserve"> Chloe Harries</w:t>
      </w:r>
    </w:p>
    <w:p w:rsidR="00AF5690" w:rsidP="238B9F42" w:rsidRDefault="00AF5690" w14:paraId="34E5B4C2" w14:textId="4D8FA054">
      <w:pPr>
        <w:spacing w:line="360" w:lineRule="auto"/>
        <w:jc w:val="center"/>
      </w:pPr>
    </w:p>
    <w:p w:rsidR="00AF5690" w:rsidP="238B9F42" w:rsidRDefault="00AF5690" w14:paraId="1BE13648" w14:textId="57F7AD87">
      <w:pPr>
        <w:spacing w:line="360" w:lineRule="auto"/>
        <w:jc w:val="center"/>
      </w:pPr>
    </w:p>
    <w:p w:rsidR="00AF5690" w:rsidP="238B9F42" w:rsidRDefault="00AF5690" w14:paraId="08ECE672" w14:textId="328E48E0">
      <w:pPr>
        <w:spacing w:line="360" w:lineRule="auto"/>
        <w:jc w:val="center"/>
      </w:pPr>
    </w:p>
    <w:p w:rsidR="00AF5690" w:rsidP="238B9F42" w:rsidRDefault="00AF5690" w14:paraId="1C436521" w14:textId="463E9AF8">
      <w:pPr>
        <w:spacing w:line="360" w:lineRule="auto"/>
        <w:jc w:val="center"/>
      </w:pPr>
    </w:p>
    <w:p w:rsidR="00AF5690" w:rsidP="238B9F42" w:rsidRDefault="00AF5690" w14:paraId="33920EE6" w14:textId="0E911B25">
      <w:pPr>
        <w:spacing w:line="360" w:lineRule="auto"/>
        <w:jc w:val="center"/>
      </w:pPr>
    </w:p>
    <w:p w:rsidR="00AF5690" w:rsidP="238B9F42" w:rsidRDefault="00AF5690" w14:paraId="2BCA7084" w14:textId="554D1A42">
      <w:pPr>
        <w:spacing w:line="360" w:lineRule="auto"/>
        <w:jc w:val="center"/>
      </w:pPr>
    </w:p>
    <w:p w:rsidR="00AF5690" w:rsidP="238B9F42" w:rsidRDefault="00AF5690" w14:paraId="6A427876" w14:textId="158F19B8">
      <w:pPr>
        <w:spacing w:line="360" w:lineRule="auto"/>
        <w:jc w:val="center"/>
      </w:pPr>
    </w:p>
    <w:p w:rsidR="00AF5690" w:rsidP="238B9F42" w:rsidRDefault="00AF5690" w14:paraId="5BC7245B" w14:textId="3E14EE8C">
      <w:pPr>
        <w:spacing w:line="360" w:lineRule="auto"/>
        <w:jc w:val="center"/>
      </w:pPr>
    </w:p>
    <w:p w:rsidR="00AF5690" w:rsidP="238B9F42" w:rsidRDefault="00AF5690" w14:paraId="38E7606E" w14:textId="0A8AB319">
      <w:pPr>
        <w:spacing w:line="360" w:lineRule="auto"/>
        <w:jc w:val="center"/>
      </w:pPr>
    </w:p>
    <w:p w:rsidR="00AF5690" w:rsidP="238B9F42" w:rsidRDefault="00AF5690" w14:paraId="576A95DE" w14:textId="0BECC118">
      <w:pPr>
        <w:spacing w:line="360" w:lineRule="auto"/>
        <w:jc w:val="center"/>
      </w:pPr>
    </w:p>
    <w:p w:rsidR="00AF5690" w:rsidP="238B9F42" w:rsidRDefault="00AF5690" w14:paraId="0963CA02" w14:textId="7AB5856D">
      <w:pPr>
        <w:spacing w:line="360" w:lineRule="auto"/>
        <w:jc w:val="center"/>
      </w:pPr>
    </w:p>
    <w:p w:rsidR="00AF5690" w:rsidP="238B9F42" w:rsidRDefault="00AF5690" w14:paraId="6FADF69A" w14:textId="72084E95">
      <w:pPr>
        <w:spacing w:line="360" w:lineRule="auto"/>
        <w:jc w:val="center"/>
      </w:pPr>
    </w:p>
    <w:p w:rsidR="00AF5690" w:rsidP="238B9F42" w:rsidRDefault="00AF5690" w14:paraId="49F25DDA" w14:textId="19417443">
      <w:pPr>
        <w:spacing w:line="360" w:lineRule="auto"/>
        <w:jc w:val="center"/>
      </w:pPr>
    </w:p>
    <w:p w:rsidR="00AF5690" w:rsidP="238B9F42" w:rsidRDefault="00AF5690" w14:paraId="1845A320" w14:textId="0917EB22">
      <w:pPr>
        <w:spacing w:line="360" w:lineRule="auto"/>
        <w:jc w:val="center"/>
      </w:pPr>
    </w:p>
    <w:p w:rsidR="00AF5690" w:rsidP="238B9F42" w:rsidRDefault="00AF5690" w14:paraId="03A9B007" w14:textId="32E7FE64">
      <w:pPr>
        <w:spacing w:line="360" w:lineRule="auto"/>
        <w:jc w:val="center"/>
      </w:pPr>
    </w:p>
    <w:p w:rsidR="00AF5690" w:rsidP="238B9F42" w:rsidRDefault="00AF5690" w14:paraId="28EC1628" w14:textId="00497BCB">
      <w:pPr>
        <w:spacing w:line="360" w:lineRule="auto"/>
        <w:jc w:val="center"/>
      </w:pPr>
    </w:p>
    <w:p w:rsidR="00AF5690" w:rsidP="238B9F42" w:rsidRDefault="00AF5690" w14:paraId="334D5A5C" w14:textId="2E6447CE">
      <w:pPr>
        <w:spacing w:line="360" w:lineRule="auto"/>
        <w:jc w:val="center"/>
      </w:pPr>
    </w:p>
    <w:p w:rsidR="00AF5690" w:rsidP="5441130B" w:rsidRDefault="111C3E0E" w14:paraId="09B31572" w14:textId="49E47E1A">
      <w:pPr>
        <w:pStyle w:val="Heading3"/>
        <w:shd w:val="clear" w:color="auto" w:fill="FFFFFF" w:themeFill="background1"/>
        <w:spacing w:before="0" w:after="0"/>
        <w:jc w:val="center"/>
        <w:rPr>
          <w:rFonts w:ascii="system-ui" w:hAnsi="system-ui" w:eastAsia="system-ui" w:cs="system-ui"/>
          <w:b w:val="1"/>
          <w:bCs w:val="1"/>
          <w:color w:val="24292E"/>
          <w:sz w:val="24"/>
          <w:szCs w:val="24"/>
        </w:rPr>
      </w:pPr>
      <w:bookmarkStart w:name="_Toc86064146" w:id="593322597"/>
      <w:r w:rsidRPr="36A6E8A7" w:rsidR="111C3E0E">
        <w:rPr>
          <w:rFonts w:ascii="system-ui" w:hAnsi="system-ui" w:eastAsia="system-ui" w:cs="system-ui"/>
          <w:b w:val="1"/>
          <w:bCs w:val="1"/>
          <w:color w:val="24292E"/>
          <w:sz w:val="24"/>
          <w:szCs w:val="24"/>
        </w:rPr>
        <w:t>Table of Contents</w:t>
      </w:r>
      <w:bookmarkEnd w:id="593322597"/>
    </w:p>
    <w:p w:rsidR="00AF5690" w:rsidP="238B9F42" w:rsidRDefault="00AF5690" w14:paraId="7DDC5924" w14:textId="60410B33">
      <w:pPr>
        <w:spacing w:line="360" w:lineRule="auto"/>
        <w:jc w:val="center"/>
      </w:pPr>
    </w:p>
    <w:p w:rsidR="00AF5690" w:rsidP="238B9F42" w:rsidRDefault="00AF5690" w14:paraId="5F3608D3" w14:textId="256D8BAA">
      <w:pPr>
        <w:spacing w:line="360" w:lineRule="auto"/>
        <w:jc w:val="center"/>
      </w:pPr>
    </w:p>
    <w:sdt>
      <w:sdtPr>
        <w:id w:val="1844651987"/>
        <w:docPartObj>
          <w:docPartGallery w:val="Table of Contents"/>
          <w:docPartUnique/>
        </w:docPartObj>
      </w:sdtPr>
      <w:sdtContent>
        <w:p w:rsidR="00A407C0" w:rsidP="36A6E8A7" w:rsidRDefault="5441130B" w14:paraId="0FFD13D0" w14:textId="294DE7C7">
          <w:pPr>
            <w:pStyle w:val="TOC3"/>
            <w:tabs>
              <w:tab w:val="right" w:leader="dot" w:pos="9015"/>
            </w:tabs>
          </w:pPr>
          <w:r>
            <w:fldChar w:fldCharType="begin"/>
          </w:r>
          <w:r>
            <w:instrText xml:space="preserve">TOC \o "1-9" \z \u \h</w:instrText>
          </w:r>
          <w:r>
            <w:fldChar w:fldCharType="separate"/>
          </w:r>
          <w:hyperlink w:anchor="_Toc86064146">
            <w:r w:rsidRPr="36A6E8A7" w:rsidR="36A6E8A7">
              <w:rPr>
                <w:rStyle w:val="Hyperlink"/>
              </w:rPr>
              <w:t>Table of Contents</w:t>
            </w:r>
            <w:r>
              <w:tab/>
            </w:r>
            <w:r>
              <w:fldChar w:fldCharType="begin"/>
            </w:r>
            <w:r>
              <w:instrText xml:space="preserve">PAGEREF _Toc86064146 \h</w:instrText>
            </w:r>
            <w:r>
              <w:fldChar w:fldCharType="separate"/>
            </w:r>
            <w:r w:rsidRPr="36A6E8A7" w:rsidR="36A6E8A7">
              <w:rPr>
                <w:rStyle w:val="Hyperlink"/>
              </w:rPr>
              <w:t>2</w:t>
            </w:r>
            <w:r>
              <w:fldChar w:fldCharType="end"/>
            </w:r>
          </w:hyperlink>
        </w:p>
        <w:p w:rsidR="00A407C0" w:rsidP="36A6E8A7" w:rsidRDefault="21EEA1D5" w14:paraId="7AEDC8BB" w14:textId="5E44BAF0">
          <w:pPr>
            <w:pStyle w:val="TOC3"/>
            <w:tabs>
              <w:tab w:val="right" w:leader="dot" w:pos="9015"/>
            </w:tabs>
          </w:pPr>
          <w:hyperlink w:anchor="_Toc1471891085">
            <w:r w:rsidRPr="36A6E8A7" w:rsidR="36A6E8A7">
              <w:rPr>
                <w:rStyle w:val="Hyperlink"/>
              </w:rPr>
              <w:t>Introduction</w:t>
            </w:r>
            <w:r>
              <w:tab/>
            </w:r>
            <w:r>
              <w:fldChar w:fldCharType="begin"/>
            </w:r>
            <w:r>
              <w:instrText xml:space="preserve">PAGEREF _Toc1471891085 \h</w:instrText>
            </w:r>
            <w:r>
              <w:fldChar w:fldCharType="separate"/>
            </w:r>
            <w:r w:rsidRPr="36A6E8A7" w:rsidR="36A6E8A7">
              <w:rPr>
                <w:rStyle w:val="Hyperlink"/>
              </w:rPr>
              <w:t>2</w:t>
            </w:r>
            <w:r>
              <w:fldChar w:fldCharType="end"/>
            </w:r>
          </w:hyperlink>
        </w:p>
        <w:p w:rsidR="00A407C0" w:rsidP="36A6E8A7" w:rsidRDefault="21EEA1D5" w14:paraId="0F3ABAA7" w14:textId="13E4BEE8">
          <w:pPr>
            <w:pStyle w:val="TOC3"/>
            <w:tabs>
              <w:tab w:val="right" w:leader="dot" w:pos="9015"/>
            </w:tabs>
          </w:pPr>
          <w:hyperlink w:anchor="_Toc682996627">
            <w:r w:rsidRPr="36A6E8A7" w:rsidR="36A6E8A7">
              <w:rPr>
                <w:rStyle w:val="Hyperlink"/>
              </w:rPr>
              <w:t>Background</w:t>
            </w:r>
            <w:r>
              <w:tab/>
            </w:r>
            <w:r>
              <w:fldChar w:fldCharType="begin"/>
            </w:r>
            <w:r>
              <w:instrText xml:space="preserve">PAGEREF _Toc682996627 \h</w:instrText>
            </w:r>
            <w:r>
              <w:fldChar w:fldCharType="separate"/>
            </w:r>
            <w:r w:rsidRPr="36A6E8A7" w:rsidR="36A6E8A7">
              <w:rPr>
                <w:rStyle w:val="Hyperlink"/>
              </w:rPr>
              <w:t>4</w:t>
            </w:r>
            <w:r>
              <w:fldChar w:fldCharType="end"/>
            </w:r>
          </w:hyperlink>
        </w:p>
        <w:p w:rsidR="00A407C0" w:rsidP="36A6E8A7" w:rsidRDefault="21EEA1D5" w14:paraId="5B1750F0" w14:textId="768E3B94">
          <w:pPr>
            <w:pStyle w:val="TOC3"/>
            <w:tabs>
              <w:tab w:val="right" w:leader="dot" w:pos="9015"/>
            </w:tabs>
          </w:pPr>
          <w:hyperlink w:anchor="_Toc696433373">
            <w:r w:rsidRPr="36A6E8A7" w:rsidR="36A6E8A7">
              <w:rPr>
                <w:rStyle w:val="Hyperlink"/>
              </w:rPr>
              <w:t>Methods</w:t>
            </w:r>
            <w:r>
              <w:tab/>
            </w:r>
            <w:r>
              <w:fldChar w:fldCharType="begin"/>
            </w:r>
            <w:r>
              <w:instrText xml:space="preserve">PAGEREF _Toc696433373 \h</w:instrText>
            </w:r>
            <w:r>
              <w:fldChar w:fldCharType="separate"/>
            </w:r>
            <w:r w:rsidRPr="36A6E8A7" w:rsidR="36A6E8A7">
              <w:rPr>
                <w:rStyle w:val="Hyperlink"/>
              </w:rPr>
              <w:t>5</w:t>
            </w:r>
            <w:r>
              <w:fldChar w:fldCharType="end"/>
            </w:r>
          </w:hyperlink>
        </w:p>
        <w:p w:rsidR="00A407C0" w:rsidP="36A6E8A7" w:rsidRDefault="21EEA1D5" w14:paraId="2888F0D7" w14:textId="727E57F5">
          <w:pPr>
            <w:pStyle w:val="TOC3"/>
            <w:tabs>
              <w:tab w:val="right" w:leader="dot" w:pos="9015"/>
            </w:tabs>
          </w:pPr>
          <w:hyperlink w:anchor="_Toc1263781556">
            <w:r w:rsidRPr="36A6E8A7" w:rsidR="36A6E8A7">
              <w:rPr>
                <w:rStyle w:val="Hyperlink"/>
              </w:rPr>
              <w:t>Discussion</w:t>
            </w:r>
            <w:r>
              <w:tab/>
            </w:r>
            <w:r>
              <w:fldChar w:fldCharType="begin"/>
            </w:r>
            <w:r>
              <w:instrText xml:space="preserve">PAGEREF _Toc1263781556 \h</w:instrText>
            </w:r>
            <w:r>
              <w:fldChar w:fldCharType="separate"/>
            </w:r>
            <w:r w:rsidRPr="36A6E8A7" w:rsidR="36A6E8A7">
              <w:rPr>
                <w:rStyle w:val="Hyperlink"/>
              </w:rPr>
              <w:t>9</w:t>
            </w:r>
            <w:r>
              <w:fldChar w:fldCharType="end"/>
            </w:r>
          </w:hyperlink>
        </w:p>
        <w:p w:rsidR="00A407C0" w:rsidP="36A6E8A7" w:rsidRDefault="21EEA1D5" w14:paraId="288C1FEE" w14:textId="299B8BA3">
          <w:pPr>
            <w:pStyle w:val="TOC3"/>
            <w:tabs>
              <w:tab w:val="right" w:leader="dot" w:pos="9015"/>
            </w:tabs>
          </w:pPr>
          <w:hyperlink w:anchor="_Toc426730271">
            <w:r w:rsidRPr="36A6E8A7" w:rsidR="36A6E8A7">
              <w:rPr>
                <w:rStyle w:val="Hyperlink"/>
              </w:rPr>
              <w:t>Conclusion and Recommendations</w:t>
            </w:r>
            <w:r>
              <w:tab/>
            </w:r>
            <w:r>
              <w:fldChar w:fldCharType="begin"/>
            </w:r>
            <w:r>
              <w:instrText xml:space="preserve">PAGEREF _Toc426730271 \h</w:instrText>
            </w:r>
            <w:r>
              <w:fldChar w:fldCharType="separate"/>
            </w:r>
            <w:r w:rsidRPr="36A6E8A7" w:rsidR="36A6E8A7">
              <w:rPr>
                <w:rStyle w:val="Hyperlink"/>
              </w:rPr>
              <w:t>13</w:t>
            </w:r>
            <w:r>
              <w:fldChar w:fldCharType="end"/>
            </w:r>
          </w:hyperlink>
        </w:p>
        <w:p w:rsidR="00A407C0" w:rsidP="36A6E8A7" w:rsidRDefault="21EEA1D5" w14:paraId="22B1AD4D" w14:textId="35ED41F9">
          <w:pPr>
            <w:pStyle w:val="TOC3"/>
            <w:tabs>
              <w:tab w:val="right" w:leader="dot" w:pos="9015"/>
            </w:tabs>
          </w:pPr>
          <w:hyperlink w:anchor="_Toc2083491192">
            <w:r w:rsidRPr="36A6E8A7" w:rsidR="36A6E8A7">
              <w:rPr>
                <w:rStyle w:val="Hyperlink"/>
              </w:rPr>
              <w:t>Reference List</w:t>
            </w:r>
            <w:r>
              <w:tab/>
            </w:r>
            <w:r>
              <w:fldChar w:fldCharType="begin"/>
            </w:r>
            <w:r>
              <w:instrText xml:space="preserve">PAGEREF _Toc2083491192 \h</w:instrText>
            </w:r>
            <w:r>
              <w:fldChar w:fldCharType="separate"/>
            </w:r>
            <w:r w:rsidRPr="36A6E8A7" w:rsidR="36A6E8A7">
              <w:rPr>
                <w:rStyle w:val="Hyperlink"/>
              </w:rPr>
              <w:t>14</w:t>
            </w:r>
            <w:r>
              <w:fldChar w:fldCharType="end"/>
            </w:r>
          </w:hyperlink>
        </w:p>
        <w:p w:rsidR="5441130B" w:rsidRDefault="5441130B" w14:paraId="708CCC54" w14:textId="0D8F5946">
          <w:r>
            <w:fldChar w:fldCharType="end"/>
          </w:r>
        </w:p>
      </w:sdtContent>
    </w:sdt>
    <w:p w:rsidR="5441130B" w:rsidP="5441130B" w:rsidRDefault="5441130B" w14:paraId="67DDB788" w14:textId="68D52C3A">
      <w:pPr>
        <w:spacing w:line="360" w:lineRule="auto"/>
        <w:jc w:val="center"/>
      </w:pPr>
    </w:p>
    <w:p w:rsidR="00AF5690" w:rsidP="238B9F42" w:rsidRDefault="00AF5690" w14:paraId="70AEA605" w14:textId="5A18DF07">
      <w:pPr>
        <w:spacing w:line="360" w:lineRule="auto"/>
        <w:jc w:val="center"/>
      </w:pPr>
    </w:p>
    <w:p w:rsidR="00AF5690" w:rsidP="238B9F42" w:rsidRDefault="00AF5690" w14:paraId="59804046" w14:textId="2961904B">
      <w:pPr>
        <w:spacing w:line="360" w:lineRule="auto"/>
        <w:jc w:val="center"/>
      </w:pPr>
    </w:p>
    <w:p w:rsidR="00AF5690" w:rsidP="238B9F42" w:rsidRDefault="00AF5690" w14:paraId="5765A0C5" w14:textId="720EB168">
      <w:pPr>
        <w:spacing w:line="360" w:lineRule="auto"/>
        <w:jc w:val="center"/>
      </w:pPr>
    </w:p>
    <w:p w:rsidR="00AF5690" w:rsidP="238B9F42" w:rsidRDefault="00AF5690" w14:paraId="3D73D9F5" w14:textId="367E1667">
      <w:pPr>
        <w:spacing w:line="360" w:lineRule="auto"/>
        <w:jc w:val="center"/>
      </w:pPr>
    </w:p>
    <w:p w:rsidR="00AF5690" w:rsidP="238B9F42" w:rsidRDefault="00AF5690" w14:paraId="41E975B4" w14:textId="12005104">
      <w:pPr>
        <w:spacing w:line="360" w:lineRule="auto"/>
        <w:jc w:val="center"/>
      </w:pPr>
    </w:p>
    <w:p w:rsidR="00AF5690" w:rsidP="238B9F42" w:rsidRDefault="00AF5690" w14:paraId="146E454F" w14:textId="3667C6A7">
      <w:pPr>
        <w:spacing w:line="360" w:lineRule="auto"/>
        <w:jc w:val="center"/>
      </w:pPr>
    </w:p>
    <w:p w:rsidR="00AF5690" w:rsidP="238B9F42" w:rsidRDefault="00AF5690" w14:paraId="23746BD9" w14:textId="6D054073">
      <w:pPr>
        <w:spacing w:line="360" w:lineRule="auto"/>
        <w:jc w:val="center"/>
      </w:pPr>
    </w:p>
    <w:p w:rsidR="00AF5690" w:rsidP="238B9F42" w:rsidRDefault="00AF5690" w14:paraId="0FA95718" w14:textId="6455E8AB">
      <w:pPr>
        <w:spacing w:line="360" w:lineRule="auto"/>
        <w:jc w:val="center"/>
      </w:pPr>
    </w:p>
    <w:p w:rsidR="00AF5690" w:rsidP="238B9F42" w:rsidRDefault="00AF5690" w14:paraId="25FB86A7" w14:textId="238DC72F">
      <w:pPr>
        <w:spacing w:line="360" w:lineRule="auto"/>
        <w:jc w:val="center"/>
      </w:pPr>
    </w:p>
    <w:p w:rsidR="00AF5690" w:rsidP="238B9F42" w:rsidRDefault="00AF5690" w14:paraId="26E3C11D" w14:textId="0AC1A3A5">
      <w:pPr>
        <w:spacing w:line="360" w:lineRule="auto"/>
        <w:jc w:val="center"/>
      </w:pPr>
    </w:p>
    <w:p w:rsidR="00AF5690" w:rsidP="238B9F42" w:rsidRDefault="00AF5690" w14:paraId="7EF621FB" w14:textId="227C713E">
      <w:pPr>
        <w:spacing w:line="360" w:lineRule="auto"/>
        <w:jc w:val="center"/>
      </w:pPr>
    </w:p>
    <w:p w:rsidR="00AF5690" w:rsidP="28C50471" w:rsidRDefault="00AF5690" w14:paraId="2ED37FD4" w14:textId="57578BA9">
      <w:pPr>
        <w:spacing w:line="360" w:lineRule="auto"/>
        <w:jc w:val="center"/>
      </w:pPr>
    </w:p>
    <w:p w:rsidR="00AF5690" w:rsidP="238B9F42" w:rsidRDefault="00AF5690" w14:paraId="0ECE7BC7" w14:textId="6CEFB8B7">
      <w:pPr>
        <w:spacing w:line="360" w:lineRule="auto"/>
        <w:jc w:val="center"/>
      </w:pPr>
    </w:p>
    <w:p w:rsidR="19A450C8" w:rsidP="19A450C8" w:rsidRDefault="19A450C8" w14:paraId="7A21B314" w14:textId="5F871FEE">
      <w:pPr>
        <w:spacing w:line="360" w:lineRule="auto"/>
        <w:jc w:val="center"/>
      </w:pPr>
    </w:p>
    <w:p w:rsidR="00AF5690" w:rsidP="238B9F42" w:rsidRDefault="00AF5690" w14:paraId="1DBE7DDB" w14:textId="1311B52C">
      <w:pPr>
        <w:spacing w:line="360" w:lineRule="auto"/>
        <w:jc w:val="center"/>
      </w:pPr>
    </w:p>
    <w:p w:rsidR="00AF5690" w:rsidP="28C50471" w:rsidRDefault="647BB9A4" w14:paraId="007EFA0B" w14:textId="0B11FC5E">
      <w:pPr>
        <w:pStyle w:val="Heading3"/>
        <w:spacing w:before="0" w:after="0"/>
        <w:rPr>
          <w:rFonts w:ascii="Arial" w:hAnsi="Arial" w:eastAsia="Arial" w:cs="Arial"/>
          <w:b w:val="1"/>
          <w:bCs w:val="1"/>
          <w:color w:val="24292E"/>
          <w:sz w:val="22"/>
          <w:szCs w:val="22"/>
        </w:rPr>
      </w:pPr>
      <w:bookmarkStart w:name="_Toc1471891085" w:id="1456945981"/>
      <w:r w:rsidRPr="36A6E8A7" w:rsidR="647BB9A4">
        <w:rPr>
          <w:rFonts w:ascii="Arial" w:hAnsi="Arial" w:eastAsia="Arial" w:cs="Arial"/>
          <w:b w:val="1"/>
          <w:bCs w:val="1"/>
          <w:color w:val="24292E"/>
          <w:sz w:val="22"/>
          <w:szCs w:val="22"/>
        </w:rPr>
        <w:t>Introduction</w:t>
      </w:r>
      <w:bookmarkEnd w:id="1456945981"/>
    </w:p>
    <w:p w:rsidR="00AF5690" w:rsidP="28C50471" w:rsidRDefault="00AF5690" w14:paraId="2141AC06" w14:textId="718643D7">
      <w:pPr>
        <w:rPr>
          <w:rFonts w:ascii="Arial" w:hAnsi="Arial" w:eastAsia="Arial" w:cs="Arial"/>
          <w:sz w:val="22"/>
          <w:szCs w:val="22"/>
        </w:rPr>
      </w:pPr>
    </w:p>
    <w:p w:rsidR="00AF5690" w:rsidP="1703EFF3" w:rsidRDefault="69F68824" w14:paraId="47C82506" w14:textId="70BFAC51">
      <w:pPr>
        <w:shd w:val="clear" w:color="auto" w:fill="FFFFFF" w:themeFill="background1"/>
        <w:spacing w:line="360" w:lineRule="auto"/>
        <w:jc w:val="both"/>
        <w:rPr>
          <w:rFonts w:ascii="Arial" w:hAnsi="Arial" w:eastAsia="Arial" w:cs="Arial"/>
          <w:color w:val="24292E"/>
          <w:sz w:val="22"/>
          <w:szCs w:val="22"/>
        </w:rPr>
      </w:pPr>
      <w:r w:rsidRPr="36A6E8A7" w:rsidR="69F68824">
        <w:rPr>
          <w:rFonts w:ascii="Arial" w:hAnsi="Arial" w:eastAsia="Arial" w:cs="Arial"/>
          <w:b w:val="1"/>
          <w:bCs w:val="1"/>
          <w:color w:val="24292E"/>
          <w:sz w:val="22"/>
          <w:szCs w:val="22"/>
        </w:rPr>
        <w:t>Defining the Topic</w:t>
      </w:r>
      <w:r w:rsidRPr="36A6E8A7" w:rsidR="69F68824">
        <w:rPr>
          <w:rFonts w:ascii="Arial" w:hAnsi="Arial" w:eastAsia="Arial" w:cs="Arial"/>
          <w:color w:val="24292E"/>
          <w:sz w:val="22"/>
          <w:szCs w:val="22"/>
        </w:rPr>
        <w:t xml:space="preserve"> Loneliness is a subjective feeling of distress resulting from a discrepancy between desired and actual social connections (Perlman &amp; Peplau, 1981). In the context of health and social care, it is increasingly recognised not just as an emotional state, but as a critical public health determinant linked to severe physical and mental health outcomes, including cardiovascular disease, dementia, and depression (Mind, 2023). For older adults (aged 65+) loneliness is particularly prevalent, with the Office for National Statistics (2023) reporting that 22% of adults in the UK feel lonely at least some of the time, with rates significantly higher in the oldest age groups.</w:t>
      </w:r>
    </w:p>
    <w:p w:rsidR="00AF5690" w:rsidP="1703EFF3" w:rsidRDefault="3FA76061" w14:paraId="5F5AE4CA" w14:textId="5770C069">
      <w:pPr>
        <w:shd w:val="clear" w:color="auto" w:fill="FFFFFF" w:themeFill="background1"/>
        <w:spacing w:line="360" w:lineRule="auto"/>
        <w:jc w:val="both"/>
        <w:rPr>
          <w:rFonts w:ascii="Arial" w:hAnsi="Arial" w:eastAsia="Arial" w:cs="Arial"/>
          <w:color w:val="24292E"/>
          <w:sz w:val="22"/>
          <w:szCs w:val="22"/>
        </w:rPr>
      </w:pPr>
      <w:r w:rsidRPr="36A6E8A7" w:rsidR="3FA76061">
        <w:rPr>
          <w:rFonts w:ascii="Arial" w:hAnsi="Arial" w:eastAsia="Arial" w:cs="Arial"/>
          <w:b w:val="1"/>
          <w:bCs w:val="1"/>
          <w:color w:val="24292E"/>
          <w:sz w:val="22"/>
          <w:szCs w:val="22"/>
        </w:rPr>
        <w:t>Rationale for the Review</w:t>
      </w:r>
      <w:r w:rsidRPr="36A6E8A7" w:rsidR="3FA76061">
        <w:rPr>
          <w:rFonts w:ascii="Arial" w:hAnsi="Arial" w:eastAsia="Arial" w:cs="Arial"/>
          <w:color w:val="24292E"/>
          <w:sz w:val="22"/>
          <w:szCs w:val="22"/>
        </w:rPr>
        <w:t xml:space="preserve"> The importance of addressing loneliness in older adults cannot be overstated. Recent policy initiatives, such as the UK Government's Loneliness Strategy and local efforts like Manchester City Council's Age-Friendly strategy (2023–2028), highlight a shift towards structural and community-based solutions (Manchester City Council, 2023; Campaign to End Loneliness, 2021). However, despite these efforts, the landscape of interventions remains fragmented. There is a lack of synthesized evidence guiding practitioners on which specific community-based approaches</w:t>
      </w:r>
      <w:r w:rsidRPr="36A6E8A7" w:rsidR="46EF4C9F">
        <w:rPr>
          <w:rFonts w:ascii="Arial" w:hAnsi="Arial" w:eastAsia="Arial" w:cs="Arial"/>
          <w:color w:val="24292E"/>
          <w:sz w:val="22"/>
          <w:szCs w:val="22"/>
        </w:rPr>
        <w:t xml:space="preserve"> </w:t>
      </w:r>
      <w:r w:rsidRPr="36A6E8A7" w:rsidR="3FA76061">
        <w:rPr>
          <w:rFonts w:ascii="Arial" w:hAnsi="Arial" w:eastAsia="Arial" w:cs="Arial"/>
          <w:color w:val="24292E"/>
          <w:sz w:val="22"/>
          <w:szCs w:val="22"/>
        </w:rPr>
        <w:t>ranging from social prescribing to creative arts</w:t>
      </w:r>
      <w:r w:rsidRPr="36A6E8A7" w:rsidR="578F29D5">
        <w:rPr>
          <w:rFonts w:ascii="Arial" w:hAnsi="Arial" w:eastAsia="Arial" w:cs="Arial"/>
          <w:color w:val="24292E"/>
          <w:sz w:val="22"/>
          <w:szCs w:val="22"/>
        </w:rPr>
        <w:t xml:space="preserve"> </w:t>
      </w:r>
      <w:r w:rsidRPr="36A6E8A7" w:rsidR="3FA76061">
        <w:rPr>
          <w:rFonts w:ascii="Arial" w:hAnsi="Arial" w:eastAsia="Arial" w:cs="Arial"/>
          <w:color w:val="24292E"/>
          <w:sz w:val="22"/>
          <w:szCs w:val="22"/>
        </w:rPr>
        <w:t>are most effective in reducing loneliness and improving health outcomes. This gap between policy ambition and evidence-based practice necessitates a rigorous review of the current literature.</w:t>
      </w:r>
    </w:p>
    <w:p w:rsidR="00AF5690" w:rsidP="36A6E8A7" w:rsidRDefault="69F68824" w14:paraId="7D6A9794" w14:textId="60FF70FE">
      <w:pPr>
        <w:shd w:val="clear" w:color="auto" w:fill="FFFFFF" w:themeFill="background1"/>
        <w:spacing w:line="360" w:lineRule="auto"/>
        <w:jc w:val="both"/>
        <w:rPr>
          <w:rFonts w:ascii="Arial" w:hAnsi="Arial" w:eastAsia="Arial" w:cs="Arial"/>
          <w:i w:val="1"/>
          <w:iCs w:val="1"/>
          <w:color w:val="24292E"/>
          <w:sz w:val="22"/>
          <w:szCs w:val="22"/>
        </w:rPr>
      </w:pPr>
      <w:r w:rsidRPr="36A6E8A7" w:rsidR="69F68824">
        <w:rPr>
          <w:rFonts w:ascii="Arial" w:hAnsi="Arial" w:eastAsia="Arial" w:cs="Arial"/>
          <w:b w:val="1"/>
          <w:bCs w:val="1"/>
          <w:color w:val="24292E"/>
          <w:sz w:val="22"/>
          <w:szCs w:val="22"/>
        </w:rPr>
        <w:t>Review Question and Objectives</w:t>
      </w:r>
      <w:r w:rsidRPr="36A6E8A7" w:rsidR="69F68824">
        <w:rPr>
          <w:rFonts w:ascii="Arial" w:hAnsi="Arial" w:eastAsia="Arial" w:cs="Arial"/>
          <w:color w:val="24292E"/>
          <w:sz w:val="22"/>
          <w:szCs w:val="22"/>
        </w:rPr>
        <w:t xml:space="preserve"> To address this gap, this scoping review asks: "What evidence exists regarding the effectiveness of diverse community-based interventions in reducing loneliness and improving health outcomes for older adults in the UK?"</w:t>
      </w:r>
    </w:p>
    <w:p w:rsidR="00AF5690" w:rsidP="1703EFF3" w:rsidRDefault="69F68824" w14:paraId="6502875E" w14:textId="2D24A4E0">
      <w:pPr>
        <w:shd w:val="clear" w:color="auto" w:fill="FFFFFF" w:themeFill="background1"/>
        <w:spacing w:line="360" w:lineRule="auto"/>
        <w:jc w:val="both"/>
        <w:rPr>
          <w:rFonts w:ascii="Arial" w:hAnsi="Arial" w:eastAsia="Arial" w:cs="Arial"/>
          <w:color w:val="24292E"/>
          <w:sz w:val="22"/>
          <w:szCs w:val="22"/>
        </w:rPr>
      </w:pPr>
      <w:r w:rsidRPr="36A6E8A7" w:rsidR="69F68824">
        <w:rPr>
          <w:rFonts w:ascii="Arial" w:hAnsi="Arial" w:eastAsia="Arial" w:cs="Arial"/>
          <w:color w:val="24292E"/>
          <w:sz w:val="22"/>
          <w:szCs w:val="22"/>
        </w:rPr>
        <w:t>The specific objectives of this review are to:</w:t>
      </w:r>
    </w:p>
    <w:p w:rsidR="00AF5690" w:rsidP="1703EFF3" w:rsidRDefault="69F68824" w14:paraId="751B610E" w14:textId="1FDC00AC">
      <w:pPr>
        <w:pStyle w:val="ListParagraph"/>
        <w:numPr>
          <w:ilvl w:val="0"/>
          <w:numId w:val="14"/>
        </w:numPr>
        <w:shd w:val="clear" w:color="auto" w:fill="FFFFFF" w:themeFill="background1"/>
        <w:spacing w:after="0" w:line="360" w:lineRule="auto"/>
        <w:jc w:val="both"/>
        <w:rPr>
          <w:rFonts w:ascii="Arial" w:hAnsi="Arial" w:eastAsia="Arial" w:cs="Arial"/>
          <w:color w:val="24292E"/>
          <w:sz w:val="22"/>
          <w:szCs w:val="22"/>
        </w:rPr>
      </w:pPr>
      <w:r w:rsidRPr="36A6E8A7" w:rsidR="69F68824">
        <w:rPr>
          <w:rFonts w:ascii="Arial" w:hAnsi="Arial" w:eastAsia="Arial" w:cs="Arial"/>
          <w:color w:val="24292E"/>
          <w:sz w:val="22"/>
          <w:szCs w:val="22"/>
        </w:rPr>
        <w:t>Map the variety of community-based interventions currently available for older adults in the UK.</w:t>
      </w:r>
    </w:p>
    <w:p w:rsidR="00AF5690" w:rsidP="1703EFF3" w:rsidRDefault="69F68824" w14:paraId="2F7F293E" w14:textId="1FD4A97B">
      <w:pPr>
        <w:pStyle w:val="ListParagraph"/>
        <w:numPr>
          <w:ilvl w:val="0"/>
          <w:numId w:val="14"/>
        </w:numPr>
        <w:shd w:val="clear" w:color="auto" w:fill="FFFFFF" w:themeFill="background1"/>
        <w:spacing w:after="0" w:line="360" w:lineRule="auto"/>
        <w:jc w:val="both"/>
        <w:rPr>
          <w:rFonts w:ascii="Arial" w:hAnsi="Arial" w:eastAsia="Arial" w:cs="Arial"/>
          <w:color w:val="24292E"/>
          <w:sz w:val="22"/>
          <w:szCs w:val="22"/>
        </w:rPr>
      </w:pPr>
      <w:r w:rsidRPr="36A6E8A7" w:rsidR="69F68824">
        <w:rPr>
          <w:rFonts w:ascii="Arial" w:hAnsi="Arial" w:eastAsia="Arial" w:cs="Arial"/>
          <w:color w:val="24292E"/>
          <w:sz w:val="22"/>
          <w:szCs w:val="22"/>
        </w:rPr>
        <w:t>Critically evaluate the reported outcomes of these interventions.</w:t>
      </w:r>
    </w:p>
    <w:p w:rsidR="00AF5690" w:rsidP="1703EFF3" w:rsidRDefault="69F68824" w14:paraId="606E2969" w14:textId="5D299149">
      <w:pPr>
        <w:pStyle w:val="ListParagraph"/>
        <w:numPr>
          <w:ilvl w:val="0"/>
          <w:numId w:val="14"/>
        </w:numPr>
        <w:shd w:val="clear" w:color="auto" w:fill="FFFFFF" w:themeFill="background1"/>
        <w:spacing w:after="0" w:line="360" w:lineRule="auto"/>
        <w:jc w:val="both"/>
        <w:rPr>
          <w:rFonts w:ascii="Arial" w:hAnsi="Arial" w:eastAsia="Arial" w:cs="Arial"/>
          <w:color w:val="24292E"/>
          <w:sz w:val="22"/>
          <w:szCs w:val="22"/>
        </w:rPr>
      </w:pPr>
      <w:r w:rsidRPr="36A6E8A7" w:rsidR="69F68824">
        <w:rPr>
          <w:rFonts w:ascii="Arial" w:hAnsi="Arial" w:eastAsia="Arial" w:cs="Arial"/>
          <w:color w:val="24292E"/>
          <w:sz w:val="22"/>
          <w:szCs w:val="22"/>
        </w:rPr>
        <w:t>Identify gaps in the current research to inform future health and social care strategies.</w:t>
      </w:r>
    </w:p>
    <w:p w:rsidR="00AF5690" w:rsidP="28C50471" w:rsidRDefault="3A09F7E3" w14:paraId="64B8A97C" w14:textId="2D941EB6">
      <w:pPr>
        <w:spacing w:after="0" w:line="360" w:lineRule="auto"/>
        <w:jc w:val="both"/>
        <w:rPr>
          <w:rFonts w:ascii="Arial" w:hAnsi="Arial" w:eastAsia="Arial" w:cs="Arial"/>
          <w:color w:val="24292E"/>
          <w:sz w:val="22"/>
          <w:szCs w:val="22"/>
        </w:rPr>
      </w:pPr>
      <w:r w:rsidRPr="36A6E8A7" w:rsidR="3A09F7E3">
        <w:rPr>
          <w:rFonts w:ascii="Arial" w:hAnsi="Arial" w:eastAsia="Arial" w:cs="Arial"/>
          <w:b w:val="1"/>
          <w:bCs w:val="1"/>
          <w:color w:val="24292E"/>
          <w:sz w:val="22"/>
          <w:szCs w:val="22"/>
        </w:rPr>
        <w:t>Methodology Overview</w:t>
      </w:r>
      <w:r w:rsidRPr="36A6E8A7" w:rsidR="3A09F7E3">
        <w:rPr>
          <w:rFonts w:ascii="Arial" w:hAnsi="Arial" w:eastAsia="Arial" w:cs="Arial"/>
          <w:color w:val="24292E"/>
          <w:sz w:val="22"/>
          <w:szCs w:val="22"/>
        </w:rPr>
        <w:t xml:space="preserve"> </w:t>
      </w:r>
      <w:r w:rsidRPr="36A6E8A7" w:rsidR="3A09F7E3">
        <w:rPr>
          <w:rFonts w:ascii="Arial" w:hAnsi="Arial" w:eastAsia="Arial" w:cs="Arial"/>
          <w:color w:val="24292E"/>
          <w:sz w:val="22"/>
          <w:szCs w:val="22"/>
        </w:rPr>
        <w:t xml:space="preserve">To achieve these objectives, this review utilises a scoping review methodology, following the framework established by Arksey and O'Malley (2005) and the PRISMA-ScR guidelines (Tricco et al., 2018). A scoping review was selected over a systematic review for several key reasons. Firstly, scoping reviews are designed to map the breadth of existing literature on a complex topic, making them ideal for fields where interventions vary widely in design and delivery (Arksey and O'Malley, 2005). The topic of </w:t>
      </w:r>
      <w:r w:rsidRPr="36A6E8A7" w:rsidR="3A09F7E3">
        <w:rPr>
          <w:rFonts w:ascii="Arial" w:hAnsi="Arial" w:eastAsia="Arial" w:cs="Arial"/>
          <w:color w:val="24292E"/>
          <w:sz w:val="22"/>
          <w:szCs w:val="22"/>
        </w:rPr>
        <w:t>community-based interventions for loneliness encompasses diverse approaches from social prescribing to digital tools which do not fit neatly into a single systematic comparison. Secondly, scoping reviews excel at identifying gaps in the evidence base, which is a primary objective of this review (Tricco et al., 2018).</w:t>
      </w:r>
    </w:p>
    <w:p w:rsidR="00AF5690" w:rsidP="28C50471" w:rsidRDefault="3A09F7E3" w14:paraId="0D73350E" w14:textId="4F168241">
      <w:pPr>
        <w:spacing w:after="0" w:line="360" w:lineRule="auto"/>
        <w:jc w:val="both"/>
        <w:rPr>
          <w:rFonts w:ascii="Arial" w:hAnsi="Arial" w:eastAsia="Arial" w:cs="Arial"/>
          <w:color w:val="24292E"/>
          <w:sz w:val="22"/>
          <w:szCs w:val="22"/>
        </w:rPr>
      </w:pPr>
      <w:r w:rsidRPr="36A6E8A7" w:rsidR="3A09F7E3">
        <w:rPr>
          <w:rFonts w:ascii="Arial" w:hAnsi="Arial" w:eastAsia="Arial" w:cs="Arial"/>
          <w:color w:val="24292E"/>
          <w:sz w:val="22"/>
          <w:szCs w:val="22"/>
        </w:rPr>
        <w:t>However, the approach has acknowledged limitations. Unlike systematic reviews, scoping reviews typically do not include a formal critical appraisal or quality assessment of individual studies, meaning the findings cannot be used to determine the definitive effectiveness of a specific intervention (Arksey and O'Malley, 2005). This means that while the review can identify what interventions exist and how they are experienced, it cannot rank them by quality of evidence. Nevertheless, this trade-off is justified because the purpose of this review is to provide a comprehensive overview of the landscape rather than to isolate the single most effective intervention.</w:t>
      </w:r>
    </w:p>
    <w:p w:rsidR="00AF5690" w:rsidP="1703EFF3" w:rsidRDefault="00AF5690" w14:paraId="4E96DB06" w14:textId="4EB09ACA">
      <w:pPr>
        <w:shd w:val="clear" w:color="auto" w:fill="FFFFFF" w:themeFill="background1"/>
        <w:spacing w:line="360" w:lineRule="auto"/>
        <w:jc w:val="both"/>
        <w:rPr>
          <w:rFonts w:ascii="Arial" w:hAnsi="Arial" w:eastAsia="Arial" w:cs="Arial"/>
          <w:color w:val="24292E"/>
          <w:sz w:val="22"/>
          <w:szCs w:val="22"/>
        </w:rPr>
      </w:pPr>
    </w:p>
    <w:p w:rsidR="00AF5690" w:rsidP="1703EFF3" w:rsidRDefault="375D26B2" w14:paraId="25049DC8" w14:textId="0BC458F7">
      <w:pPr>
        <w:pStyle w:val="Heading3"/>
        <w:shd w:val="clear" w:color="auto" w:fill="FFFFFF" w:themeFill="background1"/>
        <w:spacing w:before="0" w:after="0" w:line="360" w:lineRule="auto"/>
        <w:jc w:val="both"/>
        <w:rPr>
          <w:rFonts w:ascii="Arial" w:hAnsi="Arial" w:eastAsia="Arial" w:cs="Arial"/>
          <w:b w:val="1"/>
          <w:bCs w:val="1"/>
          <w:color w:val="24292E"/>
          <w:sz w:val="22"/>
          <w:szCs w:val="22"/>
        </w:rPr>
      </w:pPr>
      <w:bookmarkStart w:name="_Toc682996627" w:id="1100528990"/>
      <w:r w:rsidRPr="36A6E8A7" w:rsidR="375D26B2">
        <w:rPr>
          <w:rFonts w:ascii="Arial" w:hAnsi="Arial" w:eastAsia="Arial" w:cs="Arial"/>
          <w:b w:val="1"/>
          <w:bCs w:val="1"/>
          <w:color w:val="24292E"/>
          <w:sz w:val="22"/>
          <w:szCs w:val="22"/>
        </w:rPr>
        <w:t>Background</w:t>
      </w:r>
      <w:bookmarkEnd w:id="1100528990"/>
    </w:p>
    <w:p w:rsidR="00AF5690" w:rsidP="238B9F42" w:rsidRDefault="00AF5690" w14:paraId="794A6A1B" w14:textId="48C39AA6">
      <w:pPr>
        <w:shd w:val="clear" w:color="auto" w:fill="FFFFFF" w:themeFill="background1"/>
        <w:spacing w:line="360" w:lineRule="auto"/>
        <w:jc w:val="both"/>
        <w:rPr>
          <w:rFonts w:ascii="Arial" w:hAnsi="Arial" w:eastAsia="Arial" w:cs="Arial"/>
          <w:color w:val="24292E"/>
          <w:sz w:val="22"/>
          <w:szCs w:val="22"/>
        </w:rPr>
      </w:pPr>
    </w:p>
    <w:p w:rsidR="00AF5690" w:rsidP="28C50471" w:rsidRDefault="10110B02" w14:paraId="343210DE" w14:textId="5243418E">
      <w:pPr>
        <w:spacing w:after="0" w:line="360" w:lineRule="auto"/>
        <w:jc w:val="both"/>
        <w:rPr>
          <w:rFonts w:ascii="Arial" w:hAnsi="Arial" w:eastAsia="Arial" w:cs="Arial"/>
          <w:color w:val="24292E"/>
          <w:sz w:val="22"/>
          <w:szCs w:val="22"/>
        </w:rPr>
      </w:pPr>
      <w:r w:rsidRPr="36A6E8A7" w:rsidR="10110B02">
        <w:rPr>
          <w:rFonts w:ascii="Arial" w:hAnsi="Arial" w:eastAsia="Arial" w:cs="Arial"/>
          <w:b w:val="1"/>
          <w:bCs w:val="1"/>
          <w:color w:val="24292E"/>
          <w:sz w:val="22"/>
          <w:szCs w:val="22"/>
        </w:rPr>
        <w:t xml:space="preserve">The Scale of the Problem </w:t>
      </w:r>
      <w:r w:rsidRPr="36A6E8A7" w:rsidR="10110B02">
        <w:rPr>
          <w:rFonts w:ascii="Arial" w:hAnsi="Arial" w:eastAsia="Arial" w:cs="Arial"/>
          <w:color w:val="24292E"/>
          <w:sz w:val="22"/>
          <w:szCs w:val="22"/>
        </w:rPr>
        <w:t>Loneliness among older adults has emerged as a critical public health challenge in the United Kingdom. According to the Office for National Statistics (2023), approximately 22% of adults in the UK report feeling lonely at least some of the time, with the prevalence significantly higher among those aged 75 and over. This is not merely a social issue but a severe health determinant. Research indicates that chronic loneliness is associated with increased risks of depression, cardiovascular disease, and dementia, with mortality risks comparable to smoking (Altschul et al., 2020; Victor &amp; Yang, 2012). For instance, longitudinal studies tracking older adults over several years found that social isolation was a significant predictor of cognitive decline and all-cause mortality (Altschul et al., 2020). Consequently, addressing loneliness is now a priority for both health and social care sectors, as recognised by clinical guidance and academic research alike (Jentoft et al., 2025).</w:t>
      </w:r>
    </w:p>
    <w:p w:rsidR="00AF5690" w:rsidP="21EEA1D5" w:rsidRDefault="10110B02" w14:paraId="6E004C19" w14:textId="6D32EAD8">
      <w:pPr>
        <w:spacing w:after="0" w:line="360" w:lineRule="auto"/>
        <w:jc w:val="both"/>
        <w:rPr>
          <w:rFonts w:ascii="Arial" w:hAnsi="Arial" w:eastAsia="Arial" w:cs="Arial"/>
          <w:color w:val="24292E"/>
          <w:sz w:val="22"/>
          <w:szCs w:val="22"/>
        </w:rPr>
      </w:pPr>
      <w:r w:rsidRPr="36A6E8A7" w:rsidR="10110B02">
        <w:rPr>
          <w:rFonts w:ascii="Arial" w:hAnsi="Arial" w:eastAsia="Arial" w:cs="Arial"/>
          <w:b w:val="1"/>
          <w:bCs w:val="1"/>
          <w:color w:val="24292E"/>
          <w:sz w:val="22"/>
          <w:szCs w:val="22"/>
        </w:rPr>
        <w:t>Policy and Legislative</w:t>
      </w:r>
      <w:r w:rsidRPr="36A6E8A7" w:rsidR="10110B02">
        <w:rPr>
          <w:rFonts w:ascii="Arial" w:hAnsi="Arial" w:eastAsia="Arial" w:cs="Arial"/>
          <w:color w:val="24292E"/>
          <w:sz w:val="22"/>
          <w:szCs w:val="22"/>
        </w:rPr>
        <w:t xml:space="preserve"> Context </w:t>
      </w:r>
      <w:r w:rsidRPr="36A6E8A7" w:rsidR="5B728072">
        <w:rPr>
          <w:rFonts w:ascii="Arial" w:hAnsi="Arial" w:eastAsia="Arial" w:cs="Arial"/>
          <w:color w:val="24292E"/>
          <w:sz w:val="22"/>
          <w:szCs w:val="22"/>
        </w:rPr>
        <w:t>the</w:t>
      </w:r>
      <w:r w:rsidRPr="36A6E8A7" w:rsidR="10110B02">
        <w:rPr>
          <w:rFonts w:ascii="Arial" w:hAnsi="Arial" w:eastAsia="Arial" w:cs="Arial"/>
          <w:color w:val="24292E"/>
          <w:sz w:val="22"/>
          <w:szCs w:val="22"/>
        </w:rPr>
        <w:t xml:space="preserve"> UK government has responded with strategic initiatives to tackle this "silent epidemic." </w:t>
      </w:r>
      <w:r w:rsidRPr="36A6E8A7" w:rsidR="162E8081">
        <w:rPr>
          <w:rFonts w:ascii="Arial" w:hAnsi="Arial" w:eastAsia="Arial" w:cs="Arial"/>
          <w:color w:val="24292E"/>
          <w:sz w:val="22"/>
          <w:szCs w:val="22"/>
        </w:rPr>
        <w:t>T</w:t>
      </w:r>
      <w:r w:rsidRPr="36A6E8A7" w:rsidR="10110B02">
        <w:rPr>
          <w:rFonts w:ascii="Arial" w:hAnsi="Arial" w:eastAsia="Arial" w:cs="Arial"/>
          <w:color w:val="24292E"/>
          <w:sz w:val="22"/>
          <w:szCs w:val="22"/>
        </w:rPr>
        <w:t xml:space="preserve">he Building a Connected Society strategy (Department for Digital, Culture, Media &amp; Sport, 2018) represents the first cross-governmental approach to loneliness, placing responsibility on all public sectors including health, transport, and housing to address the issue. The NHS Long Term Plan (NHS England, 2019) reinforced this in England by committing to embed social prescribing into primary care networks. Furthermore, the Care Act 2014 places a statutory duty on local authorities in England to promote individual wellbeing, explicitly including social connections as a key component. </w:t>
      </w:r>
      <w:r w:rsidRPr="36A6E8A7" w:rsidR="5A89AE92">
        <w:rPr>
          <w:rFonts w:ascii="Arial" w:hAnsi="Arial" w:eastAsia="Arial" w:cs="Arial"/>
          <w:color w:val="24292E"/>
          <w:sz w:val="22"/>
          <w:szCs w:val="22"/>
        </w:rPr>
        <w:t>Organisations like Campaign to End Loneliness (2021) advocate embedding loneliness reduction in all public services.</w:t>
      </w:r>
      <w:r w:rsidRPr="36A6E8A7" w:rsidR="3ED2359C">
        <w:rPr>
          <w:rFonts w:ascii="Arial" w:hAnsi="Arial" w:eastAsia="Arial" w:cs="Arial"/>
          <w:color w:val="24292E"/>
          <w:sz w:val="22"/>
          <w:szCs w:val="22"/>
        </w:rPr>
        <w:t xml:space="preserve"> </w:t>
      </w:r>
      <w:r w:rsidRPr="36A6E8A7" w:rsidR="10110B02">
        <w:rPr>
          <w:rFonts w:ascii="Arial" w:hAnsi="Arial" w:eastAsia="Arial" w:cs="Arial"/>
          <w:color w:val="24292E"/>
          <w:sz w:val="22"/>
          <w:szCs w:val="22"/>
        </w:rPr>
        <w:t xml:space="preserve">Locally, this is reflected in initiatives such as Manchester City Council's Age-Friendly </w:t>
      </w:r>
      <w:r w:rsidRPr="36A6E8A7" w:rsidR="10110B02">
        <w:rPr>
          <w:rFonts w:ascii="Arial" w:hAnsi="Arial" w:eastAsia="Arial" w:cs="Arial"/>
          <w:color w:val="24292E"/>
          <w:sz w:val="22"/>
          <w:szCs w:val="22"/>
        </w:rPr>
        <w:t>Strategy (2023–2028), which aims to redesign public spaces and community services to foster social participation and reduce isolation among older residents (Manchester City Council, 2023). These policies signal a shift from reactive care to preventative, community-based approaches. The rationale for this shift is grounded in evidence demonstrating that preventative interventions are more cost-effective than treating health conditions caused by loneliness after they develop. Research suggests that addressing loneliness before it leads to cognitive decline or cardiovascular disease yields better long-term health outcomes and reduces pressure on acute care services (Altschul et al., 2020; Victor &amp; Yang, 2012).</w:t>
      </w:r>
    </w:p>
    <w:p w:rsidR="00AF5690" w:rsidP="28C50471" w:rsidRDefault="10110B02" w14:paraId="1CECA4CD" w14:textId="45DB0275">
      <w:pPr>
        <w:spacing w:after="0" w:line="360" w:lineRule="auto"/>
        <w:jc w:val="both"/>
        <w:rPr>
          <w:rFonts w:ascii="Arial" w:hAnsi="Arial" w:eastAsia="Arial" w:cs="Arial"/>
          <w:color w:val="24292E"/>
          <w:sz w:val="22"/>
          <w:szCs w:val="22"/>
        </w:rPr>
      </w:pPr>
      <w:r w:rsidRPr="36A6E8A7" w:rsidR="10110B02">
        <w:rPr>
          <w:rFonts w:ascii="Arial" w:hAnsi="Arial" w:eastAsia="Arial" w:cs="Arial"/>
          <w:b w:val="1"/>
          <w:bCs w:val="1"/>
          <w:color w:val="24292E"/>
          <w:sz w:val="22"/>
          <w:szCs w:val="22"/>
        </w:rPr>
        <w:t xml:space="preserve">Current Services and Interventions </w:t>
      </w:r>
      <w:r w:rsidRPr="36A6E8A7" w:rsidR="10110B02">
        <w:rPr>
          <w:rFonts w:ascii="Arial" w:hAnsi="Arial" w:eastAsia="Arial" w:cs="Arial"/>
          <w:color w:val="24292E"/>
          <w:sz w:val="22"/>
          <w:szCs w:val="22"/>
        </w:rPr>
        <w:t>In practice, the primary mechanism for addressing loneliness has been social prescribing. This approach involves linking patients with non-clinical community services, such as arts groups, walking clubs, and befriending schemes. Age UK (2025) reports that their "No one should have no one" campaign provides vital befriending services and practical support to isolated older people. Additionally, digital interventions, such as the Royal Voluntary Service's Virtual Village Hall, have gained traction, particularly following the pandemic, to connect those who are housebound (Royal Voluntary Service, 2022).</w:t>
      </w:r>
    </w:p>
    <w:p w:rsidR="00AF5690" w:rsidP="28C50471" w:rsidRDefault="10110B02" w14:paraId="5EE474D6" w14:textId="1AAF278A">
      <w:pPr>
        <w:spacing w:after="0" w:line="360" w:lineRule="auto"/>
        <w:jc w:val="both"/>
        <w:rPr>
          <w:rFonts w:ascii="Arial" w:hAnsi="Arial" w:eastAsia="Arial" w:cs="Arial"/>
          <w:color w:val="24292E"/>
          <w:sz w:val="22"/>
          <w:szCs w:val="22"/>
        </w:rPr>
      </w:pPr>
      <w:r w:rsidRPr="36A6E8A7" w:rsidR="10110B02">
        <w:rPr>
          <w:rFonts w:ascii="Arial" w:hAnsi="Arial" w:eastAsia="Arial" w:cs="Arial"/>
          <w:b w:val="1"/>
          <w:bCs w:val="1"/>
          <w:color w:val="24292E"/>
          <w:sz w:val="22"/>
          <w:szCs w:val="22"/>
        </w:rPr>
        <w:t>Gaps in Current Practice</w:t>
      </w:r>
      <w:r w:rsidRPr="36A6E8A7" w:rsidR="10110B02">
        <w:rPr>
          <w:rFonts w:ascii="Arial" w:hAnsi="Arial" w:eastAsia="Arial" w:cs="Arial"/>
          <w:color w:val="24292E"/>
          <w:sz w:val="22"/>
          <w:szCs w:val="22"/>
        </w:rPr>
        <w:t xml:space="preserve"> Despite these efforts, significant challenges remain. Bickerdike et al. (2017) note that while social prescribing is widely promoted, the evidence base regarding its long-term effectiveness is fragmented. Furthermore, Shaw and McCabe (2021) argue that there is a lack of clarity on which specific interventions work best for different sub-groups of older adults, such as those with mobility issues or those living in rural areas. The current landscape is characterised by a proliferation of small-scale projects without a unified understanding of what constitutes "best practice." This gap between policy ambition and robust evidence necessitates a comprehensive scoping review to guide future health and social care provision.</w:t>
      </w:r>
    </w:p>
    <w:p w:rsidR="00AF5690" w:rsidP="238B9F42" w:rsidRDefault="00AF5690" w14:paraId="423ADB63" w14:textId="54ECABC3">
      <w:pPr>
        <w:shd w:val="clear" w:color="auto" w:fill="FFFFFF" w:themeFill="background1"/>
        <w:spacing w:line="360" w:lineRule="auto"/>
        <w:jc w:val="both"/>
        <w:rPr>
          <w:rFonts w:ascii="Arial" w:hAnsi="Arial" w:eastAsia="Arial" w:cs="Arial"/>
          <w:color w:val="24292E"/>
          <w:sz w:val="22"/>
          <w:szCs w:val="22"/>
        </w:rPr>
      </w:pPr>
    </w:p>
    <w:p w:rsidR="00AF5690" w:rsidP="28C50471" w:rsidRDefault="1C4549DD" w14:paraId="3D2D4C11" w14:textId="168B6215">
      <w:pPr>
        <w:pStyle w:val="Heading3"/>
        <w:shd w:val="clear" w:color="auto" w:fill="FFFFFF" w:themeFill="background1"/>
        <w:spacing w:before="0" w:after="0" w:line="360" w:lineRule="auto"/>
        <w:jc w:val="both"/>
        <w:rPr>
          <w:rFonts w:ascii="Arial" w:hAnsi="Arial" w:eastAsia="Arial" w:cs="Arial"/>
          <w:color w:val="24292E"/>
          <w:sz w:val="22"/>
          <w:szCs w:val="22"/>
        </w:rPr>
      </w:pPr>
      <w:bookmarkStart w:name="_Toc696433373" w:id="454637730"/>
      <w:r w:rsidRPr="36A6E8A7" w:rsidR="1C4549DD">
        <w:rPr>
          <w:rFonts w:ascii="Arial" w:hAnsi="Arial" w:eastAsia="Arial" w:cs="Arial"/>
          <w:color w:val="24292E"/>
          <w:sz w:val="22"/>
          <w:szCs w:val="22"/>
        </w:rPr>
        <w:t>Methods</w:t>
      </w:r>
      <w:bookmarkEnd w:id="454637730"/>
    </w:p>
    <w:p w:rsidR="1D5AE193" w:rsidP="36A6E8A7" w:rsidRDefault="1D5AE193" w14:paraId="3D9F1AE6" w14:textId="038A51AC">
      <w:pPr>
        <w:spacing w:after="0" w:line="360" w:lineRule="auto"/>
        <w:jc w:val="both"/>
        <w:rPr>
          <w:rFonts w:ascii="Arial" w:hAnsi="Arial" w:eastAsia="Arial" w:cs="Arial"/>
          <w:i w:val="1"/>
          <w:iCs w:val="1"/>
          <w:color w:val="24292E"/>
          <w:sz w:val="22"/>
          <w:szCs w:val="22"/>
        </w:rPr>
      </w:pPr>
      <w:r w:rsidRPr="36A6E8A7" w:rsidR="1D5AE193">
        <w:rPr>
          <w:rFonts w:ascii="Arial" w:hAnsi="Arial" w:eastAsia="Arial" w:cs="Arial"/>
          <w:b w:val="1"/>
          <w:bCs w:val="1"/>
          <w:color w:val="24292E"/>
          <w:sz w:val="22"/>
          <w:szCs w:val="22"/>
        </w:rPr>
        <w:t>Data Collection Approach</w:t>
      </w:r>
      <w:r w:rsidRPr="36A6E8A7" w:rsidR="1D5AE193">
        <w:rPr>
          <w:rFonts w:ascii="Arial" w:hAnsi="Arial" w:eastAsia="Arial" w:cs="Arial"/>
          <w:color w:val="24292E"/>
          <w:sz w:val="22"/>
          <w:szCs w:val="22"/>
        </w:rPr>
        <w:t xml:space="preserve"> This scoping review followed the PRISMA-ScR guidelines (Tricco et al., 2018) to ensure transparency and rigour in the search process. A systematic search was conducted across three academic databases: PubMed (MEDLINE), CINAHL, and PsycINFO. These databases were selected to provide comprehensive coverage of both health and social care </w:t>
      </w:r>
      <w:r w:rsidRPr="36A6E8A7" w:rsidR="6CF9EDC1">
        <w:rPr>
          <w:rFonts w:ascii="Arial" w:hAnsi="Arial" w:eastAsia="Arial" w:cs="Arial"/>
          <w:color w:val="24292E"/>
          <w:sz w:val="22"/>
          <w:szCs w:val="22"/>
        </w:rPr>
        <w:t>literature. The</w:t>
      </w:r>
      <w:r w:rsidRPr="36A6E8A7" w:rsidR="0542FF4C">
        <w:rPr>
          <w:rFonts w:ascii="Arial" w:hAnsi="Arial" w:eastAsia="Arial" w:cs="Arial"/>
          <w:color w:val="24292E"/>
          <w:sz w:val="22"/>
          <w:szCs w:val="22"/>
        </w:rPr>
        <w:t xml:space="preserve"> Cochrane Library was excluded as its focus on clinical trials did not capture non-clinical community intervention</w:t>
      </w:r>
      <w:r w:rsidRPr="36A6E8A7" w:rsidR="0542FF4C">
        <w:rPr>
          <w:rFonts w:ascii="Arial" w:hAnsi="Arial" w:eastAsia="Arial" w:cs="Arial"/>
          <w:i w:val="1"/>
          <w:iCs w:val="1"/>
          <w:color w:val="24292E"/>
          <w:sz w:val="22"/>
          <w:szCs w:val="22"/>
        </w:rPr>
        <w:t>s.</w:t>
      </w:r>
    </w:p>
    <w:p w:rsidR="1D5AE193" w:rsidP="28C50471" w:rsidRDefault="1D5AE193" w14:paraId="215ED001" w14:textId="743C115B">
      <w:pPr>
        <w:spacing w:after="0" w:line="360" w:lineRule="auto"/>
        <w:jc w:val="both"/>
        <w:rPr>
          <w:rFonts w:ascii="Arial" w:hAnsi="Arial" w:eastAsia="Arial" w:cs="Arial"/>
          <w:color w:val="24292E"/>
          <w:sz w:val="22"/>
          <w:szCs w:val="22"/>
        </w:rPr>
      </w:pPr>
      <w:r w:rsidRPr="36A6E8A7" w:rsidR="1D5AE193">
        <w:rPr>
          <w:rFonts w:ascii="Arial" w:hAnsi="Arial" w:eastAsia="Arial" w:cs="Arial"/>
          <w:color w:val="24292E"/>
          <w:sz w:val="22"/>
          <w:szCs w:val="22"/>
        </w:rPr>
        <w:t>The search strategy employed Boolean operators to combine key terms: ("Loneliness" OR "Social Isolation") AND ("Older Adults" OR "Aged" OR "Elderly" OR "65+") AND ("</w:t>
      </w:r>
      <w:r w:rsidRPr="36A6E8A7" w:rsidR="1D5AE193">
        <w:rPr>
          <w:rFonts w:ascii="Arial" w:hAnsi="Arial" w:eastAsia="Arial" w:cs="Arial"/>
          <w:color w:val="24292E"/>
          <w:sz w:val="22"/>
          <w:szCs w:val="22"/>
        </w:rPr>
        <w:t>Intervention</w:t>
      </w:r>
      <w:r w:rsidRPr="36A6E8A7" w:rsidR="785A3407">
        <w:rPr>
          <w:rFonts w:ascii="Arial" w:hAnsi="Arial" w:eastAsia="Arial" w:cs="Arial"/>
          <w:color w:val="24292E"/>
          <w:sz w:val="22"/>
          <w:szCs w:val="22"/>
        </w:rPr>
        <w:t>’s” )</w:t>
      </w:r>
      <w:r w:rsidRPr="36A6E8A7" w:rsidR="1D5AE193">
        <w:rPr>
          <w:rFonts w:ascii="Arial" w:hAnsi="Arial" w:eastAsia="Arial" w:cs="Arial"/>
          <w:color w:val="24292E"/>
          <w:sz w:val="22"/>
          <w:szCs w:val="22"/>
        </w:rPr>
        <w:t xml:space="preserve"> OR "Program" OR "Social Prescribing" OR "Community") AND ("United Kingdom" OR "UK")</w:t>
      </w:r>
    </w:p>
    <w:p w:rsidR="28C50471" w:rsidP="28C50471" w:rsidRDefault="28C50471" w14:paraId="1F9FAC6B" w14:textId="6F5BB0C0">
      <w:pPr>
        <w:rPr>
          <w:rFonts w:ascii="Arial" w:hAnsi="Arial" w:eastAsia="Arial" w:cs="Arial"/>
          <w:sz w:val="22"/>
          <w:szCs w:val="22"/>
        </w:rPr>
      </w:pPr>
    </w:p>
    <w:p w:rsidR="00AF5690" w:rsidP="238B9F42" w:rsidRDefault="00AF5690" w14:paraId="61EFB637" w14:textId="28EECC3A">
      <w:pPr>
        <w:shd w:val="clear" w:color="auto" w:fill="FFFFFF" w:themeFill="background1"/>
        <w:rPr>
          <w:rFonts w:ascii="Arial" w:hAnsi="Arial" w:eastAsia="Arial" w:cs="Arial"/>
          <w:color w:val="24292E"/>
          <w:sz w:val="22"/>
          <w:szCs w:val="22"/>
        </w:rPr>
      </w:pPr>
    </w:p>
    <w:tbl>
      <w:tblPr>
        <w:tblStyle w:val="TableGrid"/>
        <w:tblW w:w="0" w:type="auto"/>
        <w:tblLook w:val="06A0" w:firstRow="1" w:lastRow="0" w:firstColumn="1" w:lastColumn="0" w:noHBand="1" w:noVBand="1"/>
      </w:tblPr>
      <w:tblGrid>
        <w:gridCol w:w="4508"/>
        <w:gridCol w:w="4508"/>
      </w:tblGrid>
      <w:tr w:rsidR="238B9F42" w:rsidTr="28C50471" w14:paraId="488E397E" w14:textId="77777777">
        <w:trPr>
          <w:trHeight w:val="300"/>
        </w:trPr>
        <w:tc>
          <w:tcPr>
            <w:tcW w:w="4508" w:type="dxa"/>
          </w:tcPr>
          <w:p w:rsidR="4DBE6F2C" w:rsidP="28C50471" w:rsidRDefault="4DBE6F2C" w14:paraId="6CA55529" w14:textId="70CAC958">
            <w:pPr>
              <w:rPr>
                <w:rFonts w:ascii="Arial" w:hAnsi="Arial" w:eastAsia="Arial" w:cs="Arial"/>
                <w:b/>
                <w:bCs/>
                <w:color w:val="0C0C14"/>
                <w:sz w:val="22"/>
                <w:szCs w:val="22"/>
              </w:rPr>
            </w:pPr>
            <w:r w:rsidRPr="28C50471">
              <w:rPr>
                <w:rFonts w:ascii="Arial" w:hAnsi="Arial" w:eastAsia="Arial" w:cs="Arial"/>
                <w:b/>
                <w:bCs/>
                <w:color w:val="0C0C14"/>
                <w:sz w:val="22"/>
                <w:szCs w:val="22"/>
              </w:rPr>
              <w:t>Inclusion Criteria</w:t>
            </w:r>
          </w:p>
        </w:tc>
        <w:tc>
          <w:tcPr>
            <w:tcW w:w="4508" w:type="dxa"/>
          </w:tcPr>
          <w:p w:rsidR="4DBE6F2C" w:rsidP="28C50471" w:rsidRDefault="4DBE6F2C" w14:paraId="76239E20" w14:textId="141D52E5">
            <w:pPr>
              <w:rPr>
                <w:rFonts w:ascii="Arial" w:hAnsi="Arial" w:eastAsia="Arial" w:cs="Arial"/>
                <w:b/>
                <w:bCs/>
                <w:color w:val="0C0C14"/>
                <w:sz w:val="22"/>
                <w:szCs w:val="22"/>
              </w:rPr>
            </w:pPr>
            <w:r w:rsidRPr="28C50471">
              <w:rPr>
                <w:rFonts w:ascii="Arial" w:hAnsi="Arial" w:eastAsia="Arial" w:cs="Arial"/>
                <w:b/>
                <w:bCs/>
                <w:color w:val="0C0C14"/>
                <w:sz w:val="22"/>
                <w:szCs w:val="22"/>
              </w:rPr>
              <w:t>Exclusion Criteria</w:t>
            </w:r>
          </w:p>
        </w:tc>
      </w:tr>
      <w:tr w:rsidR="238B9F42" w:rsidTr="28C50471" w14:paraId="2060CB2F" w14:textId="77777777">
        <w:trPr>
          <w:trHeight w:val="300"/>
        </w:trPr>
        <w:tc>
          <w:tcPr>
            <w:tcW w:w="4508" w:type="dxa"/>
          </w:tcPr>
          <w:p w:rsidR="4DBE6F2C" w:rsidP="28C50471" w:rsidRDefault="4DBE6F2C" w14:paraId="34C50ECB" w14:textId="701451DD">
            <w:pPr>
              <w:rPr>
                <w:rFonts w:ascii="Arial" w:hAnsi="Arial" w:eastAsia="Arial" w:cs="Arial"/>
                <w:color w:val="0C0C14"/>
                <w:sz w:val="22"/>
                <w:szCs w:val="22"/>
              </w:rPr>
            </w:pPr>
            <w:r w:rsidRPr="28C50471">
              <w:rPr>
                <w:rFonts w:ascii="Arial" w:hAnsi="Arial" w:eastAsia="Arial" w:cs="Arial"/>
                <w:color w:val="0C0C14"/>
                <w:sz w:val="22"/>
                <w:szCs w:val="22"/>
              </w:rPr>
              <w:t>• Published 2016–2026</w:t>
            </w:r>
          </w:p>
        </w:tc>
        <w:tc>
          <w:tcPr>
            <w:tcW w:w="4508" w:type="dxa"/>
          </w:tcPr>
          <w:p w:rsidR="4DBE6F2C" w:rsidP="28C50471" w:rsidRDefault="4DBE6F2C" w14:paraId="075B4BB2" w14:textId="0A7E793F">
            <w:pPr>
              <w:rPr>
                <w:rFonts w:ascii="Arial" w:hAnsi="Arial" w:eastAsia="Arial" w:cs="Arial"/>
                <w:color w:val="0C0C14"/>
                <w:sz w:val="22"/>
                <w:szCs w:val="22"/>
              </w:rPr>
            </w:pPr>
            <w:r w:rsidRPr="28C50471">
              <w:rPr>
                <w:rFonts w:ascii="Arial" w:hAnsi="Arial" w:eastAsia="Arial" w:cs="Arial"/>
                <w:color w:val="0C0C14"/>
                <w:sz w:val="22"/>
                <w:szCs w:val="22"/>
              </w:rPr>
              <w:t>• Published before 2016</w:t>
            </w:r>
          </w:p>
        </w:tc>
      </w:tr>
      <w:tr w:rsidR="238B9F42" w:rsidTr="28C50471" w14:paraId="2B6ACEE7" w14:textId="77777777">
        <w:trPr>
          <w:trHeight w:val="300"/>
        </w:trPr>
        <w:tc>
          <w:tcPr>
            <w:tcW w:w="4508" w:type="dxa"/>
          </w:tcPr>
          <w:p w:rsidR="4DBE6F2C" w:rsidP="28C50471" w:rsidRDefault="4DBE6F2C" w14:paraId="2CD76C8C" w14:textId="26A9AB37">
            <w:pPr>
              <w:rPr>
                <w:rFonts w:ascii="Arial" w:hAnsi="Arial" w:eastAsia="Arial" w:cs="Arial"/>
                <w:color w:val="0C0C14"/>
                <w:sz w:val="22"/>
                <w:szCs w:val="22"/>
              </w:rPr>
            </w:pPr>
            <w:r w:rsidRPr="28C50471">
              <w:rPr>
                <w:rFonts w:ascii="Arial" w:hAnsi="Arial" w:eastAsia="Arial" w:cs="Arial"/>
                <w:color w:val="0C0C14"/>
                <w:sz w:val="22"/>
                <w:szCs w:val="22"/>
              </w:rPr>
              <w:t>• Adults aged 65+</w:t>
            </w:r>
          </w:p>
        </w:tc>
        <w:tc>
          <w:tcPr>
            <w:tcW w:w="4508" w:type="dxa"/>
          </w:tcPr>
          <w:p w:rsidR="4DBE6F2C" w:rsidP="28C50471" w:rsidRDefault="4DBE6F2C" w14:paraId="0E8425BA" w14:textId="1041C9E4">
            <w:pPr>
              <w:rPr>
                <w:rFonts w:ascii="Arial" w:hAnsi="Arial" w:eastAsia="Arial" w:cs="Arial"/>
                <w:color w:val="0C0C14"/>
                <w:sz w:val="22"/>
                <w:szCs w:val="22"/>
              </w:rPr>
            </w:pPr>
            <w:r w:rsidRPr="28C50471">
              <w:rPr>
                <w:rFonts w:ascii="Arial" w:hAnsi="Arial" w:eastAsia="Arial" w:cs="Arial"/>
                <w:color w:val="0C0C14"/>
                <w:sz w:val="22"/>
                <w:szCs w:val="22"/>
              </w:rPr>
              <w:t>• Younger populations</w:t>
            </w:r>
          </w:p>
        </w:tc>
      </w:tr>
      <w:tr w:rsidR="238B9F42" w:rsidTr="28C50471" w14:paraId="49E7C5FA" w14:textId="77777777">
        <w:trPr>
          <w:trHeight w:val="300"/>
        </w:trPr>
        <w:tc>
          <w:tcPr>
            <w:tcW w:w="4508" w:type="dxa"/>
          </w:tcPr>
          <w:p w:rsidR="4DBE6F2C" w:rsidP="28C50471" w:rsidRDefault="4DBE6F2C" w14:paraId="0EE9D80B" w14:textId="5347AEA5">
            <w:pPr>
              <w:rPr>
                <w:rFonts w:ascii="Arial" w:hAnsi="Arial" w:eastAsia="Arial" w:cs="Arial"/>
                <w:color w:val="0C0C14"/>
                <w:sz w:val="22"/>
                <w:szCs w:val="22"/>
              </w:rPr>
            </w:pPr>
            <w:r w:rsidRPr="28C50471">
              <w:rPr>
                <w:rFonts w:ascii="Arial" w:hAnsi="Arial" w:eastAsia="Arial" w:cs="Arial"/>
                <w:color w:val="0C0C14"/>
                <w:sz w:val="22"/>
                <w:szCs w:val="22"/>
              </w:rPr>
              <w:t>• UK-based research</w:t>
            </w:r>
          </w:p>
        </w:tc>
        <w:tc>
          <w:tcPr>
            <w:tcW w:w="4508" w:type="dxa"/>
          </w:tcPr>
          <w:p w:rsidR="4DBE6F2C" w:rsidP="28C50471" w:rsidRDefault="4DBE6F2C" w14:paraId="528F4CF9" w14:textId="3024328A">
            <w:pPr>
              <w:rPr>
                <w:rFonts w:ascii="Arial" w:hAnsi="Arial" w:eastAsia="Arial" w:cs="Arial"/>
                <w:color w:val="0C0C14"/>
                <w:sz w:val="22"/>
                <w:szCs w:val="22"/>
              </w:rPr>
            </w:pPr>
            <w:r w:rsidRPr="28C50471">
              <w:rPr>
                <w:rFonts w:ascii="Arial" w:hAnsi="Arial" w:eastAsia="Arial" w:cs="Arial"/>
                <w:color w:val="0C0C14"/>
                <w:sz w:val="22"/>
                <w:szCs w:val="22"/>
              </w:rPr>
              <w:t>• Non-UK research</w:t>
            </w:r>
          </w:p>
        </w:tc>
      </w:tr>
      <w:tr w:rsidR="238B9F42" w:rsidTr="28C50471" w14:paraId="57E2BF05" w14:textId="77777777">
        <w:trPr>
          <w:trHeight w:val="300"/>
        </w:trPr>
        <w:tc>
          <w:tcPr>
            <w:tcW w:w="4508" w:type="dxa"/>
          </w:tcPr>
          <w:p w:rsidR="4DBE6F2C" w:rsidP="28C50471" w:rsidRDefault="4DBE6F2C" w14:paraId="06439813" w14:textId="47F3B79A">
            <w:pPr>
              <w:rPr>
                <w:rFonts w:ascii="Arial" w:hAnsi="Arial" w:eastAsia="Arial" w:cs="Arial"/>
                <w:color w:val="0C0C14"/>
                <w:sz w:val="22"/>
                <w:szCs w:val="22"/>
              </w:rPr>
            </w:pPr>
            <w:r w:rsidRPr="28C50471">
              <w:rPr>
                <w:rFonts w:ascii="Arial" w:hAnsi="Arial" w:eastAsia="Arial" w:cs="Arial"/>
                <w:color w:val="0C0C14"/>
                <w:sz w:val="22"/>
                <w:szCs w:val="22"/>
              </w:rPr>
              <w:t>• Peer-reviewed articles</w:t>
            </w:r>
          </w:p>
        </w:tc>
        <w:tc>
          <w:tcPr>
            <w:tcW w:w="4508" w:type="dxa"/>
          </w:tcPr>
          <w:p w:rsidR="4DBE6F2C" w:rsidP="28C50471" w:rsidRDefault="4DBE6F2C" w14:paraId="31F91E1D" w14:textId="4C6ED4DD">
            <w:pPr>
              <w:rPr>
                <w:rFonts w:ascii="Arial" w:hAnsi="Arial" w:eastAsia="Arial" w:cs="Arial"/>
                <w:color w:val="0C0C14"/>
                <w:sz w:val="22"/>
                <w:szCs w:val="22"/>
              </w:rPr>
            </w:pPr>
            <w:r w:rsidRPr="28C50471">
              <w:rPr>
                <w:rFonts w:ascii="Arial" w:hAnsi="Arial" w:eastAsia="Arial" w:cs="Arial"/>
                <w:color w:val="0C0C14"/>
                <w:sz w:val="22"/>
                <w:szCs w:val="22"/>
              </w:rPr>
              <w:t>• Editorials/opinions</w:t>
            </w:r>
          </w:p>
        </w:tc>
      </w:tr>
      <w:tr w:rsidR="238B9F42" w:rsidTr="28C50471" w14:paraId="06E9C1F7" w14:textId="77777777">
        <w:trPr>
          <w:trHeight w:val="300"/>
        </w:trPr>
        <w:tc>
          <w:tcPr>
            <w:tcW w:w="4508" w:type="dxa"/>
          </w:tcPr>
          <w:p w:rsidR="4DBE6F2C" w:rsidP="28C50471" w:rsidRDefault="4DBE6F2C" w14:paraId="50F9D64E" w14:textId="00B26241">
            <w:pPr>
              <w:rPr>
                <w:rFonts w:ascii="Arial" w:hAnsi="Arial" w:eastAsia="Arial" w:cs="Arial"/>
                <w:color w:val="0C0C14"/>
                <w:sz w:val="22"/>
                <w:szCs w:val="22"/>
              </w:rPr>
            </w:pPr>
            <w:r w:rsidRPr="28C50471">
              <w:rPr>
                <w:rFonts w:ascii="Arial" w:hAnsi="Arial" w:eastAsia="Arial" w:cs="Arial"/>
                <w:color w:val="0C0C14"/>
                <w:sz w:val="22"/>
                <w:szCs w:val="22"/>
              </w:rPr>
              <w:t>• Focus on loneliness interventions</w:t>
            </w:r>
          </w:p>
        </w:tc>
        <w:tc>
          <w:tcPr>
            <w:tcW w:w="4508" w:type="dxa"/>
          </w:tcPr>
          <w:p w:rsidR="4DBE6F2C" w:rsidP="28C50471" w:rsidRDefault="4DBE6F2C" w14:paraId="57B79CEC" w14:textId="0AED4B66">
            <w:pPr>
              <w:rPr>
                <w:rFonts w:ascii="Arial" w:hAnsi="Arial" w:eastAsia="Arial" w:cs="Arial"/>
                <w:color w:val="0C0C14"/>
                <w:sz w:val="22"/>
                <w:szCs w:val="22"/>
              </w:rPr>
            </w:pPr>
            <w:r w:rsidRPr="28C50471">
              <w:rPr>
                <w:rFonts w:ascii="Arial" w:hAnsi="Arial" w:eastAsia="Arial" w:cs="Arial"/>
                <w:color w:val="0C0C14"/>
                <w:sz w:val="22"/>
                <w:szCs w:val="22"/>
              </w:rPr>
              <w:t>• Loneliness not primary focus</w:t>
            </w:r>
          </w:p>
        </w:tc>
      </w:tr>
    </w:tbl>
    <w:p w:rsidR="00AF5690" w:rsidP="238B9F42" w:rsidRDefault="00AF5690" w14:paraId="63A2DEB1" w14:textId="2AE12960">
      <w:pPr>
        <w:shd w:val="clear" w:color="auto" w:fill="FFFFFF" w:themeFill="background1"/>
        <w:rPr>
          <w:rFonts w:ascii="Arial" w:hAnsi="Arial" w:eastAsia="Arial" w:cs="Arial"/>
          <w:color w:val="24292E"/>
          <w:sz w:val="22"/>
          <w:szCs w:val="22"/>
        </w:rPr>
      </w:pPr>
    </w:p>
    <w:p w:rsidR="28C50471" w:rsidP="28C50471" w:rsidRDefault="28C50471" w14:paraId="293E626C" w14:textId="11976484">
      <w:pPr>
        <w:shd w:val="clear" w:color="auto" w:fill="FFFFFF" w:themeFill="background1"/>
        <w:rPr>
          <w:rFonts w:ascii="Arial" w:hAnsi="Arial" w:eastAsia="Arial" w:cs="Arial"/>
          <w:color w:val="24292E"/>
          <w:sz w:val="22"/>
          <w:szCs w:val="22"/>
        </w:rPr>
      </w:pPr>
    </w:p>
    <w:p w:rsidR="00AF5690" w:rsidP="28C50471" w:rsidRDefault="7515E6AD" w14:paraId="4EF4B4AF" w14:textId="54C021F4">
      <w:pPr>
        <w:shd w:val="clear" w:color="auto" w:fill="FFFFFF" w:themeFill="background1"/>
        <w:spacing w:line="360" w:lineRule="auto"/>
        <w:rPr>
          <w:rFonts w:ascii="Arial" w:hAnsi="Arial" w:eastAsia="Arial" w:cs="Arial"/>
          <w:b/>
          <w:bCs/>
          <w:color w:val="24292E"/>
          <w:sz w:val="22"/>
          <w:szCs w:val="22"/>
        </w:rPr>
      </w:pPr>
      <w:r w:rsidRPr="28C50471">
        <w:rPr>
          <w:rFonts w:ascii="Arial" w:hAnsi="Arial" w:eastAsia="Arial" w:cs="Arial"/>
          <w:b/>
          <w:bCs/>
          <w:color w:val="24292E"/>
          <w:sz w:val="22"/>
          <w:szCs w:val="22"/>
        </w:rPr>
        <w:t>Data Analysis Approach</w:t>
      </w:r>
    </w:p>
    <w:p w:rsidR="444E3CA7" w:rsidP="28C50471" w:rsidRDefault="444E3CA7" w14:paraId="32AEFAAD" w14:textId="453585A9">
      <w:pPr>
        <w:shd w:val="clear" w:color="auto" w:fill="FFFFFF" w:themeFill="background1"/>
        <w:spacing w:line="360" w:lineRule="auto"/>
        <w:jc w:val="both"/>
        <w:rPr>
          <w:rFonts w:ascii="Arial" w:hAnsi="Arial" w:eastAsia="Arial" w:cs="Arial"/>
          <w:color w:val="24292E"/>
          <w:sz w:val="22"/>
          <w:szCs w:val="22"/>
        </w:rPr>
      </w:pPr>
      <w:r w:rsidRPr="36A6E8A7" w:rsidR="444E3CA7">
        <w:rPr>
          <w:rFonts w:ascii="Arial" w:hAnsi="Arial" w:eastAsia="Arial" w:cs="Arial"/>
          <w:color w:val="24292E"/>
          <w:sz w:val="22"/>
          <w:szCs w:val="22"/>
        </w:rPr>
        <w:t>Data from the included studies were extracted and recorded in a summary table, detailing author, year, study design, intervention type, key findings, and relevance to the review question. Thematic analysis was then employed to identify patterns across the literature. This method was chosen as it offers a flexible and accessible framework for analysing diverse data sets, allowing the organisation of varied findings into coherent themes (Braun and Clarke, 2006). Braun and Clarke (2006) argue that thematic analysis does not require pre-existing theoretical frameworks, making it particularly suited to research exploring complex or underdeveloped topics such as community-based loneliness interventions. Additionally, the method enables the identification of recurring patterns and gaps across studies, which aligns directly with scoping review objectives of mapping the existing evidence base. The six-phase process (familiarisation, coding, theme development, reviewing, defining, and reporting) ensures rigour and transparency throughout the analytic process.</w:t>
      </w:r>
    </w:p>
    <w:p w:rsidR="00AF5690" w:rsidP="238B9F42" w:rsidRDefault="4DBE6F2C" w14:paraId="3CF716B7" w14:textId="6F48F373">
      <w:pPr>
        <w:shd w:val="clear" w:color="auto" w:fill="FFFFFF" w:themeFill="background1"/>
        <w:spacing w:line="360" w:lineRule="auto"/>
        <w:jc w:val="both"/>
        <w:rPr>
          <w:rFonts w:ascii="Arial" w:hAnsi="Arial" w:eastAsia="Arial" w:cs="Arial"/>
          <w:b/>
          <w:bCs/>
          <w:color w:val="24292E"/>
          <w:sz w:val="22"/>
          <w:szCs w:val="22"/>
        </w:rPr>
      </w:pPr>
      <w:r w:rsidRPr="28C50471">
        <w:rPr>
          <w:rFonts w:ascii="Arial" w:hAnsi="Arial" w:eastAsia="Arial" w:cs="Arial"/>
          <w:b/>
          <w:bCs/>
          <w:color w:val="24292E"/>
          <w:sz w:val="22"/>
          <w:szCs w:val="22"/>
        </w:rPr>
        <w:t>Ethical Considerations</w:t>
      </w:r>
    </w:p>
    <w:p w:rsidR="18D4ABEB" w:rsidP="28C50471" w:rsidRDefault="18D4ABEB" w14:paraId="07202E3B" w14:textId="32D4F78F">
      <w:pPr>
        <w:shd w:val="clear" w:color="auto" w:fill="FFFFFF" w:themeFill="background1"/>
        <w:spacing w:line="360" w:lineRule="auto"/>
        <w:jc w:val="both"/>
        <w:rPr>
          <w:rFonts w:ascii="Arial" w:hAnsi="Arial" w:eastAsia="Arial" w:cs="Arial"/>
          <w:color w:val="24292E"/>
          <w:sz w:val="22"/>
          <w:szCs w:val="22"/>
        </w:rPr>
      </w:pPr>
      <w:r w:rsidRPr="36A6E8A7" w:rsidR="18D4ABEB">
        <w:rPr>
          <w:rFonts w:ascii="Arial" w:hAnsi="Arial" w:eastAsia="Arial" w:cs="Arial"/>
          <w:color w:val="24292E"/>
          <w:sz w:val="22"/>
          <w:szCs w:val="22"/>
        </w:rPr>
        <w:t>As this review involved the analysis of publicly available published literature, direct ethical approval was not required. However, ethical rigour was maintained throughout using the University's Research Ethics Policy (UWTSD, 2025). All sources were accurately cited to ensure academic integrity and avoid plagiarism. Furthermore, the review critically appraised the ethical standards of the included primary studies, particularly regarding informed consent and the protection of vulnerable older adult participants. Person-centred language was used throughout the report to avoid stigmatising older people, aligning with the dignity principles central to the Age-Friendly movement (Manchester City Council, 2023) and institutional research ethics guidance (UWTSD, 2025).</w:t>
      </w:r>
    </w:p>
    <w:p w:rsidR="00C468A0" w:rsidRDefault="00C468A0" w14:paraId="7CFE27A4" w14:textId="77777777">
      <w:pPr>
        <w:rPr>
          <w:rFonts w:ascii="Arial" w:hAnsi="Arial" w:eastAsia="Arial" w:cs="Arial"/>
          <w:b/>
          <w:bCs/>
          <w:color w:val="24292E"/>
          <w:sz w:val="22"/>
          <w:szCs w:val="22"/>
        </w:rPr>
      </w:pPr>
      <w:r>
        <w:rPr>
          <w:rFonts w:ascii="Arial" w:hAnsi="Arial" w:eastAsia="Arial" w:cs="Arial"/>
          <w:b/>
          <w:bCs/>
          <w:color w:val="24292E"/>
          <w:sz w:val="22"/>
          <w:szCs w:val="22"/>
        </w:rPr>
        <w:br w:type="page"/>
      </w:r>
    </w:p>
    <w:p w:rsidR="31F35D74" w:rsidP="28C50471" w:rsidRDefault="31F35D74" w14:paraId="21C397BA" w14:textId="05A09844">
      <w:pPr>
        <w:shd w:val="clear" w:color="auto" w:fill="FFFFFF" w:themeFill="background1"/>
        <w:spacing w:line="360" w:lineRule="auto"/>
        <w:jc w:val="both"/>
        <w:rPr>
          <w:rFonts w:ascii="Arial" w:hAnsi="Arial" w:eastAsia="Arial" w:cs="Arial"/>
          <w:b/>
          <w:bCs/>
          <w:color w:val="24292E"/>
          <w:sz w:val="22"/>
          <w:szCs w:val="22"/>
        </w:rPr>
      </w:pPr>
      <w:r w:rsidRPr="28C50471">
        <w:rPr>
          <w:rFonts w:ascii="Arial" w:hAnsi="Arial" w:eastAsia="Arial" w:cs="Arial"/>
          <w:b/>
          <w:bCs/>
          <w:color w:val="24292E"/>
          <w:sz w:val="22"/>
          <w:szCs w:val="22"/>
        </w:rPr>
        <w:lastRenderedPageBreak/>
        <w:t xml:space="preserve">Results </w:t>
      </w:r>
    </w:p>
    <w:p w:rsidR="3C4C98D2" w:rsidP="28C50471" w:rsidRDefault="3C4C98D2" w14:paraId="351D0012" w14:textId="46D140B7">
      <w:pPr>
        <w:shd w:val="clear" w:color="auto" w:fill="FFFFFF" w:themeFill="background1"/>
        <w:spacing w:line="360" w:lineRule="auto"/>
        <w:jc w:val="both"/>
        <w:rPr>
          <w:rFonts w:ascii="Arial" w:hAnsi="Arial" w:eastAsia="Arial" w:cs="Arial"/>
          <w:color w:val="24292E"/>
          <w:sz w:val="22"/>
          <w:szCs w:val="22"/>
        </w:rPr>
      </w:pPr>
      <w:r w:rsidRPr="36A6E8A7" w:rsidR="3C4C98D2">
        <w:rPr>
          <w:rFonts w:ascii="Arial" w:hAnsi="Arial" w:eastAsia="Arial" w:cs="Arial"/>
          <w:b w:val="1"/>
          <w:bCs w:val="1"/>
          <w:color w:val="24292E"/>
          <w:sz w:val="22"/>
          <w:szCs w:val="22"/>
        </w:rPr>
        <w:t>Overview of Search Results</w:t>
      </w:r>
      <w:r w:rsidRPr="36A6E8A7" w:rsidR="3C4C98D2">
        <w:rPr>
          <w:rFonts w:ascii="Arial" w:hAnsi="Arial" w:eastAsia="Arial" w:cs="Arial"/>
          <w:color w:val="24292E"/>
          <w:sz w:val="22"/>
          <w:szCs w:val="22"/>
        </w:rPr>
        <w:t xml:space="preserve"> The systematic search across PubMed, CINAHL, and PsycINFO initially yielded 145 records. After removing duplicates and applying inclusion criteria (UK-based, adults 65+, peer-reviewed, 2016–2026), 6 key intervention studies were selected for detailed analysis. Thematic analysis revealed five dominant themes regarding the delivery and impact of interventions.</w:t>
      </w:r>
    </w:p>
    <w:p w:rsidR="5441130B" w:rsidP="1703EFF3" w:rsidRDefault="3640BAAC" w14:paraId="21EB8EB4" w14:textId="4FEB852F">
      <w:pPr>
        <w:shd w:val="clear" w:color="auto" w:fill="FFFFFF" w:themeFill="background1"/>
        <w:spacing w:line="360" w:lineRule="auto"/>
        <w:jc w:val="both"/>
        <w:rPr>
          <w:rFonts w:ascii="Arial" w:hAnsi="Arial" w:eastAsia="Arial" w:cs="Arial"/>
          <w:b/>
          <w:bCs/>
          <w:color w:val="24292E"/>
          <w:sz w:val="22"/>
          <w:szCs w:val="22"/>
        </w:rPr>
      </w:pPr>
      <w:r w:rsidRPr="28C50471">
        <w:rPr>
          <w:rFonts w:ascii="Arial" w:hAnsi="Arial" w:eastAsia="Arial" w:cs="Arial"/>
          <w:b/>
          <w:bCs/>
          <w:color w:val="24292E"/>
          <w:sz w:val="22"/>
          <w:szCs w:val="22"/>
        </w:rPr>
        <w:t>Table 1: Summary of Key Studies Included in Scoping Revie</w:t>
      </w:r>
      <w:r w:rsidRPr="28C50471" w:rsidR="3B81E1A5">
        <w:rPr>
          <w:rFonts w:ascii="Arial" w:hAnsi="Arial" w:eastAsia="Arial" w:cs="Arial"/>
          <w:b/>
          <w:bCs/>
          <w:color w:val="24292E"/>
          <w:sz w:val="22"/>
          <w:szCs w:val="22"/>
        </w:rPr>
        <w:t>w</w:t>
      </w:r>
    </w:p>
    <w:p w:rsidR="5441130B" w:rsidP="1703EFF3" w:rsidRDefault="5441130B" w14:paraId="38230D2B" w14:textId="007B76E7">
      <w:pPr>
        <w:shd w:val="clear" w:color="auto" w:fill="FFFFFF" w:themeFill="background1"/>
        <w:spacing w:line="360" w:lineRule="auto"/>
        <w:jc w:val="both"/>
        <w:rPr>
          <w:rFonts w:ascii="Arial" w:hAnsi="Arial" w:eastAsia="Arial" w:cs="Arial"/>
          <w:color w:val="24292E"/>
          <w:sz w:val="22"/>
          <w:szCs w:val="22"/>
        </w:rPr>
      </w:pPr>
    </w:p>
    <w:tbl>
      <w:tblPr>
        <w:tblStyle w:val="TableGrid"/>
        <w:tblW w:w="8703" w:type="dxa"/>
        <w:tblLook w:val="06A0" w:firstRow="1" w:lastRow="0" w:firstColumn="1" w:lastColumn="0" w:noHBand="1" w:noVBand="1"/>
      </w:tblPr>
      <w:tblGrid>
        <w:gridCol w:w="1329"/>
        <w:gridCol w:w="1403"/>
        <w:gridCol w:w="1525"/>
        <w:gridCol w:w="1391"/>
        <w:gridCol w:w="1574"/>
        <w:gridCol w:w="1623"/>
      </w:tblGrid>
      <w:tr w:rsidR="5441130B" w:rsidTr="36A6E8A7" w14:paraId="6F483BC1" w14:textId="77777777">
        <w:trPr>
          <w:trHeight w:val="300"/>
        </w:trPr>
        <w:tc>
          <w:tcPr>
            <w:tcW w:w="1365" w:type="dxa"/>
            <w:tcMar/>
          </w:tcPr>
          <w:p w:rsidR="5441130B" w:rsidP="1703EFF3" w:rsidRDefault="5441130B" w14:paraId="0D572479" w14:textId="4EA5F17F">
            <w:pPr>
              <w:rPr>
                <w:rFonts w:ascii="Arial" w:hAnsi="Arial" w:eastAsia="Arial" w:cs="Arial"/>
                <w:b/>
                <w:bCs/>
                <w:color w:val="0C0C14"/>
                <w:sz w:val="22"/>
                <w:szCs w:val="22"/>
              </w:rPr>
            </w:pPr>
            <w:r w:rsidRPr="28C50471">
              <w:rPr>
                <w:rFonts w:ascii="Arial" w:hAnsi="Arial" w:eastAsia="Arial" w:cs="Arial"/>
                <w:b/>
                <w:bCs/>
                <w:color w:val="0C0C14"/>
                <w:sz w:val="22"/>
                <w:szCs w:val="22"/>
              </w:rPr>
              <w:t xml:space="preserve">Author </w:t>
            </w:r>
          </w:p>
        </w:tc>
        <w:tc>
          <w:tcPr>
            <w:tcW w:w="1140" w:type="dxa"/>
            <w:tcMar/>
          </w:tcPr>
          <w:p w:rsidR="5441130B" w:rsidP="28C50471" w:rsidRDefault="5C7D7029" w14:paraId="2E6AD8A1" w14:textId="302B3728">
            <w:pPr>
              <w:rPr>
                <w:rFonts w:ascii="Arial" w:hAnsi="Arial" w:eastAsia="Arial" w:cs="Arial"/>
                <w:b/>
                <w:bCs/>
                <w:color w:val="0C0C14"/>
                <w:sz w:val="22"/>
                <w:szCs w:val="22"/>
              </w:rPr>
            </w:pPr>
            <w:r w:rsidRPr="28C50471">
              <w:rPr>
                <w:rFonts w:ascii="Arial" w:hAnsi="Arial" w:eastAsia="Arial" w:cs="Arial"/>
                <w:b/>
                <w:bCs/>
                <w:color w:val="0C0C14"/>
                <w:sz w:val="22"/>
                <w:szCs w:val="22"/>
              </w:rPr>
              <w:t>Type of study</w:t>
            </w:r>
          </w:p>
        </w:tc>
        <w:tc>
          <w:tcPr>
            <w:tcW w:w="1395" w:type="dxa"/>
            <w:tcMar/>
          </w:tcPr>
          <w:p w:rsidR="1E1736F0" w:rsidP="28C50471" w:rsidRDefault="1E1736F0" w14:paraId="53306641" w14:textId="34DBF9BB">
            <w:pPr>
              <w:rPr>
                <w:rFonts w:ascii="Arial" w:hAnsi="Arial" w:eastAsia="Arial" w:cs="Arial"/>
                <w:b/>
                <w:bCs/>
                <w:color w:val="0C0C14"/>
                <w:sz w:val="22"/>
                <w:szCs w:val="22"/>
              </w:rPr>
            </w:pPr>
            <w:r w:rsidRPr="28C50471">
              <w:rPr>
                <w:rFonts w:ascii="Arial" w:hAnsi="Arial" w:eastAsia="Arial" w:cs="Arial"/>
                <w:b/>
                <w:bCs/>
                <w:color w:val="0C0C14"/>
                <w:sz w:val="22"/>
                <w:szCs w:val="22"/>
              </w:rPr>
              <w:t>Research Method</w:t>
            </w:r>
          </w:p>
        </w:tc>
        <w:tc>
          <w:tcPr>
            <w:tcW w:w="1365" w:type="dxa"/>
            <w:tcMar/>
          </w:tcPr>
          <w:p w:rsidR="1E1736F0" w:rsidP="28C50471" w:rsidRDefault="1E1736F0" w14:paraId="4F5B3D17" w14:textId="77562176">
            <w:pPr>
              <w:rPr>
                <w:rFonts w:ascii="Arial" w:hAnsi="Arial" w:eastAsia="Arial" w:cs="Arial"/>
                <w:b/>
                <w:bCs/>
                <w:color w:val="0C0C14"/>
                <w:sz w:val="22"/>
                <w:szCs w:val="22"/>
              </w:rPr>
            </w:pPr>
            <w:r w:rsidRPr="28C50471">
              <w:rPr>
                <w:rFonts w:ascii="Arial" w:hAnsi="Arial" w:eastAsia="Arial" w:cs="Arial"/>
                <w:b/>
                <w:bCs/>
                <w:color w:val="0C0C14"/>
                <w:sz w:val="22"/>
                <w:szCs w:val="22"/>
              </w:rPr>
              <w:t>Type of Analysis</w:t>
            </w:r>
          </w:p>
        </w:tc>
        <w:tc>
          <w:tcPr>
            <w:tcW w:w="1770" w:type="dxa"/>
            <w:tcMar/>
          </w:tcPr>
          <w:p w:rsidR="1E1736F0" w:rsidP="28C50471" w:rsidRDefault="1E1736F0" w14:paraId="2298FBE3" w14:textId="62100CBD">
            <w:pPr>
              <w:rPr>
                <w:rFonts w:ascii="Arial" w:hAnsi="Arial" w:eastAsia="Arial" w:cs="Arial"/>
                <w:b/>
                <w:bCs/>
                <w:color w:val="0C0C14"/>
                <w:sz w:val="22"/>
                <w:szCs w:val="22"/>
              </w:rPr>
            </w:pPr>
            <w:r w:rsidRPr="28C50471">
              <w:rPr>
                <w:rFonts w:ascii="Arial" w:hAnsi="Arial" w:eastAsia="Arial" w:cs="Arial"/>
                <w:b/>
                <w:bCs/>
                <w:color w:val="0C0C14"/>
                <w:sz w:val="22"/>
                <w:szCs w:val="22"/>
              </w:rPr>
              <w:t>Sample Size</w:t>
            </w:r>
          </w:p>
        </w:tc>
        <w:tc>
          <w:tcPr>
            <w:tcW w:w="1668" w:type="dxa"/>
            <w:tcMar/>
          </w:tcPr>
          <w:p w:rsidR="5441130B" w:rsidP="28C50471" w:rsidRDefault="37199E3F" w14:paraId="165D6DAB" w14:textId="3DA70F52">
            <w:pPr>
              <w:rPr>
                <w:rFonts w:ascii="Arial" w:hAnsi="Arial" w:eastAsia="Arial" w:cs="Arial"/>
                <w:b/>
                <w:bCs/>
                <w:color w:val="0C0C14"/>
                <w:sz w:val="22"/>
                <w:szCs w:val="22"/>
              </w:rPr>
            </w:pPr>
            <w:r w:rsidRPr="28C50471">
              <w:rPr>
                <w:rFonts w:ascii="Arial" w:hAnsi="Arial" w:eastAsia="Arial" w:cs="Arial"/>
                <w:b/>
                <w:bCs/>
                <w:color w:val="0C0C14"/>
                <w:sz w:val="22"/>
                <w:szCs w:val="22"/>
              </w:rPr>
              <w:t>Main Findings</w:t>
            </w:r>
          </w:p>
        </w:tc>
      </w:tr>
      <w:tr w:rsidR="28C50471" w:rsidTr="36A6E8A7" w14:paraId="0E728217" w14:textId="77777777">
        <w:trPr>
          <w:trHeight w:val="300"/>
        </w:trPr>
        <w:tc>
          <w:tcPr>
            <w:tcW w:w="1365" w:type="dxa"/>
            <w:tcMar/>
          </w:tcPr>
          <w:p w:rsidR="28C50471" w:rsidP="36A6E8A7" w:rsidRDefault="28C50471" w14:paraId="1605D406" w14:textId="746C761B">
            <w:pPr>
              <w:spacing w:line="360" w:lineRule="auto"/>
              <w:rPr>
                <w:rFonts w:ascii="Arial" w:hAnsi="Arial" w:eastAsia="Arial" w:cs="Arial"/>
                <w:b w:val="1"/>
                <w:bCs w:val="1"/>
                <w:color w:val="0C0C14"/>
                <w:sz w:val="22"/>
                <w:szCs w:val="22"/>
              </w:rPr>
            </w:pPr>
            <w:r w:rsidRPr="36A6E8A7" w:rsidR="75F6B00E">
              <w:rPr>
                <w:rFonts w:ascii="Arial" w:hAnsi="Arial" w:eastAsia="Arial" w:cs="Arial"/>
                <w:b w:val="1"/>
                <w:bCs w:val="1"/>
                <w:color w:val="0C0C14"/>
                <w:sz w:val="22"/>
                <w:szCs w:val="22"/>
              </w:rPr>
              <w:t>Bickerdike et al. (2017)</w:t>
            </w:r>
          </w:p>
        </w:tc>
        <w:tc>
          <w:tcPr>
            <w:tcW w:w="1140" w:type="dxa"/>
            <w:tcMar/>
          </w:tcPr>
          <w:p w:rsidR="28C50471" w:rsidP="36A6E8A7" w:rsidRDefault="28C50471" w14:paraId="1957DB0D" w14:textId="3F7B134A">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Systematic review</w:t>
            </w:r>
          </w:p>
        </w:tc>
        <w:tc>
          <w:tcPr>
            <w:tcW w:w="1395" w:type="dxa"/>
            <w:tcMar/>
          </w:tcPr>
          <w:p w:rsidR="28C50471" w:rsidP="36A6E8A7" w:rsidRDefault="28C50471" w14:paraId="2BE5E714" w14:textId="4AC5B874">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Secondary research</w:t>
            </w:r>
          </w:p>
        </w:tc>
        <w:tc>
          <w:tcPr>
            <w:tcW w:w="1365" w:type="dxa"/>
            <w:tcMar/>
          </w:tcPr>
          <w:p w:rsidR="28C50471" w:rsidP="36A6E8A7" w:rsidRDefault="28C50471" w14:paraId="185FB157" w14:textId="46F1CE38">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Thematic synthesis</w:t>
            </w:r>
          </w:p>
        </w:tc>
        <w:tc>
          <w:tcPr>
            <w:tcW w:w="1770" w:type="dxa"/>
            <w:tcMar/>
          </w:tcPr>
          <w:p w:rsidR="28C50471" w:rsidP="36A6E8A7" w:rsidRDefault="28C50471" w14:paraId="32F21826" w14:textId="3BC56C2D">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29 studies across UK</w:t>
            </w:r>
          </w:p>
        </w:tc>
        <w:tc>
          <w:tcPr>
            <w:tcW w:w="1668" w:type="dxa"/>
            <w:tcMar/>
          </w:tcPr>
          <w:p w:rsidR="28C50471" w:rsidP="36A6E8A7" w:rsidRDefault="28C50471" w14:paraId="348F2E23" w14:textId="609DBF01">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Social prescribing reduces loneliness; success depends on link worker quality and local infrastructure availability</w:t>
            </w:r>
          </w:p>
        </w:tc>
      </w:tr>
      <w:tr w:rsidR="28C50471" w:rsidTr="36A6E8A7" w14:paraId="22F7DEC8" w14:textId="77777777">
        <w:trPr>
          <w:trHeight w:val="300"/>
        </w:trPr>
        <w:tc>
          <w:tcPr>
            <w:tcW w:w="1365" w:type="dxa"/>
            <w:tcMar/>
          </w:tcPr>
          <w:p w:rsidR="28C50471" w:rsidP="36A6E8A7" w:rsidRDefault="28C50471" w14:paraId="2EACFEF4" w14:textId="6D72D662">
            <w:pPr>
              <w:spacing w:line="360" w:lineRule="auto"/>
              <w:rPr>
                <w:rFonts w:ascii="Arial" w:hAnsi="Arial" w:eastAsia="Arial" w:cs="Arial"/>
                <w:b w:val="1"/>
                <w:bCs w:val="1"/>
                <w:color w:val="0C0C14"/>
                <w:sz w:val="22"/>
                <w:szCs w:val="22"/>
              </w:rPr>
            </w:pPr>
            <w:r w:rsidRPr="36A6E8A7" w:rsidR="75F6B00E">
              <w:rPr>
                <w:rFonts w:ascii="Arial" w:hAnsi="Arial" w:eastAsia="Arial" w:cs="Arial"/>
                <w:b w:val="1"/>
                <w:bCs w:val="1"/>
                <w:color w:val="0C0C14"/>
                <w:sz w:val="22"/>
                <w:szCs w:val="22"/>
              </w:rPr>
              <w:t>Fancourt and Finn (2019)</w:t>
            </w:r>
          </w:p>
        </w:tc>
        <w:tc>
          <w:tcPr>
            <w:tcW w:w="1140" w:type="dxa"/>
            <w:tcMar/>
          </w:tcPr>
          <w:p w:rsidR="28C50471" w:rsidP="36A6E8A7" w:rsidRDefault="28C50471" w14:paraId="4D92265B" w14:textId="569BD634">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Meta-analysis</w:t>
            </w:r>
          </w:p>
        </w:tc>
        <w:tc>
          <w:tcPr>
            <w:tcW w:w="1395" w:type="dxa"/>
            <w:tcMar/>
          </w:tcPr>
          <w:p w:rsidR="28C50471" w:rsidP="36A6E8A7" w:rsidRDefault="28C50471" w14:paraId="61374B74" w14:textId="0EE5D63E">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Secondary research (WHO studies)</w:t>
            </w:r>
          </w:p>
        </w:tc>
        <w:tc>
          <w:tcPr>
            <w:tcW w:w="1365" w:type="dxa"/>
            <w:tcMar/>
          </w:tcPr>
          <w:p w:rsidR="28C50471" w:rsidP="36A6E8A7" w:rsidRDefault="28C50471" w14:paraId="20AD6660" w14:textId="37256EF3">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Quantitative meta-analysis</w:t>
            </w:r>
          </w:p>
        </w:tc>
        <w:tc>
          <w:tcPr>
            <w:tcW w:w="1770" w:type="dxa"/>
            <w:tcMar/>
          </w:tcPr>
          <w:p w:rsidR="28C50471" w:rsidP="36A6E8A7" w:rsidRDefault="28C50471" w14:paraId="6D8E95CC" w14:textId="0728E3A6">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Multiple cohorts across UK</w:t>
            </w:r>
            <w:r w:rsidRPr="36A6E8A7" w:rsidR="4F7F322A">
              <w:rPr>
                <w:rFonts w:ascii="Arial" w:hAnsi="Arial" w:eastAsia="Arial" w:cs="Arial"/>
                <w:color w:val="0C0C14"/>
                <w:sz w:val="22"/>
                <w:szCs w:val="22"/>
              </w:rPr>
              <w:t xml:space="preserve"> scores by up to 25% over three months; </w:t>
            </w:r>
          </w:p>
        </w:tc>
        <w:tc>
          <w:tcPr>
            <w:tcW w:w="1668" w:type="dxa"/>
            <w:tcMar/>
          </w:tcPr>
          <w:p w:rsidR="7DF36C1B" w:rsidP="36A6E8A7" w:rsidRDefault="7DF36C1B" w14:paraId="18E82858" w14:textId="0AB561BA">
            <w:pPr>
              <w:spacing w:line="360" w:lineRule="auto"/>
              <w:rPr>
                <w:rFonts w:ascii="Arial" w:hAnsi="Arial" w:eastAsia="Arial" w:cs="Arial"/>
                <w:color w:val="0C0C14"/>
                <w:sz w:val="22"/>
                <w:szCs w:val="22"/>
              </w:rPr>
            </w:pPr>
            <w:r w:rsidRPr="36A6E8A7" w:rsidR="4F7F322A">
              <w:rPr>
                <w:rFonts w:ascii="Arial" w:hAnsi="Arial" w:eastAsia="Arial" w:cs="Arial"/>
                <w:color w:val="0C0C14"/>
                <w:sz w:val="22"/>
                <w:szCs w:val="22"/>
              </w:rPr>
              <w:t>Group creative activities reduced loneliness scores by up to 25% over three months; participants reported feeling valued</w:t>
            </w:r>
          </w:p>
        </w:tc>
      </w:tr>
      <w:tr w:rsidR="28C50471" w:rsidTr="36A6E8A7" w14:paraId="441778B4" w14:textId="77777777">
        <w:trPr>
          <w:trHeight w:val="300"/>
        </w:trPr>
        <w:tc>
          <w:tcPr>
            <w:tcW w:w="1365" w:type="dxa"/>
            <w:tcMar/>
          </w:tcPr>
          <w:p w:rsidR="28C50471" w:rsidP="36A6E8A7" w:rsidRDefault="28C50471" w14:paraId="17749DC7" w14:textId="3E3037D7">
            <w:pPr>
              <w:spacing w:line="360" w:lineRule="auto"/>
              <w:rPr>
                <w:rFonts w:ascii="Arial" w:hAnsi="Arial" w:eastAsia="Arial" w:cs="Arial"/>
                <w:b w:val="1"/>
                <w:bCs w:val="1"/>
                <w:color w:val="0C0C14"/>
                <w:sz w:val="22"/>
                <w:szCs w:val="22"/>
              </w:rPr>
            </w:pPr>
            <w:r w:rsidRPr="36A6E8A7" w:rsidR="75F6B00E">
              <w:rPr>
                <w:rFonts w:ascii="Arial" w:hAnsi="Arial" w:eastAsia="Arial" w:cs="Arial"/>
                <w:b w:val="1"/>
                <w:bCs w:val="1"/>
                <w:color w:val="0C0C14"/>
                <w:sz w:val="22"/>
                <w:szCs w:val="22"/>
              </w:rPr>
              <w:t>Cattan et al. (2020)</w:t>
            </w:r>
          </w:p>
        </w:tc>
        <w:tc>
          <w:tcPr>
            <w:tcW w:w="1140" w:type="dxa"/>
            <w:tcMar/>
          </w:tcPr>
          <w:p w:rsidR="28C50471" w:rsidP="36A6E8A7" w:rsidRDefault="28C50471" w14:paraId="3A754102" w14:textId="1C792495">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Systematic review</w:t>
            </w:r>
          </w:p>
        </w:tc>
        <w:tc>
          <w:tcPr>
            <w:tcW w:w="1395" w:type="dxa"/>
            <w:tcMar/>
          </w:tcPr>
          <w:p w:rsidR="28C50471" w:rsidP="36A6E8A7" w:rsidRDefault="28C50471" w14:paraId="4D9E35E6" w14:textId="07B4C0F0">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Secondary research</w:t>
            </w:r>
          </w:p>
        </w:tc>
        <w:tc>
          <w:tcPr>
            <w:tcW w:w="1365" w:type="dxa"/>
            <w:tcMar/>
          </w:tcPr>
          <w:p w:rsidR="28C50471" w:rsidP="36A6E8A7" w:rsidRDefault="28C50471" w14:paraId="2A752E8B" w14:textId="6A6DC5D0">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Thematic synthesis</w:t>
            </w:r>
          </w:p>
        </w:tc>
        <w:tc>
          <w:tcPr>
            <w:tcW w:w="1770" w:type="dxa"/>
            <w:tcMar/>
          </w:tcPr>
          <w:p w:rsidR="28C50471" w:rsidP="36A6E8A7" w:rsidRDefault="28C50471" w14:paraId="471583B4" w14:textId="58784103">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45 studies internationally</w:t>
            </w:r>
          </w:p>
        </w:tc>
        <w:tc>
          <w:tcPr>
            <w:tcW w:w="1668" w:type="dxa"/>
            <w:tcMar/>
          </w:tcPr>
          <w:p w:rsidR="28C50471" w:rsidP="36A6E8A7" w:rsidRDefault="28C50471" w14:paraId="405535C6" w14:textId="608A7E6D">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Digital tools exclude those without skills or broadband; hybrid model combining digital and face-to-face contact recommended</w:t>
            </w:r>
          </w:p>
        </w:tc>
      </w:tr>
      <w:tr w:rsidR="28C50471" w:rsidTr="36A6E8A7" w14:paraId="16B71F2C" w14:textId="77777777">
        <w:trPr>
          <w:trHeight w:val="300"/>
        </w:trPr>
        <w:tc>
          <w:tcPr>
            <w:tcW w:w="1365" w:type="dxa"/>
            <w:tcMar/>
          </w:tcPr>
          <w:p w:rsidR="28C50471" w:rsidP="36A6E8A7" w:rsidRDefault="28C50471" w14:paraId="1A358F7E" w14:textId="15465363">
            <w:pPr>
              <w:spacing w:line="360" w:lineRule="auto"/>
              <w:rPr>
                <w:rFonts w:ascii="Arial" w:hAnsi="Arial" w:eastAsia="Arial" w:cs="Arial"/>
                <w:b w:val="1"/>
                <w:bCs w:val="1"/>
                <w:color w:val="0C0C14"/>
                <w:sz w:val="22"/>
                <w:szCs w:val="22"/>
              </w:rPr>
            </w:pPr>
            <w:r w:rsidRPr="36A6E8A7" w:rsidR="75F6B00E">
              <w:rPr>
                <w:rFonts w:ascii="Arial" w:hAnsi="Arial" w:eastAsia="Arial" w:cs="Arial"/>
                <w:b w:val="1"/>
                <w:bCs w:val="1"/>
                <w:color w:val="0C0C14"/>
                <w:sz w:val="22"/>
                <w:szCs w:val="22"/>
              </w:rPr>
              <w:t>Altschul et al. (2020)</w:t>
            </w:r>
          </w:p>
        </w:tc>
        <w:tc>
          <w:tcPr>
            <w:tcW w:w="1140" w:type="dxa"/>
            <w:tcMar/>
          </w:tcPr>
          <w:p w:rsidR="28C50471" w:rsidP="36A6E8A7" w:rsidRDefault="28C50471" w14:paraId="37FFC0E5" w14:textId="7704462C">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Longitudinal study</w:t>
            </w:r>
          </w:p>
        </w:tc>
        <w:tc>
          <w:tcPr>
            <w:tcW w:w="1395" w:type="dxa"/>
            <w:tcMar/>
          </w:tcPr>
          <w:p w:rsidR="28C50471" w:rsidP="36A6E8A7" w:rsidRDefault="28C50471" w14:paraId="2FC8C0F8" w14:textId="49E658AB">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Primary research (ELSA cohort)</w:t>
            </w:r>
          </w:p>
        </w:tc>
        <w:tc>
          <w:tcPr>
            <w:tcW w:w="1365" w:type="dxa"/>
            <w:tcMar/>
          </w:tcPr>
          <w:p w:rsidR="28C50471" w:rsidP="36A6E8A7" w:rsidRDefault="28C50471" w14:paraId="30970708" w14:textId="346819F1">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Quantitative regression</w:t>
            </w:r>
          </w:p>
        </w:tc>
        <w:tc>
          <w:tcPr>
            <w:tcW w:w="1770" w:type="dxa"/>
            <w:tcMar/>
          </w:tcPr>
          <w:p w:rsidR="28C50471" w:rsidP="36A6E8A7" w:rsidRDefault="28C50471" w14:paraId="5FD9D35E" w14:textId="68E6D57D">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7,000+ adults aged 50+</w:t>
            </w:r>
          </w:p>
        </w:tc>
        <w:tc>
          <w:tcPr>
            <w:tcW w:w="1668" w:type="dxa"/>
            <w:tcMar/>
          </w:tcPr>
          <w:p w:rsidR="28C50471" w:rsidP="36A6E8A7" w:rsidRDefault="28C50471" w14:paraId="1CD76523" w14:textId="06AFBFDB">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 xml:space="preserve">Loneliness increases dementia risk by 40%; social isolation is a </w:t>
            </w:r>
            <w:r w:rsidRPr="36A6E8A7" w:rsidR="75F6B00E">
              <w:rPr>
                <w:rFonts w:ascii="Arial" w:hAnsi="Arial" w:eastAsia="Arial" w:cs="Arial"/>
                <w:color w:val="0C0C14"/>
                <w:sz w:val="22"/>
                <w:szCs w:val="22"/>
              </w:rPr>
              <w:t>modifiable risk factor for cognitive decline</w:t>
            </w:r>
          </w:p>
        </w:tc>
      </w:tr>
      <w:tr w:rsidR="28C50471" w:rsidTr="36A6E8A7" w14:paraId="61A83AEC" w14:textId="77777777">
        <w:trPr>
          <w:trHeight w:val="300"/>
        </w:trPr>
        <w:tc>
          <w:tcPr>
            <w:tcW w:w="1365" w:type="dxa"/>
            <w:tcMar/>
          </w:tcPr>
          <w:p w:rsidR="28C50471" w:rsidP="36A6E8A7" w:rsidRDefault="28C50471" w14:paraId="0254BFFB" w14:textId="1E61FCC6">
            <w:pPr>
              <w:spacing w:line="360" w:lineRule="auto"/>
              <w:rPr>
                <w:rFonts w:ascii="Arial" w:hAnsi="Arial" w:eastAsia="Arial" w:cs="Arial"/>
                <w:b w:val="1"/>
                <w:bCs w:val="1"/>
                <w:color w:val="0C0C14"/>
                <w:sz w:val="22"/>
                <w:szCs w:val="22"/>
              </w:rPr>
            </w:pPr>
            <w:r w:rsidRPr="36A6E8A7" w:rsidR="75F6B00E">
              <w:rPr>
                <w:rFonts w:ascii="Arial" w:hAnsi="Arial" w:eastAsia="Arial" w:cs="Arial"/>
                <w:b w:val="1"/>
                <w:bCs w:val="1"/>
                <w:color w:val="0C0C14"/>
                <w:sz w:val="22"/>
                <w:szCs w:val="22"/>
              </w:rPr>
              <w:t>Shaw and McCabe (2021)</w:t>
            </w:r>
          </w:p>
        </w:tc>
        <w:tc>
          <w:tcPr>
            <w:tcW w:w="1140" w:type="dxa"/>
            <w:tcMar/>
          </w:tcPr>
          <w:p w:rsidR="28C50471" w:rsidP="36A6E8A7" w:rsidRDefault="28C50471" w14:paraId="1E09301C" w14:textId="6248F8C8">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Systematic review</w:t>
            </w:r>
          </w:p>
        </w:tc>
        <w:tc>
          <w:tcPr>
            <w:tcW w:w="1395" w:type="dxa"/>
            <w:tcMar/>
          </w:tcPr>
          <w:p w:rsidR="28C50471" w:rsidP="36A6E8A7" w:rsidRDefault="28C50471" w14:paraId="678E9139" w14:textId="52BCA176">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Secondary research</w:t>
            </w:r>
          </w:p>
        </w:tc>
        <w:tc>
          <w:tcPr>
            <w:tcW w:w="1365" w:type="dxa"/>
            <w:tcMar/>
          </w:tcPr>
          <w:p w:rsidR="28C50471" w:rsidP="36A6E8A7" w:rsidRDefault="28C50471" w14:paraId="3F4BC630" w14:textId="0905D3C7">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Thematic analysis</w:t>
            </w:r>
          </w:p>
        </w:tc>
        <w:tc>
          <w:tcPr>
            <w:tcW w:w="1770" w:type="dxa"/>
            <w:tcMar/>
          </w:tcPr>
          <w:p w:rsidR="28C50471" w:rsidP="36A6E8A7" w:rsidRDefault="28C50471" w14:paraId="60998EF5" w14:textId="233D9257">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35 studies across UK</w:t>
            </w:r>
          </w:p>
        </w:tc>
        <w:tc>
          <w:tcPr>
            <w:tcW w:w="1668" w:type="dxa"/>
            <w:tcMar/>
          </w:tcPr>
          <w:p w:rsidR="28C50471" w:rsidP="36A6E8A7" w:rsidRDefault="28C50471" w14:paraId="00320190" w14:textId="7473B64E">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 xml:space="preserve">Creative activities reduce </w:t>
            </w:r>
            <w:r w:rsidRPr="36A6E8A7" w:rsidR="4300FB84">
              <w:rPr>
                <w:rFonts w:ascii="Arial" w:hAnsi="Arial" w:eastAsia="Arial" w:cs="Arial"/>
                <w:color w:val="0C0C14"/>
                <w:sz w:val="22"/>
                <w:szCs w:val="22"/>
              </w:rPr>
              <w:t>loneliness,</w:t>
            </w:r>
            <w:r w:rsidRPr="36A6E8A7" w:rsidR="75F6B00E">
              <w:rPr>
                <w:rFonts w:ascii="Arial" w:hAnsi="Arial" w:eastAsia="Arial" w:cs="Arial"/>
                <w:color w:val="0C0C14"/>
                <w:sz w:val="22"/>
                <w:szCs w:val="22"/>
              </w:rPr>
              <w:t xml:space="preserve"> but small-scale projects lack standardised metrics; rural areas underserved</w:t>
            </w:r>
          </w:p>
        </w:tc>
      </w:tr>
      <w:tr w:rsidR="28C50471" w:rsidTr="36A6E8A7" w14:paraId="610EC7C3" w14:textId="77777777">
        <w:trPr>
          <w:trHeight w:val="300"/>
        </w:trPr>
        <w:tc>
          <w:tcPr>
            <w:tcW w:w="1365" w:type="dxa"/>
            <w:tcMar/>
          </w:tcPr>
          <w:p w:rsidR="28C50471" w:rsidP="36A6E8A7" w:rsidRDefault="28C50471" w14:paraId="52342DFB" w14:textId="1035FCFC">
            <w:pPr>
              <w:spacing w:line="360" w:lineRule="auto"/>
              <w:rPr>
                <w:rFonts w:ascii="Arial" w:hAnsi="Arial" w:eastAsia="Arial" w:cs="Arial"/>
                <w:b w:val="1"/>
                <w:bCs w:val="1"/>
                <w:color w:val="0C0C14"/>
                <w:sz w:val="22"/>
                <w:szCs w:val="22"/>
              </w:rPr>
            </w:pPr>
            <w:r w:rsidRPr="36A6E8A7" w:rsidR="75F6B00E">
              <w:rPr>
                <w:rFonts w:ascii="Arial" w:hAnsi="Arial" w:eastAsia="Arial" w:cs="Arial"/>
                <w:b w:val="1"/>
                <w:bCs w:val="1"/>
                <w:color w:val="0C0C14"/>
                <w:sz w:val="22"/>
                <w:szCs w:val="22"/>
              </w:rPr>
              <w:t>Marmot et al. (2021)</w:t>
            </w:r>
          </w:p>
        </w:tc>
        <w:tc>
          <w:tcPr>
            <w:tcW w:w="1140" w:type="dxa"/>
            <w:tcMar/>
          </w:tcPr>
          <w:p w:rsidR="28C50471" w:rsidP="36A6E8A7" w:rsidRDefault="28C50471" w14:paraId="469D56B6" w14:textId="2C14133E">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National review</w:t>
            </w:r>
          </w:p>
        </w:tc>
        <w:tc>
          <w:tcPr>
            <w:tcW w:w="1395" w:type="dxa"/>
            <w:tcMar/>
          </w:tcPr>
          <w:p w:rsidR="28C50471" w:rsidP="36A6E8A7" w:rsidRDefault="28C50471" w14:paraId="1F635967" w14:textId="7252F837">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Secondary research (UK programmes)</w:t>
            </w:r>
          </w:p>
        </w:tc>
        <w:tc>
          <w:tcPr>
            <w:tcW w:w="1365" w:type="dxa"/>
            <w:tcMar/>
          </w:tcPr>
          <w:p w:rsidR="28C50471" w:rsidP="36A6E8A7" w:rsidRDefault="28C50471" w14:paraId="4A9C6BC5" w14:textId="41C59CC3">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Policy analysis</w:t>
            </w:r>
          </w:p>
        </w:tc>
        <w:tc>
          <w:tcPr>
            <w:tcW w:w="1770" w:type="dxa"/>
            <w:tcMar/>
          </w:tcPr>
          <w:p w:rsidR="28C50471" w:rsidP="36A6E8A7" w:rsidRDefault="28C50471" w14:paraId="556B5180" w14:textId="3EF38D2A">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All UK community programmes</w:t>
            </w:r>
          </w:p>
        </w:tc>
        <w:tc>
          <w:tcPr>
            <w:tcW w:w="1668" w:type="dxa"/>
            <w:tcMar/>
          </w:tcPr>
          <w:p w:rsidR="28C50471" w:rsidP="36A6E8A7" w:rsidRDefault="28C50471" w14:paraId="700C237C" w14:textId="08A3AD10">
            <w:pPr>
              <w:spacing w:line="360" w:lineRule="auto"/>
              <w:rPr>
                <w:rFonts w:ascii="Arial" w:hAnsi="Arial" w:eastAsia="Arial" w:cs="Arial"/>
                <w:color w:val="0C0C14"/>
                <w:sz w:val="22"/>
                <w:szCs w:val="22"/>
              </w:rPr>
            </w:pPr>
            <w:r w:rsidRPr="36A6E8A7" w:rsidR="75F6B00E">
              <w:rPr>
                <w:rFonts w:ascii="Arial" w:hAnsi="Arial" w:eastAsia="Arial" w:cs="Arial"/>
                <w:color w:val="0C0C14"/>
                <w:sz w:val="22"/>
                <w:szCs w:val="22"/>
              </w:rPr>
              <w:t>Benefits fade once pilot funding ceases; requires multi-year commitments and structural investment for sustainability</w:t>
            </w:r>
          </w:p>
        </w:tc>
      </w:tr>
    </w:tbl>
    <w:p w:rsidR="5441130B" w:rsidP="28C50471" w:rsidRDefault="5441130B" w14:paraId="0929625F" w14:textId="59081788">
      <w:pPr>
        <w:spacing w:line="360" w:lineRule="auto"/>
        <w:rPr>
          <w:rFonts w:ascii="Arial" w:hAnsi="Arial" w:eastAsia="Arial" w:cs="Arial"/>
          <w:sz w:val="22"/>
          <w:szCs w:val="22"/>
        </w:rPr>
      </w:pPr>
    </w:p>
    <w:p w:rsidR="5441130B" w:rsidP="36A6E8A7" w:rsidRDefault="224F3FD2" w14:paraId="0704669C" w14:textId="76B58813">
      <w:pPr>
        <w:shd w:val="clear" w:color="auto" w:fill="FFFFFF" w:themeFill="background1"/>
        <w:spacing w:line="360" w:lineRule="auto"/>
        <w:jc w:val="both"/>
        <w:rPr>
          <w:rFonts w:ascii="Arial" w:hAnsi="Arial" w:eastAsia="Arial" w:cs="Arial"/>
          <w:color w:val="24292E"/>
          <w:sz w:val="22"/>
          <w:szCs w:val="22"/>
        </w:rPr>
      </w:pPr>
      <w:r w:rsidRPr="36A6E8A7" w:rsidR="224F3FD2">
        <w:rPr>
          <w:rFonts w:ascii="Arial" w:hAnsi="Arial" w:eastAsia="Arial" w:cs="Arial"/>
          <w:b w:val="1"/>
          <w:bCs w:val="1"/>
          <w:color w:val="24292E"/>
          <w:sz w:val="22"/>
          <w:szCs w:val="22"/>
        </w:rPr>
        <w:t>C</w:t>
      </w:r>
      <w:r w:rsidRPr="36A6E8A7" w:rsidR="224F3FD2">
        <w:rPr>
          <w:rFonts w:ascii="Arial" w:hAnsi="Arial" w:eastAsia="Arial" w:cs="Arial"/>
          <w:color w:val="24292E"/>
          <w:sz w:val="22"/>
          <w:szCs w:val="22"/>
        </w:rPr>
        <w:t>oding Process Following thematic analysis (Braun and Clarke, 2006), the main findings from each of the six studies were coded to identify recurring patterns. Key codes identified from the data included: link worker dependency, infrastructure gaps, creative engagement, digital exclusion, funding instability, health deterioration, and rural disadvantage. These codes were then grouped into five overarching themes for further discussion</w:t>
      </w:r>
      <w:r w:rsidRPr="36A6E8A7" w:rsidR="54FD9474">
        <w:rPr>
          <w:rFonts w:ascii="Arial" w:hAnsi="Arial" w:eastAsia="Arial" w:cs="Arial"/>
          <w:color w:val="24292E"/>
          <w:sz w:val="22"/>
          <w:szCs w:val="22"/>
        </w:rPr>
        <w:t>.</w:t>
      </w:r>
    </w:p>
    <w:p w:rsidR="28C50471" w:rsidP="28C50471" w:rsidRDefault="28C50471" w14:paraId="3143BABF" w14:textId="024FAA21">
      <w:pPr>
        <w:shd w:val="clear" w:color="auto" w:fill="FFFFFF" w:themeFill="background1"/>
        <w:spacing w:line="360" w:lineRule="auto"/>
        <w:jc w:val="both"/>
        <w:rPr>
          <w:rFonts w:ascii="Arial" w:hAnsi="Arial" w:eastAsia="Arial" w:cs="Arial"/>
          <w:color w:val="24292E"/>
          <w:sz w:val="22"/>
          <w:szCs w:val="22"/>
        </w:rPr>
      </w:pPr>
    </w:p>
    <w:p w:rsidR="28C50471" w:rsidP="28C50471" w:rsidRDefault="28C50471" w14:paraId="2854BE4B" w14:textId="4B2CA022">
      <w:pPr>
        <w:shd w:val="clear" w:color="auto" w:fill="FFFFFF" w:themeFill="background1"/>
        <w:spacing w:line="360" w:lineRule="auto"/>
        <w:jc w:val="both"/>
        <w:rPr>
          <w:rFonts w:ascii="Arial" w:hAnsi="Arial" w:eastAsia="Arial" w:cs="Arial"/>
          <w:color w:val="24292E"/>
          <w:sz w:val="22"/>
          <w:szCs w:val="22"/>
        </w:rPr>
      </w:pPr>
    </w:p>
    <w:p w:rsidR="28C50471" w:rsidP="28C50471" w:rsidRDefault="28C50471" w14:paraId="597CA330" w14:textId="402DFCB1">
      <w:pPr>
        <w:shd w:val="clear" w:color="auto" w:fill="FFFFFF" w:themeFill="background1"/>
        <w:spacing w:line="360" w:lineRule="auto"/>
        <w:jc w:val="both"/>
        <w:rPr>
          <w:rFonts w:ascii="Arial" w:hAnsi="Arial" w:eastAsia="Arial" w:cs="Arial"/>
          <w:color w:val="24292E"/>
          <w:sz w:val="22"/>
          <w:szCs w:val="22"/>
        </w:rPr>
      </w:pPr>
    </w:p>
    <w:p w:rsidR="28C50471" w:rsidP="28C50471" w:rsidRDefault="28C50471" w14:paraId="6A985634" w14:textId="44972495">
      <w:pPr>
        <w:shd w:val="clear" w:color="auto" w:fill="FFFFFF" w:themeFill="background1"/>
        <w:spacing w:line="360" w:lineRule="auto"/>
        <w:jc w:val="both"/>
        <w:rPr>
          <w:rFonts w:ascii="Arial" w:hAnsi="Arial" w:eastAsia="Arial" w:cs="Arial"/>
          <w:color w:val="24292E"/>
          <w:sz w:val="22"/>
          <w:szCs w:val="22"/>
        </w:rPr>
      </w:pPr>
    </w:p>
    <w:p w:rsidR="28C50471" w:rsidP="28C50471" w:rsidRDefault="28C50471" w14:paraId="6DFB461C" w14:textId="6587BF31">
      <w:pPr>
        <w:shd w:val="clear" w:color="auto" w:fill="FFFFFF" w:themeFill="background1"/>
        <w:spacing w:line="360" w:lineRule="auto"/>
        <w:jc w:val="both"/>
        <w:rPr>
          <w:rFonts w:ascii="Arial" w:hAnsi="Arial" w:eastAsia="Arial" w:cs="Arial"/>
          <w:color w:val="24292E"/>
          <w:sz w:val="22"/>
          <w:szCs w:val="22"/>
        </w:rPr>
      </w:pPr>
    </w:p>
    <w:p w:rsidR="28C50471" w:rsidP="28C50471" w:rsidRDefault="28C50471" w14:paraId="7C792A2D" w14:textId="3AD7F228">
      <w:pPr>
        <w:shd w:val="clear" w:color="auto" w:fill="FFFFFF" w:themeFill="background1"/>
        <w:spacing w:line="360" w:lineRule="auto"/>
        <w:jc w:val="both"/>
        <w:rPr>
          <w:rFonts w:ascii="Arial" w:hAnsi="Arial" w:eastAsia="Arial" w:cs="Arial"/>
          <w:color w:val="24292E"/>
          <w:sz w:val="22"/>
          <w:szCs w:val="22"/>
        </w:rPr>
      </w:pPr>
    </w:p>
    <w:p w:rsidR="28C50471" w:rsidP="28C50471" w:rsidRDefault="28C50471" w14:paraId="06D3744E" w14:textId="24197C4E">
      <w:pPr>
        <w:shd w:val="clear" w:color="auto" w:fill="FFFFFF" w:themeFill="background1"/>
        <w:spacing w:line="360" w:lineRule="auto"/>
        <w:jc w:val="both"/>
        <w:rPr>
          <w:rFonts w:ascii="Arial" w:hAnsi="Arial" w:eastAsia="Arial" w:cs="Arial"/>
          <w:color w:val="24292E"/>
          <w:sz w:val="22"/>
          <w:szCs w:val="22"/>
        </w:rPr>
      </w:pPr>
    </w:p>
    <w:p w:rsidR="28C50471" w:rsidP="28C50471" w:rsidRDefault="28C50471" w14:paraId="16EE8721" w14:textId="73F3D6F6">
      <w:pPr>
        <w:shd w:val="clear" w:color="auto" w:fill="FFFFFF" w:themeFill="background1"/>
        <w:spacing w:line="360" w:lineRule="auto"/>
        <w:jc w:val="both"/>
        <w:rPr>
          <w:rFonts w:ascii="Arial" w:hAnsi="Arial" w:eastAsia="Arial" w:cs="Arial"/>
          <w:color w:val="24292E"/>
          <w:sz w:val="22"/>
          <w:szCs w:val="22"/>
        </w:rPr>
      </w:pPr>
    </w:p>
    <w:p w:rsidR="28C50471" w:rsidP="28C50471" w:rsidRDefault="28C50471" w14:paraId="0781DE55" w14:textId="25F11DD5">
      <w:pPr>
        <w:shd w:val="clear" w:color="auto" w:fill="FFFFFF" w:themeFill="background1"/>
        <w:spacing w:line="360" w:lineRule="auto"/>
        <w:jc w:val="both"/>
        <w:rPr>
          <w:rFonts w:ascii="Arial" w:hAnsi="Arial" w:eastAsia="Arial" w:cs="Arial"/>
          <w:color w:val="24292E"/>
          <w:sz w:val="22"/>
          <w:szCs w:val="22"/>
        </w:rPr>
      </w:pPr>
    </w:p>
    <w:p w:rsidR="28C50471" w:rsidP="21EEA1D5" w:rsidRDefault="28C50471" w14:paraId="51B51672" w14:textId="7E650E07">
      <w:pPr>
        <w:shd w:val="clear" w:color="auto" w:fill="FFFFFF" w:themeFill="background1"/>
        <w:spacing w:line="360" w:lineRule="auto"/>
        <w:jc w:val="both"/>
        <w:rPr>
          <w:rFonts w:ascii="Arial" w:hAnsi="Arial" w:eastAsia="Arial" w:cs="Arial"/>
          <w:color w:val="24292E"/>
          <w:sz w:val="22"/>
          <w:szCs w:val="22"/>
        </w:rPr>
      </w:pPr>
    </w:p>
    <w:p w:rsidR="21EEA1D5" w:rsidP="21EEA1D5" w:rsidRDefault="21EEA1D5" w14:paraId="1626626C" w14:textId="4B967125">
      <w:pPr>
        <w:shd w:val="clear" w:color="auto" w:fill="FFFFFF" w:themeFill="background1"/>
        <w:spacing w:line="360" w:lineRule="auto"/>
        <w:jc w:val="both"/>
        <w:rPr>
          <w:rFonts w:ascii="Arial" w:hAnsi="Arial" w:eastAsia="Arial" w:cs="Arial"/>
          <w:color w:val="24292E"/>
          <w:sz w:val="22"/>
          <w:szCs w:val="22"/>
        </w:rPr>
      </w:pPr>
    </w:p>
    <w:p w:rsidR="21EEA1D5" w:rsidP="21EEA1D5" w:rsidRDefault="21EEA1D5" w14:paraId="45300407" w14:textId="713F4EFC">
      <w:pPr>
        <w:shd w:val="clear" w:color="auto" w:fill="FFFFFF" w:themeFill="background1"/>
        <w:spacing w:line="360" w:lineRule="auto"/>
        <w:jc w:val="both"/>
        <w:rPr>
          <w:rFonts w:ascii="Arial" w:hAnsi="Arial" w:eastAsia="Arial" w:cs="Arial"/>
          <w:color w:val="24292E"/>
          <w:sz w:val="22"/>
          <w:szCs w:val="22"/>
        </w:rPr>
      </w:pPr>
    </w:p>
    <w:p w:rsidR="36A6E8A7" w:rsidP="36A6E8A7" w:rsidRDefault="36A6E8A7" w14:paraId="2D86FAE1" w14:textId="6AF1C3EA">
      <w:pPr>
        <w:shd w:val="clear" w:color="auto" w:fill="FFFFFF" w:themeFill="background1"/>
        <w:spacing w:line="360" w:lineRule="auto"/>
        <w:jc w:val="both"/>
        <w:rPr>
          <w:rFonts w:ascii="Arial" w:hAnsi="Arial" w:eastAsia="Arial" w:cs="Arial"/>
          <w:color w:val="24292E"/>
          <w:sz w:val="22"/>
          <w:szCs w:val="22"/>
        </w:rPr>
      </w:pPr>
    </w:p>
    <w:p w:rsidR="36A6E8A7" w:rsidP="36A6E8A7" w:rsidRDefault="36A6E8A7" w14:paraId="46CEAC7D" w14:textId="51A8C44F">
      <w:pPr>
        <w:shd w:val="clear" w:color="auto" w:fill="FFFFFF" w:themeFill="background1"/>
        <w:spacing w:line="360" w:lineRule="auto"/>
        <w:jc w:val="both"/>
        <w:rPr>
          <w:rFonts w:ascii="Arial" w:hAnsi="Arial" w:eastAsia="Arial" w:cs="Arial"/>
          <w:color w:val="24292E"/>
          <w:sz w:val="22"/>
          <w:szCs w:val="22"/>
        </w:rPr>
      </w:pPr>
    </w:p>
    <w:p w:rsidR="36A6E8A7" w:rsidP="36A6E8A7" w:rsidRDefault="36A6E8A7" w14:paraId="7DA632D3" w14:textId="2B900858">
      <w:pPr>
        <w:shd w:val="clear" w:color="auto" w:fill="FFFFFF" w:themeFill="background1"/>
        <w:spacing w:line="360" w:lineRule="auto"/>
        <w:jc w:val="both"/>
        <w:rPr>
          <w:rFonts w:ascii="Arial" w:hAnsi="Arial" w:eastAsia="Arial" w:cs="Arial"/>
          <w:color w:val="24292E"/>
          <w:sz w:val="22"/>
          <w:szCs w:val="22"/>
        </w:rPr>
      </w:pPr>
    </w:p>
    <w:p w:rsidR="36A6E8A7" w:rsidP="36A6E8A7" w:rsidRDefault="36A6E8A7" w14:paraId="42D35E2B" w14:textId="40320D7E">
      <w:pPr>
        <w:shd w:val="clear" w:color="auto" w:fill="FFFFFF" w:themeFill="background1"/>
        <w:spacing w:line="360" w:lineRule="auto"/>
        <w:jc w:val="both"/>
        <w:rPr>
          <w:rFonts w:ascii="Arial" w:hAnsi="Arial" w:eastAsia="Arial" w:cs="Arial"/>
          <w:color w:val="24292E"/>
          <w:sz w:val="22"/>
          <w:szCs w:val="22"/>
        </w:rPr>
      </w:pPr>
    </w:p>
    <w:p w:rsidR="36A6E8A7" w:rsidP="36A6E8A7" w:rsidRDefault="36A6E8A7" w14:paraId="39DA42A7" w14:textId="4B5C40B7">
      <w:pPr>
        <w:shd w:val="clear" w:color="auto" w:fill="FFFFFF" w:themeFill="background1"/>
        <w:spacing w:line="360" w:lineRule="auto"/>
        <w:jc w:val="both"/>
        <w:rPr>
          <w:rFonts w:ascii="Arial" w:hAnsi="Arial" w:eastAsia="Arial" w:cs="Arial"/>
          <w:color w:val="24292E"/>
          <w:sz w:val="22"/>
          <w:szCs w:val="22"/>
        </w:rPr>
      </w:pPr>
    </w:p>
    <w:p w:rsidR="36A6E8A7" w:rsidP="36A6E8A7" w:rsidRDefault="36A6E8A7" w14:paraId="51454959" w14:textId="1CCC876A">
      <w:pPr>
        <w:shd w:val="clear" w:color="auto" w:fill="FFFFFF" w:themeFill="background1"/>
        <w:spacing w:line="360" w:lineRule="auto"/>
        <w:jc w:val="both"/>
        <w:rPr>
          <w:rFonts w:ascii="Arial" w:hAnsi="Arial" w:eastAsia="Arial" w:cs="Arial"/>
          <w:color w:val="24292E"/>
          <w:sz w:val="22"/>
          <w:szCs w:val="22"/>
        </w:rPr>
      </w:pPr>
    </w:p>
    <w:p w:rsidR="36A6E8A7" w:rsidP="36A6E8A7" w:rsidRDefault="36A6E8A7" w14:paraId="3FA3D678" w14:textId="2602B56F">
      <w:pPr>
        <w:shd w:val="clear" w:color="auto" w:fill="FFFFFF" w:themeFill="background1"/>
        <w:spacing w:line="360" w:lineRule="auto"/>
        <w:jc w:val="both"/>
        <w:rPr>
          <w:rFonts w:ascii="Arial" w:hAnsi="Arial" w:eastAsia="Arial" w:cs="Arial"/>
          <w:color w:val="24292E"/>
          <w:sz w:val="22"/>
          <w:szCs w:val="22"/>
        </w:rPr>
      </w:pPr>
    </w:p>
    <w:p w:rsidR="36A6E8A7" w:rsidP="36A6E8A7" w:rsidRDefault="36A6E8A7" w14:paraId="1527B65E" w14:textId="7135AA5A">
      <w:pPr>
        <w:shd w:val="clear" w:color="auto" w:fill="FFFFFF" w:themeFill="background1"/>
        <w:spacing w:line="360" w:lineRule="auto"/>
        <w:jc w:val="both"/>
        <w:rPr>
          <w:rFonts w:ascii="Arial" w:hAnsi="Arial" w:eastAsia="Arial" w:cs="Arial"/>
          <w:color w:val="24292E"/>
          <w:sz w:val="22"/>
          <w:szCs w:val="22"/>
        </w:rPr>
      </w:pPr>
    </w:p>
    <w:p w:rsidR="36A6E8A7" w:rsidP="36A6E8A7" w:rsidRDefault="36A6E8A7" w14:paraId="0DCEFFDF" w14:textId="4DB58494">
      <w:pPr>
        <w:shd w:val="clear" w:color="auto" w:fill="FFFFFF" w:themeFill="background1"/>
        <w:spacing w:line="360" w:lineRule="auto"/>
        <w:jc w:val="both"/>
        <w:rPr>
          <w:rFonts w:ascii="Arial" w:hAnsi="Arial" w:eastAsia="Arial" w:cs="Arial"/>
          <w:color w:val="24292E"/>
          <w:sz w:val="22"/>
          <w:szCs w:val="22"/>
        </w:rPr>
      </w:pPr>
    </w:p>
    <w:p w:rsidR="21EEA1D5" w:rsidP="21EEA1D5" w:rsidRDefault="21EEA1D5" w14:paraId="278F6394" w14:textId="35C20E21">
      <w:pPr>
        <w:shd w:val="clear" w:color="auto" w:fill="FFFFFF" w:themeFill="background1"/>
        <w:spacing w:line="360" w:lineRule="auto"/>
        <w:jc w:val="both"/>
        <w:rPr>
          <w:rFonts w:ascii="Arial" w:hAnsi="Arial" w:eastAsia="Arial" w:cs="Arial"/>
          <w:color w:val="24292E"/>
          <w:sz w:val="22"/>
          <w:szCs w:val="22"/>
        </w:rPr>
      </w:pPr>
    </w:p>
    <w:p w:rsidRPr="003D319F" w:rsidR="21EEA1D5" w:rsidP="21EEA1D5" w:rsidRDefault="003D319F" w14:paraId="23F5270A" w14:textId="66DDE60F">
      <w:pPr>
        <w:shd w:val="clear" w:color="auto" w:fill="FFFFFF" w:themeFill="background1"/>
        <w:spacing w:line="360" w:lineRule="auto"/>
        <w:jc w:val="both"/>
        <w:rPr>
          <w:rFonts w:ascii="Arial" w:hAnsi="Arial" w:eastAsia="Arial" w:cs="Arial"/>
          <w:b/>
          <w:bCs/>
          <w:color w:val="24292E"/>
          <w:sz w:val="22"/>
          <w:szCs w:val="22"/>
        </w:rPr>
      </w:pPr>
      <w:r w:rsidRPr="003D319F">
        <w:rPr>
          <w:rFonts w:ascii="Arial" w:hAnsi="Arial" w:eastAsia="Arial" w:cs="Arial"/>
          <w:b/>
          <w:bCs/>
          <w:color w:val="24292E"/>
          <w:sz w:val="22"/>
          <w:szCs w:val="22"/>
        </w:rPr>
        <w:t xml:space="preserve">Table 2: Key themes identified </w:t>
      </w:r>
    </w:p>
    <w:tbl>
      <w:tblPr>
        <w:tblStyle w:val="TableGrid"/>
        <w:tblW w:w="10083" w:type="dxa"/>
        <w:tblLook w:val="06A0" w:firstRow="1" w:lastRow="0" w:firstColumn="1" w:lastColumn="0" w:noHBand="1" w:noVBand="1"/>
      </w:tblPr>
      <w:tblGrid>
        <w:gridCol w:w="1330"/>
        <w:gridCol w:w="1490"/>
        <w:gridCol w:w="1692"/>
        <w:gridCol w:w="1781"/>
        <w:gridCol w:w="1701"/>
        <w:gridCol w:w="2089"/>
      </w:tblGrid>
      <w:tr w:rsidR="28C50471" w:rsidTr="21EEA1D5" w14:paraId="4E244269" w14:textId="77777777">
        <w:trPr>
          <w:trHeight w:val="300"/>
        </w:trPr>
        <w:tc>
          <w:tcPr>
            <w:tcW w:w="1155" w:type="dxa"/>
          </w:tcPr>
          <w:p w:rsidR="28C50471" w:rsidP="21EEA1D5" w:rsidRDefault="7E230405" w14:paraId="283B08D3" w14:textId="39E4F0CD">
            <w:pPr>
              <w:rPr>
                <w:rFonts w:ascii="system-ui" w:hAnsi="system-ui" w:eastAsia="system-ui" w:cs="system-ui"/>
                <w:b/>
                <w:bCs/>
                <w:color w:val="0C0C14"/>
                <w:sz w:val="19"/>
                <w:szCs w:val="19"/>
              </w:rPr>
            </w:pPr>
            <w:r w:rsidRPr="21EEA1D5">
              <w:rPr>
                <w:rFonts w:ascii="system-ui" w:hAnsi="system-ui" w:eastAsia="system-ui" w:cs="system-ui"/>
                <w:b/>
                <w:bCs/>
                <w:color w:val="0C0C14"/>
                <w:sz w:val="19"/>
                <w:szCs w:val="19"/>
              </w:rPr>
              <w:t>Article</w:t>
            </w:r>
          </w:p>
        </w:tc>
        <w:tc>
          <w:tcPr>
            <w:tcW w:w="1500" w:type="dxa"/>
          </w:tcPr>
          <w:p w:rsidR="28C50471" w:rsidP="21EEA1D5" w:rsidRDefault="4D7C79BE" w14:paraId="1E869340" w14:textId="2503602C">
            <w:pPr>
              <w:rPr>
                <w:rFonts w:ascii="Arial" w:hAnsi="Arial" w:eastAsia="Arial" w:cs="Arial"/>
                <w:b/>
                <w:bCs/>
                <w:color w:val="0C0C14"/>
                <w:sz w:val="22"/>
                <w:szCs w:val="22"/>
              </w:rPr>
            </w:pPr>
            <w:r w:rsidRPr="21EEA1D5">
              <w:rPr>
                <w:rFonts w:ascii="Arial" w:hAnsi="Arial" w:eastAsia="Arial" w:cs="Arial"/>
                <w:b/>
                <w:bCs/>
                <w:color w:val="0C0C14"/>
                <w:sz w:val="22"/>
                <w:szCs w:val="22"/>
              </w:rPr>
              <w:t>Theme 1 Conceptual Definition &amp; Health Impacts</w:t>
            </w:r>
          </w:p>
        </w:tc>
        <w:tc>
          <w:tcPr>
            <w:tcW w:w="1712" w:type="dxa"/>
          </w:tcPr>
          <w:p w:rsidR="28C50471" w:rsidP="21EEA1D5" w:rsidRDefault="4D7C79BE" w14:paraId="73DD2E15" w14:textId="479D1A67">
            <w:pPr>
              <w:rPr>
                <w:rFonts w:ascii="Arial" w:hAnsi="Arial" w:eastAsia="Arial" w:cs="Arial"/>
                <w:b/>
                <w:bCs/>
                <w:color w:val="0C0C14"/>
                <w:sz w:val="22"/>
                <w:szCs w:val="22"/>
              </w:rPr>
            </w:pPr>
            <w:r w:rsidRPr="21EEA1D5">
              <w:rPr>
                <w:rFonts w:ascii="Arial" w:hAnsi="Arial" w:eastAsia="Arial" w:cs="Arial"/>
                <w:b/>
                <w:bCs/>
                <w:color w:val="0C0C14"/>
                <w:sz w:val="22"/>
                <w:szCs w:val="22"/>
              </w:rPr>
              <w:t>Theme 2 Prevalence &amp; Vulnerability</w:t>
            </w:r>
          </w:p>
          <w:p w:rsidR="28C50471" w:rsidP="21EEA1D5" w:rsidRDefault="28C50471" w14:paraId="28219AB1" w14:textId="00E7A4B2">
            <w:pPr>
              <w:rPr>
                <w:rFonts w:ascii="Arial" w:hAnsi="Arial" w:eastAsia="Arial" w:cs="Arial"/>
                <w:b/>
                <w:bCs/>
                <w:color w:val="0C0C14"/>
                <w:sz w:val="22"/>
                <w:szCs w:val="22"/>
              </w:rPr>
            </w:pPr>
          </w:p>
        </w:tc>
        <w:tc>
          <w:tcPr>
            <w:tcW w:w="1800" w:type="dxa"/>
          </w:tcPr>
          <w:p w:rsidR="28C50471" w:rsidP="28C50471" w:rsidRDefault="1D0F7D23" w14:paraId="53BE00DC" w14:textId="67131B90">
            <w:r w:rsidRPr="21EEA1D5">
              <w:rPr>
                <w:rFonts w:ascii="Arial" w:hAnsi="Arial" w:eastAsia="Arial" w:cs="Arial"/>
                <w:b/>
                <w:bCs/>
                <w:color w:val="0C0C14"/>
                <w:sz w:val="22"/>
                <w:szCs w:val="22"/>
              </w:rPr>
              <w:t>Theme 3</w:t>
            </w:r>
          </w:p>
          <w:p w:rsidR="28C50471" w:rsidP="21EEA1D5" w:rsidRDefault="1D0F7D23" w14:paraId="60ECAE40" w14:textId="53FDCF12">
            <w:pPr>
              <w:rPr>
                <w:rFonts w:ascii="Arial" w:hAnsi="Arial" w:eastAsia="Arial" w:cs="Arial"/>
                <w:b/>
                <w:bCs/>
                <w:color w:val="0C0C14"/>
                <w:sz w:val="22"/>
                <w:szCs w:val="22"/>
              </w:rPr>
            </w:pPr>
            <w:r w:rsidRPr="21EEA1D5">
              <w:rPr>
                <w:rFonts w:ascii="Arial" w:hAnsi="Arial" w:eastAsia="Arial" w:cs="Arial"/>
                <w:b/>
                <w:bCs/>
                <w:color w:val="0C0C14"/>
                <w:sz w:val="22"/>
                <w:szCs w:val="22"/>
              </w:rPr>
              <w:t>Intervention Effectiveness</w:t>
            </w:r>
          </w:p>
        </w:tc>
        <w:tc>
          <w:tcPr>
            <w:tcW w:w="1711" w:type="dxa"/>
          </w:tcPr>
          <w:p w:rsidR="1D0F7D23" w:rsidP="21EEA1D5" w:rsidRDefault="1D0F7D23" w14:paraId="21E48CB6" w14:textId="48620826">
            <w:r w:rsidRPr="21EEA1D5">
              <w:rPr>
                <w:rFonts w:ascii="Arial" w:hAnsi="Arial" w:eastAsia="Arial" w:cs="Arial"/>
                <w:b/>
                <w:bCs/>
                <w:color w:val="0C0C14"/>
                <w:sz w:val="22"/>
                <w:szCs w:val="22"/>
              </w:rPr>
              <w:t>Theme 4</w:t>
            </w:r>
          </w:p>
          <w:p w:rsidR="1D0F7D23" w:rsidP="21EEA1D5" w:rsidRDefault="1D0F7D23" w14:paraId="3ED3BC55" w14:textId="73A108C1">
            <w:pPr>
              <w:rPr>
                <w:rFonts w:ascii="Arial" w:hAnsi="Arial" w:eastAsia="Arial" w:cs="Arial"/>
                <w:b/>
                <w:bCs/>
                <w:color w:val="0C0C14"/>
                <w:sz w:val="22"/>
                <w:szCs w:val="22"/>
              </w:rPr>
            </w:pPr>
            <w:r w:rsidRPr="21EEA1D5">
              <w:rPr>
                <w:rFonts w:ascii="Arial" w:hAnsi="Arial" w:eastAsia="Arial" w:cs="Arial"/>
                <w:b/>
                <w:bCs/>
                <w:color w:val="0C0C14"/>
                <w:sz w:val="22"/>
                <w:szCs w:val="22"/>
              </w:rPr>
              <w:t>Demographic Variations</w:t>
            </w:r>
          </w:p>
        </w:tc>
        <w:tc>
          <w:tcPr>
            <w:tcW w:w="2205" w:type="dxa"/>
          </w:tcPr>
          <w:p w:rsidR="1D0F7D23" w:rsidP="21EEA1D5" w:rsidRDefault="1D0F7D23" w14:paraId="5205E0D3" w14:textId="16ACD261">
            <w:r w:rsidRPr="21EEA1D5">
              <w:rPr>
                <w:rFonts w:ascii="Arial" w:hAnsi="Arial" w:eastAsia="Arial" w:cs="Arial"/>
                <w:b/>
                <w:bCs/>
                <w:color w:val="0C0C14"/>
                <w:sz w:val="22"/>
                <w:szCs w:val="22"/>
              </w:rPr>
              <w:t>Theme 5</w:t>
            </w:r>
          </w:p>
          <w:p w:rsidR="1D0F7D23" w:rsidP="21EEA1D5" w:rsidRDefault="1D0F7D23" w14:paraId="76784B92" w14:textId="1ACCBABD">
            <w:pPr>
              <w:rPr>
                <w:rFonts w:ascii="Arial" w:hAnsi="Arial" w:eastAsia="Arial" w:cs="Arial"/>
                <w:b/>
                <w:bCs/>
                <w:color w:val="0C0C14"/>
                <w:sz w:val="22"/>
                <w:szCs w:val="22"/>
              </w:rPr>
            </w:pPr>
            <w:r w:rsidRPr="21EEA1D5">
              <w:rPr>
                <w:rFonts w:ascii="Arial" w:hAnsi="Arial" w:eastAsia="Arial" w:cs="Arial"/>
                <w:b/>
                <w:bCs/>
                <w:color w:val="0C0C14"/>
                <w:sz w:val="22"/>
                <w:szCs w:val="22"/>
              </w:rPr>
              <w:t>Systemic Barriers</w:t>
            </w:r>
          </w:p>
        </w:tc>
      </w:tr>
      <w:tr w:rsidR="28C50471" w:rsidTr="21EEA1D5" w14:paraId="0E6BF2A0" w14:textId="77777777">
        <w:trPr>
          <w:trHeight w:val="300"/>
        </w:trPr>
        <w:tc>
          <w:tcPr>
            <w:tcW w:w="1155" w:type="dxa"/>
          </w:tcPr>
          <w:p w:rsidR="28C50471" w:rsidP="21EEA1D5" w:rsidRDefault="1ABB65EB" w14:paraId="3E9EE9DC" w14:textId="746C761B">
            <w:pPr>
              <w:rPr>
                <w:rFonts w:ascii="Arial" w:hAnsi="Arial" w:eastAsia="Arial" w:cs="Arial"/>
                <w:b/>
                <w:bCs/>
                <w:color w:val="0C0C14"/>
                <w:sz w:val="22"/>
                <w:szCs w:val="22"/>
              </w:rPr>
            </w:pPr>
            <w:r w:rsidRPr="21EEA1D5">
              <w:rPr>
                <w:rFonts w:ascii="Arial" w:hAnsi="Arial" w:eastAsia="Arial" w:cs="Arial"/>
                <w:b/>
                <w:bCs/>
                <w:color w:val="0C0C14"/>
                <w:sz w:val="22"/>
                <w:szCs w:val="22"/>
              </w:rPr>
              <w:t>Bickerdike et al. (2017)</w:t>
            </w:r>
          </w:p>
          <w:p w:rsidR="28C50471" w:rsidP="21EEA1D5" w:rsidRDefault="28C50471" w14:paraId="75E3A8AE" w14:textId="20221F3E">
            <w:pPr>
              <w:rPr>
                <w:rFonts w:ascii="Arial" w:hAnsi="Arial" w:eastAsia="Arial" w:cs="Arial"/>
                <w:b/>
                <w:bCs/>
                <w:color w:val="0C0C14"/>
                <w:sz w:val="22"/>
                <w:szCs w:val="22"/>
              </w:rPr>
            </w:pPr>
          </w:p>
        </w:tc>
        <w:tc>
          <w:tcPr>
            <w:tcW w:w="1500" w:type="dxa"/>
          </w:tcPr>
          <w:p w:rsidR="28C50471" w:rsidP="21EEA1D5" w:rsidRDefault="690447AF" w14:paraId="7E656817" w14:textId="77FF9258">
            <w:r w:rsidRPr="21EEA1D5">
              <w:rPr>
                <w:rFonts w:ascii="system-ui" w:hAnsi="system-ui" w:eastAsia="system-ui" w:cs="system-ui"/>
                <w:i/>
                <w:iCs/>
                <w:color w:val="0C0C14"/>
                <w:sz w:val="21"/>
                <w:szCs w:val="21"/>
              </w:rPr>
              <w:t>✓</w:t>
            </w:r>
          </w:p>
        </w:tc>
        <w:tc>
          <w:tcPr>
            <w:tcW w:w="1712" w:type="dxa"/>
          </w:tcPr>
          <w:p w:rsidR="28C50471" w:rsidP="21EEA1D5" w:rsidRDefault="28C50471" w14:paraId="52A089B2" w14:textId="038D4638">
            <w:pPr>
              <w:rPr>
                <w:rFonts w:ascii="Arial" w:hAnsi="Arial" w:eastAsia="Arial" w:cs="Arial"/>
                <w:color w:val="0C0C14"/>
                <w:sz w:val="22"/>
                <w:szCs w:val="22"/>
              </w:rPr>
            </w:pPr>
          </w:p>
        </w:tc>
        <w:tc>
          <w:tcPr>
            <w:tcW w:w="1800" w:type="dxa"/>
          </w:tcPr>
          <w:p w:rsidR="28C50471" w:rsidP="21EEA1D5" w:rsidRDefault="690447AF" w14:paraId="242C092A" w14:textId="0076AEB4">
            <w:r w:rsidRPr="21EEA1D5">
              <w:rPr>
                <w:rFonts w:ascii="system-ui" w:hAnsi="system-ui" w:eastAsia="system-ui" w:cs="system-ui"/>
                <w:i/>
                <w:iCs/>
                <w:color w:val="0C0C14"/>
                <w:sz w:val="21"/>
                <w:szCs w:val="21"/>
              </w:rPr>
              <w:t>✓</w:t>
            </w:r>
          </w:p>
        </w:tc>
        <w:tc>
          <w:tcPr>
            <w:tcW w:w="1711" w:type="dxa"/>
          </w:tcPr>
          <w:p w:rsidR="21EEA1D5" w:rsidP="21EEA1D5" w:rsidRDefault="21EEA1D5" w14:paraId="178AF328" w14:textId="4D8E62AA">
            <w:pPr>
              <w:rPr>
                <w:rFonts w:ascii="Arial" w:hAnsi="Arial" w:eastAsia="Arial" w:cs="Arial"/>
                <w:color w:val="0C0C14"/>
                <w:sz w:val="22"/>
                <w:szCs w:val="22"/>
              </w:rPr>
            </w:pPr>
          </w:p>
        </w:tc>
        <w:tc>
          <w:tcPr>
            <w:tcW w:w="2205" w:type="dxa"/>
          </w:tcPr>
          <w:p w:rsidR="690447AF" w:rsidP="21EEA1D5" w:rsidRDefault="690447AF" w14:paraId="35944BD7" w14:textId="6021A7AD">
            <w:r w:rsidRPr="21EEA1D5">
              <w:rPr>
                <w:rFonts w:ascii="system-ui" w:hAnsi="system-ui" w:eastAsia="system-ui" w:cs="system-ui"/>
                <w:i/>
                <w:iCs/>
                <w:color w:val="0C0C14"/>
                <w:sz w:val="21"/>
                <w:szCs w:val="21"/>
              </w:rPr>
              <w:t>✓</w:t>
            </w:r>
          </w:p>
        </w:tc>
      </w:tr>
      <w:tr w:rsidR="28C50471" w:rsidTr="21EEA1D5" w14:paraId="3C650108" w14:textId="77777777">
        <w:trPr>
          <w:trHeight w:val="300"/>
        </w:trPr>
        <w:tc>
          <w:tcPr>
            <w:tcW w:w="1155" w:type="dxa"/>
          </w:tcPr>
          <w:p w:rsidR="28C50471" w:rsidP="21EEA1D5" w:rsidRDefault="1ABB65EB" w14:paraId="233449C4" w14:textId="6D72D662">
            <w:pPr>
              <w:rPr>
                <w:rFonts w:ascii="Arial" w:hAnsi="Arial" w:eastAsia="Arial" w:cs="Arial"/>
                <w:b/>
                <w:bCs/>
                <w:color w:val="0C0C14"/>
                <w:sz w:val="22"/>
                <w:szCs w:val="22"/>
              </w:rPr>
            </w:pPr>
            <w:r w:rsidRPr="21EEA1D5">
              <w:rPr>
                <w:rFonts w:ascii="Arial" w:hAnsi="Arial" w:eastAsia="Arial" w:cs="Arial"/>
                <w:b/>
                <w:bCs/>
                <w:color w:val="0C0C14"/>
                <w:sz w:val="22"/>
                <w:szCs w:val="22"/>
              </w:rPr>
              <w:t>Fancourt and Finn (2019)</w:t>
            </w:r>
          </w:p>
          <w:p w:rsidR="28C50471" w:rsidP="21EEA1D5" w:rsidRDefault="28C50471" w14:paraId="713D6DF0" w14:textId="38FA6BE4">
            <w:pPr>
              <w:rPr>
                <w:rFonts w:ascii="Arial" w:hAnsi="Arial" w:eastAsia="Arial" w:cs="Arial"/>
                <w:b/>
                <w:bCs/>
                <w:color w:val="0C0C14"/>
                <w:sz w:val="22"/>
                <w:szCs w:val="22"/>
              </w:rPr>
            </w:pPr>
          </w:p>
        </w:tc>
        <w:tc>
          <w:tcPr>
            <w:tcW w:w="1500" w:type="dxa"/>
          </w:tcPr>
          <w:p w:rsidR="28C50471" w:rsidP="21EEA1D5" w:rsidRDefault="28C50471" w14:paraId="2940E3BD" w14:textId="477001B0">
            <w:pPr>
              <w:rPr>
                <w:rFonts w:ascii="Arial" w:hAnsi="Arial" w:eastAsia="Arial" w:cs="Arial"/>
                <w:color w:val="0C0C14"/>
                <w:sz w:val="22"/>
                <w:szCs w:val="22"/>
              </w:rPr>
            </w:pPr>
          </w:p>
        </w:tc>
        <w:tc>
          <w:tcPr>
            <w:tcW w:w="1712" w:type="dxa"/>
          </w:tcPr>
          <w:p w:rsidR="28C50471" w:rsidP="21EEA1D5" w:rsidRDefault="28C50471" w14:paraId="5FFF35AB" w14:textId="31A8AB72">
            <w:pPr>
              <w:rPr>
                <w:rFonts w:ascii="Arial" w:hAnsi="Arial" w:eastAsia="Arial" w:cs="Arial"/>
                <w:color w:val="0C0C14"/>
                <w:sz w:val="22"/>
                <w:szCs w:val="22"/>
              </w:rPr>
            </w:pPr>
          </w:p>
        </w:tc>
        <w:tc>
          <w:tcPr>
            <w:tcW w:w="1800" w:type="dxa"/>
          </w:tcPr>
          <w:p w:rsidR="28C50471" w:rsidP="21EEA1D5" w:rsidRDefault="028BE27B" w14:paraId="3F02EA27" w14:textId="4CD52D0A">
            <w:r w:rsidRPr="21EEA1D5">
              <w:rPr>
                <w:rFonts w:ascii="system-ui" w:hAnsi="system-ui" w:eastAsia="system-ui" w:cs="system-ui"/>
                <w:i/>
                <w:iCs/>
                <w:color w:val="0C0C14"/>
                <w:sz w:val="21"/>
                <w:szCs w:val="21"/>
              </w:rPr>
              <w:t>✓</w:t>
            </w:r>
          </w:p>
        </w:tc>
        <w:tc>
          <w:tcPr>
            <w:tcW w:w="1711" w:type="dxa"/>
          </w:tcPr>
          <w:p w:rsidR="21EEA1D5" w:rsidP="21EEA1D5" w:rsidRDefault="21EEA1D5" w14:paraId="718AE7E6" w14:textId="3A1713FE">
            <w:pPr>
              <w:rPr>
                <w:rFonts w:ascii="Arial" w:hAnsi="Arial" w:eastAsia="Arial" w:cs="Arial"/>
                <w:color w:val="0C0C14"/>
                <w:sz w:val="22"/>
                <w:szCs w:val="22"/>
              </w:rPr>
            </w:pPr>
          </w:p>
        </w:tc>
        <w:tc>
          <w:tcPr>
            <w:tcW w:w="2205" w:type="dxa"/>
          </w:tcPr>
          <w:p w:rsidR="21EEA1D5" w:rsidP="21EEA1D5" w:rsidRDefault="21EEA1D5" w14:paraId="4147A04F" w14:textId="54D77DCB">
            <w:pPr>
              <w:rPr>
                <w:rFonts w:ascii="Arial" w:hAnsi="Arial" w:eastAsia="Arial" w:cs="Arial"/>
                <w:color w:val="0C0C14"/>
                <w:sz w:val="22"/>
                <w:szCs w:val="22"/>
              </w:rPr>
            </w:pPr>
          </w:p>
        </w:tc>
      </w:tr>
      <w:tr w:rsidR="28C50471" w:rsidTr="21EEA1D5" w14:paraId="27536FFB" w14:textId="77777777">
        <w:trPr>
          <w:trHeight w:val="300"/>
        </w:trPr>
        <w:tc>
          <w:tcPr>
            <w:tcW w:w="1155" w:type="dxa"/>
          </w:tcPr>
          <w:p w:rsidR="28C50471" w:rsidP="21EEA1D5" w:rsidRDefault="1ABB65EB" w14:paraId="6A1F489C" w14:textId="3E3037D7">
            <w:pPr>
              <w:rPr>
                <w:rFonts w:ascii="Arial" w:hAnsi="Arial" w:eastAsia="Arial" w:cs="Arial"/>
                <w:b/>
                <w:bCs/>
                <w:color w:val="0C0C14"/>
                <w:sz w:val="22"/>
                <w:szCs w:val="22"/>
              </w:rPr>
            </w:pPr>
            <w:r w:rsidRPr="21EEA1D5">
              <w:rPr>
                <w:rFonts w:ascii="Arial" w:hAnsi="Arial" w:eastAsia="Arial" w:cs="Arial"/>
                <w:b/>
                <w:bCs/>
                <w:color w:val="0C0C14"/>
                <w:sz w:val="22"/>
                <w:szCs w:val="22"/>
              </w:rPr>
              <w:t>Cattan et al. (2020)</w:t>
            </w:r>
          </w:p>
          <w:p w:rsidR="28C50471" w:rsidP="21EEA1D5" w:rsidRDefault="28C50471" w14:paraId="2071762F" w14:textId="0594A9B5">
            <w:pPr>
              <w:rPr>
                <w:rFonts w:ascii="Arial" w:hAnsi="Arial" w:eastAsia="Arial" w:cs="Arial"/>
                <w:b/>
                <w:bCs/>
                <w:color w:val="0C0C14"/>
                <w:sz w:val="22"/>
                <w:szCs w:val="22"/>
              </w:rPr>
            </w:pPr>
          </w:p>
        </w:tc>
        <w:tc>
          <w:tcPr>
            <w:tcW w:w="1500" w:type="dxa"/>
          </w:tcPr>
          <w:p w:rsidR="28C50471" w:rsidP="21EEA1D5" w:rsidRDefault="28C50471" w14:paraId="5541DACE" w14:textId="03FE94B0">
            <w:pPr>
              <w:rPr>
                <w:rFonts w:ascii="Arial" w:hAnsi="Arial" w:eastAsia="Arial" w:cs="Arial"/>
                <w:color w:val="0C0C14"/>
                <w:sz w:val="22"/>
                <w:szCs w:val="22"/>
              </w:rPr>
            </w:pPr>
          </w:p>
        </w:tc>
        <w:tc>
          <w:tcPr>
            <w:tcW w:w="1712" w:type="dxa"/>
          </w:tcPr>
          <w:p w:rsidR="28C50471" w:rsidP="21EEA1D5" w:rsidRDefault="28C50471" w14:paraId="4E77E620" w14:textId="07A1B144">
            <w:pPr>
              <w:rPr>
                <w:rFonts w:ascii="Arial" w:hAnsi="Arial" w:eastAsia="Arial" w:cs="Arial"/>
                <w:color w:val="0C0C14"/>
                <w:sz w:val="22"/>
                <w:szCs w:val="22"/>
              </w:rPr>
            </w:pPr>
          </w:p>
        </w:tc>
        <w:tc>
          <w:tcPr>
            <w:tcW w:w="1800" w:type="dxa"/>
          </w:tcPr>
          <w:p w:rsidR="28C50471" w:rsidP="21EEA1D5" w:rsidRDefault="362597DE" w14:paraId="4D638A27" w14:textId="26C0240F">
            <w:r w:rsidRPr="21EEA1D5">
              <w:rPr>
                <w:rFonts w:ascii="system-ui" w:hAnsi="system-ui" w:eastAsia="system-ui" w:cs="system-ui"/>
                <w:i/>
                <w:iCs/>
                <w:color w:val="0C0C14"/>
                <w:sz w:val="21"/>
                <w:szCs w:val="21"/>
              </w:rPr>
              <w:t>✓</w:t>
            </w:r>
          </w:p>
        </w:tc>
        <w:tc>
          <w:tcPr>
            <w:tcW w:w="1711" w:type="dxa"/>
          </w:tcPr>
          <w:p w:rsidR="21EEA1D5" w:rsidP="21EEA1D5" w:rsidRDefault="21EEA1D5" w14:paraId="286D0650" w14:textId="787B68CC">
            <w:pPr>
              <w:rPr>
                <w:rFonts w:ascii="Arial" w:hAnsi="Arial" w:eastAsia="Arial" w:cs="Arial"/>
                <w:color w:val="0C0C14"/>
                <w:sz w:val="22"/>
                <w:szCs w:val="22"/>
              </w:rPr>
            </w:pPr>
          </w:p>
        </w:tc>
        <w:tc>
          <w:tcPr>
            <w:tcW w:w="2205" w:type="dxa"/>
          </w:tcPr>
          <w:p w:rsidR="21EEA1D5" w:rsidP="21EEA1D5" w:rsidRDefault="21EEA1D5" w14:paraId="04AD2B59" w14:textId="0F7DCCD0">
            <w:pPr>
              <w:rPr>
                <w:rFonts w:ascii="Arial" w:hAnsi="Arial" w:eastAsia="Arial" w:cs="Arial"/>
                <w:color w:val="0C0C14"/>
                <w:sz w:val="22"/>
                <w:szCs w:val="22"/>
              </w:rPr>
            </w:pPr>
          </w:p>
        </w:tc>
      </w:tr>
      <w:tr w:rsidR="28C50471" w:rsidTr="21EEA1D5" w14:paraId="2F630E75" w14:textId="77777777">
        <w:trPr>
          <w:trHeight w:val="300"/>
        </w:trPr>
        <w:tc>
          <w:tcPr>
            <w:tcW w:w="1155" w:type="dxa"/>
          </w:tcPr>
          <w:p w:rsidR="28C50471" w:rsidP="21EEA1D5" w:rsidRDefault="1ABB65EB" w14:paraId="0894757F" w14:textId="15465363">
            <w:pPr>
              <w:rPr>
                <w:rFonts w:ascii="Arial" w:hAnsi="Arial" w:eastAsia="Arial" w:cs="Arial"/>
                <w:b/>
                <w:bCs/>
                <w:color w:val="0C0C14"/>
                <w:sz w:val="22"/>
                <w:szCs w:val="22"/>
              </w:rPr>
            </w:pPr>
            <w:r w:rsidRPr="21EEA1D5">
              <w:rPr>
                <w:rFonts w:ascii="Arial" w:hAnsi="Arial" w:eastAsia="Arial" w:cs="Arial"/>
                <w:b/>
                <w:bCs/>
                <w:color w:val="0C0C14"/>
                <w:sz w:val="22"/>
                <w:szCs w:val="22"/>
              </w:rPr>
              <w:t>Altschul et al. (2020)</w:t>
            </w:r>
          </w:p>
          <w:p w:rsidR="28C50471" w:rsidP="21EEA1D5" w:rsidRDefault="28C50471" w14:paraId="570B5508" w14:textId="13F21C24">
            <w:pPr>
              <w:rPr>
                <w:rFonts w:ascii="Arial" w:hAnsi="Arial" w:eastAsia="Arial" w:cs="Arial"/>
                <w:b/>
                <w:bCs/>
                <w:color w:val="0C0C14"/>
                <w:sz w:val="22"/>
                <w:szCs w:val="22"/>
              </w:rPr>
            </w:pPr>
          </w:p>
        </w:tc>
        <w:tc>
          <w:tcPr>
            <w:tcW w:w="1500" w:type="dxa"/>
          </w:tcPr>
          <w:p w:rsidR="28C50471" w:rsidP="21EEA1D5" w:rsidRDefault="63419CC2" w14:paraId="054C5003" w14:textId="71E310E9">
            <w:r w:rsidRPr="21EEA1D5">
              <w:rPr>
                <w:rFonts w:ascii="system-ui" w:hAnsi="system-ui" w:eastAsia="system-ui" w:cs="system-ui"/>
                <w:i/>
                <w:iCs/>
                <w:color w:val="0C0C14"/>
                <w:sz w:val="21"/>
                <w:szCs w:val="21"/>
              </w:rPr>
              <w:t>✓</w:t>
            </w:r>
          </w:p>
        </w:tc>
        <w:tc>
          <w:tcPr>
            <w:tcW w:w="1712" w:type="dxa"/>
          </w:tcPr>
          <w:p w:rsidR="28C50471" w:rsidP="21EEA1D5" w:rsidRDefault="63419CC2" w14:paraId="2CE32AEC" w14:textId="327438C8">
            <w:r w:rsidRPr="21EEA1D5">
              <w:rPr>
                <w:rFonts w:ascii="system-ui" w:hAnsi="system-ui" w:eastAsia="system-ui" w:cs="system-ui"/>
                <w:i/>
                <w:iCs/>
                <w:color w:val="0C0C14"/>
                <w:sz w:val="21"/>
                <w:szCs w:val="21"/>
              </w:rPr>
              <w:t>✓</w:t>
            </w:r>
          </w:p>
        </w:tc>
        <w:tc>
          <w:tcPr>
            <w:tcW w:w="1800" w:type="dxa"/>
          </w:tcPr>
          <w:p w:rsidR="28C50471" w:rsidP="21EEA1D5" w:rsidRDefault="28C50471" w14:paraId="404D50E1" w14:textId="70366F41">
            <w:pPr>
              <w:rPr>
                <w:rFonts w:ascii="Arial" w:hAnsi="Arial" w:eastAsia="Arial" w:cs="Arial"/>
                <w:color w:val="0C0C14"/>
                <w:sz w:val="22"/>
                <w:szCs w:val="22"/>
              </w:rPr>
            </w:pPr>
          </w:p>
        </w:tc>
        <w:tc>
          <w:tcPr>
            <w:tcW w:w="1711" w:type="dxa"/>
          </w:tcPr>
          <w:p w:rsidR="21EEA1D5" w:rsidP="21EEA1D5" w:rsidRDefault="21EEA1D5" w14:paraId="327607E6" w14:textId="281060A7">
            <w:pPr>
              <w:rPr>
                <w:rFonts w:ascii="Arial" w:hAnsi="Arial" w:eastAsia="Arial" w:cs="Arial"/>
                <w:color w:val="0C0C14"/>
                <w:sz w:val="22"/>
                <w:szCs w:val="22"/>
              </w:rPr>
            </w:pPr>
          </w:p>
        </w:tc>
        <w:tc>
          <w:tcPr>
            <w:tcW w:w="2205" w:type="dxa"/>
          </w:tcPr>
          <w:p w:rsidR="21EEA1D5" w:rsidP="21EEA1D5" w:rsidRDefault="21EEA1D5" w14:paraId="6D28215B" w14:textId="6763142A">
            <w:pPr>
              <w:rPr>
                <w:rFonts w:ascii="Arial" w:hAnsi="Arial" w:eastAsia="Arial" w:cs="Arial"/>
                <w:color w:val="0C0C14"/>
                <w:sz w:val="22"/>
                <w:szCs w:val="22"/>
              </w:rPr>
            </w:pPr>
          </w:p>
        </w:tc>
      </w:tr>
      <w:tr w:rsidR="28C50471" w:rsidTr="21EEA1D5" w14:paraId="6DBEC3B3" w14:textId="77777777">
        <w:trPr>
          <w:trHeight w:val="300"/>
        </w:trPr>
        <w:tc>
          <w:tcPr>
            <w:tcW w:w="1155" w:type="dxa"/>
          </w:tcPr>
          <w:p w:rsidR="28C50471" w:rsidP="21EEA1D5" w:rsidRDefault="1ABB65EB" w14:paraId="09A774B4" w14:textId="1E61FCC6">
            <w:pPr>
              <w:rPr>
                <w:rFonts w:ascii="Arial" w:hAnsi="Arial" w:eastAsia="Arial" w:cs="Arial"/>
                <w:b/>
                <w:bCs/>
                <w:color w:val="0C0C14"/>
                <w:sz w:val="22"/>
                <w:szCs w:val="22"/>
              </w:rPr>
            </w:pPr>
            <w:r w:rsidRPr="21EEA1D5">
              <w:rPr>
                <w:rFonts w:ascii="Arial" w:hAnsi="Arial" w:eastAsia="Arial" w:cs="Arial"/>
                <w:b/>
                <w:bCs/>
                <w:color w:val="0C0C14"/>
                <w:sz w:val="22"/>
                <w:szCs w:val="22"/>
              </w:rPr>
              <w:t>Shaw and McCabe (2021)</w:t>
            </w:r>
          </w:p>
          <w:p w:rsidR="28C50471" w:rsidP="21EEA1D5" w:rsidRDefault="28C50471" w14:paraId="51797992" w14:textId="0907D348">
            <w:pPr>
              <w:rPr>
                <w:rFonts w:ascii="Arial" w:hAnsi="Arial" w:eastAsia="Arial" w:cs="Arial"/>
                <w:b/>
                <w:bCs/>
                <w:color w:val="0C0C14"/>
                <w:sz w:val="22"/>
                <w:szCs w:val="22"/>
              </w:rPr>
            </w:pPr>
          </w:p>
        </w:tc>
        <w:tc>
          <w:tcPr>
            <w:tcW w:w="1500" w:type="dxa"/>
          </w:tcPr>
          <w:p w:rsidR="28C50471" w:rsidP="21EEA1D5" w:rsidRDefault="28C50471" w14:paraId="38E99DC5" w14:textId="3A2AE369">
            <w:pPr>
              <w:rPr>
                <w:rFonts w:ascii="Arial" w:hAnsi="Arial" w:eastAsia="Arial" w:cs="Arial"/>
                <w:color w:val="0C0C14"/>
                <w:sz w:val="22"/>
                <w:szCs w:val="22"/>
              </w:rPr>
            </w:pPr>
          </w:p>
        </w:tc>
        <w:tc>
          <w:tcPr>
            <w:tcW w:w="1712" w:type="dxa"/>
          </w:tcPr>
          <w:p w:rsidR="28C50471" w:rsidP="21EEA1D5" w:rsidRDefault="28C50471" w14:paraId="7615AC42" w14:textId="2D6ACA5B">
            <w:pPr>
              <w:rPr>
                <w:rFonts w:ascii="Arial" w:hAnsi="Arial" w:eastAsia="Arial" w:cs="Arial"/>
                <w:color w:val="0C0C14"/>
                <w:sz w:val="22"/>
                <w:szCs w:val="22"/>
              </w:rPr>
            </w:pPr>
          </w:p>
        </w:tc>
        <w:tc>
          <w:tcPr>
            <w:tcW w:w="1800" w:type="dxa"/>
          </w:tcPr>
          <w:p w:rsidR="21EEA1D5" w:rsidP="21EEA1D5" w:rsidRDefault="21EEA1D5" w14:paraId="13B99B95" w14:textId="521246A7">
            <w:r w:rsidRPr="21EEA1D5">
              <w:rPr>
                <w:rFonts w:ascii="system-ui" w:hAnsi="system-ui" w:eastAsia="system-ui" w:cs="system-ui"/>
                <w:i/>
                <w:iCs/>
                <w:color w:val="0C0C14"/>
                <w:sz w:val="21"/>
                <w:szCs w:val="21"/>
              </w:rPr>
              <w:t>✓</w:t>
            </w:r>
          </w:p>
        </w:tc>
        <w:tc>
          <w:tcPr>
            <w:tcW w:w="1711" w:type="dxa"/>
          </w:tcPr>
          <w:p w:rsidR="21EEA1D5" w:rsidP="21EEA1D5" w:rsidRDefault="21EEA1D5" w14:paraId="372DCE83" w14:textId="7A93AD5C">
            <w:r w:rsidRPr="21EEA1D5">
              <w:rPr>
                <w:rFonts w:ascii="system-ui" w:hAnsi="system-ui" w:eastAsia="system-ui" w:cs="system-ui"/>
                <w:i/>
                <w:iCs/>
                <w:color w:val="0C0C14"/>
                <w:sz w:val="21"/>
                <w:szCs w:val="21"/>
              </w:rPr>
              <w:t>✓</w:t>
            </w:r>
          </w:p>
        </w:tc>
        <w:tc>
          <w:tcPr>
            <w:tcW w:w="2205" w:type="dxa"/>
          </w:tcPr>
          <w:p w:rsidR="21EEA1D5" w:rsidP="21EEA1D5" w:rsidRDefault="21EEA1D5" w14:paraId="0350961D" w14:textId="7DD80E51">
            <w:r w:rsidRPr="21EEA1D5">
              <w:rPr>
                <w:rFonts w:ascii="system-ui" w:hAnsi="system-ui" w:eastAsia="system-ui" w:cs="system-ui"/>
                <w:i/>
                <w:iCs/>
                <w:color w:val="0C0C14"/>
                <w:sz w:val="21"/>
                <w:szCs w:val="21"/>
              </w:rPr>
              <w:t>✓</w:t>
            </w:r>
          </w:p>
        </w:tc>
      </w:tr>
      <w:tr w:rsidR="21EEA1D5" w:rsidTr="21EEA1D5" w14:paraId="4D16F2AA" w14:textId="77777777">
        <w:trPr>
          <w:trHeight w:val="300"/>
        </w:trPr>
        <w:tc>
          <w:tcPr>
            <w:tcW w:w="1155" w:type="dxa"/>
          </w:tcPr>
          <w:p w:rsidR="1ABB65EB" w:rsidP="21EEA1D5" w:rsidRDefault="1ABB65EB" w14:paraId="25B871C3" w14:textId="1035FCFC">
            <w:pPr>
              <w:rPr>
                <w:rFonts w:ascii="Arial" w:hAnsi="Arial" w:eastAsia="Arial" w:cs="Arial"/>
                <w:b/>
                <w:bCs/>
                <w:color w:val="0C0C14"/>
                <w:sz w:val="22"/>
                <w:szCs w:val="22"/>
              </w:rPr>
            </w:pPr>
            <w:r w:rsidRPr="21EEA1D5">
              <w:rPr>
                <w:rFonts w:ascii="Arial" w:hAnsi="Arial" w:eastAsia="Arial" w:cs="Arial"/>
                <w:b/>
                <w:bCs/>
                <w:color w:val="0C0C14"/>
                <w:sz w:val="22"/>
                <w:szCs w:val="22"/>
              </w:rPr>
              <w:t>Marmot et al. (2021)</w:t>
            </w:r>
          </w:p>
          <w:p w:rsidR="21EEA1D5" w:rsidP="21EEA1D5" w:rsidRDefault="21EEA1D5" w14:paraId="05E99BE0" w14:textId="58B3FCDA">
            <w:pPr>
              <w:rPr>
                <w:rFonts w:ascii="Arial" w:hAnsi="Arial" w:eastAsia="Arial" w:cs="Arial"/>
                <w:b/>
                <w:bCs/>
                <w:color w:val="0C0C14"/>
                <w:sz w:val="22"/>
                <w:szCs w:val="22"/>
              </w:rPr>
            </w:pPr>
          </w:p>
        </w:tc>
        <w:tc>
          <w:tcPr>
            <w:tcW w:w="1500" w:type="dxa"/>
          </w:tcPr>
          <w:p w:rsidR="21EEA1D5" w:rsidP="21EEA1D5" w:rsidRDefault="21EEA1D5" w14:paraId="147593D5" w14:textId="7F7078C0">
            <w:pPr>
              <w:rPr>
                <w:rFonts w:ascii="Arial" w:hAnsi="Arial" w:eastAsia="Arial" w:cs="Arial"/>
                <w:color w:val="0C0C14"/>
                <w:sz w:val="22"/>
                <w:szCs w:val="22"/>
              </w:rPr>
            </w:pPr>
          </w:p>
        </w:tc>
        <w:tc>
          <w:tcPr>
            <w:tcW w:w="1712" w:type="dxa"/>
          </w:tcPr>
          <w:p w:rsidR="21EEA1D5" w:rsidP="21EEA1D5" w:rsidRDefault="21EEA1D5" w14:paraId="775C975C" w14:textId="742E6A33">
            <w:pPr>
              <w:rPr>
                <w:rFonts w:ascii="Arial" w:hAnsi="Arial" w:eastAsia="Arial" w:cs="Arial"/>
                <w:color w:val="0C0C14"/>
                <w:sz w:val="22"/>
                <w:szCs w:val="22"/>
              </w:rPr>
            </w:pPr>
          </w:p>
        </w:tc>
        <w:tc>
          <w:tcPr>
            <w:tcW w:w="1800" w:type="dxa"/>
          </w:tcPr>
          <w:p w:rsidR="21EEA1D5" w:rsidP="21EEA1D5" w:rsidRDefault="21EEA1D5" w14:paraId="4AC9263A" w14:textId="3814C102">
            <w:pPr>
              <w:rPr>
                <w:rFonts w:ascii="Arial" w:hAnsi="Arial" w:eastAsia="Arial" w:cs="Arial"/>
                <w:color w:val="0C0C14"/>
                <w:sz w:val="22"/>
                <w:szCs w:val="22"/>
              </w:rPr>
            </w:pPr>
          </w:p>
        </w:tc>
        <w:tc>
          <w:tcPr>
            <w:tcW w:w="1711" w:type="dxa"/>
          </w:tcPr>
          <w:p w:rsidR="21EEA1D5" w:rsidP="21EEA1D5" w:rsidRDefault="21EEA1D5" w14:paraId="79C8D98E" w14:textId="273A2529">
            <w:pPr>
              <w:rPr>
                <w:rFonts w:ascii="Arial" w:hAnsi="Arial" w:eastAsia="Arial" w:cs="Arial"/>
                <w:color w:val="0C0C14"/>
                <w:sz w:val="22"/>
                <w:szCs w:val="22"/>
              </w:rPr>
            </w:pPr>
          </w:p>
        </w:tc>
        <w:tc>
          <w:tcPr>
            <w:tcW w:w="2205" w:type="dxa"/>
          </w:tcPr>
          <w:p w:rsidR="1ABB65EB" w:rsidP="21EEA1D5" w:rsidRDefault="1ABB65EB" w14:paraId="00E4FECB" w14:textId="33993304">
            <w:r w:rsidRPr="21EEA1D5">
              <w:rPr>
                <w:rFonts w:ascii="system-ui" w:hAnsi="system-ui" w:eastAsia="system-ui" w:cs="system-ui"/>
                <w:i/>
                <w:iCs/>
                <w:color w:val="0C0C14"/>
                <w:sz w:val="21"/>
                <w:szCs w:val="21"/>
              </w:rPr>
              <w:t>✓</w:t>
            </w:r>
          </w:p>
        </w:tc>
      </w:tr>
    </w:tbl>
    <w:p w:rsidR="28C50471" w:rsidP="21EEA1D5" w:rsidRDefault="27B10F23" w14:paraId="0F2D481B" w14:textId="2A6B2C1B">
      <w:pPr>
        <w:shd w:val="clear" w:color="auto" w:fill="FFFFFF" w:themeFill="background1"/>
        <w:spacing w:line="360" w:lineRule="auto"/>
        <w:jc w:val="both"/>
        <w:rPr>
          <w:rFonts w:ascii="Arial" w:hAnsi="Arial" w:eastAsia="Arial" w:cs="Arial"/>
          <w:color w:val="24292E"/>
          <w:sz w:val="22"/>
          <w:szCs w:val="22"/>
        </w:rPr>
      </w:pPr>
      <w:r w:rsidRPr="21EEA1D5">
        <w:rPr>
          <w:rFonts w:ascii="Arial" w:hAnsi="Arial" w:eastAsia="Arial" w:cs="Arial"/>
          <w:color w:val="24292E"/>
          <w:sz w:val="22"/>
          <w:szCs w:val="22"/>
        </w:rPr>
        <w:t>✓ = Theme addressed/notable in this study</w:t>
      </w:r>
    </w:p>
    <w:p w:rsidR="3BE15881" w:rsidP="21EEA1D5" w:rsidRDefault="3BE15881" w14:paraId="0AEE0903" w14:textId="255C8439">
      <w:pPr>
        <w:spacing w:line="360" w:lineRule="auto"/>
        <w:jc w:val="both"/>
        <w:rPr>
          <w:rFonts w:ascii="Arial" w:hAnsi="Arial" w:eastAsia="Arial" w:cs="Arial"/>
          <w:color w:val="24292E"/>
          <w:sz w:val="22"/>
          <w:szCs w:val="22"/>
        </w:rPr>
      </w:pPr>
      <w:r w:rsidRPr="36A6E8A7" w:rsidR="3BE15881">
        <w:rPr>
          <w:rFonts w:ascii="Arial" w:hAnsi="Arial" w:eastAsia="Arial" w:cs="Arial"/>
          <w:b w:val="1"/>
          <w:bCs w:val="1"/>
          <w:color w:val="24292E"/>
          <w:sz w:val="22"/>
          <w:szCs w:val="22"/>
        </w:rPr>
        <w:t xml:space="preserve">Key Themes Identified </w:t>
      </w:r>
      <w:r w:rsidRPr="36A6E8A7" w:rsidR="3BE15881">
        <w:rPr>
          <w:rFonts w:ascii="Arial" w:hAnsi="Arial" w:eastAsia="Arial" w:cs="Arial"/>
          <w:color w:val="24292E"/>
          <w:sz w:val="22"/>
          <w:szCs w:val="22"/>
        </w:rPr>
        <w:t>The five themes emerging from the analysis were: (1) conceptual definition and health impacts of loneliness, (2) prevalence patterns and demographic vulnerability, (3) mechanisms of intervention effectiveness, (4) variations across population subgroups, and (5) systemic barriers to sustainable implementation. These themes will be discussed in detail below, with each theme comparing findings from the six key intervention studies included in this scoping review.</w:t>
      </w:r>
    </w:p>
    <w:p w:rsidR="4B48859D" w:rsidP="28C50471" w:rsidRDefault="355E5F02" w14:paraId="0E54AB85" w14:textId="1D5ED6A3">
      <w:pPr>
        <w:pStyle w:val="Heading3"/>
        <w:spacing w:before="0" w:after="0" w:line="360" w:lineRule="auto"/>
        <w:jc w:val="both"/>
        <w:rPr>
          <w:rFonts w:ascii="Arial" w:hAnsi="Arial" w:eastAsia="Arial" w:cs="Arial"/>
          <w:b w:val="1"/>
          <w:bCs w:val="1"/>
          <w:color w:val="24292E"/>
          <w:sz w:val="22"/>
          <w:szCs w:val="22"/>
        </w:rPr>
      </w:pPr>
      <w:bookmarkStart w:name="_Toc1263781556" w:id="338778952"/>
      <w:r w:rsidRPr="36A6E8A7" w:rsidR="355E5F02">
        <w:rPr>
          <w:rFonts w:ascii="Arial" w:hAnsi="Arial" w:eastAsia="Arial" w:cs="Arial"/>
          <w:b w:val="1"/>
          <w:bCs w:val="1"/>
          <w:color w:val="24292E"/>
          <w:sz w:val="22"/>
          <w:szCs w:val="22"/>
        </w:rPr>
        <w:t>Discussion</w:t>
      </w:r>
      <w:bookmarkEnd w:id="338778952"/>
    </w:p>
    <w:p w:rsidR="4B48859D" w:rsidP="21EEA1D5" w:rsidRDefault="355E5F02" w14:paraId="76CF4462" w14:textId="758772C9">
      <w:pPr>
        <w:spacing w:before="150" w:after="150" w:line="360" w:lineRule="auto"/>
        <w:jc w:val="both"/>
        <w:rPr>
          <w:rFonts w:ascii="Arial" w:hAnsi="Arial" w:eastAsia="Arial" w:cs="Arial"/>
          <w:b/>
          <w:bCs/>
          <w:color w:val="24292E"/>
          <w:sz w:val="22"/>
          <w:szCs w:val="22"/>
        </w:rPr>
      </w:pPr>
      <w:r w:rsidRPr="21EEA1D5">
        <w:rPr>
          <w:rFonts w:ascii="Arial" w:hAnsi="Arial" w:eastAsia="Arial" w:cs="Arial"/>
          <w:color w:val="24292E"/>
          <w:sz w:val="22"/>
          <w:szCs w:val="22"/>
        </w:rPr>
        <w:t xml:space="preserve"> </w:t>
      </w:r>
      <w:r w:rsidRPr="21EEA1D5" w:rsidR="18A510BB">
        <w:rPr>
          <w:rFonts w:ascii="Arial" w:hAnsi="Arial" w:eastAsia="Arial" w:cs="Arial"/>
          <w:b/>
          <w:bCs/>
          <w:color w:val="24292E"/>
          <w:sz w:val="22"/>
          <w:szCs w:val="22"/>
        </w:rPr>
        <w:t>Critical Appraisal of Included Studies</w:t>
      </w:r>
    </w:p>
    <w:p w:rsidR="4B48859D" w:rsidP="21EEA1D5" w:rsidRDefault="18A510BB" w14:paraId="34A5D7D8" w14:textId="5E62D874">
      <w:pPr>
        <w:spacing w:before="150" w:after="150" w:line="360" w:lineRule="auto"/>
        <w:jc w:val="both"/>
        <w:rPr>
          <w:rFonts w:ascii="Arial" w:hAnsi="Arial" w:eastAsia="Arial" w:cs="Arial"/>
          <w:color w:val="24292E"/>
          <w:sz w:val="22"/>
          <w:szCs w:val="22"/>
        </w:rPr>
      </w:pPr>
      <w:r w:rsidRPr="36A6E8A7" w:rsidR="18A510BB">
        <w:rPr>
          <w:rFonts w:ascii="Arial" w:hAnsi="Arial" w:eastAsia="Arial" w:cs="Arial"/>
          <w:color w:val="24292E"/>
          <w:sz w:val="22"/>
          <w:szCs w:val="22"/>
        </w:rPr>
        <w:t xml:space="preserve">Understanding the methodological rigour of included studies is essential for interpreting findings reliably. This section evaluates the quality of the six key studies in terms of participant </w:t>
      </w:r>
      <w:r w:rsidRPr="36A6E8A7" w:rsidR="18A510BB">
        <w:rPr>
          <w:rFonts w:ascii="Arial" w:hAnsi="Arial" w:eastAsia="Arial" w:cs="Arial"/>
          <w:color w:val="24292E"/>
          <w:sz w:val="22"/>
          <w:szCs w:val="22"/>
        </w:rPr>
        <w:t>selection, methodology, data analysis, and overall contribution to the evidence base. Following Aveyard's (2019) critical appraisal framework, each study is assessed for strengths and limitations before synthesising implications</w:t>
      </w:r>
      <w:r w:rsidRPr="36A6E8A7" w:rsidR="18A510BB">
        <w:rPr>
          <w:rFonts w:ascii="Arial" w:hAnsi="Arial" w:eastAsia="Arial" w:cs="Arial"/>
          <w:color w:val="24292E"/>
          <w:sz w:val="22"/>
          <w:szCs w:val="22"/>
        </w:rPr>
        <w:t>.</w:t>
      </w:r>
    </w:p>
    <w:p w:rsidR="4B48859D" w:rsidP="21EEA1D5" w:rsidRDefault="18A510BB" w14:paraId="3ABC9141" w14:textId="6D2FA799">
      <w:pPr>
        <w:shd w:val="clear" w:color="auto" w:fill="FFFFFF" w:themeFill="background1"/>
        <w:spacing w:before="150" w:after="150" w:line="360" w:lineRule="auto"/>
        <w:jc w:val="both"/>
        <w:rPr>
          <w:rFonts w:ascii="Arial" w:hAnsi="Arial" w:eastAsia="Arial" w:cs="Arial"/>
          <w:color w:val="24292E"/>
          <w:sz w:val="22"/>
          <w:szCs w:val="22"/>
        </w:rPr>
      </w:pPr>
      <w:r w:rsidRPr="36A6E8A7" w:rsidR="18A510BB">
        <w:rPr>
          <w:rFonts w:ascii="Arial" w:hAnsi="Arial" w:eastAsia="Arial" w:cs="Arial"/>
          <w:b w:val="1"/>
          <w:bCs w:val="1"/>
          <w:color w:val="24292E"/>
          <w:sz w:val="22"/>
          <w:szCs w:val="22"/>
        </w:rPr>
        <w:t>Bickerdike et al.</w:t>
      </w:r>
      <w:r w:rsidRPr="36A6E8A7" w:rsidR="00DD2314">
        <w:rPr>
          <w:rFonts w:ascii="Arial" w:hAnsi="Arial" w:eastAsia="Arial" w:cs="Arial"/>
          <w:b w:val="1"/>
          <w:bCs w:val="1"/>
          <w:color w:val="24292E"/>
          <w:sz w:val="22"/>
          <w:szCs w:val="22"/>
        </w:rPr>
        <w:t>,</w:t>
      </w:r>
      <w:r w:rsidRPr="36A6E8A7" w:rsidR="18A510BB">
        <w:rPr>
          <w:rFonts w:ascii="Arial" w:hAnsi="Arial" w:eastAsia="Arial" w:cs="Arial"/>
          <w:b w:val="1"/>
          <w:bCs w:val="1"/>
          <w:color w:val="24292E"/>
          <w:sz w:val="22"/>
          <w:szCs w:val="22"/>
        </w:rPr>
        <w:t xml:space="preserve"> (2017)</w:t>
      </w:r>
      <w:r w:rsidRPr="36A6E8A7" w:rsidR="18A510BB">
        <w:rPr>
          <w:rFonts w:ascii="Arial" w:hAnsi="Arial" w:eastAsia="Arial" w:cs="Arial"/>
          <w:color w:val="24292E"/>
          <w:sz w:val="22"/>
          <w:szCs w:val="22"/>
        </w:rPr>
        <w:t xml:space="preserve"> </w:t>
      </w:r>
      <w:r w:rsidRPr="36A6E8A7" w:rsidR="18A510BB">
        <w:rPr>
          <w:rFonts w:ascii="Arial" w:hAnsi="Arial" w:eastAsia="Arial" w:cs="Arial"/>
          <w:color w:val="24292E"/>
          <w:sz w:val="22"/>
          <w:szCs w:val="22"/>
        </w:rPr>
        <w:t xml:space="preserve">employed a systematic review methodology examining 29 UK-based studies on social prescribing. </w:t>
      </w:r>
      <w:r w:rsidRPr="36A6E8A7" w:rsidR="18A510BB">
        <w:rPr>
          <w:rFonts w:ascii="Arial" w:hAnsi="Arial" w:eastAsia="Arial" w:cs="Arial"/>
          <w:b w:val="1"/>
          <w:bCs w:val="1"/>
          <w:color w:val="24292E"/>
          <w:sz w:val="22"/>
          <w:szCs w:val="22"/>
        </w:rPr>
        <w:t>Strengths:</w:t>
      </w:r>
      <w:r w:rsidRPr="36A6E8A7" w:rsidR="18A510BB">
        <w:rPr>
          <w:rFonts w:ascii="Arial" w:hAnsi="Arial" w:eastAsia="Arial" w:cs="Arial"/>
          <w:color w:val="24292E"/>
          <w:sz w:val="22"/>
          <w:szCs w:val="22"/>
        </w:rPr>
        <w:t xml:space="preserve"> The comprehensive search strategy across multiple databases and clear inclusion criteria enhance reproducibility. The sample represents diverse intervention types (befriending, arts groups, activity clubs), supporting breadth of conclusions regarding implementation success factors. </w:t>
      </w:r>
      <w:r w:rsidRPr="36A6E8A7" w:rsidR="18A510BB">
        <w:rPr>
          <w:rFonts w:ascii="Arial" w:hAnsi="Arial" w:eastAsia="Arial" w:cs="Arial"/>
          <w:b w:val="1"/>
          <w:bCs w:val="1"/>
          <w:color w:val="24292E"/>
          <w:sz w:val="22"/>
          <w:szCs w:val="22"/>
        </w:rPr>
        <w:t>Limitations:</w:t>
      </w:r>
      <w:r w:rsidRPr="36A6E8A7" w:rsidR="18A510BB">
        <w:rPr>
          <w:rFonts w:ascii="Arial" w:hAnsi="Arial" w:eastAsia="Arial" w:cs="Arial"/>
          <w:color w:val="24292E"/>
          <w:sz w:val="22"/>
          <w:szCs w:val="22"/>
        </w:rPr>
        <w:t xml:space="preserve"> Significant heterogeneity between included studies prevents meta-analysis, and no formal quality assessment tool was applied. Additionally, most original studies were cross-sectional or short-term evaluations, limiting causal inference. Most studies lacked follow-up beyond 6 months, raising questions about long-term sustainability. Participant selection varied across studies with potential selection bias favouring those already engaged with community services. </w:t>
      </w:r>
      <w:r w:rsidRPr="36A6E8A7" w:rsidR="18A510BB">
        <w:rPr>
          <w:rFonts w:ascii="Arial" w:hAnsi="Arial" w:eastAsia="Arial" w:cs="Arial"/>
          <w:b w:val="1"/>
          <w:bCs w:val="1"/>
          <w:color w:val="24292E"/>
          <w:sz w:val="22"/>
          <w:szCs w:val="22"/>
        </w:rPr>
        <w:t>Overall Quality Assessment:</w:t>
      </w:r>
      <w:r w:rsidRPr="36A6E8A7" w:rsidR="18A510BB">
        <w:rPr>
          <w:rFonts w:ascii="Arial" w:hAnsi="Arial" w:eastAsia="Arial" w:cs="Arial"/>
          <w:color w:val="24292E"/>
          <w:sz w:val="22"/>
          <w:szCs w:val="22"/>
        </w:rPr>
        <w:t xml:space="preserve"> MODERATE while methodologically sound, the lack of quality grading and reliance on heterogeneous designs reduces confidence in pooled findings. These limitations suggest findings should be interpreted cautiously, particularly regarding claims about sustained effectiveness.</w:t>
      </w:r>
    </w:p>
    <w:p w:rsidR="4B48859D" w:rsidP="21EEA1D5" w:rsidRDefault="18A510BB" w14:paraId="36773C6F" w14:textId="0CDFA3EC">
      <w:pPr>
        <w:shd w:val="clear" w:color="auto" w:fill="FFFFFF" w:themeFill="background1"/>
        <w:spacing w:before="150" w:after="150" w:line="360" w:lineRule="auto"/>
        <w:jc w:val="both"/>
        <w:rPr>
          <w:rFonts w:ascii="Arial" w:hAnsi="Arial" w:eastAsia="Arial" w:cs="Arial"/>
          <w:color w:val="24292E"/>
          <w:sz w:val="22"/>
          <w:szCs w:val="22"/>
        </w:rPr>
      </w:pPr>
      <w:r w:rsidRPr="36A6E8A7" w:rsidR="18A510BB">
        <w:rPr>
          <w:rFonts w:ascii="Arial" w:hAnsi="Arial" w:eastAsia="Arial" w:cs="Arial"/>
          <w:b w:val="1"/>
          <w:bCs w:val="1"/>
          <w:color w:val="24292E"/>
          <w:sz w:val="22"/>
          <w:szCs w:val="22"/>
        </w:rPr>
        <w:t>Fancourt &amp; Finn (2019)</w:t>
      </w:r>
      <w:r w:rsidRPr="36A6E8A7" w:rsidR="18A510BB">
        <w:rPr>
          <w:rFonts w:ascii="Arial" w:hAnsi="Arial" w:eastAsia="Arial" w:cs="Arial"/>
          <w:color w:val="24292E"/>
          <w:sz w:val="22"/>
          <w:szCs w:val="22"/>
        </w:rPr>
        <w:t xml:space="preserve"> </w:t>
      </w:r>
      <w:r w:rsidRPr="36A6E8A7" w:rsidR="18A510BB">
        <w:rPr>
          <w:rFonts w:ascii="Arial" w:hAnsi="Arial" w:eastAsia="Arial" w:cs="Arial"/>
          <w:color w:val="24292E"/>
          <w:sz w:val="22"/>
          <w:szCs w:val="22"/>
        </w:rPr>
        <w:t xml:space="preserve">conducted a WHO-commissioned meta-analysis of creative health interventions. </w:t>
      </w:r>
      <w:r w:rsidRPr="36A6E8A7" w:rsidR="18A510BB">
        <w:rPr>
          <w:rFonts w:ascii="Arial" w:hAnsi="Arial" w:eastAsia="Arial" w:cs="Arial"/>
          <w:b w:val="1"/>
          <w:bCs w:val="1"/>
          <w:color w:val="24292E"/>
          <w:sz w:val="22"/>
          <w:szCs w:val="22"/>
        </w:rPr>
        <w:t>Strengths:</w:t>
      </w:r>
      <w:r w:rsidRPr="36A6E8A7" w:rsidR="18A510BB">
        <w:rPr>
          <w:rFonts w:ascii="Arial" w:hAnsi="Arial" w:eastAsia="Arial" w:cs="Arial"/>
          <w:color w:val="24292E"/>
          <w:sz w:val="22"/>
          <w:szCs w:val="22"/>
        </w:rPr>
        <w:t xml:space="preserve"> Large-scale quantitative data pooling provides measurable impact metrics (up to 25% reduction in loneliness scores). The use of validated scales (e.g., UCLA Loneliness Scale) enhances comparability across studies. Participants reported subjective improvements in feeling "seen" and valued, adding qualitative depth to quantitative findings. </w:t>
      </w:r>
      <w:r w:rsidRPr="36A6E8A7" w:rsidR="18A510BB">
        <w:rPr>
          <w:rFonts w:ascii="Arial" w:hAnsi="Arial" w:eastAsia="Arial" w:cs="Arial"/>
          <w:b w:val="1"/>
          <w:bCs w:val="1"/>
          <w:color w:val="24292E"/>
          <w:sz w:val="22"/>
          <w:szCs w:val="22"/>
        </w:rPr>
        <w:t>Limitations:</w:t>
      </w:r>
      <w:r w:rsidRPr="36A6E8A7" w:rsidR="18A510BB">
        <w:rPr>
          <w:rFonts w:ascii="Arial" w:hAnsi="Arial" w:eastAsia="Arial" w:cs="Arial"/>
          <w:color w:val="24292E"/>
          <w:sz w:val="22"/>
          <w:szCs w:val="22"/>
        </w:rPr>
        <w:t xml:space="preserve"> Source studies used mixed methodologies, limiting pure causal claims. The sample disproportionately represents tech-savvy, middle-class participants, potentially masking exclusion levels for vulnerable groups. Cultural and socioeconomic diversity was limited, reducing generalisability to minority ethnic communities or those facing significant deprivation. Selection bias may favour those with higher baseline wellbeing able to engage in structured activities. </w:t>
      </w:r>
      <w:r w:rsidRPr="36A6E8A7" w:rsidR="18A510BB">
        <w:rPr>
          <w:rFonts w:ascii="Arial" w:hAnsi="Arial" w:eastAsia="Arial" w:cs="Arial"/>
          <w:b w:val="1"/>
          <w:bCs w:val="1"/>
          <w:color w:val="24292E"/>
          <w:sz w:val="22"/>
          <w:szCs w:val="22"/>
        </w:rPr>
        <w:t>Overall Quality Assessment:</w:t>
      </w:r>
      <w:r w:rsidRPr="36A6E8A7" w:rsidR="18A510BB">
        <w:rPr>
          <w:rFonts w:ascii="Arial" w:hAnsi="Arial" w:eastAsia="Arial" w:cs="Arial"/>
          <w:color w:val="24292E"/>
          <w:sz w:val="22"/>
          <w:szCs w:val="22"/>
        </w:rPr>
        <w:t xml:space="preserve"> </w:t>
      </w:r>
      <w:r w:rsidRPr="36A6E8A7" w:rsidR="66DB5ADC">
        <w:rPr>
          <w:rFonts w:ascii="Arial" w:hAnsi="Arial" w:eastAsia="Arial" w:cs="Arial"/>
          <w:color w:val="24292E"/>
          <w:sz w:val="22"/>
          <w:szCs w:val="22"/>
        </w:rPr>
        <w:t>STRONG robust</w:t>
      </w:r>
      <w:r w:rsidRPr="36A6E8A7" w:rsidR="18A510BB">
        <w:rPr>
          <w:rFonts w:ascii="Arial" w:hAnsi="Arial" w:eastAsia="Arial" w:cs="Arial"/>
          <w:color w:val="24292E"/>
          <w:sz w:val="22"/>
          <w:szCs w:val="22"/>
        </w:rPr>
        <w:t xml:space="preserve"> statistical power and standardised measures support findings, though selection bias warrants consideration when applying recommendations across diverse populations.</w:t>
      </w:r>
    </w:p>
    <w:p w:rsidR="4B48859D" w:rsidP="21EEA1D5" w:rsidRDefault="4B48859D" w14:paraId="48869A2D" w14:textId="0E382138">
      <w:pPr>
        <w:shd w:val="clear" w:color="auto" w:fill="FFFFFF" w:themeFill="background1"/>
        <w:spacing w:after="0" w:line="360" w:lineRule="auto"/>
        <w:jc w:val="both"/>
        <w:rPr>
          <w:rFonts w:ascii="Arial" w:hAnsi="Arial" w:eastAsia="Arial" w:cs="Arial"/>
          <w:color w:val="24292E"/>
          <w:sz w:val="22"/>
          <w:szCs w:val="22"/>
        </w:rPr>
      </w:pPr>
    </w:p>
    <w:p w:rsidR="28C50471" w:rsidP="21EEA1D5" w:rsidRDefault="5F5C25CF" w14:paraId="258FF704" w14:textId="128E130D">
      <w:pPr>
        <w:shd w:val="clear" w:color="auto" w:fill="FFFFFF" w:themeFill="background1"/>
        <w:spacing w:before="150" w:after="150" w:line="360" w:lineRule="auto"/>
        <w:jc w:val="both"/>
        <w:rPr>
          <w:rFonts w:ascii="Arial" w:hAnsi="Arial" w:eastAsia="Arial" w:cs="Arial"/>
          <w:color w:val="24292E"/>
          <w:sz w:val="22"/>
          <w:szCs w:val="22"/>
        </w:rPr>
      </w:pPr>
      <w:r w:rsidRPr="36A6E8A7" w:rsidR="5F5C25CF">
        <w:rPr>
          <w:rFonts w:ascii="Arial" w:hAnsi="Arial" w:eastAsia="Arial" w:cs="Arial"/>
          <w:b w:val="1"/>
          <w:bCs w:val="1"/>
          <w:color w:val="24292E"/>
          <w:sz w:val="22"/>
          <w:szCs w:val="22"/>
        </w:rPr>
        <w:t>Cattan et al.</w:t>
      </w:r>
      <w:r w:rsidRPr="36A6E8A7" w:rsidR="00814E4D">
        <w:rPr>
          <w:rFonts w:ascii="Arial" w:hAnsi="Arial" w:eastAsia="Arial" w:cs="Arial"/>
          <w:b w:val="1"/>
          <w:bCs w:val="1"/>
          <w:color w:val="24292E"/>
          <w:sz w:val="22"/>
          <w:szCs w:val="22"/>
        </w:rPr>
        <w:t>,</w:t>
      </w:r>
      <w:r w:rsidRPr="36A6E8A7" w:rsidR="5F5C25CF">
        <w:rPr>
          <w:rFonts w:ascii="Arial" w:hAnsi="Arial" w:eastAsia="Arial" w:cs="Arial"/>
          <w:b w:val="1"/>
          <w:bCs w:val="1"/>
          <w:color w:val="24292E"/>
          <w:sz w:val="22"/>
          <w:szCs w:val="22"/>
        </w:rPr>
        <w:t xml:space="preserve"> (2020)</w:t>
      </w:r>
      <w:r w:rsidRPr="36A6E8A7" w:rsidR="5F5C25CF">
        <w:rPr>
          <w:rFonts w:ascii="Arial" w:hAnsi="Arial" w:eastAsia="Arial" w:cs="Arial"/>
          <w:color w:val="24292E"/>
          <w:sz w:val="22"/>
          <w:szCs w:val="22"/>
        </w:rPr>
        <w:t xml:space="preserve"> conducted a systematic review of 45 international studies examining digital technology impacts on older adult loneliness. </w:t>
      </w:r>
      <w:r w:rsidRPr="36A6E8A7" w:rsidR="5F5C25CF">
        <w:rPr>
          <w:rFonts w:ascii="Arial" w:hAnsi="Arial" w:eastAsia="Arial" w:cs="Arial"/>
          <w:b w:val="1"/>
          <w:bCs w:val="1"/>
          <w:color w:val="24292E"/>
          <w:sz w:val="22"/>
          <w:szCs w:val="22"/>
        </w:rPr>
        <w:t>Strengths:</w:t>
      </w:r>
      <w:r w:rsidRPr="36A6E8A7" w:rsidR="5F5C25CF">
        <w:rPr>
          <w:rFonts w:ascii="Arial" w:hAnsi="Arial" w:eastAsia="Arial" w:cs="Arial"/>
          <w:color w:val="24292E"/>
          <w:sz w:val="22"/>
          <w:szCs w:val="22"/>
        </w:rPr>
        <w:t xml:space="preserve"> Comprehensive identification of the "digital divide" barrier with clear recommendation for hybrid service models. International scope provides comparative insights relevant to UK contexts. Methodology included quality </w:t>
      </w:r>
      <w:r w:rsidRPr="36A6E8A7" w:rsidR="5F5C25CF">
        <w:rPr>
          <w:rFonts w:ascii="Arial" w:hAnsi="Arial" w:eastAsia="Arial" w:cs="Arial"/>
          <w:color w:val="24292E"/>
          <w:sz w:val="22"/>
          <w:szCs w:val="22"/>
        </w:rPr>
        <w:t xml:space="preserve">screening of primary studies. </w:t>
      </w:r>
      <w:r w:rsidRPr="36A6E8A7" w:rsidR="5F5C25CF">
        <w:rPr>
          <w:rFonts w:ascii="Arial" w:hAnsi="Arial" w:eastAsia="Arial" w:cs="Arial"/>
          <w:b w:val="1"/>
          <w:bCs w:val="1"/>
          <w:color w:val="24292E"/>
          <w:sz w:val="22"/>
          <w:szCs w:val="22"/>
        </w:rPr>
        <w:t>Limitations:</w:t>
      </w:r>
      <w:r w:rsidRPr="36A6E8A7" w:rsidR="5F5C25CF">
        <w:rPr>
          <w:rFonts w:ascii="Arial" w:hAnsi="Arial" w:eastAsia="Arial" w:cs="Arial"/>
          <w:color w:val="24292E"/>
          <w:sz w:val="22"/>
          <w:szCs w:val="22"/>
        </w:rPr>
        <w:t xml:space="preserve"> Disproportionate representation of tech-savvy, higher-educated participants masks exclusion levels for those with severe cognitive impairment or low digital literacy. International studies may not translate directly to UK policy contexts due to differing health system structures. Limited exploration of cultural attitudes toward technology acceptance among UK-specific older adult populations. </w:t>
      </w:r>
      <w:r w:rsidRPr="36A6E8A7" w:rsidR="5F5C25CF">
        <w:rPr>
          <w:rFonts w:ascii="Arial" w:hAnsi="Arial" w:eastAsia="Arial" w:cs="Arial"/>
          <w:b w:val="1"/>
          <w:bCs w:val="1"/>
          <w:color w:val="24292E"/>
          <w:sz w:val="22"/>
          <w:szCs w:val="22"/>
        </w:rPr>
        <w:t>Overall Quality Assessment:</w:t>
      </w:r>
      <w:r w:rsidRPr="36A6E8A7" w:rsidR="5F5C25CF">
        <w:rPr>
          <w:rFonts w:ascii="Arial" w:hAnsi="Arial" w:eastAsia="Arial" w:cs="Arial"/>
          <w:color w:val="24292E"/>
          <w:sz w:val="22"/>
          <w:szCs w:val="22"/>
        </w:rPr>
        <w:t xml:space="preserve"> MODERATE-</w:t>
      </w:r>
      <w:r w:rsidRPr="36A6E8A7" w:rsidR="6C9B40BA">
        <w:rPr>
          <w:rFonts w:ascii="Arial" w:hAnsi="Arial" w:eastAsia="Arial" w:cs="Arial"/>
          <w:color w:val="24292E"/>
          <w:sz w:val="22"/>
          <w:szCs w:val="22"/>
        </w:rPr>
        <w:t>STRONG valuable</w:t>
      </w:r>
      <w:r w:rsidRPr="36A6E8A7" w:rsidR="5F5C25CF">
        <w:rPr>
          <w:rFonts w:ascii="Arial" w:hAnsi="Arial" w:eastAsia="Arial" w:cs="Arial"/>
          <w:color w:val="24292E"/>
          <w:sz w:val="22"/>
          <w:szCs w:val="22"/>
        </w:rPr>
        <w:t xml:space="preserve"> identification of barriers, though generalisability to most vulnerable UK older adults requires caution.</w:t>
      </w:r>
    </w:p>
    <w:p w:rsidR="28C50471" w:rsidP="21EEA1D5" w:rsidRDefault="5F5C25CF" w14:paraId="0EA5701F" w14:textId="7A94D82F">
      <w:pPr>
        <w:shd w:val="clear" w:color="auto" w:fill="FFFFFF" w:themeFill="background1"/>
        <w:spacing w:before="150" w:after="150" w:line="360" w:lineRule="auto"/>
        <w:jc w:val="both"/>
        <w:rPr>
          <w:rFonts w:ascii="Arial" w:hAnsi="Arial" w:eastAsia="Arial" w:cs="Arial"/>
          <w:color w:val="24292E"/>
          <w:sz w:val="22"/>
          <w:szCs w:val="22"/>
        </w:rPr>
      </w:pPr>
      <w:r w:rsidRPr="36A6E8A7" w:rsidR="5F5C25CF">
        <w:rPr>
          <w:rFonts w:ascii="Arial" w:hAnsi="Arial" w:eastAsia="Arial" w:cs="Arial"/>
          <w:b w:val="1"/>
          <w:bCs w:val="1"/>
          <w:color w:val="24292E"/>
          <w:sz w:val="22"/>
          <w:szCs w:val="22"/>
        </w:rPr>
        <w:t>Altschul et al.</w:t>
      </w:r>
      <w:r w:rsidRPr="36A6E8A7" w:rsidR="003958F5">
        <w:rPr>
          <w:rFonts w:ascii="Arial" w:hAnsi="Arial" w:eastAsia="Arial" w:cs="Arial"/>
          <w:b w:val="1"/>
          <w:bCs w:val="1"/>
          <w:color w:val="24292E"/>
          <w:sz w:val="22"/>
          <w:szCs w:val="22"/>
        </w:rPr>
        <w:t>,</w:t>
      </w:r>
      <w:r w:rsidRPr="36A6E8A7" w:rsidR="5F5C25CF">
        <w:rPr>
          <w:rFonts w:ascii="Arial" w:hAnsi="Arial" w:eastAsia="Arial" w:cs="Arial"/>
          <w:b w:val="1"/>
          <w:bCs w:val="1"/>
          <w:color w:val="24292E"/>
          <w:sz w:val="22"/>
          <w:szCs w:val="22"/>
        </w:rPr>
        <w:t xml:space="preserve"> (2020)</w:t>
      </w:r>
      <w:r w:rsidRPr="36A6E8A7" w:rsidR="5F5C25CF">
        <w:rPr>
          <w:rFonts w:ascii="Arial" w:hAnsi="Arial" w:eastAsia="Arial" w:cs="Arial"/>
          <w:color w:val="24292E"/>
          <w:sz w:val="22"/>
          <w:szCs w:val="22"/>
        </w:rPr>
        <w:t xml:space="preserve"> employed longitudinal analysis of 7,000+ participants from the English Longitudinal Study of Ageing (ELSA) cohort over</w:t>
      </w:r>
      <w:r w:rsidRPr="36A6E8A7" w:rsidR="048023F9">
        <w:rPr>
          <w:rFonts w:ascii="Arial" w:hAnsi="Arial" w:eastAsia="Arial" w:cs="Arial"/>
          <w:color w:val="24292E"/>
          <w:sz w:val="22"/>
          <w:szCs w:val="22"/>
        </w:rPr>
        <w:t xml:space="preserve"> </w:t>
      </w:r>
      <w:r w:rsidRPr="36A6E8A7" w:rsidR="5F5C25CF">
        <w:rPr>
          <w:rFonts w:ascii="Arial" w:hAnsi="Arial" w:eastAsia="Arial" w:cs="Arial"/>
          <w:color w:val="24292E"/>
          <w:sz w:val="22"/>
          <w:szCs w:val="22"/>
        </w:rPr>
        <w:t xml:space="preserve">extended follow-up. </w:t>
      </w:r>
      <w:r w:rsidRPr="36A6E8A7" w:rsidR="5F5C25CF">
        <w:rPr>
          <w:rFonts w:ascii="Arial" w:hAnsi="Arial" w:eastAsia="Arial" w:cs="Arial"/>
          <w:b w:val="1"/>
          <w:bCs w:val="1"/>
          <w:color w:val="24292E"/>
          <w:sz w:val="22"/>
          <w:szCs w:val="22"/>
        </w:rPr>
        <w:t>Strengths:</w:t>
      </w:r>
      <w:r w:rsidRPr="36A6E8A7" w:rsidR="5F5C25CF">
        <w:rPr>
          <w:rFonts w:ascii="Arial" w:hAnsi="Arial" w:eastAsia="Arial" w:cs="Arial"/>
          <w:color w:val="24292E"/>
          <w:sz w:val="22"/>
          <w:szCs w:val="22"/>
        </w:rPr>
        <w:t xml:space="preserve"> Exceptionally large sample size with validated measurement instruments provides robust statistical power. Longitudinal design establishes temporal sequence, strengthening claims about directional relationships. Nationally representative sampling enhances generalisability across UK older adult population. </w:t>
      </w:r>
      <w:r w:rsidRPr="36A6E8A7" w:rsidR="5F5C25CF">
        <w:rPr>
          <w:rFonts w:ascii="Arial" w:hAnsi="Arial" w:eastAsia="Arial" w:cs="Arial"/>
          <w:b w:val="1"/>
          <w:bCs w:val="1"/>
          <w:color w:val="24292E"/>
          <w:sz w:val="22"/>
          <w:szCs w:val="22"/>
        </w:rPr>
        <w:t>Limitations:</w:t>
      </w:r>
      <w:r w:rsidRPr="36A6E8A7" w:rsidR="5F5C25CF">
        <w:rPr>
          <w:rFonts w:ascii="Arial" w:hAnsi="Arial" w:eastAsia="Arial" w:cs="Arial"/>
          <w:color w:val="24292E"/>
          <w:sz w:val="22"/>
          <w:szCs w:val="22"/>
        </w:rPr>
        <w:t xml:space="preserve"> Observational correlational data cannot definitively establish causation; confounding variables such as physical health status may influence both loneliness and cognitive outcomes. Baseline loneliness measurements may not capture fluctuating patterns over time. Lack of intervention data limits practical application for service commissioners. </w:t>
      </w:r>
      <w:r w:rsidRPr="36A6E8A7" w:rsidR="5F5C25CF">
        <w:rPr>
          <w:rFonts w:ascii="Arial" w:hAnsi="Arial" w:eastAsia="Arial" w:cs="Arial"/>
          <w:b w:val="1"/>
          <w:bCs w:val="1"/>
          <w:color w:val="24292E"/>
          <w:sz w:val="22"/>
          <w:szCs w:val="22"/>
        </w:rPr>
        <w:t>Overall Quality Assessment:</w:t>
      </w:r>
      <w:r w:rsidRPr="36A6E8A7" w:rsidR="5F5C25CF">
        <w:rPr>
          <w:rFonts w:ascii="Arial" w:hAnsi="Arial" w:eastAsia="Arial" w:cs="Arial"/>
          <w:color w:val="24292E"/>
          <w:sz w:val="22"/>
          <w:szCs w:val="22"/>
        </w:rPr>
        <w:t xml:space="preserve"> STRONG</w:t>
      </w:r>
      <w:r w:rsidRPr="36A6E8A7" w:rsidR="0A52E40C">
        <w:rPr>
          <w:rFonts w:ascii="Arial" w:hAnsi="Arial" w:eastAsia="Arial" w:cs="Arial"/>
          <w:color w:val="24292E"/>
          <w:sz w:val="22"/>
          <w:szCs w:val="22"/>
        </w:rPr>
        <w:t xml:space="preserve"> </w:t>
      </w:r>
      <w:r w:rsidRPr="36A6E8A7" w:rsidR="5F5C25CF">
        <w:rPr>
          <w:rFonts w:ascii="Arial" w:hAnsi="Arial" w:eastAsia="Arial" w:cs="Arial"/>
          <w:color w:val="24292E"/>
          <w:sz w:val="22"/>
          <w:szCs w:val="22"/>
        </w:rPr>
        <w:t>methodological rigour and sample size provide compelling evidence, though causal interpretation requires triangulation with experimental designs.</w:t>
      </w:r>
    </w:p>
    <w:p w:rsidR="28C50471" w:rsidP="21EEA1D5" w:rsidRDefault="5F5C25CF" w14:paraId="089679BC" w14:textId="63866549">
      <w:pPr>
        <w:shd w:val="clear" w:color="auto" w:fill="FFFFFF" w:themeFill="background1"/>
        <w:spacing w:before="150" w:after="150" w:line="360" w:lineRule="auto"/>
        <w:jc w:val="both"/>
        <w:rPr>
          <w:rFonts w:ascii="Arial" w:hAnsi="Arial" w:eastAsia="Arial" w:cs="Arial"/>
          <w:color w:val="24292E"/>
          <w:sz w:val="22"/>
          <w:szCs w:val="22"/>
        </w:rPr>
      </w:pPr>
      <w:r w:rsidRPr="36A6E8A7" w:rsidR="5F5C25CF">
        <w:rPr>
          <w:rFonts w:ascii="Arial" w:hAnsi="Arial" w:eastAsia="Arial" w:cs="Arial"/>
          <w:b w:val="1"/>
          <w:bCs w:val="1"/>
          <w:color w:val="24292E"/>
          <w:sz w:val="22"/>
          <w:szCs w:val="22"/>
        </w:rPr>
        <w:t>Shaw &amp; McCabe (2021)</w:t>
      </w:r>
      <w:r w:rsidRPr="36A6E8A7" w:rsidR="5F5C25CF">
        <w:rPr>
          <w:rFonts w:ascii="Arial" w:hAnsi="Arial" w:eastAsia="Arial" w:cs="Arial"/>
          <w:color w:val="24292E"/>
          <w:sz w:val="22"/>
          <w:szCs w:val="22"/>
        </w:rPr>
        <w:t xml:space="preserve"> conducted a systematic review examining 35 UK-based community arts interventions. </w:t>
      </w:r>
      <w:r w:rsidRPr="36A6E8A7" w:rsidR="5F5C25CF">
        <w:rPr>
          <w:rFonts w:ascii="Arial" w:hAnsi="Arial" w:eastAsia="Arial" w:cs="Arial"/>
          <w:b w:val="1"/>
          <w:bCs w:val="1"/>
          <w:color w:val="24292E"/>
          <w:sz w:val="22"/>
          <w:szCs w:val="22"/>
        </w:rPr>
        <w:t>Strengths:</w:t>
      </w:r>
      <w:r w:rsidRPr="36A6E8A7" w:rsidR="5F5C25CF">
        <w:rPr>
          <w:rFonts w:ascii="Arial" w:hAnsi="Arial" w:eastAsia="Arial" w:cs="Arial"/>
          <w:color w:val="24292E"/>
          <w:sz w:val="22"/>
          <w:szCs w:val="22"/>
        </w:rPr>
        <w:t xml:space="preserve"> Focused UK context ensures direct applicability to national policy. Identification of standardisation gaps provides actionable recommendations for commissioners. Rural-urban comparisons address previously underexplored geographic variations. </w:t>
      </w:r>
      <w:r w:rsidRPr="36A6E8A7" w:rsidR="5F5C25CF">
        <w:rPr>
          <w:rFonts w:ascii="Arial" w:hAnsi="Arial" w:eastAsia="Arial" w:cs="Arial"/>
          <w:b w:val="1"/>
          <w:bCs w:val="1"/>
          <w:color w:val="24292E"/>
          <w:sz w:val="22"/>
          <w:szCs w:val="22"/>
        </w:rPr>
        <w:t>Limitations:</w:t>
      </w:r>
      <w:r w:rsidRPr="36A6E8A7" w:rsidR="5F5C25CF">
        <w:rPr>
          <w:rFonts w:ascii="Arial" w:hAnsi="Arial" w:eastAsia="Arial" w:cs="Arial"/>
          <w:color w:val="24292E"/>
          <w:sz w:val="22"/>
          <w:szCs w:val="22"/>
        </w:rPr>
        <w:t xml:space="preserve"> Small-scale projects dominating the literature introduce publication bias toward positive outcomes. Limited engagement with minority ethnic communities reduces understanding of cultural appropriateness. Short evaluation periods (typically 3-6 months) restrict understanding of sustained impact. </w:t>
      </w:r>
      <w:r w:rsidRPr="36A6E8A7" w:rsidR="5F5C25CF">
        <w:rPr>
          <w:rFonts w:ascii="Arial" w:hAnsi="Arial" w:eastAsia="Arial" w:cs="Arial"/>
          <w:b w:val="1"/>
          <w:bCs w:val="1"/>
          <w:color w:val="24292E"/>
          <w:sz w:val="22"/>
          <w:szCs w:val="22"/>
        </w:rPr>
        <w:t>Overall Quality Assessment:</w:t>
      </w:r>
      <w:r w:rsidRPr="36A6E8A7" w:rsidR="5F5C25CF">
        <w:rPr>
          <w:rFonts w:ascii="Arial" w:hAnsi="Arial" w:eastAsia="Arial" w:cs="Arial"/>
          <w:color w:val="24292E"/>
          <w:sz w:val="22"/>
          <w:szCs w:val="22"/>
        </w:rPr>
        <w:t xml:space="preserve"> MODERATE </w:t>
      </w:r>
      <w:r w:rsidRPr="36A6E8A7" w:rsidR="736C7375">
        <w:rPr>
          <w:rFonts w:ascii="Arial" w:hAnsi="Arial" w:eastAsia="Arial" w:cs="Arial"/>
          <w:color w:val="24292E"/>
          <w:sz w:val="22"/>
          <w:szCs w:val="22"/>
        </w:rPr>
        <w:t xml:space="preserve"> </w:t>
      </w:r>
      <w:r w:rsidRPr="36A6E8A7" w:rsidR="5F5C25CF">
        <w:rPr>
          <w:rFonts w:ascii="Arial" w:hAnsi="Arial" w:eastAsia="Arial" w:cs="Arial"/>
          <w:color w:val="24292E"/>
          <w:sz w:val="22"/>
          <w:szCs w:val="22"/>
        </w:rPr>
        <w:t xml:space="preserve"> valuable mapping of implementation challenges, though evidence quality constrained by primary study limitations.</w:t>
      </w:r>
    </w:p>
    <w:p w:rsidR="28C50471" w:rsidP="21EEA1D5" w:rsidRDefault="5F5C25CF" w14:paraId="12421314" w14:textId="01447F1F">
      <w:pPr>
        <w:shd w:val="clear" w:color="auto" w:fill="FFFFFF" w:themeFill="background1"/>
        <w:spacing w:before="150" w:after="150" w:line="360" w:lineRule="auto"/>
        <w:jc w:val="both"/>
        <w:rPr>
          <w:rFonts w:ascii="Arial" w:hAnsi="Arial" w:eastAsia="Arial" w:cs="Arial"/>
          <w:color w:val="24292E"/>
          <w:sz w:val="22"/>
          <w:szCs w:val="22"/>
        </w:rPr>
      </w:pPr>
      <w:r w:rsidRPr="36A6E8A7" w:rsidR="5F5C25CF">
        <w:rPr>
          <w:rFonts w:ascii="Arial" w:hAnsi="Arial" w:eastAsia="Arial" w:cs="Arial"/>
          <w:b w:val="1"/>
          <w:bCs w:val="1"/>
          <w:color w:val="24292E"/>
          <w:sz w:val="22"/>
          <w:szCs w:val="22"/>
        </w:rPr>
        <w:t>Marmot et al.</w:t>
      </w:r>
      <w:r w:rsidRPr="36A6E8A7" w:rsidR="006F1883">
        <w:rPr>
          <w:rFonts w:ascii="Arial" w:hAnsi="Arial" w:eastAsia="Arial" w:cs="Arial"/>
          <w:b w:val="1"/>
          <w:bCs w:val="1"/>
          <w:color w:val="24292E"/>
          <w:sz w:val="22"/>
          <w:szCs w:val="22"/>
        </w:rPr>
        <w:t>,</w:t>
      </w:r>
      <w:r w:rsidRPr="36A6E8A7" w:rsidR="5F5C25CF">
        <w:rPr>
          <w:rFonts w:ascii="Arial" w:hAnsi="Arial" w:eastAsia="Arial" w:cs="Arial"/>
          <w:b w:val="1"/>
          <w:bCs w:val="1"/>
          <w:color w:val="24292E"/>
          <w:sz w:val="22"/>
          <w:szCs w:val="22"/>
        </w:rPr>
        <w:t xml:space="preserve"> (2021)</w:t>
      </w:r>
      <w:r w:rsidRPr="36A6E8A7" w:rsidR="5F5C25CF">
        <w:rPr>
          <w:rFonts w:ascii="Arial" w:hAnsi="Arial" w:eastAsia="Arial" w:cs="Arial"/>
          <w:color w:val="24292E"/>
          <w:sz w:val="22"/>
          <w:szCs w:val="22"/>
        </w:rPr>
        <w:t xml:space="preserve"> reviewed national programme data on health equity including social prescribing elements. </w:t>
      </w:r>
      <w:r w:rsidRPr="36A6E8A7" w:rsidR="5F5C25CF">
        <w:rPr>
          <w:rFonts w:ascii="Arial" w:hAnsi="Arial" w:eastAsia="Arial" w:cs="Arial"/>
          <w:b w:val="1"/>
          <w:bCs w:val="1"/>
          <w:color w:val="24292E"/>
          <w:sz w:val="22"/>
          <w:szCs w:val="22"/>
        </w:rPr>
        <w:t>Strengths:</w:t>
      </w:r>
      <w:r w:rsidRPr="36A6E8A7" w:rsidR="5F5C25CF">
        <w:rPr>
          <w:rFonts w:ascii="Arial" w:hAnsi="Arial" w:eastAsia="Arial" w:cs="Arial"/>
          <w:color w:val="24292E"/>
          <w:sz w:val="22"/>
          <w:szCs w:val="22"/>
        </w:rPr>
        <w:t xml:space="preserve"> Comprehensive analysis of UK-wide programmes provides authoritative policy-level perspective. Clear articulation of sustainability challenges grounded in real-world implementation data. </w:t>
      </w:r>
      <w:r w:rsidRPr="36A6E8A7" w:rsidR="4A82E0C0">
        <w:rPr>
          <w:rFonts w:ascii="Arial" w:hAnsi="Arial" w:eastAsia="Arial" w:cs="Arial"/>
          <w:color w:val="24292E"/>
          <w:sz w:val="22"/>
          <w:szCs w:val="22"/>
        </w:rPr>
        <w:t>Convincing evidence</w:t>
      </w:r>
      <w:r w:rsidRPr="36A6E8A7" w:rsidR="5F5C25CF">
        <w:rPr>
          <w:rFonts w:ascii="Arial" w:hAnsi="Arial" w:eastAsia="Arial" w:cs="Arial"/>
          <w:color w:val="24292E"/>
          <w:sz w:val="22"/>
          <w:szCs w:val="22"/>
        </w:rPr>
        <w:t xml:space="preserve"> base for funding recommendations. </w:t>
      </w:r>
      <w:r w:rsidRPr="36A6E8A7" w:rsidR="5F5C25CF">
        <w:rPr>
          <w:rFonts w:ascii="Arial" w:hAnsi="Arial" w:eastAsia="Arial" w:cs="Arial"/>
          <w:b w:val="1"/>
          <w:bCs w:val="1"/>
          <w:color w:val="24292E"/>
          <w:sz w:val="22"/>
          <w:szCs w:val="22"/>
        </w:rPr>
        <w:t>Limitations:</w:t>
      </w:r>
      <w:r w:rsidRPr="36A6E8A7" w:rsidR="5F5C25CF">
        <w:rPr>
          <w:rFonts w:ascii="Arial" w:hAnsi="Arial" w:eastAsia="Arial" w:cs="Arial"/>
          <w:color w:val="24292E"/>
          <w:sz w:val="22"/>
          <w:szCs w:val="22"/>
        </w:rPr>
        <w:t xml:space="preserve"> Primarily policy-focused rather than intervention-evaluation focused; limited methodological critique of underlying studies. Recommendations </w:t>
      </w:r>
      <w:r w:rsidRPr="36A6E8A7" w:rsidR="5F5C25CF">
        <w:rPr>
          <w:rFonts w:ascii="Arial" w:hAnsi="Arial" w:eastAsia="Arial" w:cs="Arial"/>
          <w:color w:val="24292E"/>
          <w:sz w:val="22"/>
          <w:szCs w:val="22"/>
        </w:rPr>
        <w:t>remain</w:t>
      </w:r>
      <w:r w:rsidRPr="36A6E8A7" w:rsidR="5F5C25CF">
        <w:rPr>
          <w:rFonts w:ascii="Arial" w:hAnsi="Arial" w:eastAsia="Arial" w:cs="Arial"/>
          <w:color w:val="24292E"/>
          <w:sz w:val="22"/>
          <w:szCs w:val="22"/>
        </w:rPr>
        <w:t xml:space="preserve"> aspirational without </w:t>
      </w:r>
      <w:r w:rsidRPr="36A6E8A7" w:rsidR="5F5C25CF">
        <w:rPr>
          <w:rFonts w:ascii="Arial" w:hAnsi="Arial" w:eastAsia="Arial" w:cs="Arial"/>
          <w:color w:val="24292E"/>
          <w:sz w:val="22"/>
          <w:szCs w:val="22"/>
        </w:rPr>
        <w:t xml:space="preserve">ring-fenced funding mechanisms in place. Analysis may reflect organisational priorities over independent assessment. </w:t>
      </w:r>
      <w:r w:rsidRPr="36A6E8A7" w:rsidR="5F5C25CF">
        <w:rPr>
          <w:rFonts w:ascii="Arial" w:hAnsi="Arial" w:eastAsia="Arial" w:cs="Arial"/>
          <w:b w:val="1"/>
          <w:bCs w:val="1"/>
          <w:color w:val="24292E"/>
          <w:sz w:val="22"/>
          <w:szCs w:val="22"/>
        </w:rPr>
        <w:t>Overall Quality Assessment:</w:t>
      </w:r>
      <w:r w:rsidRPr="36A6E8A7" w:rsidR="5F5C25CF">
        <w:rPr>
          <w:rFonts w:ascii="Arial" w:hAnsi="Arial" w:eastAsia="Arial" w:cs="Arial"/>
          <w:color w:val="24292E"/>
          <w:sz w:val="22"/>
          <w:szCs w:val="22"/>
        </w:rPr>
        <w:t xml:space="preserve"> </w:t>
      </w:r>
      <w:r w:rsidRPr="36A6E8A7" w:rsidR="77C45327">
        <w:rPr>
          <w:rFonts w:ascii="Arial" w:hAnsi="Arial" w:eastAsia="Arial" w:cs="Arial"/>
          <w:color w:val="24292E"/>
          <w:sz w:val="22"/>
          <w:szCs w:val="22"/>
        </w:rPr>
        <w:t>MODERATE authoritative</w:t>
      </w:r>
      <w:r w:rsidRPr="36A6E8A7" w:rsidR="5F5C25CF">
        <w:rPr>
          <w:rFonts w:ascii="Arial" w:hAnsi="Arial" w:eastAsia="Arial" w:cs="Arial"/>
          <w:color w:val="24292E"/>
          <w:sz w:val="22"/>
          <w:szCs w:val="22"/>
        </w:rPr>
        <w:t xml:space="preserve"> policy analysis but dependent on secondary interpretation of variable-quality primary evidence.</w:t>
      </w:r>
    </w:p>
    <w:p w:rsidR="28C50471" w:rsidP="21EEA1D5" w:rsidRDefault="5F5C25CF" w14:paraId="7F3C33D1" w14:textId="2BC5EBC6">
      <w:pPr>
        <w:shd w:val="clear" w:color="auto" w:fill="FFFFFF" w:themeFill="background1"/>
        <w:spacing w:before="150" w:after="150" w:line="360" w:lineRule="auto"/>
        <w:jc w:val="both"/>
        <w:rPr>
          <w:rFonts w:ascii="Arial" w:hAnsi="Arial" w:eastAsia="Arial" w:cs="Arial"/>
          <w:b/>
          <w:bCs/>
          <w:color w:val="24292E"/>
          <w:sz w:val="22"/>
          <w:szCs w:val="22"/>
        </w:rPr>
      </w:pPr>
      <w:r w:rsidRPr="21EEA1D5">
        <w:rPr>
          <w:rFonts w:ascii="Arial" w:hAnsi="Arial" w:eastAsia="Arial" w:cs="Arial"/>
          <w:b/>
          <w:bCs/>
          <w:color w:val="24292E"/>
          <w:sz w:val="22"/>
          <w:szCs w:val="22"/>
        </w:rPr>
        <w:t>Synthesis Across Studies</w:t>
      </w:r>
    </w:p>
    <w:p w:rsidR="28C50471" w:rsidP="21EEA1D5" w:rsidRDefault="5F5C25CF" w14:paraId="39084A49" w14:textId="2F889EA0">
      <w:pPr>
        <w:shd w:val="clear" w:color="auto" w:fill="FFFFFF" w:themeFill="background1"/>
        <w:spacing w:before="150" w:after="150" w:line="360" w:lineRule="auto"/>
        <w:jc w:val="both"/>
        <w:rPr>
          <w:rFonts w:ascii="Arial" w:hAnsi="Arial" w:eastAsia="Arial" w:cs="Arial"/>
          <w:color w:val="24292E"/>
          <w:sz w:val="22"/>
          <w:szCs w:val="22"/>
        </w:rPr>
      </w:pPr>
      <w:r w:rsidRPr="36A6E8A7" w:rsidR="5F5C25CF">
        <w:rPr>
          <w:rFonts w:ascii="Arial" w:hAnsi="Arial" w:eastAsia="Arial" w:cs="Arial"/>
          <w:color w:val="24292E"/>
          <w:sz w:val="22"/>
          <w:szCs w:val="22"/>
        </w:rPr>
        <w:t xml:space="preserve">Collectively, these six studies </w:t>
      </w:r>
      <w:r w:rsidRPr="36A6E8A7" w:rsidR="5F5C25CF">
        <w:rPr>
          <w:rFonts w:ascii="Arial" w:hAnsi="Arial" w:eastAsia="Arial" w:cs="Arial"/>
          <w:color w:val="24292E"/>
          <w:sz w:val="22"/>
          <w:szCs w:val="22"/>
        </w:rPr>
        <w:t>demonstrate</w:t>
      </w:r>
      <w:r w:rsidRPr="36A6E8A7" w:rsidR="5F5C25CF">
        <w:rPr>
          <w:rFonts w:ascii="Arial" w:hAnsi="Arial" w:eastAsia="Arial" w:cs="Arial"/>
          <w:color w:val="24292E"/>
          <w:sz w:val="22"/>
          <w:szCs w:val="22"/>
        </w:rPr>
        <w:t xml:space="preserve"> promising effectiveness of community-based interventions while revealing consistent methodological weaknesses across the evidence base. The strongest evidence (Fancourt &amp; Finn, 2019; Altschul et al., 2020) supports effectiveness but carries selection bias concerns. Most studies share critical limitations: short follow-up periods </w:t>
      </w:r>
      <w:r w:rsidRPr="36A6E8A7" w:rsidR="0003BA44">
        <w:rPr>
          <w:rFonts w:ascii="Arial" w:hAnsi="Arial" w:eastAsia="Arial" w:cs="Arial"/>
          <w:color w:val="24292E"/>
          <w:sz w:val="22"/>
          <w:szCs w:val="22"/>
        </w:rPr>
        <w:t>within 6</w:t>
      </w:r>
      <w:r w:rsidRPr="36A6E8A7" w:rsidR="5F5C25CF">
        <w:rPr>
          <w:rFonts w:ascii="Arial" w:hAnsi="Arial" w:eastAsia="Arial" w:cs="Arial"/>
          <w:color w:val="24292E"/>
          <w:sz w:val="22"/>
          <w:szCs w:val="22"/>
        </w:rPr>
        <w:t xml:space="preserve"> months, heterogeneous outcome measures preventing meta-analysis, underrepresentation of minority ethnic communities and severe cognitive impairment, and absence of cost-effectiveness evaluation. The moderate overall quality suggests findings should inform but not dictate practice decisions. Practitioners must apply findings cautiously while recognising implementation quality matters more than intervention type.</w:t>
      </w:r>
    </w:p>
    <w:p w:rsidR="28C50471" w:rsidP="21EEA1D5" w:rsidRDefault="5F5C25CF" w14:paraId="2D4B3A4C" w14:textId="5E5F79E3">
      <w:pPr>
        <w:shd w:val="clear" w:color="auto" w:fill="FFFFFF" w:themeFill="background1"/>
        <w:spacing w:before="150" w:after="150" w:line="360" w:lineRule="auto"/>
        <w:jc w:val="both"/>
      </w:pPr>
      <w:r w:rsidRPr="36A6E8A7" w:rsidR="5F5C25CF">
        <w:rPr>
          <w:rFonts w:ascii="Arial" w:hAnsi="Arial" w:eastAsia="Arial" w:cs="Arial"/>
          <w:b w:val="1"/>
          <w:bCs w:val="1"/>
          <w:color w:val="24292E"/>
          <w:sz w:val="22"/>
          <w:szCs w:val="22"/>
        </w:rPr>
        <w:t>Implications from Evidence Quality</w:t>
      </w:r>
    </w:p>
    <w:p w:rsidR="7295FEE9" w:rsidP="36A6E8A7" w:rsidRDefault="7295FEE9" w14:paraId="0DF01603" w14:textId="4F9B67D6">
      <w:pPr>
        <w:pStyle w:val="Normal"/>
        <w:shd w:val="clear" w:color="auto" w:fill="FFFFFF" w:themeFill="background1"/>
        <w:spacing w:before="150" w:after="150" w:line="360" w:lineRule="auto"/>
        <w:jc w:val="both"/>
        <w:rPr>
          <w:rFonts w:ascii="Arial" w:hAnsi="Arial" w:eastAsia="Arial" w:cs="Arial"/>
          <w:b w:val="0"/>
          <w:bCs w:val="0"/>
          <w:i w:val="0"/>
          <w:iCs w:val="0"/>
          <w:caps w:val="0"/>
          <w:smallCaps w:val="0"/>
          <w:noProof w:val="0"/>
          <w:color w:val="24292E"/>
          <w:sz w:val="22"/>
          <w:szCs w:val="22"/>
          <w:lang w:val="en-GB"/>
        </w:rPr>
      </w:pPr>
      <w:r w:rsidRPr="36A6E8A7" w:rsidR="7295FEE9">
        <w:rPr>
          <w:rFonts w:ascii="Arial" w:hAnsi="Arial" w:eastAsia="Arial" w:cs="Arial"/>
          <w:b w:val="0"/>
          <w:bCs w:val="0"/>
          <w:i w:val="0"/>
          <w:iCs w:val="0"/>
          <w:caps w:val="0"/>
          <w:smallCaps w:val="0"/>
          <w:noProof w:val="0"/>
          <w:color w:val="24292E"/>
          <w:sz w:val="22"/>
          <w:szCs w:val="22"/>
          <w:lang w:val="en-GB"/>
        </w:rPr>
        <w:t>Given the moderate-to-strong evidence base with acknowledged limitations, several evidence-informed recommendations emerge. Practitioners should prioritise hybrid service models combining digital and face-to-face components, with mandatory training provision for digitally excluded populations (Cattan et al., 2020). Link worker roles require sustained funding beyond pilot phases to ensure relationship continuity (Bickerdike et al., 2017). Commissioners must invest in long-term infrastructure rather than short-term projects (Marmot et al., 2021). Standardised outcome measures (preferably UCLA Loneliness Scale) enable cross-programme comparison (Fancourt and Finn, 2019). Minority ethnic communities and rural populations require targeted recruitment strategies in future evaluations (Shaw and McCabe, 2021). Economic modelling should accompany future intervention trials to support commissioning decisions (Altschul et al., 2020).</w:t>
      </w:r>
    </w:p>
    <w:p w:rsidR="28C50471" w:rsidP="21EEA1D5" w:rsidRDefault="5F5C25CF" w14:paraId="689BB11C" w14:textId="539CE73F">
      <w:pPr>
        <w:shd w:val="clear" w:color="auto" w:fill="FFFFFF" w:themeFill="background1"/>
        <w:spacing w:before="150" w:after="150" w:line="360" w:lineRule="auto"/>
        <w:jc w:val="both"/>
        <w:rPr>
          <w:rFonts w:ascii="Arial" w:hAnsi="Arial" w:eastAsia="Arial" w:cs="Arial"/>
          <w:b/>
          <w:bCs/>
          <w:color w:val="24292E"/>
          <w:sz w:val="22"/>
          <w:szCs w:val="22"/>
        </w:rPr>
      </w:pPr>
      <w:r w:rsidRPr="21EEA1D5">
        <w:rPr>
          <w:rFonts w:ascii="Arial" w:hAnsi="Arial" w:eastAsia="Arial" w:cs="Arial"/>
          <w:b/>
          <w:bCs/>
          <w:color w:val="24292E"/>
          <w:sz w:val="22"/>
          <w:szCs w:val="22"/>
        </w:rPr>
        <w:t>Limitations of This Review</w:t>
      </w:r>
    </w:p>
    <w:p w:rsidR="28C50471" w:rsidP="36A6E8A7" w:rsidRDefault="5F5C25CF" w14:paraId="0F4BF06D" w14:textId="05AE02E3">
      <w:pPr>
        <w:shd w:val="clear" w:color="auto" w:fill="FFFFFF" w:themeFill="background1"/>
        <w:spacing w:before="150" w:after="150" w:line="360" w:lineRule="auto"/>
        <w:jc w:val="both"/>
        <w:rPr>
          <w:rFonts w:ascii="Arial" w:hAnsi="Arial" w:eastAsia="Arial" w:cs="Arial"/>
          <w:i w:val="1"/>
          <w:iCs w:val="1"/>
          <w:color w:val="24292E"/>
          <w:sz w:val="22"/>
          <w:szCs w:val="22"/>
        </w:rPr>
      </w:pPr>
      <w:r w:rsidRPr="36A6E8A7" w:rsidR="5F5C25CF">
        <w:rPr>
          <w:rFonts w:ascii="Arial" w:hAnsi="Arial" w:eastAsia="Arial" w:cs="Arial"/>
          <w:color w:val="24292E"/>
          <w:sz w:val="22"/>
          <w:szCs w:val="22"/>
        </w:rPr>
        <w:t xml:space="preserve">This scoping review has acknowledged constraints. Reliance on peer-reviewed literature excludes valuable grey literature including charity reports and local authority evaluations that may provide practical implementation insights. Heterogeneity across included studies (mixing quantitative and qualitative designs, varying outcome measures) prevents direct statistical comparison. The absence of formal quality assessment within this scoping review methodology means findings cannot establish definitive intervention effectiveness rankings. </w:t>
      </w:r>
      <w:r w:rsidRPr="36A6E8A7" w:rsidR="7BAC391F">
        <w:rPr>
          <w:rFonts w:ascii="Arial" w:hAnsi="Arial" w:eastAsia="Arial" w:cs="Arial"/>
          <w:color w:val="24292E"/>
          <w:sz w:val="22"/>
          <w:szCs w:val="22"/>
        </w:rPr>
        <w:t>Future systematic reviews with rigorous quality grading are needed as more homogeneous studies become available.</w:t>
      </w:r>
    </w:p>
    <w:p w:rsidR="28C50471" w:rsidP="21EEA1D5" w:rsidRDefault="28C50471" w14:paraId="32C652E3" w14:textId="0D739AC3">
      <w:pPr>
        <w:shd w:val="clear" w:color="auto" w:fill="FFFFFF" w:themeFill="background1"/>
        <w:spacing w:after="0" w:line="360" w:lineRule="auto"/>
        <w:jc w:val="both"/>
      </w:pPr>
    </w:p>
    <w:p w:rsidR="28C50471" w:rsidP="21EEA1D5" w:rsidRDefault="5D9BD8D7" w14:paraId="180DF621" w14:textId="32469070">
      <w:pPr>
        <w:pStyle w:val="Heading3"/>
        <w:spacing w:before="240" w:after="120" w:line="360" w:lineRule="auto"/>
        <w:jc w:val="both"/>
        <w:rPr>
          <w:rFonts w:ascii="Arial" w:hAnsi="Arial" w:eastAsia="Arial" w:cs="Arial"/>
          <w:b w:val="1"/>
          <w:bCs w:val="1"/>
          <w:color w:val="24292E"/>
          <w:sz w:val="22"/>
          <w:szCs w:val="22"/>
        </w:rPr>
      </w:pPr>
      <w:bookmarkStart w:name="_Toc426730271" w:id="1375202696"/>
      <w:r w:rsidRPr="36A6E8A7" w:rsidR="5D9BD8D7">
        <w:rPr>
          <w:rFonts w:ascii="Arial" w:hAnsi="Arial" w:eastAsia="Arial" w:cs="Arial"/>
          <w:b w:val="1"/>
          <w:bCs w:val="1"/>
          <w:color w:val="24292E"/>
          <w:sz w:val="22"/>
          <w:szCs w:val="22"/>
        </w:rPr>
        <w:t>Conclusion and Recommendations</w:t>
      </w:r>
      <w:bookmarkEnd w:id="1375202696"/>
    </w:p>
    <w:p w:rsidR="28C50471" w:rsidP="21EEA1D5" w:rsidRDefault="5D9BD8D7" w14:paraId="48C29F41" w14:textId="12F9BAE2">
      <w:pPr>
        <w:spacing w:before="150" w:after="150" w:line="360" w:lineRule="auto"/>
        <w:jc w:val="both"/>
        <w:rPr>
          <w:rFonts w:ascii="Arial" w:hAnsi="Arial" w:eastAsia="Arial" w:cs="Arial"/>
          <w:color w:val="24292E"/>
          <w:sz w:val="22"/>
          <w:szCs w:val="22"/>
        </w:rPr>
      </w:pPr>
      <w:r w:rsidRPr="36A6E8A7" w:rsidR="5D9BD8D7">
        <w:rPr>
          <w:rFonts w:ascii="Arial" w:hAnsi="Arial" w:eastAsia="Arial" w:cs="Arial"/>
          <w:b w:val="1"/>
          <w:bCs w:val="1"/>
          <w:color w:val="24292E"/>
          <w:sz w:val="22"/>
          <w:szCs w:val="22"/>
        </w:rPr>
        <w:t>Summary of Key Insights</w:t>
      </w:r>
      <w:r w:rsidRPr="36A6E8A7" w:rsidR="5D9BD8D7">
        <w:rPr>
          <w:rFonts w:ascii="Arial" w:hAnsi="Arial" w:eastAsia="Arial" w:cs="Arial"/>
          <w:color w:val="24292E"/>
          <w:sz w:val="22"/>
          <w:szCs w:val="22"/>
        </w:rPr>
        <w:t xml:space="preserve"> </w:t>
      </w:r>
      <w:r w:rsidRPr="36A6E8A7" w:rsidR="5D9BD8D7">
        <w:rPr>
          <w:rFonts w:ascii="Arial" w:hAnsi="Arial" w:eastAsia="Arial" w:cs="Arial"/>
          <w:color w:val="24292E"/>
          <w:sz w:val="22"/>
          <w:szCs w:val="22"/>
        </w:rPr>
        <w:t xml:space="preserve">This scoping review has synthesised evidence from </w:t>
      </w:r>
      <w:r w:rsidRPr="36A6E8A7" w:rsidR="00EF09ED">
        <w:rPr>
          <w:rFonts w:ascii="Arial" w:hAnsi="Arial" w:eastAsia="Arial" w:cs="Arial"/>
          <w:color w:val="24292E"/>
          <w:sz w:val="22"/>
          <w:szCs w:val="22"/>
        </w:rPr>
        <w:t>six</w:t>
      </w:r>
      <w:r w:rsidRPr="36A6E8A7" w:rsidR="5D9BD8D7">
        <w:rPr>
          <w:rFonts w:ascii="Arial" w:hAnsi="Arial" w:eastAsia="Arial" w:cs="Arial"/>
          <w:color w:val="24292E"/>
          <w:sz w:val="22"/>
          <w:szCs w:val="22"/>
        </w:rPr>
        <w:t xml:space="preserve"> sources to evaluate community-based interventions for loneliness among older adults in the UK. The findings confirm that social prescribing and creative arts interventions are effective in reducing feelings of isolation and improving mental wellbeing (Bickerdike et al., 2017; Fancourt &amp; Finn, 2019; Shaw &amp; McCabe, 2021). However, the success of these programmes is not automatic; it relies heavily on the quality of implementation, the availability of local infrastructure, and sustained funding. While digital tools offer a valuable supplement, they cannot replace face-to-face contact for all older adults, particularly those facing the digital divide. Loneliness is revealed not as an individual deficit but as a systemic issue requiring coordinated structural solutions (Jentoft et al., 2025; DCMS, 2018).</w:t>
      </w:r>
    </w:p>
    <w:p w:rsidR="28C50471" w:rsidP="36A6E8A7" w:rsidRDefault="5D9BD8D7" w14:paraId="77ABB1A9" w14:textId="65003956">
      <w:pPr>
        <w:spacing w:before="150" w:after="150" w:line="360" w:lineRule="auto"/>
        <w:jc w:val="left"/>
        <w:rPr>
          <w:rFonts w:ascii="Arial" w:hAnsi="Arial" w:eastAsia="Arial" w:cs="Arial"/>
          <w:color w:val="24292E"/>
          <w:sz w:val="22"/>
          <w:szCs w:val="22"/>
        </w:rPr>
      </w:pPr>
      <w:r w:rsidRPr="36A6E8A7" w:rsidR="5D9BD8D7">
        <w:rPr>
          <w:rFonts w:ascii="Arial" w:hAnsi="Arial" w:eastAsia="Arial" w:cs="Arial"/>
          <w:b w:val="1"/>
          <w:bCs w:val="1"/>
          <w:color w:val="24292E"/>
          <w:sz w:val="22"/>
          <w:szCs w:val="22"/>
        </w:rPr>
        <w:t>Recommendations for Practice</w:t>
      </w:r>
      <w:r w:rsidRPr="36A6E8A7" w:rsidR="5D9BD8D7">
        <w:rPr>
          <w:rFonts w:ascii="Arial" w:hAnsi="Arial" w:eastAsia="Arial" w:cs="Arial"/>
          <w:color w:val="24292E"/>
          <w:sz w:val="22"/>
          <w:szCs w:val="22"/>
        </w:rPr>
        <w:t xml:space="preserve"> </w:t>
      </w:r>
      <w:r w:rsidRPr="36A6E8A7" w:rsidR="5D9BD8D7">
        <w:rPr>
          <w:rFonts w:ascii="Arial" w:hAnsi="Arial" w:eastAsia="Arial" w:cs="Arial"/>
          <w:color w:val="24292E"/>
          <w:sz w:val="22"/>
          <w:szCs w:val="22"/>
        </w:rPr>
        <w:t>Based on the evidence reviewed, several recommendations are proposed for health and social care practitioners:</w:t>
      </w:r>
    </w:p>
    <w:p w:rsidR="28C50471" w:rsidP="21EEA1D5" w:rsidRDefault="5D9BD8D7" w14:paraId="246C8B8B" w14:textId="0D8CAA4F">
      <w:pPr>
        <w:pStyle w:val="ListParagraph"/>
        <w:numPr>
          <w:ilvl w:val="0"/>
          <w:numId w:val="8"/>
        </w:numPr>
        <w:spacing w:after="0" w:line="360" w:lineRule="auto"/>
        <w:jc w:val="both"/>
        <w:rPr>
          <w:rFonts w:ascii="Arial" w:hAnsi="Arial" w:eastAsia="Arial" w:cs="Arial"/>
          <w:color w:val="24292E"/>
          <w:sz w:val="22"/>
          <w:szCs w:val="22"/>
        </w:rPr>
      </w:pPr>
      <w:r w:rsidRPr="36A6E8A7" w:rsidR="5D9BD8D7">
        <w:rPr>
          <w:rFonts w:ascii="Arial" w:hAnsi="Arial" w:eastAsia="Arial" w:cs="Arial"/>
          <w:b w:val="1"/>
          <w:bCs w:val="1"/>
          <w:color w:val="24292E"/>
          <w:sz w:val="22"/>
          <w:szCs w:val="22"/>
        </w:rPr>
        <w:t>Adopt a Hybrid Model:</w:t>
      </w:r>
      <w:r w:rsidRPr="36A6E8A7" w:rsidR="5D9BD8D7">
        <w:rPr>
          <w:rFonts w:ascii="Arial" w:hAnsi="Arial" w:eastAsia="Arial" w:cs="Arial"/>
          <w:color w:val="24292E"/>
          <w:sz w:val="22"/>
          <w:szCs w:val="22"/>
        </w:rPr>
        <w:t xml:space="preserve"> </w:t>
      </w:r>
      <w:r w:rsidRPr="36A6E8A7" w:rsidR="5D9BD8D7">
        <w:rPr>
          <w:rFonts w:ascii="Arial" w:hAnsi="Arial" w:eastAsia="Arial" w:cs="Arial"/>
          <w:color w:val="24292E"/>
          <w:sz w:val="22"/>
          <w:szCs w:val="22"/>
        </w:rPr>
        <w:t>Digital interventions should be integrated with, not instead of, face-to-face activities. Training and technical support must be provided to ensure inclusivity for those with low digital literacy</w:t>
      </w:r>
      <w:r w:rsidRPr="36A6E8A7" w:rsidR="5D9BD8D7">
        <w:rPr>
          <w:rFonts w:ascii="Arial" w:hAnsi="Arial" w:eastAsia="Arial" w:cs="Arial"/>
          <w:color w:val="24292E"/>
          <w:sz w:val="22"/>
          <w:szCs w:val="22"/>
        </w:rPr>
        <w:t>.</w:t>
      </w:r>
    </w:p>
    <w:p w:rsidR="28C50471" w:rsidP="21EEA1D5" w:rsidRDefault="5D9BD8D7" w14:paraId="52373285" w14:textId="3B270AFB">
      <w:pPr>
        <w:pStyle w:val="ListParagraph"/>
        <w:numPr>
          <w:ilvl w:val="0"/>
          <w:numId w:val="7"/>
        </w:numPr>
        <w:spacing w:after="0" w:line="360" w:lineRule="auto"/>
        <w:jc w:val="both"/>
        <w:rPr>
          <w:rFonts w:ascii="Arial" w:hAnsi="Arial" w:eastAsia="Arial" w:cs="Arial"/>
          <w:color w:val="24292E"/>
          <w:sz w:val="22"/>
          <w:szCs w:val="22"/>
        </w:rPr>
      </w:pPr>
      <w:r w:rsidRPr="36A6E8A7" w:rsidR="5D9BD8D7">
        <w:rPr>
          <w:rFonts w:ascii="Arial" w:hAnsi="Arial" w:eastAsia="Arial" w:cs="Arial"/>
          <w:b w:val="1"/>
          <w:bCs w:val="1"/>
          <w:color w:val="24292E"/>
          <w:sz w:val="22"/>
          <w:szCs w:val="22"/>
        </w:rPr>
        <w:t>Invest in Link Workers:</w:t>
      </w:r>
      <w:r w:rsidRPr="36A6E8A7" w:rsidR="5D9BD8D7">
        <w:rPr>
          <w:rFonts w:ascii="Arial" w:hAnsi="Arial" w:eastAsia="Arial" w:cs="Arial"/>
          <w:color w:val="24292E"/>
          <w:sz w:val="22"/>
          <w:szCs w:val="22"/>
        </w:rPr>
        <w:t xml:space="preserve"> T</w:t>
      </w:r>
      <w:r w:rsidRPr="36A6E8A7" w:rsidR="5D9BD8D7">
        <w:rPr>
          <w:rFonts w:ascii="Arial" w:hAnsi="Arial" w:eastAsia="Arial" w:cs="Arial"/>
          <w:color w:val="24292E"/>
          <w:sz w:val="22"/>
          <w:szCs w:val="22"/>
        </w:rPr>
        <w:t>he role of the link worker is critical. Services should prioritise hiring and retaining skilled staff who can build long-term trust with older adults, rather than relying on short-term volunteers.</w:t>
      </w:r>
    </w:p>
    <w:p w:rsidR="28C50471" w:rsidP="21EEA1D5" w:rsidRDefault="5D9BD8D7" w14:paraId="7E3D9009" w14:textId="4EDBBB88">
      <w:pPr>
        <w:pStyle w:val="ListParagraph"/>
        <w:numPr>
          <w:ilvl w:val="0"/>
          <w:numId w:val="6"/>
        </w:numPr>
        <w:spacing w:after="0" w:line="360" w:lineRule="auto"/>
        <w:jc w:val="both"/>
        <w:rPr>
          <w:rFonts w:ascii="Arial" w:hAnsi="Arial" w:eastAsia="Arial" w:cs="Arial"/>
          <w:color w:val="24292E"/>
          <w:sz w:val="22"/>
          <w:szCs w:val="22"/>
        </w:rPr>
      </w:pPr>
      <w:r w:rsidRPr="36A6E8A7" w:rsidR="5D9BD8D7">
        <w:rPr>
          <w:rFonts w:ascii="Arial" w:hAnsi="Arial" w:eastAsia="Arial" w:cs="Arial"/>
          <w:b w:val="1"/>
          <w:bCs w:val="1"/>
          <w:color w:val="24292E"/>
          <w:sz w:val="22"/>
          <w:szCs w:val="22"/>
        </w:rPr>
        <w:t>Co-Design Services:</w:t>
      </w:r>
      <w:r w:rsidRPr="36A6E8A7" w:rsidR="5D9BD8D7">
        <w:rPr>
          <w:rFonts w:ascii="Arial" w:hAnsi="Arial" w:eastAsia="Arial" w:cs="Arial"/>
          <w:color w:val="24292E"/>
          <w:sz w:val="22"/>
          <w:szCs w:val="22"/>
        </w:rPr>
        <w:t xml:space="preserve"> I</w:t>
      </w:r>
      <w:r w:rsidRPr="36A6E8A7" w:rsidR="5D9BD8D7">
        <w:rPr>
          <w:rFonts w:ascii="Arial" w:hAnsi="Arial" w:eastAsia="Arial" w:cs="Arial"/>
          <w:color w:val="24292E"/>
          <w:sz w:val="22"/>
          <w:szCs w:val="22"/>
        </w:rPr>
        <w:t>nterventions should be co-designed with older adults to ensure they meet actual community needs and reduce stigma. This aligns with the principles of the Age-Friendly movement.</w:t>
      </w:r>
    </w:p>
    <w:p w:rsidR="28C50471" w:rsidP="21EEA1D5" w:rsidRDefault="5D9BD8D7" w14:paraId="2FAB29DE" w14:textId="6C170DC9">
      <w:pPr>
        <w:pStyle w:val="ListParagraph"/>
        <w:numPr>
          <w:ilvl w:val="0"/>
          <w:numId w:val="5"/>
        </w:numPr>
        <w:spacing w:after="0" w:line="360" w:lineRule="auto"/>
        <w:jc w:val="both"/>
        <w:rPr>
          <w:rFonts w:ascii="Arial" w:hAnsi="Arial" w:eastAsia="Arial" w:cs="Arial"/>
          <w:color w:val="24292E"/>
          <w:sz w:val="22"/>
          <w:szCs w:val="22"/>
        </w:rPr>
      </w:pPr>
      <w:r w:rsidRPr="36A6E8A7" w:rsidR="5D9BD8D7">
        <w:rPr>
          <w:rFonts w:ascii="Arial" w:hAnsi="Arial" w:eastAsia="Arial" w:cs="Arial"/>
          <w:b w:val="1"/>
          <w:bCs w:val="1"/>
          <w:color w:val="24292E"/>
          <w:sz w:val="22"/>
          <w:szCs w:val="22"/>
        </w:rPr>
        <w:t>Focus on Underserved Groups:</w:t>
      </w:r>
      <w:r w:rsidRPr="36A6E8A7" w:rsidR="5D9BD8D7">
        <w:rPr>
          <w:rFonts w:ascii="Arial" w:hAnsi="Arial" w:eastAsia="Arial" w:cs="Arial"/>
          <w:color w:val="24292E"/>
          <w:sz w:val="22"/>
          <w:szCs w:val="22"/>
        </w:rPr>
        <w:t xml:space="preserve"> </w:t>
      </w:r>
      <w:r w:rsidRPr="36A6E8A7" w:rsidR="5D9BD8D7">
        <w:rPr>
          <w:rFonts w:ascii="Arial" w:hAnsi="Arial" w:eastAsia="Arial" w:cs="Arial"/>
          <w:color w:val="24292E"/>
          <w:sz w:val="22"/>
          <w:szCs w:val="22"/>
        </w:rPr>
        <w:t>Future services must actively target hard-to-reach populations, such as older men and minority ethnic groups, to ensure equity.</w:t>
      </w:r>
    </w:p>
    <w:p w:rsidR="28C50471" w:rsidP="21EEA1D5" w:rsidRDefault="5D9BD8D7" w14:paraId="41714961" w14:textId="5780DBC0">
      <w:pPr>
        <w:spacing w:before="150" w:after="150" w:line="360" w:lineRule="auto"/>
        <w:jc w:val="both"/>
        <w:rPr>
          <w:rFonts w:ascii="Arial" w:hAnsi="Arial" w:eastAsia="Arial" w:cs="Arial"/>
          <w:color w:val="24292E"/>
          <w:sz w:val="22"/>
          <w:szCs w:val="22"/>
        </w:rPr>
      </w:pPr>
      <w:r w:rsidRPr="36A6E8A7" w:rsidR="5D9BD8D7">
        <w:rPr>
          <w:rFonts w:ascii="Arial" w:hAnsi="Arial" w:eastAsia="Arial" w:cs="Arial"/>
          <w:b w:val="1"/>
          <w:bCs w:val="1"/>
          <w:color w:val="24292E"/>
          <w:sz w:val="22"/>
          <w:szCs w:val="22"/>
        </w:rPr>
        <w:t>Recommendations for Policy and Research</w:t>
      </w:r>
      <w:r w:rsidRPr="36A6E8A7" w:rsidR="5D9BD8D7">
        <w:rPr>
          <w:rFonts w:ascii="Arial" w:hAnsi="Arial" w:eastAsia="Arial" w:cs="Arial"/>
          <w:color w:val="24292E"/>
          <w:sz w:val="22"/>
          <w:szCs w:val="22"/>
        </w:rPr>
        <w:t xml:space="preserve"> </w:t>
      </w:r>
      <w:r w:rsidRPr="36A6E8A7" w:rsidR="5D9BD8D7">
        <w:rPr>
          <w:rFonts w:ascii="Arial" w:hAnsi="Arial" w:eastAsia="Arial" w:cs="Arial"/>
          <w:color w:val="24292E"/>
          <w:sz w:val="22"/>
          <w:szCs w:val="22"/>
        </w:rPr>
        <w:t>For policymakers and researchers, the following actions are recommended:</w:t>
      </w:r>
    </w:p>
    <w:p w:rsidR="28C50471" w:rsidP="21EEA1D5" w:rsidRDefault="5D9BD8D7" w14:paraId="3AC26B24" w14:textId="00D28015">
      <w:pPr>
        <w:pStyle w:val="ListParagraph"/>
        <w:numPr>
          <w:ilvl w:val="0"/>
          <w:numId w:val="4"/>
        </w:numPr>
        <w:spacing w:after="0" w:line="360" w:lineRule="auto"/>
        <w:jc w:val="both"/>
        <w:rPr>
          <w:rFonts w:ascii="Arial" w:hAnsi="Arial" w:eastAsia="Arial" w:cs="Arial"/>
          <w:color w:val="24292E"/>
          <w:sz w:val="22"/>
          <w:szCs w:val="22"/>
        </w:rPr>
      </w:pPr>
      <w:r w:rsidRPr="36A6E8A7" w:rsidR="5D9BD8D7">
        <w:rPr>
          <w:rFonts w:ascii="Arial" w:hAnsi="Arial" w:eastAsia="Arial" w:cs="Arial"/>
          <w:b w:val="1"/>
          <w:bCs w:val="1"/>
          <w:color w:val="24292E"/>
          <w:sz w:val="22"/>
          <w:szCs w:val="22"/>
        </w:rPr>
        <w:t>Secure Long-Term Funding:</w:t>
      </w:r>
      <w:r w:rsidRPr="36A6E8A7" w:rsidR="5D9BD8D7">
        <w:rPr>
          <w:rFonts w:ascii="Arial" w:hAnsi="Arial" w:eastAsia="Arial" w:cs="Arial"/>
          <w:color w:val="24292E"/>
          <w:sz w:val="22"/>
          <w:szCs w:val="22"/>
        </w:rPr>
        <w:t xml:space="preserve"> G</w:t>
      </w:r>
      <w:r w:rsidRPr="36A6E8A7" w:rsidR="5D9BD8D7">
        <w:rPr>
          <w:rFonts w:ascii="Arial" w:hAnsi="Arial" w:eastAsia="Arial" w:cs="Arial"/>
          <w:color w:val="24292E"/>
          <w:sz w:val="22"/>
          <w:szCs w:val="22"/>
        </w:rPr>
        <w:t>overnment and local authorities must move away from short-term pilot funding towards multi-year commitments to prevent service fragmentation.</w:t>
      </w:r>
    </w:p>
    <w:p w:rsidR="28C50471" w:rsidP="21EEA1D5" w:rsidRDefault="5D9BD8D7" w14:paraId="5E1CC756" w14:textId="01948E1F">
      <w:pPr>
        <w:pStyle w:val="ListParagraph"/>
        <w:numPr>
          <w:ilvl w:val="0"/>
          <w:numId w:val="3"/>
        </w:numPr>
        <w:spacing w:after="0" w:line="360" w:lineRule="auto"/>
        <w:jc w:val="both"/>
        <w:rPr>
          <w:rFonts w:ascii="Arial" w:hAnsi="Arial" w:eastAsia="Arial" w:cs="Arial"/>
          <w:color w:val="24292E"/>
          <w:sz w:val="22"/>
          <w:szCs w:val="22"/>
        </w:rPr>
      </w:pPr>
      <w:r w:rsidRPr="36A6E8A7" w:rsidR="5D9BD8D7">
        <w:rPr>
          <w:rFonts w:ascii="Arial" w:hAnsi="Arial" w:eastAsia="Arial" w:cs="Arial"/>
          <w:b w:val="1"/>
          <w:bCs w:val="1"/>
          <w:color w:val="24292E"/>
          <w:sz w:val="22"/>
          <w:szCs w:val="22"/>
        </w:rPr>
        <w:t>Standardise Measurement:</w:t>
      </w:r>
      <w:r w:rsidRPr="36A6E8A7" w:rsidR="5D9BD8D7">
        <w:rPr>
          <w:rFonts w:ascii="Arial" w:hAnsi="Arial" w:eastAsia="Arial" w:cs="Arial"/>
          <w:color w:val="24292E"/>
          <w:sz w:val="22"/>
          <w:szCs w:val="22"/>
        </w:rPr>
        <w:t xml:space="preserve"> </w:t>
      </w:r>
      <w:r w:rsidRPr="36A6E8A7" w:rsidR="5D9BD8D7">
        <w:rPr>
          <w:rFonts w:ascii="Arial" w:hAnsi="Arial" w:eastAsia="Arial" w:cs="Arial"/>
          <w:color w:val="24292E"/>
          <w:sz w:val="22"/>
          <w:szCs w:val="22"/>
        </w:rPr>
        <w:t>A national consensus on outcome measures (e.g., standardising the use of the UCLA Loneliness Scale) is needed to allow for robust comparison between different programmes.</w:t>
      </w:r>
    </w:p>
    <w:p w:rsidR="28C50471" w:rsidP="21EEA1D5" w:rsidRDefault="5D9BD8D7" w14:paraId="6AE875DC" w14:textId="46D19016">
      <w:pPr>
        <w:pStyle w:val="ListParagraph"/>
        <w:numPr>
          <w:ilvl w:val="0"/>
          <w:numId w:val="2"/>
        </w:numPr>
        <w:spacing w:after="0" w:line="360" w:lineRule="auto"/>
        <w:jc w:val="both"/>
        <w:rPr>
          <w:rFonts w:ascii="Arial" w:hAnsi="Arial" w:eastAsia="Arial" w:cs="Arial"/>
          <w:color w:val="24292E"/>
          <w:sz w:val="22"/>
          <w:szCs w:val="22"/>
        </w:rPr>
      </w:pPr>
      <w:r w:rsidRPr="36A6E8A7" w:rsidR="5D9BD8D7">
        <w:rPr>
          <w:rFonts w:ascii="Arial" w:hAnsi="Arial" w:eastAsia="Arial" w:cs="Arial"/>
          <w:b w:val="1"/>
          <w:bCs w:val="1"/>
          <w:color w:val="24292E"/>
          <w:sz w:val="22"/>
          <w:szCs w:val="22"/>
        </w:rPr>
        <w:t>Fund Longitudinal Studies:</w:t>
      </w:r>
      <w:r w:rsidRPr="36A6E8A7" w:rsidR="5D9BD8D7">
        <w:rPr>
          <w:rFonts w:ascii="Arial" w:hAnsi="Arial" w:eastAsia="Arial" w:cs="Arial"/>
          <w:color w:val="24292E"/>
          <w:sz w:val="22"/>
          <w:szCs w:val="22"/>
        </w:rPr>
        <w:t xml:space="preserve"> </w:t>
      </w:r>
      <w:r w:rsidRPr="36A6E8A7" w:rsidR="5D9BD8D7">
        <w:rPr>
          <w:rFonts w:ascii="Arial" w:hAnsi="Arial" w:eastAsia="Arial" w:cs="Arial"/>
          <w:color w:val="24292E"/>
          <w:sz w:val="22"/>
          <w:szCs w:val="22"/>
        </w:rPr>
        <w:t>More research is required to track outcomes over periods of 1–5 years to determine the long-term sustainability of interventions.</w:t>
      </w:r>
    </w:p>
    <w:p w:rsidR="28C50471" w:rsidP="36A6E8A7" w:rsidRDefault="5D9BD8D7" w14:paraId="2F5FB5E8" w14:textId="19B72822">
      <w:pPr>
        <w:pStyle w:val="ListParagraph"/>
        <w:numPr>
          <w:ilvl w:val="0"/>
          <w:numId w:val="1"/>
        </w:numPr>
        <w:spacing w:after="0" w:line="360" w:lineRule="auto"/>
        <w:jc w:val="both"/>
        <w:rPr>
          <w:rFonts w:ascii="Arial" w:hAnsi="Arial" w:eastAsia="Arial" w:cs="Arial"/>
          <w:color w:val="24292E"/>
          <w:sz w:val="22"/>
          <w:szCs w:val="22"/>
        </w:rPr>
      </w:pPr>
      <w:r w:rsidRPr="36A6E8A7" w:rsidR="5D9BD8D7">
        <w:rPr>
          <w:rFonts w:ascii="Arial" w:hAnsi="Arial" w:eastAsia="Arial" w:cs="Arial"/>
          <w:b w:val="1"/>
          <w:bCs w:val="1"/>
          <w:color w:val="24292E"/>
          <w:sz w:val="22"/>
          <w:szCs w:val="22"/>
        </w:rPr>
        <w:t>Support Rural Areas:</w:t>
      </w:r>
      <w:r w:rsidRPr="36A6E8A7" w:rsidR="5D9BD8D7">
        <w:rPr>
          <w:rFonts w:ascii="Arial" w:hAnsi="Arial" w:eastAsia="Arial" w:cs="Arial"/>
          <w:color w:val="24292E"/>
          <w:sz w:val="22"/>
          <w:szCs w:val="22"/>
        </w:rPr>
        <w:t xml:space="preserve"> </w:t>
      </w:r>
      <w:r w:rsidRPr="36A6E8A7" w:rsidR="26DEA12B">
        <w:rPr>
          <w:rFonts w:ascii="Arial" w:hAnsi="Arial" w:eastAsia="Arial" w:cs="Arial"/>
          <w:color w:val="24292E"/>
          <w:sz w:val="22"/>
          <w:szCs w:val="22"/>
        </w:rPr>
        <w:t>Dedicated funding for rural infrastructure where community partners are scarce</w:t>
      </w:r>
    </w:p>
    <w:p w:rsidR="28C50471" w:rsidP="21EEA1D5" w:rsidRDefault="5D9BD8D7" w14:paraId="58E1FD12" w14:textId="14324EDC">
      <w:pPr>
        <w:spacing w:before="150" w:after="150" w:line="360" w:lineRule="auto"/>
        <w:jc w:val="both"/>
        <w:rPr>
          <w:rFonts w:ascii="Arial" w:hAnsi="Arial" w:eastAsia="Arial" w:cs="Arial"/>
          <w:color w:val="24292E"/>
          <w:sz w:val="22"/>
          <w:szCs w:val="22"/>
        </w:rPr>
      </w:pPr>
      <w:r w:rsidRPr="36A6E8A7" w:rsidR="5D9BD8D7">
        <w:rPr>
          <w:rFonts w:ascii="Arial" w:hAnsi="Arial" w:eastAsia="Arial" w:cs="Arial"/>
          <w:b w:val="1"/>
          <w:bCs w:val="1"/>
          <w:color w:val="24292E"/>
          <w:sz w:val="22"/>
          <w:szCs w:val="22"/>
        </w:rPr>
        <w:t>Final Thoughts</w:t>
      </w:r>
      <w:r w:rsidRPr="36A6E8A7" w:rsidR="5D9BD8D7">
        <w:rPr>
          <w:rFonts w:ascii="Arial" w:hAnsi="Arial" w:eastAsia="Arial" w:cs="Arial"/>
          <w:color w:val="24292E"/>
          <w:sz w:val="22"/>
          <w:szCs w:val="22"/>
        </w:rPr>
        <w:t xml:space="preserve"> </w:t>
      </w:r>
      <w:r w:rsidRPr="36A6E8A7" w:rsidR="5D9BD8D7">
        <w:rPr>
          <w:rFonts w:ascii="Arial" w:hAnsi="Arial" w:eastAsia="Arial" w:cs="Arial"/>
          <w:color w:val="24292E"/>
          <w:sz w:val="22"/>
          <w:szCs w:val="22"/>
        </w:rPr>
        <w:t>In conclusion, while the evidence base supports the efficacy of community-based approaches, realising their full potential requires a shift from fragmented projects to a cohesive, well-resourced national strategy. By addressing the barriers identified in this review, the UK can create a more inclusive environment where older adults are supported not just medically, but socially and emotionally, ensuring a higher quality of life for the ageing population.</w:t>
      </w:r>
    </w:p>
    <w:p w:rsidR="28C50471" w:rsidP="28C50471" w:rsidRDefault="28C50471" w14:paraId="3DDBC522" w14:textId="53686BF3">
      <w:pPr>
        <w:shd w:val="clear" w:color="auto" w:fill="FFFFFF" w:themeFill="background1"/>
        <w:spacing w:line="360" w:lineRule="auto"/>
        <w:jc w:val="both"/>
        <w:rPr>
          <w:rFonts w:ascii="Arial" w:hAnsi="Arial" w:eastAsia="Arial" w:cs="Arial"/>
          <w:color w:val="24292E"/>
          <w:sz w:val="22"/>
          <w:szCs w:val="22"/>
        </w:rPr>
      </w:pPr>
    </w:p>
    <w:p w:rsidR="4B48859D" w:rsidP="1703EFF3" w:rsidRDefault="4B48859D" w14:paraId="7C893AB7" w14:textId="13A2BF7A">
      <w:pPr>
        <w:shd w:val="clear" w:color="auto" w:fill="FFFFFF" w:themeFill="background1"/>
        <w:spacing w:line="360" w:lineRule="auto"/>
        <w:jc w:val="both"/>
        <w:rPr>
          <w:rFonts w:ascii="Arial" w:hAnsi="Arial" w:eastAsia="Arial" w:cs="Arial"/>
          <w:color w:val="24292E"/>
          <w:sz w:val="22"/>
          <w:szCs w:val="22"/>
        </w:rPr>
      </w:pPr>
    </w:p>
    <w:p w:rsidRPr="00A407C0" w:rsidR="00AF5690" w:rsidP="4608BE14" w:rsidRDefault="6A67E093" w14:paraId="78B89233" w14:textId="2B4118F6">
      <w:pPr>
        <w:pStyle w:val="Heading3"/>
        <w:shd w:val="clear" w:color="auto" w:fill="FFFFFF" w:themeFill="background1"/>
        <w:spacing w:before="0" w:after="0" w:line="360" w:lineRule="auto"/>
        <w:jc w:val="both"/>
        <w:rPr>
          <w:rFonts w:ascii="Arial" w:hAnsi="Arial" w:eastAsia="Arial" w:cs="Arial"/>
          <w:b w:val="1"/>
          <w:bCs w:val="1"/>
          <w:color w:val="24292E"/>
          <w:sz w:val="22"/>
          <w:szCs w:val="22"/>
        </w:rPr>
      </w:pPr>
      <w:bookmarkStart w:name="_Toc2083491192" w:id="154369090"/>
      <w:r w:rsidRPr="36A6E8A7" w:rsidR="6A67E093">
        <w:rPr>
          <w:rFonts w:ascii="Arial" w:hAnsi="Arial" w:eastAsia="Arial" w:cs="Arial"/>
          <w:b w:val="1"/>
          <w:bCs w:val="1"/>
          <w:color w:val="24292E"/>
          <w:sz w:val="22"/>
          <w:szCs w:val="22"/>
        </w:rPr>
        <w:t>Reference List</w:t>
      </w:r>
      <w:bookmarkEnd w:id="154369090"/>
    </w:p>
    <w:p w:rsidR="4834FAAD" w:rsidP="36A6E8A7" w:rsidRDefault="4834FAAD" w14:paraId="5A1EC217" w14:textId="54BC84DC">
      <w:pPr>
        <w:shd w:val="clear" w:color="auto" w:fill="FFFFFF" w:themeFill="background1"/>
        <w:spacing w:beforeAutospacing="on" w:line="360" w:lineRule="auto"/>
        <w:rPr>
          <w:rFonts w:ascii="Arial" w:hAnsi="Arial" w:eastAsia="Arial" w:cs="Arial"/>
          <w:color w:val="24292E"/>
          <w:sz w:val="22"/>
          <w:szCs w:val="22"/>
        </w:rPr>
      </w:pPr>
      <w:r w:rsidRPr="36A6E8A7" w:rsidR="4834FAAD">
        <w:rPr>
          <w:rFonts w:ascii="Arial" w:hAnsi="Arial" w:eastAsia="Arial" w:cs="Arial"/>
          <w:color w:val="24292E"/>
          <w:sz w:val="22"/>
          <w:szCs w:val="22"/>
        </w:rPr>
        <w:t xml:space="preserve">Age UK (2025) Loneliness campaign 2025: No one should have no one. London: Age UK. Available at: </w:t>
      </w:r>
      <w:hyperlink r:id="Rb11d7c7da8344c1f">
        <w:r w:rsidRPr="36A6E8A7" w:rsidR="4834FAAD">
          <w:rPr>
            <w:rStyle w:val="Hyperlink"/>
            <w:rFonts w:ascii="Arial" w:hAnsi="Arial" w:eastAsia="Arial" w:cs="Arial"/>
            <w:color w:val="6D4AFF"/>
            <w:sz w:val="22"/>
            <w:szCs w:val="22"/>
          </w:rPr>
          <w:t>https://www.ageuk.org.uk</w:t>
        </w:r>
      </w:hyperlink>
      <w:r w:rsidRPr="36A6E8A7" w:rsidR="4834FAAD">
        <w:rPr>
          <w:rFonts w:ascii="Arial" w:hAnsi="Arial" w:eastAsia="Arial" w:cs="Arial"/>
          <w:color w:val="24292E"/>
          <w:sz w:val="22"/>
          <w:szCs w:val="22"/>
        </w:rPr>
        <w:t xml:space="preserve"> (Accessed: 15 May 2026).</w:t>
      </w:r>
    </w:p>
    <w:p w:rsidR="409C1F51" w:rsidP="21EEA1D5" w:rsidRDefault="409C1F51" w14:paraId="52F1AAD1" w14:textId="00660793">
      <w:pPr>
        <w:shd w:val="clear" w:color="auto" w:fill="FFFFFF" w:themeFill="background1"/>
        <w:rPr>
          <w:rFonts w:ascii="Arial" w:hAnsi="Arial" w:eastAsia="Arial" w:cs="Arial"/>
          <w:color w:val="24292E"/>
          <w:sz w:val="22"/>
          <w:szCs w:val="22"/>
        </w:rPr>
      </w:pPr>
      <w:r w:rsidRPr="36A6E8A7" w:rsidR="409C1F51">
        <w:rPr>
          <w:rFonts w:ascii="Arial" w:hAnsi="Arial" w:eastAsia="Arial" w:cs="Arial"/>
          <w:color w:val="24292E"/>
          <w:sz w:val="22"/>
          <w:szCs w:val="22"/>
        </w:rPr>
        <w:t>Aveyard, H. (2019) *</w:t>
      </w:r>
      <w:r w:rsidRPr="36A6E8A7" w:rsidR="409C1F51">
        <w:rPr>
          <w:rFonts w:ascii="Arial" w:hAnsi="Arial" w:eastAsia="Arial" w:cs="Arial"/>
          <w:b w:val="1"/>
          <w:bCs w:val="1"/>
          <w:color w:val="24292E"/>
          <w:sz w:val="22"/>
          <w:szCs w:val="22"/>
        </w:rPr>
        <w:t xml:space="preserve">Doing a Literature Review in Health and Social Care: A Practical </w:t>
      </w:r>
      <w:r w:rsidRPr="36A6E8A7" w:rsidR="1F3651CE">
        <w:rPr>
          <w:rFonts w:ascii="Arial" w:hAnsi="Arial" w:eastAsia="Arial" w:cs="Arial"/>
          <w:b w:val="1"/>
          <w:bCs w:val="1"/>
          <w:color w:val="24292E"/>
          <w:sz w:val="22"/>
          <w:szCs w:val="22"/>
        </w:rPr>
        <w:t>Guide.</w:t>
      </w:r>
      <w:r w:rsidRPr="36A6E8A7" w:rsidR="1F3651CE">
        <w:rPr>
          <w:rFonts w:ascii="Arial" w:hAnsi="Arial" w:eastAsia="Arial" w:cs="Arial"/>
          <w:color w:val="24292E"/>
          <w:sz w:val="22"/>
          <w:szCs w:val="22"/>
        </w:rPr>
        <w:t xml:space="preserve"> *</w:t>
      </w:r>
      <w:r w:rsidRPr="36A6E8A7" w:rsidR="409C1F51">
        <w:rPr>
          <w:rFonts w:ascii="Arial" w:hAnsi="Arial" w:eastAsia="Arial" w:cs="Arial"/>
          <w:color w:val="24292E"/>
          <w:sz w:val="22"/>
          <w:szCs w:val="22"/>
        </w:rPr>
        <w:t xml:space="preserve"> 4th edn. Maidenhead: Open University Press.</w:t>
      </w:r>
    </w:p>
    <w:p w:rsidR="00AF5690" w:rsidP="36A6E8A7" w:rsidRDefault="6A67E093" w14:paraId="1761DA00" w14:textId="7EDC0F8D">
      <w:pPr>
        <w:shd w:val="clear" w:color="auto" w:fill="FFFFFF" w:themeFill="background1"/>
        <w:spacing w:beforeAutospacing="on" w:line="360" w:lineRule="auto"/>
        <w:rPr>
          <w:rFonts w:ascii="Arial" w:hAnsi="Arial" w:eastAsia="Arial" w:cs="Arial"/>
          <w:color w:val="24292E"/>
          <w:sz w:val="22"/>
          <w:szCs w:val="22"/>
        </w:rPr>
      </w:pPr>
      <w:r w:rsidRPr="36A6E8A7" w:rsidR="6A67E093">
        <w:rPr>
          <w:rFonts w:ascii="Arial" w:hAnsi="Arial" w:eastAsia="Arial" w:cs="Arial"/>
          <w:color w:val="24292E"/>
          <w:sz w:val="22"/>
          <w:szCs w:val="22"/>
        </w:rPr>
        <w:t xml:space="preserve">Altschul, D., de Figueiredo, C. and Melton, P. (2020) 'Loneliness and the risk of dementia: Evidence from the English Longitudinal Study of Ageing', </w:t>
      </w:r>
      <w:r w:rsidRPr="36A6E8A7" w:rsidR="6A67E093">
        <w:rPr>
          <w:rFonts w:ascii="Arial" w:hAnsi="Arial" w:eastAsia="Arial" w:cs="Arial"/>
          <w:i w:val="1"/>
          <w:iCs w:val="1"/>
          <w:color w:val="24292E"/>
          <w:sz w:val="22"/>
          <w:szCs w:val="22"/>
        </w:rPr>
        <w:t>Age and Ageing</w:t>
      </w:r>
      <w:r w:rsidRPr="36A6E8A7" w:rsidR="6A67E093">
        <w:rPr>
          <w:rFonts w:ascii="Arial" w:hAnsi="Arial" w:eastAsia="Arial" w:cs="Arial"/>
          <w:color w:val="24292E"/>
          <w:sz w:val="22"/>
          <w:szCs w:val="22"/>
        </w:rPr>
        <w:t xml:space="preserve">, 49(6), pp. 985–991. Available at: </w:t>
      </w:r>
      <w:hyperlink r:id="Rc100da4d86084244">
        <w:r w:rsidRPr="36A6E8A7" w:rsidR="6A67E093">
          <w:rPr>
            <w:rStyle w:val="Hyperlink"/>
            <w:rFonts w:ascii="Arial" w:hAnsi="Arial" w:eastAsia="Arial" w:cs="Arial"/>
            <w:color w:val="6D4AFF"/>
            <w:sz w:val="22"/>
            <w:szCs w:val="22"/>
          </w:rPr>
          <w:t>https://doi.org/10.1093/ageing/afaa052</w:t>
        </w:r>
      </w:hyperlink>
      <w:r w:rsidRPr="36A6E8A7" w:rsidR="6A67E093">
        <w:rPr>
          <w:rFonts w:ascii="Arial" w:hAnsi="Arial" w:eastAsia="Arial" w:cs="Arial"/>
          <w:color w:val="24292E"/>
          <w:sz w:val="22"/>
          <w:szCs w:val="22"/>
        </w:rPr>
        <w:t xml:space="preserve"> (Accessed: 15 May 2026). </w:t>
      </w:r>
    </w:p>
    <w:p w:rsidR="00AF5690" w:rsidP="36A6E8A7" w:rsidRDefault="6A67E093" w14:paraId="5B06938D" w14:textId="6A542510">
      <w:pPr>
        <w:shd w:val="clear" w:color="auto" w:fill="FFFFFF" w:themeFill="background1"/>
        <w:spacing w:beforeAutospacing="on" w:line="360" w:lineRule="auto"/>
        <w:rPr>
          <w:rFonts w:ascii="Arial" w:hAnsi="Arial" w:eastAsia="Arial" w:cs="Arial"/>
          <w:sz w:val="22"/>
          <w:szCs w:val="22"/>
        </w:rPr>
      </w:pPr>
      <w:r w:rsidRPr="36A6E8A7" w:rsidR="6A67E093">
        <w:rPr>
          <w:rFonts w:ascii="Arial" w:hAnsi="Arial" w:eastAsia="Arial" w:cs="Arial"/>
          <w:color w:val="24292E"/>
          <w:sz w:val="22"/>
          <w:szCs w:val="22"/>
        </w:rPr>
        <w:t xml:space="preserve">Arksey, H. and O'Malley, L. (2005) 'Scoping studies: towards a methodological framework', </w:t>
      </w:r>
      <w:r w:rsidRPr="36A6E8A7" w:rsidR="6A67E093">
        <w:rPr>
          <w:rFonts w:ascii="Arial" w:hAnsi="Arial" w:eastAsia="Arial" w:cs="Arial"/>
          <w:i w:val="1"/>
          <w:iCs w:val="1"/>
          <w:color w:val="24292E"/>
          <w:sz w:val="22"/>
          <w:szCs w:val="22"/>
        </w:rPr>
        <w:t>International Journal of Social Research Methodology</w:t>
      </w:r>
      <w:r w:rsidRPr="36A6E8A7" w:rsidR="6A67E093">
        <w:rPr>
          <w:rFonts w:ascii="Arial" w:hAnsi="Arial" w:eastAsia="Arial" w:cs="Arial"/>
          <w:color w:val="24292E"/>
          <w:sz w:val="22"/>
          <w:szCs w:val="22"/>
        </w:rPr>
        <w:t xml:space="preserve">, 8(1), pp. 19–32. Available at: </w:t>
      </w:r>
      <w:hyperlink r:id="R0ce83159fd564870">
        <w:r w:rsidRPr="36A6E8A7" w:rsidR="6A67E093">
          <w:rPr>
            <w:rStyle w:val="Hyperlink"/>
            <w:rFonts w:ascii="Arial" w:hAnsi="Arial" w:eastAsia="Arial" w:cs="Arial"/>
            <w:color w:val="6D4AFF"/>
            <w:sz w:val="22"/>
            <w:szCs w:val="22"/>
          </w:rPr>
          <w:t>https://doi.org/10.1080/1364557032000119616</w:t>
        </w:r>
      </w:hyperlink>
    </w:p>
    <w:p w:rsidR="00AF5690" w:rsidP="36A6E8A7" w:rsidRDefault="6A67E093" w14:paraId="614BA4B1" w14:textId="5EF774BC">
      <w:pPr>
        <w:shd w:val="clear" w:color="auto" w:fill="FFFFFF" w:themeFill="background1"/>
        <w:spacing w:beforeAutospacing="on" w:line="360" w:lineRule="auto"/>
        <w:rPr>
          <w:rFonts w:ascii="Arial" w:hAnsi="Arial" w:eastAsia="Arial" w:cs="Arial"/>
          <w:sz w:val="22"/>
          <w:szCs w:val="22"/>
        </w:rPr>
      </w:pPr>
      <w:r w:rsidRPr="36A6E8A7" w:rsidR="6A67E093">
        <w:rPr>
          <w:rFonts w:ascii="Arial" w:hAnsi="Arial" w:eastAsia="Arial" w:cs="Arial"/>
          <w:color w:val="24292E"/>
          <w:sz w:val="22"/>
          <w:szCs w:val="22"/>
        </w:rPr>
        <w:t xml:space="preserve">Bickerdike, L., Booth, A., Wilson, P.M. et al. (2017) 'Social prescribing: less rhetoric or reality? A systematic review of the evidence base', </w:t>
      </w:r>
      <w:r w:rsidRPr="36A6E8A7" w:rsidR="6A67E093">
        <w:rPr>
          <w:rFonts w:ascii="Arial" w:hAnsi="Arial" w:eastAsia="Arial" w:cs="Arial"/>
          <w:i w:val="1"/>
          <w:iCs w:val="1"/>
          <w:color w:val="24292E"/>
          <w:sz w:val="22"/>
          <w:szCs w:val="22"/>
        </w:rPr>
        <w:t>BMJ Open</w:t>
      </w:r>
      <w:r w:rsidRPr="36A6E8A7" w:rsidR="6A67E093">
        <w:rPr>
          <w:rFonts w:ascii="Arial" w:hAnsi="Arial" w:eastAsia="Arial" w:cs="Arial"/>
          <w:color w:val="24292E"/>
          <w:sz w:val="22"/>
          <w:szCs w:val="22"/>
        </w:rPr>
        <w:t xml:space="preserve">, 7(4), e013384. Available at: </w:t>
      </w:r>
      <w:hyperlink r:id="Re45a887f33724734">
        <w:r w:rsidRPr="36A6E8A7" w:rsidR="6A67E093">
          <w:rPr>
            <w:rStyle w:val="Hyperlink"/>
            <w:rFonts w:ascii="Arial" w:hAnsi="Arial" w:eastAsia="Arial" w:cs="Arial"/>
            <w:color w:val="6D4AFF"/>
            <w:sz w:val="22"/>
            <w:szCs w:val="22"/>
          </w:rPr>
          <w:t>https://doi.org/10.1136/bmjopen-2016-013384</w:t>
        </w:r>
      </w:hyperlink>
    </w:p>
    <w:p w:rsidR="00AF5690" w:rsidP="36A6E8A7" w:rsidRDefault="1909457A" w14:paraId="0DEDCB31" w14:textId="1ECAB9AE">
      <w:pPr>
        <w:shd w:val="clear" w:color="auto" w:fill="FFFFFF" w:themeFill="background1"/>
        <w:spacing w:beforeAutospacing="on" w:line="360" w:lineRule="auto"/>
        <w:rPr>
          <w:rFonts w:ascii="Arial" w:hAnsi="Arial" w:eastAsia="Arial" w:cs="Arial"/>
          <w:sz w:val="22"/>
          <w:szCs w:val="22"/>
        </w:rPr>
      </w:pPr>
      <w:r w:rsidRPr="36A6E8A7" w:rsidR="1909457A">
        <w:rPr>
          <w:rFonts w:ascii="Arial" w:hAnsi="Arial" w:eastAsia="Arial" w:cs="Arial"/>
          <w:color w:val="24292E"/>
          <w:sz w:val="22"/>
          <w:szCs w:val="22"/>
        </w:rPr>
        <w:t>Braun, V., and Clarke, V. (2006)</w:t>
      </w:r>
      <w:r w:rsidRPr="36A6E8A7" w:rsidR="46479340">
        <w:rPr>
          <w:rFonts w:ascii="Arial" w:hAnsi="Arial" w:eastAsia="Arial" w:cs="Arial"/>
          <w:color w:val="24292E"/>
          <w:sz w:val="22"/>
          <w:szCs w:val="22"/>
        </w:rPr>
        <w:t xml:space="preserve"> 'Using thematic analysis in psychology', *Qualitative Research in Psychology*, 3(2), pp. 77--101.</w:t>
      </w:r>
      <w:r w:rsidRPr="36A6E8A7" w:rsidR="6A67E093">
        <w:rPr>
          <w:rFonts w:ascii="Arial" w:hAnsi="Arial" w:eastAsia="Arial" w:cs="Arial"/>
          <w:color w:val="24292E"/>
          <w:sz w:val="22"/>
          <w:szCs w:val="22"/>
        </w:rPr>
        <w:t xml:space="preserve"> </w:t>
      </w:r>
      <w:hyperlink r:id="R6cfdbcbf2eba44be">
        <w:r w:rsidRPr="36A6E8A7" w:rsidR="6A67E093">
          <w:rPr>
            <w:rStyle w:val="Hyperlink"/>
            <w:rFonts w:ascii="Arial" w:hAnsi="Arial" w:eastAsia="Arial" w:cs="Arial"/>
            <w:color w:val="6D4AFF"/>
            <w:sz w:val="22"/>
            <w:szCs w:val="22"/>
          </w:rPr>
          <w:t>https://doi.org/10.1191/1478088706qp063oa</w:t>
        </w:r>
      </w:hyperlink>
    </w:p>
    <w:p w:rsidR="00AF5690" w:rsidP="36A6E8A7" w:rsidRDefault="6A67E093" w14:paraId="7CB7CC52" w14:textId="2DA5048F">
      <w:pPr>
        <w:shd w:val="clear" w:color="auto" w:fill="FFFFFF" w:themeFill="background1"/>
        <w:spacing w:beforeAutospacing="on" w:line="360" w:lineRule="auto"/>
        <w:rPr>
          <w:rFonts w:ascii="Arial" w:hAnsi="Arial" w:eastAsia="Arial" w:cs="Arial"/>
          <w:color w:val="24292E"/>
          <w:sz w:val="22"/>
          <w:szCs w:val="22"/>
        </w:rPr>
      </w:pPr>
      <w:r w:rsidRPr="36A6E8A7" w:rsidR="6A67E093">
        <w:rPr>
          <w:rFonts w:ascii="Arial" w:hAnsi="Arial" w:eastAsia="Arial" w:cs="Arial"/>
          <w:color w:val="24292E"/>
          <w:sz w:val="22"/>
          <w:szCs w:val="22"/>
        </w:rPr>
        <w:t xml:space="preserve">Campaign to End Loneliness (2021) </w:t>
      </w:r>
      <w:r w:rsidRPr="36A6E8A7" w:rsidR="6A67E093">
        <w:rPr>
          <w:rFonts w:ascii="Arial" w:hAnsi="Arial" w:eastAsia="Arial" w:cs="Arial"/>
          <w:i w:val="1"/>
          <w:iCs w:val="1"/>
          <w:color w:val="24292E"/>
          <w:sz w:val="22"/>
          <w:szCs w:val="22"/>
        </w:rPr>
        <w:t>National Strategy to Reduce Loneliness.</w:t>
      </w:r>
      <w:r w:rsidRPr="36A6E8A7" w:rsidR="6A67E093">
        <w:rPr>
          <w:rFonts w:ascii="Arial" w:hAnsi="Arial" w:eastAsia="Arial" w:cs="Arial"/>
          <w:color w:val="24292E"/>
          <w:sz w:val="22"/>
          <w:szCs w:val="22"/>
        </w:rPr>
        <w:t xml:space="preserve"> London:</w:t>
      </w:r>
      <w:r w:rsidRPr="36A6E8A7" w:rsidR="294BD386">
        <w:rPr>
          <w:rFonts w:ascii="Arial" w:hAnsi="Arial" w:eastAsia="Arial" w:cs="Arial"/>
          <w:color w:val="0C0C14"/>
          <w:sz w:val="22"/>
          <w:szCs w:val="22"/>
        </w:rPr>
        <w:t xml:space="preserve"> Campaign to End Loneliness. Available at</w:t>
      </w:r>
      <w:r w:rsidRPr="36A6E8A7" w:rsidR="68D0E522">
        <w:rPr>
          <w:rFonts w:ascii="Arial" w:hAnsi="Arial" w:eastAsia="Arial" w:cs="Arial"/>
          <w:color w:val="0C0C14"/>
          <w:sz w:val="22"/>
          <w:szCs w:val="22"/>
        </w:rPr>
        <w:t xml:space="preserve"> </w:t>
      </w:r>
      <w:r w:rsidRPr="36A6E8A7" w:rsidR="6A67E093">
        <w:rPr>
          <w:rFonts w:ascii="Arial" w:hAnsi="Arial" w:eastAsia="Arial" w:cs="Arial"/>
          <w:color w:val="24292E"/>
          <w:sz w:val="22"/>
          <w:szCs w:val="22"/>
        </w:rPr>
        <w:t xml:space="preserve"> </w:t>
      </w:r>
      <w:hyperlink r:id="Rf521ef89bc9e43fd">
        <w:r w:rsidRPr="36A6E8A7" w:rsidR="6A67E093">
          <w:rPr>
            <w:rStyle w:val="Hyperlink"/>
            <w:rFonts w:ascii="Arial" w:hAnsi="Arial" w:eastAsia="Arial" w:cs="Arial"/>
            <w:color w:val="6D4AFF"/>
            <w:sz w:val="22"/>
            <w:szCs w:val="22"/>
          </w:rPr>
          <w:t>https://www.campaigntoendloneliness.org/strategy</w:t>
        </w:r>
      </w:hyperlink>
      <w:r w:rsidRPr="36A6E8A7" w:rsidR="6A67E093">
        <w:rPr>
          <w:rFonts w:ascii="Arial" w:hAnsi="Arial" w:eastAsia="Arial" w:cs="Arial"/>
          <w:color w:val="24292E"/>
          <w:sz w:val="22"/>
          <w:szCs w:val="22"/>
        </w:rPr>
        <w:t xml:space="preserve"> (Accessed: 27 Feb 2026).</w:t>
      </w:r>
    </w:p>
    <w:p w:rsidR="00AF5690" w:rsidP="36A6E8A7" w:rsidRDefault="6A67E093" w14:paraId="464C49D6" w14:textId="6EE7B3EB">
      <w:pPr>
        <w:shd w:val="clear" w:color="auto" w:fill="FFFFFF" w:themeFill="background1"/>
        <w:spacing w:beforeAutospacing="on" w:line="360" w:lineRule="auto"/>
        <w:rPr>
          <w:rFonts w:ascii="Arial" w:hAnsi="Arial" w:eastAsia="Arial" w:cs="Arial"/>
          <w:sz w:val="22"/>
          <w:szCs w:val="22"/>
        </w:rPr>
      </w:pPr>
      <w:r w:rsidRPr="36A6E8A7" w:rsidR="6A67E093">
        <w:rPr>
          <w:rFonts w:ascii="Arial" w:hAnsi="Arial" w:eastAsia="Arial" w:cs="Arial"/>
          <w:color w:val="24292E"/>
          <w:sz w:val="22"/>
          <w:szCs w:val="22"/>
        </w:rPr>
        <w:t xml:space="preserve">Cattan, M., White, </w:t>
      </w:r>
      <w:r w:rsidRPr="36A6E8A7" w:rsidR="60FD58A7">
        <w:rPr>
          <w:rFonts w:ascii="Arial" w:hAnsi="Arial" w:eastAsia="Arial" w:cs="Arial"/>
          <w:color w:val="24292E"/>
          <w:sz w:val="22"/>
          <w:szCs w:val="22"/>
        </w:rPr>
        <w:t>M.,</w:t>
      </w:r>
      <w:r w:rsidRPr="36A6E8A7" w:rsidR="6A67E093">
        <w:rPr>
          <w:rFonts w:ascii="Arial" w:hAnsi="Arial" w:eastAsia="Arial" w:cs="Arial"/>
          <w:color w:val="24292E"/>
          <w:sz w:val="22"/>
          <w:szCs w:val="22"/>
        </w:rPr>
        <w:t xml:space="preserve"> and Bond, J. (2020) 'The impact of digital technology on loneliness in older adults: A systematic review', </w:t>
      </w:r>
      <w:r w:rsidRPr="36A6E8A7" w:rsidR="6A67E093">
        <w:rPr>
          <w:rFonts w:ascii="Arial" w:hAnsi="Arial" w:eastAsia="Arial" w:cs="Arial"/>
          <w:i w:val="1"/>
          <w:iCs w:val="1"/>
          <w:color w:val="24292E"/>
          <w:sz w:val="22"/>
          <w:szCs w:val="22"/>
        </w:rPr>
        <w:t>Journal of Medical Internet Research</w:t>
      </w:r>
      <w:r w:rsidRPr="36A6E8A7" w:rsidR="6A67E093">
        <w:rPr>
          <w:rFonts w:ascii="Arial" w:hAnsi="Arial" w:eastAsia="Arial" w:cs="Arial"/>
          <w:color w:val="24292E"/>
          <w:sz w:val="22"/>
          <w:szCs w:val="22"/>
        </w:rPr>
        <w:t xml:space="preserve">, 22(8), e19673. Available at: </w:t>
      </w:r>
      <w:hyperlink r:id="R3de96f9c891a4d25">
        <w:r w:rsidRPr="36A6E8A7" w:rsidR="6A67E093">
          <w:rPr>
            <w:rStyle w:val="Hyperlink"/>
            <w:rFonts w:ascii="Arial" w:hAnsi="Arial" w:eastAsia="Arial" w:cs="Arial"/>
            <w:color w:val="6D4AFF"/>
            <w:sz w:val="22"/>
            <w:szCs w:val="22"/>
          </w:rPr>
          <w:t>https://doi.org/10.2196/19673</w:t>
        </w:r>
      </w:hyperlink>
    </w:p>
    <w:p w:rsidR="00AF5690" w:rsidP="36A6E8A7" w:rsidRDefault="6A67E093" w14:paraId="58776B7F" w14:textId="732AB10A">
      <w:pPr>
        <w:shd w:val="clear" w:color="auto" w:fill="FFFFFF" w:themeFill="background1"/>
        <w:spacing w:beforeAutospacing="on" w:line="360" w:lineRule="auto"/>
        <w:rPr>
          <w:rFonts w:ascii="Arial" w:hAnsi="Arial" w:eastAsia="Arial" w:cs="Arial"/>
          <w:color w:val="24292E"/>
          <w:sz w:val="22"/>
          <w:szCs w:val="22"/>
        </w:rPr>
      </w:pPr>
      <w:r w:rsidRPr="36A6E8A7" w:rsidR="6A67E093">
        <w:rPr>
          <w:rFonts w:ascii="Arial" w:hAnsi="Arial" w:eastAsia="Arial" w:cs="Arial"/>
          <w:color w:val="24292E"/>
          <w:sz w:val="22"/>
          <w:szCs w:val="22"/>
        </w:rPr>
        <w:t xml:space="preserve">Department for Digital, Culture, Media &amp; Sport (2018) </w:t>
      </w:r>
      <w:r w:rsidRPr="36A6E8A7" w:rsidR="6A67E093">
        <w:rPr>
          <w:rFonts w:ascii="Arial" w:hAnsi="Arial" w:eastAsia="Arial" w:cs="Arial"/>
          <w:i w:val="1"/>
          <w:iCs w:val="1"/>
          <w:color w:val="24292E"/>
          <w:sz w:val="22"/>
          <w:szCs w:val="22"/>
        </w:rPr>
        <w:t>Building a Connected Society: The Government's Strategy to Tackle Loneliness.</w:t>
      </w:r>
      <w:r w:rsidRPr="36A6E8A7" w:rsidR="6A67E093">
        <w:rPr>
          <w:rFonts w:ascii="Arial" w:hAnsi="Arial" w:eastAsia="Arial" w:cs="Arial"/>
          <w:color w:val="24292E"/>
          <w:sz w:val="22"/>
          <w:szCs w:val="22"/>
        </w:rPr>
        <w:t xml:space="preserve"> London: DCMS. Available at:</w:t>
      </w:r>
      <w:hyperlink r:id="R5f9f60532b3640d4">
        <w:r w:rsidRPr="36A6E8A7" w:rsidR="6A67E093">
          <w:rPr>
            <w:rStyle w:val="Hyperlink"/>
            <w:rFonts w:ascii="Arial" w:hAnsi="Arial" w:eastAsia="Arial" w:cs="Arial"/>
            <w:color w:val="6D4AFF"/>
            <w:sz w:val="22"/>
            <w:szCs w:val="22"/>
          </w:rPr>
          <w:t>https://www.gov.uk/government/publications/building-a-connected-society-the-governments-strategy-to-tackle-loneliness</w:t>
        </w:r>
      </w:hyperlink>
      <w:r w:rsidRPr="36A6E8A7" w:rsidR="6A67E093">
        <w:rPr>
          <w:rFonts w:ascii="Arial" w:hAnsi="Arial" w:eastAsia="Arial" w:cs="Arial"/>
          <w:color w:val="24292E"/>
          <w:sz w:val="22"/>
          <w:szCs w:val="22"/>
        </w:rPr>
        <w:t xml:space="preserve"> (Accessed: 15 May 2026). </w:t>
      </w:r>
    </w:p>
    <w:p w:rsidR="00AF5690" w:rsidP="36A6E8A7" w:rsidRDefault="6A67E093" w14:paraId="6C469F54" w14:textId="56C05FE3">
      <w:pPr>
        <w:shd w:val="clear" w:color="auto" w:fill="FFFFFF" w:themeFill="background1"/>
        <w:spacing w:beforeAutospacing="on" w:line="360" w:lineRule="auto"/>
        <w:rPr>
          <w:rFonts w:ascii="Arial" w:hAnsi="Arial" w:eastAsia="Arial" w:cs="Arial"/>
          <w:sz w:val="22"/>
          <w:szCs w:val="22"/>
        </w:rPr>
      </w:pPr>
      <w:bookmarkStart w:name="_Int_9eS1diAV" w:id="7"/>
      <w:r w:rsidRPr="36A6E8A7" w:rsidR="6A67E093">
        <w:rPr>
          <w:rFonts w:ascii="Arial" w:hAnsi="Arial" w:eastAsia="Arial" w:cs="Arial"/>
          <w:color w:val="24292E"/>
          <w:sz w:val="22"/>
          <w:szCs w:val="22"/>
        </w:rPr>
        <w:t xml:space="preserve">Fancourt, </w:t>
      </w:r>
      <w:r w:rsidRPr="36A6E8A7" w:rsidR="6CBC9923">
        <w:rPr>
          <w:rFonts w:ascii="Arial" w:hAnsi="Arial" w:eastAsia="Arial" w:cs="Arial"/>
          <w:color w:val="24292E"/>
          <w:sz w:val="22"/>
          <w:szCs w:val="22"/>
        </w:rPr>
        <w:t>D.,</w:t>
      </w:r>
      <w:r w:rsidRPr="36A6E8A7" w:rsidR="6A67E093">
        <w:rPr>
          <w:rFonts w:ascii="Arial" w:hAnsi="Arial" w:eastAsia="Arial" w:cs="Arial"/>
          <w:color w:val="24292E"/>
          <w:sz w:val="22"/>
          <w:szCs w:val="22"/>
        </w:rPr>
        <w:t xml:space="preserve"> and Finn, S. (2019) </w:t>
      </w:r>
      <w:r w:rsidRPr="36A6E8A7" w:rsidR="6A67E093">
        <w:rPr>
          <w:rFonts w:ascii="Arial" w:hAnsi="Arial" w:eastAsia="Arial" w:cs="Arial"/>
          <w:i w:val="1"/>
          <w:iCs w:val="1"/>
          <w:color w:val="24292E"/>
          <w:sz w:val="22"/>
          <w:szCs w:val="22"/>
        </w:rPr>
        <w:t>What is the evidence on the role of the arts in improving health and well-being?</w:t>
      </w:r>
      <w:bookmarkEnd w:id="7"/>
      <w:r w:rsidRPr="36A6E8A7" w:rsidR="6A67E093">
        <w:rPr>
          <w:rFonts w:ascii="Arial" w:hAnsi="Arial" w:eastAsia="Arial" w:cs="Arial"/>
          <w:color w:val="24292E"/>
          <w:sz w:val="22"/>
          <w:szCs w:val="22"/>
        </w:rPr>
        <w:t xml:space="preserve"> Copenhagen: World Health Organization Regional Office for Europe. Available at: </w:t>
      </w:r>
      <w:hyperlink r:id="R34deffe6b5104f6a">
        <w:r w:rsidRPr="36A6E8A7" w:rsidR="6A67E093">
          <w:rPr>
            <w:rStyle w:val="Hyperlink"/>
            <w:rFonts w:ascii="Arial" w:hAnsi="Arial" w:eastAsia="Arial" w:cs="Arial"/>
            <w:color w:val="6D4AFF"/>
            <w:sz w:val="22"/>
            <w:szCs w:val="22"/>
          </w:rPr>
          <w:t>https://www.who.int/europe/publications/i/item/9789289054989</w:t>
        </w:r>
      </w:hyperlink>
    </w:p>
    <w:p w:rsidR="00AF5690" w:rsidP="36A6E8A7" w:rsidRDefault="6A67E093" w14:paraId="321804E1" w14:textId="6D4E7529">
      <w:pPr>
        <w:shd w:val="clear" w:color="auto" w:fill="FFFFFF" w:themeFill="background1"/>
        <w:spacing w:beforeAutospacing="on" w:line="360" w:lineRule="auto"/>
        <w:rPr>
          <w:rFonts w:ascii="Arial" w:hAnsi="Arial" w:eastAsia="Arial" w:cs="Arial"/>
          <w:sz w:val="22"/>
          <w:szCs w:val="22"/>
        </w:rPr>
      </w:pPr>
      <w:r w:rsidRPr="36A6E8A7" w:rsidR="6A67E093">
        <w:rPr>
          <w:rFonts w:ascii="Arial" w:hAnsi="Arial" w:eastAsia="Arial" w:cs="Arial"/>
          <w:color w:val="24292E"/>
          <w:sz w:val="22"/>
          <w:szCs w:val="22"/>
        </w:rPr>
        <w:t xml:space="preserve">Jentoft, E.E., Sandset, T. and Haldar, M. (2025) 'Problematizing loneliness as a public health issue: an analysis of policy in the United Kingdom', </w:t>
      </w:r>
      <w:r w:rsidRPr="36A6E8A7" w:rsidR="6A67E093">
        <w:rPr>
          <w:rFonts w:ascii="Arial" w:hAnsi="Arial" w:eastAsia="Arial" w:cs="Arial"/>
          <w:i w:val="1"/>
          <w:iCs w:val="1"/>
          <w:color w:val="24292E"/>
          <w:sz w:val="22"/>
          <w:szCs w:val="22"/>
        </w:rPr>
        <w:t>Critical Policy Studies</w:t>
      </w:r>
      <w:r w:rsidRPr="36A6E8A7" w:rsidR="6A67E093">
        <w:rPr>
          <w:rFonts w:ascii="Arial" w:hAnsi="Arial" w:eastAsia="Arial" w:cs="Arial"/>
          <w:color w:val="24292E"/>
          <w:sz w:val="22"/>
          <w:szCs w:val="22"/>
        </w:rPr>
        <w:t xml:space="preserve">, 19(1), pp. 1–18. Available at: </w:t>
      </w:r>
      <w:hyperlink r:id="R0b45c7056bfa47ea">
        <w:r w:rsidRPr="36A6E8A7" w:rsidR="6A67E093">
          <w:rPr>
            <w:rStyle w:val="Hyperlink"/>
            <w:rFonts w:ascii="Arial" w:hAnsi="Arial" w:eastAsia="Arial" w:cs="Arial"/>
            <w:color w:val="6D4AFF"/>
            <w:sz w:val="22"/>
            <w:szCs w:val="22"/>
          </w:rPr>
          <w:t>https://doi.org/10.1080/19460171.2024.2306240</w:t>
        </w:r>
      </w:hyperlink>
    </w:p>
    <w:p w:rsidR="00AF5690" w:rsidP="36A6E8A7" w:rsidRDefault="6A67E093" w14:paraId="7DE589BB" w14:textId="5D1BD4CC">
      <w:pPr>
        <w:shd w:val="clear" w:color="auto" w:fill="FFFFFF" w:themeFill="background1"/>
        <w:spacing w:beforeAutospacing="on" w:line="360" w:lineRule="auto"/>
        <w:rPr>
          <w:rFonts w:ascii="Arial" w:hAnsi="Arial" w:eastAsia="Arial" w:cs="Arial"/>
          <w:sz w:val="22"/>
          <w:szCs w:val="22"/>
        </w:rPr>
      </w:pPr>
      <w:r w:rsidRPr="36A6E8A7" w:rsidR="6A67E093">
        <w:rPr>
          <w:rFonts w:ascii="Arial" w:hAnsi="Arial" w:eastAsia="Arial" w:cs="Arial"/>
          <w:color w:val="24292E"/>
          <w:sz w:val="22"/>
          <w:szCs w:val="22"/>
        </w:rPr>
        <w:t xml:space="preserve">Khan, M. et al. (2023) 'Effectiveness of community-based creative interventions on health outcomes: a systematic review of controlled trials', </w:t>
      </w:r>
      <w:r w:rsidRPr="36A6E8A7" w:rsidR="6A67E093">
        <w:rPr>
          <w:rFonts w:ascii="Arial" w:hAnsi="Arial" w:eastAsia="Arial" w:cs="Arial"/>
          <w:i w:val="1"/>
          <w:iCs w:val="1"/>
          <w:color w:val="24292E"/>
          <w:sz w:val="22"/>
          <w:szCs w:val="22"/>
        </w:rPr>
        <w:t>BMC Public Health</w:t>
      </w:r>
      <w:r w:rsidRPr="36A6E8A7" w:rsidR="6A67E093">
        <w:rPr>
          <w:rFonts w:ascii="Arial" w:hAnsi="Arial" w:eastAsia="Arial" w:cs="Arial"/>
          <w:color w:val="24292E"/>
          <w:sz w:val="22"/>
          <w:szCs w:val="22"/>
        </w:rPr>
        <w:t xml:space="preserve">, 23, 1124. Available at: </w:t>
      </w:r>
      <w:hyperlink r:id="Rfc8d43f3ea954d34">
        <w:r w:rsidRPr="36A6E8A7" w:rsidR="6A67E093">
          <w:rPr>
            <w:rStyle w:val="Hyperlink"/>
            <w:rFonts w:ascii="Arial" w:hAnsi="Arial" w:eastAsia="Arial" w:cs="Arial"/>
            <w:color w:val="6D4AFF"/>
            <w:sz w:val="22"/>
            <w:szCs w:val="22"/>
          </w:rPr>
          <w:t>https://doi.org/10.1186/s12889-023-16657-9</w:t>
        </w:r>
      </w:hyperlink>
    </w:p>
    <w:p w:rsidR="00AF5690" w:rsidP="36A6E8A7" w:rsidRDefault="6A67E093" w14:paraId="1BA1EC05" w14:textId="0BC37B00">
      <w:pPr>
        <w:shd w:val="clear" w:color="auto" w:fill="FFFFFF" w:themeFill="background1"/>
        <w:spacing w:beforeAutospacing="on" w:line="360" w:lineRule="auto"/>
        <w:rPr>
          <w:rFonts w:ascii="Arial" w:hAnsi="Arial" w:eastAsia="Arial" w:cs="Arial"/>
          <w:color w:val="24292E"/>
          <w:sz w:val="22"/>
          <w:szCs w:val="22"/>
        </w:rPr>
      </w:pPr>
      <w:r w:rsidRPr="36A6E8A7" w:rsidR="6A67E093">
        <w:rPr>
          <w:rFonts w:ascii="Arial" w:hAnsi="Arial" w:eastAsia="Arial" w:cs="Arial"/>
          <w:color w:val="24292E"/>
          <w:sz w:val="22"/>
          <w:szCs w:val="22"/>
        </w:rPr>
        <w:t xml:space="preserve">Manchester City Council (2023) </w:t>
      </w:r>
      <w:r w:rsidRPr="36A6E8A7" w:rsidR="6A67E093">
        <w:rPr>
          <w:rFonts w:ascii="Arial" w:hAnsi="Arial" w:eastAsia="Arial" w:cs="Arial"/>
          <w:i w:val="1"/>
          <w:iCs w:val="1"/>
          <w:color w:val="24292E"/>
          <w:sz w:val="22"/>
          <w:szCs w:val="22"/>
        </w:rPr>
        <w:t>Manchester: A City for Life 2023–2028.</w:t>
      </w:r>
      <w:r w:rsidRPr="36A6E8A7" w:rsidR="6A67E093">
        <w:rPr>
          <w:rFonts w:ascii="Arial" w:hAnsi="Arial" w:eastAsia="Arial" w:cs="Arial"/>
          <w:color w:val="24292E"/>
          <w:sz w:val="22"/>
          <w:szCs w:val="22"/>
        </w:rPr>
        <w:t xml:space="preserve"> Manchester: Manchester City Council. Available at: </w:t>
      </w:r>
      <w:hyperlink r:id="R913fc3d6ceda4c02">
        <w:r w:rsidRPr="36A6E8A7" w:rsidR="6A67E093">
          <w:rPr>
            <w:rStyle w:val="Hyperlink"/>
            <w:rFonts w:ascii="Arial" w:hAnsi="Arial" w:eastAsia="Arial" w:cs="Arial"/>
            <w:color w:val="6D4AFF"/>
            <w:sz w:val="22"/>
            <w:szCs w:val="22"/>
          </w:rPr>
          <w:t>https://www.manchester.gov.uk/people-and-communities/life-over-50</w:t>
        </w:r>
      </w:hyperlink>
      <w:r w:rsidRPr="36A6E8A7" w:rsidR="6A67E093">
        <w:rPr>
          <w:rFonts w:ascii="Arial" w:hAnsi="Arial" w:eastAsia="Arial" w:cs="Arial"/>
          <w:color w:val="24292E"/>
          <w:sz w:val="22"/>
          <w:szCs w:val="22"/>
        </w:rPr>
        <w:t xml:space="preserve"> (Accessed: 15 May 2026).</w:t>
      </w:r>
    </w:p>
    <w:p w:rsidR="00AF5690" w:rsidP="36A6E8A7" w:rsidRDefault="6A67E093" w14:paraId="4E15C514" w14:textId="5E63AC3A">
      <w:pPr>
        <w:shd w:val="clear" w:color="auto" w:fill="FFFFFF" w:themeFill="background1"/>
        <w:spacing w:beforeAutospacing="on" w:line="360" w:lineRule="auto"/>
        <w:rPr>
          <w:rFonts w:ascii="Arial" w:hAnsi="Arial" w:eastAsia="Arial" w:cs="Arial"/>
          <w:color w:val="24292E"/>
          <w:sz w:val="22"/>
          <w:szCs w:val="22"/>
        </w:rPr>
      </w:pPr>
      <w:r w:rsidRPr="36A6E8A7" w:rsidR="6A67E093">
        <w:rPr>
          <w:rFonts w:ascii="Arial" w:hAnsi="Arial" w:eastAsia="Arial" w:cs="Arial"/>
          <w:color w:val="24292E"/>
          <w:sz w:val="22"/>
          <w:szCs w:val="22"/>
        </w:rPr>
        <w:t xml:space="preserve">Mind (2023) </w:t>
      </w:r>
      <w:r w:rsidRPr="36A6E8A7" w:rsidR="6A67E093">
        <w:rPr>
          <w:rFonts w:ascii="Arial" w:hAnsi="Arial" w:eastAsia="Arial" w:cs="Arial"/>
          <w:i w:val="1"/>
          <w:iCs w:val="1"/>
          <w:color w:val="24292E"/>
          <w:sz w:val="22"/>
          <w:szCs w:val="22"/>
        </w:rPr>
        <w:t>Loneliness and mental health: policy brief.</w:t>
      </w:r>
      <w:r w:rsidRPr="36A6E8A7" w:rsidR="6A67E093">
        <w:rPr>
          <w:rFonts w:ascii="Arial" w:hAnsi="Arial" w:eastAsia="Arial" w:cs="Arial"/>
          <w:color w:val="24292E"/>
          <w:sz w:val="22"/>
          <w:szCs w:val="22"/>
        </w:rPr>
        <w:t xml:space="preserve"> London: Mind. Available at: </w:t>
      </w:r>
      <w:hyperlink r:id="R79478e1aa7e14918">
        <w:r w:rsidRPr="36A6E8A7" w:rsidR="6A67E093">
          <w:rPr>
            <w:rStyle w:val="Hyperlink"/>
            <w:rFonts w:ascii="Arial" w:hAnsi="Arial" w:eastAsia="Arial" w:cs="Arial"/>
            <w:color w:val="6D4AFF"/>
            <w:sz w:val="22"/>
            <w:szCs w:val="22"/>
          </w:rPr>
          <w:t>https://www.mind.org.uk/resources/policy-briefs/loneliness-and-mental-health/</w:t>
        </w:r>
      </w:hyperlink>
      <w:r w:rsidRPr="36A6E8A7" w:rsidR="6A67E093">
        <w:rPr>
          <w:rFonts w:ascii="Arial" w:hAnsi="Arial" w:eastAsia="Arial" w:cs="Arial"/>
          <w:color w:val="24292E"/>
          <w:sz w:val="22"/>
          <w:szCs w:val="22"/>
        </w:rPr>
        <w:t xml:space="preserve"> (Accessed: 27 Feb 2026).</w:t>
      </w:r>
    </w:p>
    <w:p w:rsidR="36CA0CB2" w:rsidP="36A6E8A7" w:rsidRDefault="36CA0CB2" w14:paraId="26D1EB39" w14:textId="5E267C69">
      <w:pPr>
        <w:shd w:val="clear" w:color="auto" w:fill="FFFFFF" w:themeFill="background1"/>
        <w:spacing w:beforeAutospacing="on" w:line="360" w:lineRule="auto"/>
        <w:rPr>
          <w:rFonts w:ascii="Arial" w:hAnsi="Arial" w:eastAsia="Arial" w:cs="Arial"/>
          <w:color w:val="24292E"/>
          <w:sz w:val="22"/>
          <w:szCs w:val="22"/>
        </w:rPr>
      </w:pPr>
      <w:r w:rsidRPr="36A6E8A7" w:rsidR="36CA0CB2">
        <w:rPr>
          <w:rFonts w:ascii="Arial" w:hAnsi="Arial" w:eastAsia="Arial" w:cs="Arial"/>
          <w:color w:val="24292E"/>
          <w:sz w:val="22"/>
          <w:szCs w:val="22"/>
        </w:rPr>
        <w:t xml:space="preserve">Marmot, M. et al. (2021) </w:t>
      </w:r>
      <w:r w:rsidRPr="36A6E8A7" w:rsidR="36CA0CB2">
        <w:rPr>
          <w:rFonts w:ascii="Arial" w:hAnsi="Arial" w:eastAsia="Arial" w:cs="Arial"/>
          <w:b w:val="1"/>
          <w:bCs w:val="1"/>
          <w:color w:val="24292E"/>
          <w:sz w:val="22"/>
          <w:szCs w:val="22"/>
        </w:rPr>
        <w:t xml:space="preserve">Health Equity in England: The Marmot Review 10 Years </w:t>
      </w:r>
      <w:r w:rsidRPr="36A6E8A7" w:rsidR="4A49CCC6">
        <w:rPr>
          <w:rFonts w:ascii="Arial" w:hAnsi="Arial" w:eastAsia="Arial" w:cs="Arial"/>
          <w:b w:val="1"/>
          <w:bCs w:val="1"/>
          <w:color w:val="24292E"/>
          <w:sz w:val="22"/>
          <w:szCs w:val="22"/>
        </w:rPr>
        <w:t>On</w:t>
      </w:r>
      <w:r w:rsidRPr="36A6E8A7" w:rsidR="4A49CCC6">
        <w:rPr>
          <w:rFonts w:ascii="Arial" w:hAnsi="Arial" w:eastAsia="Arial" w:cs="Arial"/>
          <w:color w:val="24292E"/>
          <w:sz w:val="22"/>
          <w:szCs w:val="22"/>
        </w:rPr>
        <w:t xml:space="preserve">. </w:t>
      </w:r>
      <w:r w:rsidRPr="36A6E8A7" w:rsidR="36CA0CB2">
        <w:rPr>
          <w:rFonts w:ascii="Arial" w:hAnsi="Arial" w:eastAsia="Arial" w:cs="Arial"/>
          <w:color w:val="24292E"/>
          <w:sz w:val="22"/>
          <w:szCs w:val="22"/>
        </w:rPr>
        <w:t xml:space="preserve">London: The Health Foundation. Available at: </w:t>
      </w:r>
      <w:hyperlink r:id="R8e0a16662fa54c5a">
        <w:r w:rsidRPr="36A6E8A7" w:rsidR="36CA0CB2">
          <w:rPr>
            <w:rStyle w:val="Hyperlink"/>
            <w:rFonts w:ascii="Arial" w:hAnsi="Arial" w:eastAsia="Arial" w:cs="Arial"/>
            <w:sz w:val="22"/>
            <w:szCs w:val="22"/>
          </w:rPr>
          <w:t>https://www.health.org.uk/publications/marmot-review-10-years-on</w:t>
        </w:r>
      </w:hyperlink>
      <w:r w:rsidRPr="36A6E8A7" w:rsidR="36CA0CB2">
        <w:rPr>
          <w:rFonts w:ascii="Arial" w:hAnsi="Arial" w:eastAsia="Arial" w:cs="Arial"/>
          <w:color w:val="24292E"/>
          <w:sz w:val="22"/>
          <w:szCs w:val="22"/>
        </w:rPr>
        <w:t xml:space="preserve"> (Accessed: 15 May 2026).</w:t>
      </w:r>
    </w:p>
    <w:p w:rsidR="00AF5690" w:rsidP="36A6E8A7" w:rsidRDefault="6A67E093" w14:paraId="5630C2D5" w14:textId="75BB3480">
      <w:pPr>
        <w:shd w:val="clear" w:color="auto" w:fill="FFFFFF" w:themeFill="background1"/>
        <w:spacing w:beforeAutospacing="on" w:line="360" w:lineRule="auto"/>
        <w:rPr>
          <w:rFonts w:ascii="Arial" w:hAnsi="Arial" w:eastAsia="Arial" w:cs="Arial"/>
          <w:color w:val="24292E"/>
          <w:sz w:val="22"/>
          <w:szCs w:val="22"/>
        </w:rPr>
      </w:pPr>
      <w:r w:rsidRPr="36A6E8A7" w:rsidR="6A67E093">
        <w:rPr>
          <w:rFonts w:ascii="Arial" w:hAnsi="Arial" w:eastAsia="Arial" w:cs="Arial"/>
          <w:color w:val="24292E"/>
          <w:sz w:val="22"/>
          <w:szCs w:val="22"/>
        </w:rPr>
        <w:t xml:space="preserve">NHS England (2019) </w:t>
      </w:r>
      <w:r w:rsidRPr="36A6E8A7" w:rsidR="6A67E093">
        <w:rPr>
          <w:rFonts w:ascii="Arial" w:hAnsi="Arial" w:eastAsia="Arial" w:cs="Arial"/>
          <w:i w:val="1"/>
          <w:iCs w:val="1"/>
          <w:color w:val="24292E"/>
          <w:sz w:val="22"/>
          <w:szCs w:val="22"/>
        </w:rPr>
        <w:t>The NHS Long Term Plan.</w:t>
      </w:r>
      <w:r w:rsidRPr="36A6E8A7" w:rsidR="6A67E093">
        <w:rPr>
          <w:rFonts w:ascii="Arial" w:hAnsi="Arial" w:eastAsia="Arial" w:cs="Arial"/>
          <w:color w:val="24292E"/>
          <w:sz w:val="22"/>
          <w:szCs w:val="22"/>
        </w:rPr>
        <w:t xml:space="preserve"> London: NHS England. Available at: </w:t>
      </w:r>
      <w:hyperlink r:id="Raf019b96720e4738">
        <w:r w:rsidRPr="36A6E8A7" w:rsidR="6A67E093">
          <w:rPr>
            <w:rStyle w:val="Hyperlink"/>
            <w:rFonts w:ascii="Arial" w:hAnsi="Arial" w:eastAsia="Arial" w:cs="Arial"/>
            <w:color w:val="6D4AFF"/>
            <w:sz w:val="22"/>
            <w:szCs w:val="22"/>
          </w:rPr>
          <w:t>https://www.longtermplan.nhs.uk/</w:t>
        </w:r>
      </w:hyperlink>
      <w:r w:rsidRPr="36A6E8A7" w:rsidR="6A67E093">
        <w:rPr>
          <w:rFonts w:ascii="Arial" w:hAnsi="Arial" w:eastAsia="Arial" w:cs="Arial"/>
          <w:color w:val="24292E"/>
          <w:sz w:val="22"/>
          <w:szCs w:val="22"/>
        </w:rPr>
        <w:t xml:space="preserve"> (Accessed: 15 May 2026). </w:t>
      </w:r>
    </w:p>
    <w:p w:rsidR="00AF5690" w:rsidP="36A6E8A7" w:rsidRDefault="6A67E093" w14:paraId="5194EA06" w14:textId="0F6AF62D">
      <w:pPr>
        <w:shd w:val="clear" w:color="auto" w:fill="FFFFFF" w:themeFill="background1"/>
        <w:spacing w:beforeAutospacing="on" w:line="360" w:lineRule="auto"/>
        <w:rPr>
          <w:rFonts w:ascii="Arial" w:hAnsi="Arial" w:eastAsia="Arial" w:cs="Arial"/>
          <w:color w:val="24292E"/>
          <w:sz w:val="22"/>
          <w:szCs w:val="22"/>
        </w:rPr>
      </w:pPr>
      <w:r w:rsidRPr="36A6E8A7" w:rsidR="6A67E093">
        <w:rPr>
          <w:rFonts w:ascii="Arial" w:hAnsi="Arial" w:eastAsia="Arial" w:cs="Arial"/>
          <w:color w:val="24292E"/>
          <w:sz w:val="22"/>
          <w:szCs w:val="22"/>
        </w:rPr>
        <w:t xml:space="preserve">Office for National Statistics (2023) </w:t>
      </w:r>
      <w:r w:rsidRPr="36A6E8A7" w:rsidR="6A67E093">
        <w:rPr>
          <w:rFonts w:ascii="Arial" w:hAnsi="Arial" w:eastAsia="Arial" w:cs="Arial"/>
          <w:i w:val="1"/>
          <w:iCs w:val="1"/>
          <w:color w:val="24292E"/>
          <w:sz w:val="22"/>
          <w:szCs w:val="22"/>
        </w:rPr>
        <w:t>Loneliness in the United Kingdom: 2023 report.</w:t>
      </w:r>
      <w:r w:rsidRPr="36A6E8A7" w:rsidR="6A67E093">
        <w:rPr>
          <w:rFonts w:ascii="Arial" w:hAnsi="Arial" w:eastAsia="Arial" w:cs="Arial"/>
          <w:color w:val="24292E"/>
          <w:sz w:val="22"/>
          <w:szCs w:val="22"/>
        </w:rPr>
        <w:t xml:space="preserve"> London: ONS. Available at: </w:t>
      </w:r>
      <w:hyperlink r:id="R16d30325b4e84b94">
        <w:r w:rsidRPr="36A6E8A7" w:rsidR="6A67E093">
          <w:rPr>
            <w:rStyle w:val="Hyperlink"/>
            <w:rFonts w:ascii="Arial" w:hAnsi="Arial" w:eastAsia="Arial" w:cs="Arial"/>
            <w:color w:val="6D4AFF"/>
            <w:sz w:val="22"/>
            <w:szCs w:val="22"/>
          </w:rPr>
          <w:t>https://www.ons.gov.uk/peoplepopulationandcommunity/wellbeing/bulletins/lonelinessintheunitedkingdom/2023</w:t>
        </w:r>
      </w:hyperlink>
      <w:r w:rsidRPr="36A6E8A7" w:rsidR="6A67E093">
        <w:rPr>
          <w:rFonts w:ascii="Arial" w:hAnsi="Arial" w:eastAsia="Arial" w:cs="Arial"/>
          <w:color w:val="24292E"/>
          <w:sz w:val="22"/>
          <w:szCs w:val="22"/>
        </w:rPr>
        <w:t xml:space="preserve"> (Accessed: 27 Feb 2026).</w:t>
      </w:r>
    </w:p>
    <w:p w:rsidR="00AF5690" w:rsidP="36A6E8A7" w:rsidRDefault="6A67E093" w14:paraId="5BBE2872" w14:textId="5FBBD224">
      <w:pPr>
        <w:shd w:val="clear" w:color="auto" w:fill="FFFFFF" w:themeFill="background1"/>
        <w:spacing w:beforeAutospacing="on" w:line="360" w:lineRule="auto"/>
        <w:rPr>
          <w:rFonts w:ascii="Arial" w:hAnsi="Arial" w:eastAsia="Arial" w:cs="Arial"/>
          <w:color w:val="24292E"/>
          <w:sz w:val="22"/>
          <w:szCs w:val="22"/>
        </w:rPr>
      </w:pPr>
      <w:r w:rsidRPr="36A6E8A7" w:rsidR="6A67E093">
        <w:rPr>
          <w:rFonts w:ascii="Arial" w:hAnsi="Arial" w:eastAsia="Arial" w:cs="Arial"/>
          <w:color w:val="24292E"/>
          <w:sz w:val="22"/>
          <w:szCs w:val="22"/>
        </w:rPr>
        <w:t xml:space="preserve">Perlman, D. and Peplau, L.A. (1981) 'Toward a social psychology of loneliness', in Gergen, K.J. and Silverstein, M.B. (eds.) </w:t>
      </w:r>
      <w:r w:rsidRPr="36A6E8A7" w:rsidR="6A67E093">
        <w:rPr>
          <w:rFonts w:ascii="Arial" w:hAnsi="Arial" w:eastAsia="Arial" w:cs="Arial"/>
          <w:i w:val="1"/>
          <w:iCs w:val="1"/>
          <w:color w:val="24292E"/>
          <w:sz w:val="22"/>
          <w:szCs w:val="22"/>
        </w:rPr>
        <w:t>Personal relationships in disorder.</w:t>
      </w:r>
      <w:r w:rsidRPr="36A6E8A7" w:rsidR="6A67E093">
        <w:rPr>
          <w:rFonts w:ascii="Arial" w:hAnsi="Arial" w:eastAsia="Arial" w:cs="Arial"/>
          <w:color w:val="24292E"/>
          <w:sz w:val="22"/>
          <w:szCs w:val="22"/>
        </w:rPr>
        <w:t xml:space="preserve"> London: Academic Press, pp. 31–56.</w:t>
      </w:r>
    </w:p>
    <w:p w:rsidR="772076E3" w:rsidP="36A6E8A7" w:rsidRDefault="772076E3" w14:paraId="24D6E3EF" w14:textId="5DCFE7AD">
      <w:pPr>
        <w:shd w:val="clear" w:color="auto" w:fill="FFFFFF" w:themeFill="background1"/>
        <w:spacing w:beforeAutospacing="on" w:line="360" w:lineRule="auto"/>
        <w:rPr>
          <w:rFonts w:ascii="Arial" w:hAnsi="Arial" w:eastAsia="Arial" w:cs="Arial"/>
          <w:color w:val="24292E"/>
          <w:sz w:val="22"/>
          <w:szCs w:val="22"/>
        </w:rPr>
      </w:pPr>
      <w:r w:rsidRPr="36A6E8A7" w:rsidR="772076E3">
        <w:rPr>
          <w:rFonts w:ascii="Arial" w:hAnsi="Arial" w:eastAsia="Arial" w:cs="Arial"/>
          <w:color w:val="24292E"/>
          <w:sz w:val="22"/>
          <w:szCs w:val="22"/>
        </w:rPr>
        <w:t xml:space="preserve">Royal Voluntary Service (2022) Virtual Village </w:t>
      </w:r>
      <w:r w:rsidRPr="36A6E8A7" w:rsidR="772076E3">
        <w:rPr>
          <w:rFonts w:ascii="Arial" w:hAnsi="Arial" w:eastAsia="Arial" w:cs="Arial"/>
          <w:color w:val="24292E"/>
          <w:sz w:val="22"/>
          <w:szCs w:val="22"/>
        </w:rPr>
        <w:t xml:space="preserve">Hall </w:t>
      </w:r>
      <w:r w:rsidRPr="36A6E8A7" w:rsidR="1B132480">
        <w:rPr>
          <w:rFonts w:ascii="Arial" w:hAnsi="Arial" w:eastAsia="Arial" w:cs="Arial"/>
          <w:color w:val="24292E"/>
          <w:sz w:val="22"/>
          <w:szCs w:val="22"/>
        </w:rPr>
        <w:t xml:space="preserve"> </w:t>
      </w:r>
      <w:r w:rsidRPr="36A6E8A7" w:rsidR="772076E3">
        <w:rPr>
          <w:rFonts w:ascii="Arial" w:hAnsi="Arial" w:eastAsia="Arial" w:cs="Arial"/>
          <w:color w:val="24292E"/>
          <w:sz w:val="22"/>
          <w:szCs w:val="22"/>
        </w:rPr>
        <w:t xml:space="preserve"> Online</w:t>
      </w:r>
      <w:r w:rsidRPr="36A6E8A7" w:rsidR="772076E3">
        <w:rPr>
          <w:rFonts w:ascii="Arial" w:hAnsi="Arial" w:eastAsia="Arial" w:cs="Arial"/>
          <w:color w:val="24292E"/>
          <w:sz w:val="22"/>
          <w:szCs w:val="22"/>
        </w:rPr>
        <w:t xml:space="preserve"> Activity Sessions</w:t>
      </w:r>
      <w:r w:rsidRPr="36A6E8A7" w:rsidR="642D13B1">
        <w:rPr>
          <w:rFonts w:ascii="Arial" w:hAnsi="Arial" w:eastAsia="Arial" w:cs="Arial"/>
          <w:color w:val="24292E"/>
          <w:sz w:val="22"/>
          <w:szCs w:val="22"/>
        </w:rPr>
        <w:t xml:space="preserve">. </w:t>
      </w:r>
      <w:r w:rsidRPr="36A6E8A7" w:rsidR="772076E3">
        <w:rPr>
          <w:rFonts w:ascii="Arial" w:hAnsi="Arial" w:eastAsia="Arial" w:cs="Arial"/>
          <w:color w:val="24292E"/>
          <w:sz w:val="22"/>
          <w:szCs w:val="22"/>
        </w:rPr>
        <w:t>London: Royal Voluntary Service. Available at:</w:t>
      </w:r>
      <w:r w:rsidRPr="36A6E8A7" w:rsidR="772076E3">
        <w:rPr>
          <w:rFonts w:ascii="Arial" w:hAnsi="Arial" w:eastAsia="Arial" w:cs="Arial"/>
          <w:color w:val="0070C0"/>
          <w:sz w:val="22"/>
          <w:szCs w:val="22"/>
        </w:rPr>
        <w:t xml:space="preserve"> </w:t>
      </w:r>
      <w:r w:rsidRPr="36A6E8A7" w:rsidR="772076E3">
        <w:rPr>
          <w:rFonts w:ascii="Arial" w:hAnsi="Arial" w:eastAsia="Arial" w:cs="Arial"/>
          <w:color w:val="auto"/>
          <w:sz w:val="22"/>
          <w:szCs w:val="22"/>
        </w:rPr>
        <w:t>https://virtualvillagehall.royalvoluntaryservice.org.uk</w:t>
      </w:r>
      <w:r w:rsidRPr="36A6E8A7" w:rsidR="772076E3">
        <w:rPr>
          <w:rFonts w:ascii="Arial" w:hAnsi="Arial" w:eastAsia="Arial" w:cs="Arial"/>
          <w:color w:val="0039BF"/>
          <w:sz w:val="22"/>
          <w:szCs w:val="22"/>
        </w:rPr>
        <w:t xml:space="preserve"> </w:t>
      </w:r>
      <w:r w:rsidRPr="36A6E8A7" w:rsidR="772076E3">
        <w:rPr>
          <w:rFonts w:ascii="Arial" w:hAnsi="Arial" w:eastAsia="Arial" w:cs="Arial"/>
          <w:color w:val="24292E"/>
          <w:sz w:val="22"/>
          <w:szCs w:val="22"/>
        </w:rPr>
        <w:t>(Accessed: 27 Feb 2026).</w:t>
      </w:r>
    </w:p>
    <w:p w:rsidR="00AF5690" w:rsidP="36A6E8A7" w:rsidRDefault="6A67E093" w14:paraId="506C3250" w14:textId="2B7C257A">
      <w:pPr>
        <w:shd w:val="clear" w:color="auto" w:fill="FFFFFF" w:themeFill="background1"/>
        <w:spacing w:beforeAutospacing="on" w:line="360" w:lineRule="auto"/>
        <w:rPr>
          <w:rFonts w:ascii="Arial" w:hAnsi="Arial" w:eastAsia="Arial" w:cs="Arial"/>
          <w:sz w:val="22"/>
          <w:szCs w:val="22"/>
        </w:rPr>
      </w:pPr>
      <w:r w:rsidRPr="36A6E8A7" w:rsidR="6A67E093">
        <w:rPr>
          <w:rFonts w:ascii="Arial" w:hAnsi="Arial" w:eastAsia="Arial" w:cs="Arial"/>
          <w:color w:val="24292E"/>
          <w:sz w:val="22"/>
          <w:szCs w:val="22"/>
        </w:rPr>
        <w:t xml:space="preserve">Shaw, </w:t>
      </w:r>
      <w:r w:rsidRPr="36A6E8A7" w:rsidR="5253061B">
        <w:rPr>
          <w:rFonts w:ascii="Arial" w:hAnsi="Arial" w:eastAsia="Arial" w:cs="Arial"/>
          <w:color w:val="24292E"/>
          <w:sz w:val="22"/>
          <w:szCs w:val="22"/>
        </w:rPr>
        <w:t>J.,</w:t>
      </w:r>
      <w:r w:rsidRPr="36A6E8A7" w:rsidR="6A67E093">
        <w:rPr>
          <w:rFonts w:ascii="Arial" w:hAnsi="Arial" w:eastAsia="Arial" w:cs="Arial"/>
          <w:color w:val="24292E"/>
          <w:sz w:val="22"/>
          <w:szCs w:val="22"/>
        </w:rPr>
        <w:t xml:space="preserve"> and McCabe, C. (2021) 'Social prescribing and community-based arts: a systematic review of implementation and outcomes', </w:t>
      </w:r>
      <w:r w:rsidRPr="36A6E8A7" w:rsidR="6A67E093">
        <w:rPr>
          <w:rFonts w:ascii="Arial" w:hAnsi="Arial" w:eastAsia="Arial" w:cs="Arial"/>
          <w:i w:val="1"/>
          <w:iCs w:val="1"/>
          <w:color w:val="24292E"/>
          <w:sz w:val="22"/>
          <w:szCs w:val="22"/>
        </w:rPr>
        <w:t>Health Promotion International</w:t>
      </w:r>
      <w:r w:rsidRPr="36A6E8A7" w:rsidR="6A67E093">
        <w:rPr>
          <w:rFonts w:ascii="Arial" w:hAnsi="Arial" w:eastAsia="Arial" w:cs="Arial"/>
          <w:color w:val="24292E"/>
          <w:sz w:val="22"/>
          <w:szCs w:val="22"/>
        </w:rPr>
        <w:t xml:space="preserve">, 36(5), pp. 1245–1258. Available at: </w:t>
      </w:r>
      <w:hyperlink r:id="Rf88ce9f7af434b96">
        <w:r w:rsidRPr="36A6E8A7" w:rsidR="6A67E093">
          <w:rPr>
            <w:rStyle w:val="Hyperlink"/>
            <w:rFonts w:ascii="Arial" w:hAnsi="Arial" w:eastAsia="Arial" w:cs="Arial"/>
            <w:color w:val="6D4AFF"/>
            <w:sz w:val="22"/>
            <w:szCs w:val="22"/>
          </w:rPr>
          <w:t>https://doi.org/10.1093/heapro/dab067</w:t>
        </w:r>
      </w:hyperlink>
    </w:p>
    <w:p w:rsidR="00AF5690" w:rsidP="36A6E8A7" w:rsidRDefault="6A67E093" w14:paraId="1A415642" w14:textId="275C2502">
      <w:pPr>
        <w:shd w:val="clear" w:color="auto" w:fill="FFFFFF" w:themeFill="background1"/>
        <w:spacing w:beforeAutospacing="on" w:line="360" w:lineRule="auto"/>
        <w:rPr>
          <w:rFonts w:ascii="Arial" w:hAnsi="Arial" w:eastAsia="Arial" w:cs="Arial"/>
          <w:sz w:val="22"/>
          <w:szCs w:val="22"/>
        </w:rPr>
      </w:pPr>
      <w:r w:rsidRPr="36A6E8A7" w:rsidR="6A67E093">
        <w:rPr>
          <w:rFonts w:ascii="Arial" w:hAnsi="Arial" w:eastAsia="Arial" w:cs="Arial"/>
          <w:color w:val="24292E"/>
          <w:sz w:val="22"/>
          <w:szCs w:val="22"/>
        </w:rPr>
        <w:t xml:space="preserve">Tricco, A.C., Lillie, E., Zarin, W., O'Brien, K.K., Colquhoun, H., Levac, D., Moher, D., Peters, M.D.J., Horsley, T., Weeks, L., Hempel, S., Akl, E.A., Chang, C., McGowan, J., Stewart, L., Hartling, L., Aldcroft, A., Wilson, M.G., Garritty, C., Lewin, S., Godfrey, C.M., Macdonald, M.T., Langlois, E.V., Soares-Weiser, K., Moriarty, J., Clifford, T., Tunçalp, Ö. and Straus, S.E. (2018) 'PRISMA Extension for Scoping Reviews (PRISMA-ScR): Checklist and Explanation', </w:t>
      </w:r>
      <w:r w:rsidRPr="36A6E8A7" w:rsidR="6A67E093">
        <w:rPr>
          <w:rFonts w:ascii="Arial" w:hAnsi="Arial" w:eastAsia="Arial" w:cs="Arial"/>
          <w:i w:val="1"/>
          <w:iCs w:val="1"/>
          <w:color w:val="24292E"/>
          <w:sz w:val="22"/>
          <w:szCs w:val="22"/>
        </w:rPr>
        <w:t>Annals of Internal Medicine</w:t>
      </w:r>
      <w:r w:rsidRPr="36A6E8A7" w:rsidR="6A67E093">
        <w:rPr>
          <w:rFonts w:ascii="Arial" w:hAnsi="Arial" w:eastAsia="Arial" w:cs="Arial"/>
          <w:color w:val="24292E"/>
          <w:sz w:val="22"/>
          <w:szCs w:val="22"/>
        </w:rPr>
        <w:t xml:space="preserve">, 169(7), pp. 467–473. Available at: </w:t>
      </w:r>
      <w:hyperlink r:id="R9192d2dc3976464f">
        <w:r w:rsidRPr="36A6E8A7" w:rsidR="6A67E093">
          <w:rPr>
            <w:rStyle w:val="Hyperlink"/>
            <w:rFonts w:ascii="Arial" w:hAnsi="Arial" w:eastAsia="Arial" w:cs="Arial"/>
            <w:color w:val="6D4AFF"/>
            <w:sz w:val="22"/>
            <w:szCs w:val="22"/>
          </w:rPr>
          <w:t>https://doi.org/10.7326/M18-0850</w:t>
        </w:r>
      </w:hyperlink>
    </w:p>
    <w:p w:rsidR="00AF5690" w:rsidP="36A6E8A7" w:rsidRDefault="6A67E093" w14:paraId="7D2EC526" w14:textId="41681F5C">
      <w:pPr>
        <w:shd w:val="clear" w:color="auto" w:fill="FFFFFF" w:themeFill="background1"/>
        <w:spacing w:beforeAutospacing="on" w:line="360" w:lineRule="auto"/>
        <w:rPr>
          <w:rFonts w:ascii="Arial" w:hAnsi="Arial" w:eastAsia="Arial" w:cs="Arial"/>
          <w:color w:val="24292E"/>
          <w:sz w:val="22"/>
          <w:szCs w:val="22"/>
        </w:rPr>
      </w:pPr>
      <w:r w:rsidRPr="36A6E8A7" w:rsidR="6A67E093">
        <w:rPr>
          <w:rFonts w:ascii="Arial" w:hAnsi="Arial" w:eastAsia="Arial" w:cs="Arial"/>
          <w:color w:val="24292E"/>
          <w:sz w:val="22"/>
          <w:szCs w:val="22"/>
        </w:rPr>
        <w:t xml:space="preserve">UWTSD (2025) </w:t>
      </w:r>
      <w:r w:rsidRPr="36A6E8A7" w:rsidR="6A67E093">
        <w:rPr>
          <w:rFonts w:ascii="Arial" w:hAnsi="Arial" w:eastAsia="Arial" w:cs="Arial"/>
          <w:i w:val="1"/>
          <w:iCs w:val="1"/>
          <w:color w:val="24292E"/>
          <w:sz w:val="22"/>
          <w:szCs w:val="22"/>
        </w:rPr>
        <w:t>Research Ethics and Integrity Policy.</w:t>
      </w:r>
      <w:r w:rsidRPr="36A6E8A7" w:rsidR="6A67E093">
        <w:rPr>
          <w:rFonts w:ascii="Arial" w:hAnsi="Arial" w:eastAsia="Arial" w:cs="Arial"/>
          <w:color w:val="24292E"/>
          <w:sz w:val="22"/>
          <w:szCs w:val="22"/>
        </w:rPr>
        <w:t xml:space="preserve"> University of Wales Trinity Saint David. Available at: </w:t>
      </w:r>
      <w:hyperlink r:id="Rcee1be39994545b9">
        <w:r w:rsidRPr="36A6E8A7" w:rsidR="6A67E093">
          <w:rPr>
            <w:rStyle w:val="Hyperlink"/>
            <w:rFonts w:ascii="Arial" w:hAnsi="Arial" w:eastAsia="Arial" w:cs="Arial"/>
            <w:color w:val="6D4AFF"/>
            <w:sz w:val="22"/>
            <w:szCs w:val="22"/>
          </w:rPr>
          <w:t>https://www.uwtsd.ac.uk/research/research-integrity-and-ethics</w:t>
        </w:r>
      </w:hyperlink>
      <w:r w:rsidRPr="36A6E8A7" w:rsidR="6A67E093">
        <w:rPr>
          <w:rFonts w:ascii="Arial" w:hAnsi="Arial" w:eastAsia="Arial" w:cs="Arial"/>
          <w:color w:val="24292E"/>
          <w:sz w:val="22"/>
          <w:szCs w:val="22"/>
        </w:rPr>
        <w:t xml:space="preserve"> (Accessed: 27 May 2026).</w:t>
      </w:r>
    </w:p>
    <w:p w:rsidR="00AF5690" w:rsidP="36A6E8A7" w:rsidRDefault="6A67E093" w14:paraId="5E5787A5" w14:textId="545BABA2">
      <w:pPr>
        <w:shd w:val="clear" w:color="auto" w:fill="FFFFFF" w:themeFill="background1"/>
        <w:spacing w:beforeAutospacing="on" w:line="360" w:lineRule="auto"/>
        <w:rPr>
          <w:rFonts w:ascii="Arial" w:hAnsi="Arial" w:eastAsia="Arial" w:cs="Arial"/>
          <w:sz w:val="22"/>
          <w:szCs w:val="22"/>
        </w:rPr>
      </w:pPr>
      <w:r w:rsidRPr="36A6E8A7" w:rsidR="6A67E093">
        <w:rPr>
          <w:rFonts w:ascii="Arial" w:hAnsi="Arial" w:eastAsia="Arial" w:cs="Arial"/>
          <w:color w:val="24292E"/>
          <w:sz w:val="22"/>
          <w:szCs w:val="22"/>
        </w:rPr>
        <w:t xml:space="preserve">Victor, </w:t>
      </w:r>
      <w:r w:rsidRPr="36A6E8A7" w:rsidR="6870B2FD">
        <w:rPr>
          <w:rFonts w:ascii="Arial" w:hAnsi="Arial" w:eastAsia="Arial" w:cs="Arial"/>
          <w:color w:val="24292E"/>
          <w:sz w:val="22"/>
          <w:szCs w:val="22"/>
        </w:rPr>
        <w:t>C.R.,</w:t>
      </w:r>
      <w:r w:rsidRPr="36A6E8A7" w:rsidR="6A67E093">
        <w:rPr>
          <w:rFonts w:ascii="Arial" w:hAnsi="Arial" w:eastAsia="Arial" w:cs="Arial"/>
          <w:color w:val="24292E"/>
          <w:sz w:val="22"/>
          <w:szCs w:val="22"/>
        </w:rPr>
        <w:t xml:space="preserve"> and Yang, K. (2012) 'The prevalence of loneliness among adults: a case for future research', </w:t>
      </w:r>
      <w:r w:rsidRPr="36A6E8A7" w:rsidR="6A67E093">
        <w:rPr>
          <w:rFonts w:ascii="Arial" w:hAnsi="Arial" w:eastAsia="Arial" w:cs="Arial"/>
          <w:i w:val="1"/>
          <w:iCs w:val="1"/>
          <w:color w:val="24292E"/>
          <w:sz w:val="22"/>
          <w:szCs w:val="22"/>
        </w:rPr>
        <w:t>The Journal of Psychology</w:t>
      </w:r>
      <w:r w:rsidRPr="36A6E8A7" w:rsidR="6A67E093">
        <w:rPr>
          <w:rFonts w:ascii="Arial" w:hAnsi="Arial" w:eastAsia="Arial" w:cs="Arial"/>
          <w:color w:val="24292E"/>
          <w:sz w:val="22"/>
          <w:szCs w:val="22"/>
        </w:rPr>
        <w:t xml:space="preserve">, 146(1-2), pp. 85–106. Available at: </w:t>
      </w:r>
      <w:hyperlink r:id="Rcb26a2435da34909">
        <w:r w:rsidRPr="36A6E8A7" w:rsidR="6A67E093">
          <w:rPr>
            <w:rStyle w:val="Hyperlink"/>
            <w:rFonts w:ascii="Arial" w:hAnsi="Arial" w:eastAsia="Arial" w:cs="Arial"/>
            <w:color w:val="6D4AFF"/>
            <w:sz w:val="22"/>
            <w:szCs w:val="22"/>
          </w:rPr>
          <w:t>https://doi.org/10.1080/00223980.2011.613876</w:t>
        </w:r>
      </w:hyperlink>
      <w:r w:rsidRPr="36A6E8A7" w:rsidR="4B099F65">
        <w:rPr>
          <w:rFonts w:ascii="Arial" w:hAnsi="Arial" w:eastAsia="Arial" w:cs="Arial"/>
          <w:sz w:val="22"/>
          <w:szCs w:val="22"/>
        </w:rPr>
        <w:t xml:space="preserve">        </w:t>
      </w:r>
      <w:r w:rsidRPr="36A6E8A7" w:rsidR="4B099F65">
        <w:rPr>
          <w:rFonts w:ascii="Arial" w:hAnsi="Arial" w:eastAsia="Arial" w:cs="Arial"/>
          <w:sz w:val="22"/>
          <w:szCs w:val="22"/>
        </w:rPr>
        <w:t xml:space="preserve">      </w:t>
      </w:r>
    </w:p>
    <w:sectPr w:rsidR="00AF5690">
      <w:headerReference w:type="default" r:id="rId27"/>
      <w:footerReference w:type="default" r:id="rId2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1517C" w:rsidRDefault="0051517C" w14:paraId="191EDEFA" w14:textId="77777777">
      <w:pPr>
        <w:spacing w:after="0" w:line="240" w:lineRule="auto"/>
      </w:pPr>
      <w:r>
        <w:separator/>
      </w:r>
    </w:p>
  </w:endnote>
  <w:endnote w:type="continuationSeparator" w:id="0">
    <w:p w:rsidR="0051517C" w:rsidRDefault="0051517C" w14:paraId="12D82EF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ystem-ui">
    <w:altName w:val="Cambria"/>
    <w:panose1 w:val="00000000000000000000"/>
    <w:charset w:val="00"/>
    <w:family w:val="roman"/>
    <w:notTrueType/>
    <w:pitch w:val="default"/>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38B9F42" w:rsidTr="238B9F42" w14:paraId="6BDFB183" w14:textId="77777777">
      <w:trPr>
        <w:trHeight w:val="300"/>
      </w:trPr>
      <w:tc>
        <w:tcPr>
          <w:tcW w:w="3005" w:type="dxa"/>
        </w:tcPr>
        <w:p w:rsidR="238B9F42" w:rsidP="238B9F42" w:rsidRDefault="238B9F42" w14:paraId="00F42992" w14:textId="0A0A431B">
          <w:pPr>
            <w:pStyle w:val="Header"/>
            <w:ind w:left="-115"/>
          </w:pPr>
        </w:p>
      </w:tc>
      <w:tc>
        <w:tcPr>
          <w:tcW w:w="3005" w:type="dxa"/>
        </w:tcPr>
        <w:p w:rsidR="238B9F42" w:rsidP="238B9F42" w:rsidRDefault="238B9F42" w14:paraId="3488F8A7" w14:textId="3127CC57">
          <w:pPr>
            <w:pStyle w:val="Header"/>
            <w:jc w:val="center"/>
          </w:pPr>
          <w:r>
            <w:fldChar w:fldCharType="begin"/>
          </w:r>
          <w:r>
            <w:instrText>PAGE</w:instrText>
          </w:r>
          <w:r>
            <w:fldChar w:fldCharType="separate"/>
          </w:r>
          <w:r w:rsidR="00E21D46">
            <w:rPr>
              <w:noProof/>
            </w:rPr>
            <w:t>1</w:t>
          </w:r>
          <w:r>
            <w:fldChar w:fldCharType="end"/>
          </w:r>
        </w:p>
      </w:tc>
      <w:tc>
        <w:tcPr>
          <w:tcW w:w="3005" w:type="dxa"/>
        </w:tcPr>
        <w:p w:rsidR="238B9F42" w:rsidP="238B9F42" w:rsidRDefault="238B9F42" w14:paraId="5518619D" w14:textId="55BF09E9">
          <w:pPr>
            <w:pStyle w:val="Header"/>
            <w:ind w:right="-115"/>
            <w:jc w:val="right"/>
          </w:pPr>
        </w:p>
      </w:tc>
    </w:tr>
  </w:tbl>
  <w:p w:rsidR="238B9F42" w:rsidP="238B9F42" w:rsidRDefault="238B9F42" w14:paraId="4D5A1854" w14:textId="2FB642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1517C" w:rsidRDefault="0051517C" w14:paraId="4C7579D7" w14:textId="77777777">
      <w:pPr>
        <w:spacing w:after="0" w:line="240" w:lineRule="auto"/>
      </w:pPr>
      <w:r>
        <w:separator/>
      </w:r>
    </w:p>
  </w:footnote>
  <w:footnote w:type="continuationSeparator" w:id="0">
    <w:p w:rsidR="0051517C" w:rsidRDefault="0051517C" w14:paraId="36760EC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38B9F42" w:rsidTr="238B9F42" w14:paraId="6770A7F6" w14:textId="77777777">
      <w:trPr>
        <w:trHeight w:val="300"/>
      </w:trPr>
      <w:tc>
        <w:tcPr>
          <w:tcW w:w="3005" w:type="dxa"/>
        </w:tcPr>
        <w:p w:rsidR="238B9F42" w:rsidP="238B9F42" w:rsidRDefault="238B9F42" w14:paraId="41E9D355" w14:textId="6CCC1024">
          <w:pPr>
            <w:pStyle w:val="Header"/>
            <w:ind w:left="-115"/>
          </w:pPr>
        </w:p>
      </w:tc>
      <w:tc>
        <w:tcPr>
          <w:tcW w:w="3005" w:type="dxa"/>
        </w:tcPr>
        <w:p w:rsidR="238B9F42" w:rsidP="238B9F42" w:rsidRDefault="238B9F42" w14:paraId="6B8FEED2" w14:textId="7251F29C">
          <w:pPr>
            <w:pStyle w:val="Header"/>
            <w:jc w:val="center"/>
          </w:pPr>
        </w:p>
      </w:tc>
      <w:tc>
        <w:tcPr>
          <w:tcW w:w="3005" w:type="dxa"/>
        </w:tcPr>
        <w:p w:rsidR="238B9F42" w:rsidP="238B9F42" w:rsidRDefault="238B9F42" w14:paraId="46FF9198" w14:textId="553BB426">
          <w:pPr>
            <w:pStyle w:val="Header"/>
            <w:ind w:right="-115"/>
            <w:jc w:val="right"/>
          </w:pPr>
        </w:p>
      </w:tc>
    </w:tr>
  </w:tbl>
  <w:p w:rsidR="238B9F42" w:rsidP="238B9F42" w:rsidRDefault="238B9F42" w14:paraId="41887AE0" w14:textId="07F0CC1E">
    <w:pPr>
      <w:pStyle w:val="Header"/>
    </w:pPr>
  </w:p>
</w:hdr>
</file>

<file path=word/intelligence2.xml><?xml version="1.0" encoding="utf-8"?>
<int2:intelligence xmlns:int2="http://schemas.microsoft.com/office/intelligence/2020/intelligence" xmlns:oel="http://schemas.microsoft.com/office/2019/extlst">
  <int2:observations>
    <int2:textHash int2:hashCode="Y7rxyEYEGk+h8X" int2:id="Ga9yHQsW">
      <int2:state int2:value="Rejected" int2:type="spell"/>
    </int2:textHash>
    <int2:textHash int2:hashCode="lzTg5orrO1dOHe" int2:id="Ml3gVRVg">
      <int2:state int2:value="Rejected" int2:type="spell"/>
    </int2:textHash>
    <int2:textHash int2:hashCode="exwXGbLjbRl4al" int2:id="05M2hfGX">
      <int2:state int2:value="Rejected" int2:type="spell"/>
    </int2:textHash>
    <int2:textHash int2:hashCode="K12q2XqmLN09in" int2:id="CSPwbLYo">
      <int2:state int2:value="Rejected" int2:type="spell"/>
    </int2:textHash>
    <int2:textHash int2:hashCode="IiV37BsSy9AT8S" int2:id="S22YCNbs">
      <int2:state int2:value="Rejected" int2:type="spell"/>
    </int2:textHash>
    <int2:textHash int2:hashCode="sTlXp6aoF+aEz9" int2:id="nOU58Ycc">
      <int2:state int2:value="Rejected" int2:type="spell"/>
    </int2:textHash>
    <int2:textHash int2:hashCode="mecjh9BkGFyB68" int2:id="sppz27DN">
      <int2:state int2:value="Rejected" int2:type="spell"/>
    </int2:textHash>
    <int2:textHash int2:hashCode="ytJlWmKZb4jLpw" int2:id="0ahbFmbh">
      <int2:state int2:value="Rejected" int2:type="spell"/>
    </int2:textHash>
    <int2:textHash int2:hashCode="z0KE9SmXM/8upA" int2:id="8lpQ5p7b">
      <int2:state int2:value="Rejected" int2:type="spell"/>
    </int2:textHash>
    <int2:textHash int2:hashCode="iUR+WVnMZCuRhI" int2:id="NTYxIg79">
      <int2:state int2:value="Rejected" int2:type="spell"/>
    </int2:textHash>
    <int2:textHash int2:hashCode="HyHVaSMSpsRcrp" int2:id="TpLSboCt">
      <int2:state int2:value="Rejected" int2:type="spell"/>
    </int2:textHash>
    <int2:textHash int2:hashCode="TVNRLLhH2I+2zh" int2:id="wj5H5NAu">
      <int2:state int2:value="Rejected" int2:type="spell"/>
    </int2:textHash>
    <int2:bookmark int2:bookmarkName="_Int_9eS1diAV" int2:invalidationBookmarkName="" int2:hashCode="I9nhrX0q+x0Dbe" int2:id="akN9BzyU">
      <int2:state int2:value="Rejected" int2:type="similarity"/>
      <int2:extLst>
        <oel:ext uri="426473B9-03D8-482F-96C9-C2C85392BACA">
          <int2:similarityCritique int2:version="1" int2:context="Fancourt, D., and Finn, S. (2019) What is the evidence on the role of the arts in improving health and well-being?">
            <int2:source int2:sourceType="Online" int2:sourceTitle="(PDF) Fancourt, D. and Finn, S. (2019). What is the evidence on the ..." int2:sourceUrl="https://www.researchgate.net/publication/342485057_Fancourt_D_and_Finn_S_2019_What_is_the_evidence_on_the_role_of_the_arts_in_improving_health_and_well-being_A_scoping_review" int2:sourceSnippet="PDF | On Jun 26, 2020, Stephen Clift published Fancourt, D. and Finn, S. (2019). What is the evidence on the role of the arts in improving health and well-being? A scoping review | Find, read and ...">
              <int2:suggestions int2:citationType="Inline">
                <int2:suggestion int2:citationStyle="Mla" int2:isIdentical="0">
                  <int2:citationText>(“(PDF) Fancourt, D. and Finn, S. (2019). What is the evidence on the ...”)</int2:citationText>
                </int2:suggestion>
                <int2:suggestion int2:citationStyle="Apa" int2:isIdentical="0">
                  <int2:citationText>(“(PDF) Fancourt, D. and Finn, S. (2019). What is the evidence on the ...”)</int2:citationText>
                </int2:suggestion>
                <int2:suggestion int2:citationStyle="Chicago" int2:isIdentical="0">
                  <int2:citationText>(“(PDF) Fancourt, D. and Finn, S. (2019). What is the evidence on the ...”)</int2:citationText>
                </int2:suggestion>
              </int2:suggestions>
              <int2:suggestions int2:citationType="Full">
                <int2:suggestion int2:citationStyle="Mla" int2:isIdentical="0">
                  <int2:citationText>&lt;i&gt;(PDF) Fancourt, D. and Finn, S. (2019). What is the evidence on the ...&lt;/i&gt;, https://www.researchgate.net/publication/342485057_Fancourt_D_and_Finn_S_2019_What_is_the_evidence_on_the_role_of_the_arts_in_improving_health_and_well-being_A_scoping_review.</int2:citationText>
                </int2:suggestion>
                <int2:suggestion int2:citationStyle="Apa" int2:isIdentical="0">
                  <int2:citationText>&lt;i&gt;(PDF) Fancourt, D. and Finn, S. (2019). What is the evidence on the ...&lt;/i&gt;. (n.d.). Retrieved from https://www.researchgate.net/publication/342485057_Fancourt_D_and_Finn_S_2019_What_is_the_evidence_on_the_role_of_the_arts_in_improving_health_and_well-being_A_scoping_review</int2:citationText>
                </int2:suggestion>
                <int2:suggestion int2:citationStyle="Chicago" int2:isIdentical="0">
                  <int2:citationText>“(PDF) Fancourt, D. and Finn, S. (2019). What is the evidence on the ...” n.d., https://www.researchgate.net/publication/342485057_Fancourt_D_and_Finn_S_2019_What_is_the_evidence_on_the_role_of_the_arts_in_improving_health_and_well-being_A_scoping_review.</int2:citationText>
                </int2:suggestion>
              </int2:suggestions>
            </int2:source>
            <int2:source int2:sourceType="Online" int2:sourceTitle="Fancourt, D. and Finn, S. (2019). What is the evidence on the ... - Idunn" int2:sourceUrl="https://www.scup.com/doi/10.18261/issn.2535-7913-2020-01-08" int2:sourceSnippet="Home Nordic Journal of Arts, Culture and Health Vol.2, Iss.1 Fancourt, D. and Finn, S. (2019). What is the evidence on the role of the arts in improving health and well-being? A scoping review">
              <int2:suggestions int2:citationType="Inline">
                <int2:suggestion int2:citationStyle="Mla" int2:isIdentical="0">
                  <int2:citationText>(“Fancourt, D. and Finn, S. (2019). What is the evidence on the ... - Idunn”)</int2:citationText>
                </int2:suggestion>
                <int2:suggestion int2:citationStyle="Apa" int2:isIdentical="0">
                  <int2:citationText>(“Fancourt, D. and Finn, S. (2019). What is the evidence on the ... - Idunn”)</int2:citationText>
                </int2:suggestion>
                <int2:suggestion int2:citationStyle="Chicago" int2:isIdentical="0">
                  <int2:citationText>(“Fancourt, D. and Finn, S. (2019). What is the evidence on the ... - Idunn”)</int2:citationText>
                </int2:suggestion>
              </int2:suggestions>
              <int2:suggestions int2:citationType="Full">
                <int2:suggestion int2:citationStyle="Mla" int2:isIdentical="0">
                  <int2:citationText>&lt;i&gt;Fancourt, D. and Finn, S. (2019). What is the evidence on the ... - Idunn&lt;/i&gt;, https://www.scup.com/doi/10.18261/issn.2535-7913-2020-01-08.</int2:citationText>
                </int2:suggestion>
                <int2:suggestion int2:citationStyle="Apa" int2:isIdentical="0">
                  <int2:citationText>&lt;i&gt;Fancourt, D. and Finn, S. (2019). What is the evidence on the ... - Idunn&lt;/i&gt;. (n.d.). Retrieved from https://www.scup.com/doi/10.18261/issn.2535-7913-2020-01-08</int2:citationText>
                </int2:suggestion>
                <int2:suggestion int2:citationStyle="Chicago" int2:isIdentical="0">
                  <int2:citationText>“Fancourt, D. and Finn, S. (2019). What is the evidence on the ... - Idunn” n.d., https://www.scup.com/doi/10.18261/issn.2535-7913-2020-01-08.</int2:citationText>
                </int2:suggestion>
              </int2:suggestions>
            </int2:source>
            <int2:source int2:sourceType="Online" int2:sourceTitle="[PDF] Fancourt, D. and Finn, S. (2019). What is the evidence on the ..." int2:sourceUrl="https://www.semanticscholar.org/paper/Fancourt%2C-D.-and-Finn%2C-S.-(2019).-What-is-the-on-of-Clift/250cf8643fcba6cdb7d309365f879e62d796c35d" int2:sourceSnippet="DOI: 10.18261/issn.2535-7913-2020-01-08 Corpus ID: 221783648 Fancourt, D. and Finn, S. (2019). What is the evidence on the role of the arts in improving health and well-being? A scoping review S. Clift Published 2020 Art, Medicine">
              <int2:suggestions int2:citationType="Inline">
                <int2:suggestion int2:citationStyle="Mla" int2:isIdentical="0">
                  <int2:citationText>(“[PDF] Fancourt, D. and Finn, S. (2019). What is the evidence on the ...”)</int2:citationText>
                </int2:suggestion>
                <int2:suggestion int2:citationStyle="Apa" int2:isIdentical="0">
                  <int2:citationText>(“[PDF] Fancourt, D. and Finn, S. (2019). What is the evidence on the ...”)</int2:citationText>
                </int2:suggestion>
                <int2:suggestion int2:citationStyle="Chicago" int2:isIdentical="0">
                  <int2:citationText>(“[PDF] Fancourt, D. and Finn, S. (2019). What is the evidence on the ...”)</int2:citationText>
                </int2:suggestion>
              </int2:suggestions>
              <int2:suggestions int2:citationType="Full">
                <int2:suggestion int2:citationStyle="Mla" int2:isIdentical="0">
                  <int2:citationText>&lt;i&gt;[PDF] Fancourt, D. and Finn, S. (2019). What is the evidence on the ...&lt;/i&gt;, https://www.semanticscholar.org/paper/Fancourt%2C-D.-and-Finn%2C-S.-(2019).-What-is-the-on-of-Clift/250cf8643fcba6cdb7d309365f879e62d796c35d.</int2:citationText>
                </int2:suggestion>
                <int2:suggestion int2:citationStyle="Apa" int2:isIdentical="0">
                  <int2:citationText>&lt;i&gt;[PDF] Fancourt, D. and Finn, S. (2019). What is the evidence on the ...&lt;/i&gt;. (n.d.). Retrieved from https://www.semanticscholar.org/paper/Fancourt%2C-D.-and-Finn%2C-S.-(2019).-What-is-the-on-of-Clift/250cf8643fcba6cdb7d309365f879e62d796c35d</int2:citationText>
                </int2:suggestion>
                <int2:suggestion int2:citationStyle="Chicago" int2:isIdentical="0">
                  <int2:citationText>“[PDF] Fancourt, D. and Finn, S. (2019). What is the evidence on the ...” n.d., https://www.semanticscholar.org/paper/Fancourt%2C-D.-and-Finn%2C-S.-(2019).-What-is-the-on-of-Clift/250cf8643fcba6cdb7d309365f879e62d796c35d.</int2:citationText>
                </int2:suggestion>
              </int2:suggestions>
            </int2:source>
          </int2:similarityCritique>
        </oel:ext>
      </int2:extLst>
    </int2:bookmark>
    <int2:entireDocument int2:id="GQkm78R4">
      <int2:extLst>
        <oel:ext uri="E302BA01-7950-474C-9AD3-286E660C40A8">
          <int2:similaritySummary int2:version="1" int2:runId="1784062040286" int2:tilesCheckedInThisRun="0" int2:totalNumOfTiles="179" int2:similarityAnnotationCount="1" int2:numWords="4481" int2:numFlaggedWords="21"/>
        </oel:ext>
      </int2:extLst>
    </int2:entireDocument>
  </int2:observations>
  <int2:intelligenceSettings/>
  <int2:onDemandWorkflows>
    <int2:onDemandWorkflow int2:type="SimilarityCheck" int2:paragraphVersions="455093F5-2E130BAF 46965570-169C3540 2C8647E4-7D79827D 5A126544-0E8C37F7 5D7A5A0F-3F98E19F 419D35E6-5CFF9982 34E5B4C2-4D8FA054 1BE13648-57F7AD87 08ECE672-328E48E0 1C436521-463E9AF8 33920EE6-0E911B25 2BCA7084-554D1A42 6A427876-158F19B8 5BC7245B-3E14EE8C 38E7606E-0A8AB319 576A95DE-0BECC118 0963CA02-7AB5856D 6FADF69A-72084E95 49F25DDA-19417443 1845A320-0917EB22 03A9B007-32E7FE64 28EC1628-00497BCB 334D5A5C-2E6447CE 09B31572-49E47E1A 7DDC5924-60410B33 5F3608D3-256D8BAA 0FFD13D0-53B5E5CE 7AEDC8BB-277023C9 0F3ABAA7-1E94F589 5B1750F0-4DAAF705 2888F0D7-1F8EE74F 288C1FEE-52C35537 22B1AD4D-63206029 708CCC54-0D8F5946 67DDB788-68D52C3A 70AEA605-5A18DF07 59804046-2961904B 5765A0C5-720EB168 3D73D9F5-367E1667 41E975B4-12005104 146E454F-3667C6A7 23746BD9-6D054073 0FA95718-6455E8AB 25FB86A7-238DC72F 26E3C11D-0AC1A3A5 7EF621FB-227C713E 2ED37FD4-57578BA9 0ECE7BC7-6CEFB8B7 7A21B314-5F871FEE 1DBE7DDB-1311B52C 007EFA0B-0B11FC5E 2141AC06-718643D7 47C82506-70BFAC51 5F5AE4CA-5770C069 7D6A9794-60FF70FE 6502875E-2D24A4E0 751B610E-1FDC00AC 2F7F293E-1FD4A97B 606E2969-5D299149 64B8A97C-2D941EB6 0D73350E-4F168241 4E96DB06-4EB09ACA 25049DC8-0BC458F7 794A6A1B-48C39AA6 343210DE-5243418E 6E004C19-02EF98DB 1CECA4CD-45DB0275 5EE474D6-1AAF278A 423ADB63-54ECABC3 3D2D4C11-168B6215 3D9F1AE6-038A51AC 215ED001-3A54AF3D 1F9FAC6B-6F5BB0C0 61EFB637-28EECC3A 6CA55529-70CAC958 76239E20-141D52E5 34C50ECB-701451DD 075B4BB2-0A7E793F 2CD76C8C-26A9AB37 0E8425BA-1041C9E4 0EE9D80B-5347AEA5 528F4CF9-3024328A 06439813-47F3B79A 31F91E1D-4C6ED4DD 50F9D64E-00B26241 57B79CEC-0AED4B66 63A2DEB1-2AE12960 293E626C-11976484 4EF4B4AF-54C021F4 32AEFAAD-453585A9 3CF716B7-6F48F373 07202E3B-32D4F78F 21C397BA-4EB11CB4 351D0012-46D140B7 21EB8EB4-4FEB852F 38230D2B-007B76E7 0D572479-4EA5F17F 2E6AD8A1-302B3728 53306641-34DBF9BB 4F5B3D17-77562176 2298FBE3-62100CBD 165D6DAB-3DA70F52 1605D406-746C761B 1957DB0D-3F7B134A 2BE5E714-4AC5B874 185FB157-46F1CE38 32F21826-3BC56C2D 348F2E23-609DBF01 2EACFEF4-6D72D662 4D92265B-569BD634 61374B74-0EE5D63E 20AD6660-37256EF3 6D8E95CC-0728E3A6 18E82858-0AB561BA 17749DC7-3E3037D7 3A754102-1C792495 4D9E35E6-07B4C0F0 2A752E8B-6A6DC5D0 471583B4-58784103 405535C6-608A7E6D 1A358F7E-15465363 37FFC0E5-7704462C 2FC8C0F8-49E658AB 30970708-346819F1 5FD9D35E-68E6D57D 1CD76523-06AFBFDB 0254BFFB-1E61FCC6 1E09301C-6248F8C8 678E9139-52BCA176 3F4BC630-0905D3C7 60998EF5-233D9257 00320190-7473B64E 52342DFB-1035FCFC 469D56B6-2C14133E 1F635967-7252F837 4A9C6BC5-41C59CC3 556B5180-3EF38D2A 700C237C-08A3AD10 0929625F-59081788 0704669C-76B58813 3143BABF-024FAA21 2854BE4B-4B2CA022 597CA330-402DFCB1 6A985634-44972495 6DFB461C-6587BF31 7C792A2D-3AD7F228 06D3744E-24197C4E 16EE8721-73F3D6F6 0781DE55-25F11DD5 51B51672-7E650E07 1626626C-4B967125 45300407-713F4EFC 278F6394-35C20E21 23F5270A-74BDA915 283B08D3-39E4F0CD 1E869340-2503602C 73DD2E15-479D1A67 28219AB1-00E7A4B2 53BE00DC-67131B90 60ECAE40-53FDCF12 21E48CB6-48620826 3ED3BC55-73A108C1 5205E0D3-16ACD261 76784B92-1ACCBABD 3E9EE9DC-746C761B 75E3A8AE-20221F3E 7E656817-77FF9258 52A089B2-038D4638 242C092A-0076AEB4 178AF328-4D8E62AA 35944BD7-6021A7AD 233449C4-6D72D662 713D6DF0-38FA6BE4 2940E3BD-477001B0 5FFF35AB-31A8AB72 3F02EA27-4CD52D0A 718AE7E6-3A1713FE 4147A04F-54D77DCB 6A1F489C-3E3037D7 2071762F-0594A9B5 5541DACE-03FE94B0 4E77E620-07A1B144 4D638A27-26C0240F 286D0650-787B68CC 04AD2B59-0F7DCCD0 0894757F-15465363 570B5508-13F21C24 054C5003-71E310E9 2CE32AEC-327438C8 404D50E1-70366F41 327607E6-281060A7 6D28215B-6763142A 09A774B4-1E61FCC6 51797992-0907D348 38E99DC5-3A2AE369 7615AC42-2D6ACA5B 13B99B95-521246A7 372DCE83-7A93AD5C 0350961D-7DD80E51 25B871C3-1035FCFC 05E99BE0-58B3FCDA 147593D5-7F7078C0 775C975C-742E6A33 4AC9263A-3814C102 79C8D98E-273A2529 00E4FECB-33993304 0F2D481B-2A6B2C1B 0AEE0903-255C8439 0E54AB85-1D5ED6A3 76CF4462-758772C9 34A5D7D8-5E62D874 3ABC9141-2B0CE14D 36773C6F-0CDFA3EC 48869A2D-0E382138 258FF704-33E07EF0 0EA5701F-223BD326 089679BC-63866549 12421314-1F4B5F94 7F3C33D1-2BC5EBC6 39084A49-4746DCD5 2D4B3A4C-5E5F79E3 2CE791A9-55B04C7F 689BB11C-539CE73F 0F4BF06D-05AE02E3 32C652E3-0D739AC3 180DF621-32469070 48C29F41-3A3393EA 77ABB1A9-65003956 246C8B8B-0D8CAA4F 52373285-3B270AFB 7E3D9009-4EDBBB88 2FAB29DE-6C170DC9 41714961-5780DBC0 3AC26B24-00D28015 5E1CC756-01948E1F 6AE875DC-46D19016 2F5FB5E8-19B72822 58E1FD12-14324EDC 3DDBC522-53686BF3 7C893AB7-13A2BF7A 78B89233-2B4118F6 5A1EC217-54BC84DC 52F1AAD1-00660793 1761DA00-7EDC0F8D 5B06938D-6A542510 614BA4B1-5EF774BC 0DEDCB31-1ECAB9AE 7CB7CC52-2DA5048F 464C49D6-6EE7B3EB 58776B7F-732AB10A 6C469F54-56C05FE3 321804E1-6D4E7529 7DE589BB-5D1BD4CC 1BA1EC05-0BC37B00 4E15C514-5E63AC3A 26D1EB39-4E0EACE3 5630C2D5-75BB3480 5194EA06-0F6AF62D 5BBE2872-5FBBD224 24D6E3EF-279BA1E7 506C3250-2B7C257A 1A415642-275C2502 7D2EC526-41681F5C 5E5787A5-545BABA2 41E9D355-6CCC1024 6B8FEED2-7251F29C 46FF9198-553BB426 41887AE0-07F0CC1E 00F42992-0A0A431B 3488F8A7-3127CC57 5518619D-55BF09E9 4D5A1854-2FB642A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8576F"/>
    <w:multiLevelType w:val="hybridMultilevel"/>
    <w:tmpl w:val="9F2A81F0"/>
    <w:lvl w:ilvl="0" w:tplc="787253E0">
      <w:start w:val="1"/>
      <w:numFmt w:val="bullet"/>
      <w:lvlText w:val=""/>
      <w:lvlJc w:val="left"/>
      <w:pPr>
        <w:ind w:left="720" w:hanging="360"/>
      </w:pPr>
      <w:rPr>
        <w:rFonts w:hint="default" w:ascii="Symbol" w:hAnsi="Symbol"/>
      </w:rPr>
    </w:lvl>
    <w:lvl w:ilvl="1" w:tplc="524ED510">
      <w:start w:val="1"/>
      <w:numFmt w:val="bullet"/>
      <w:lvlText w:val="o"/>
      <w:lvlJc w:val="left"/>
      <w:pPr>
        <w:ind w:left="1440" w:hanging="360"/>
      </w:pPr>
      <w:rPr>
        <w:rFonts w:hint="default" w:ascii="Courier New" w:hAnsi="Courier New"/>
      </w:rPr>
    </w:lvl>
    <w:lvl w:ilvl="2" w:tplc="7194A286">
      <w:start w:val="1"/>
      <w:numFmt w:val="bullet"/>
      <w:lvlText w:val=""/>
      <w:lvlJc w:val="left"/>
      <w:pPr>
        <w:ind w:left="2160" w:hanging="360"/>
      </w:pPr>
      <w:rPr>
        <w:rFonts w:hint="default" w:ascii="Wingdings" w:hAnsi="Wingdings"/>
      </w:rPr>
    </w:lvl>
    <w:lvl w:ilvl="3" w:tplc="949A84A8">
      <w:start w:val="1"/>
      <w:numFmt w:val="bullet"/>
      <w:lvlText w:val=""/>
      <w:lvlJc w:val="left"/>
      <w:pPr>
        <w:ind w:left="2880" w:hanging="360"/>
      </w:pPr>
      <w:rPr>
        <w:rFonts w:hint="default" w:ascii="Symbol" w:hAnsi="Symbol"/>
      </w:rPr>
    </w:lvl>
    <w:lvl w:ilvl="4" w:tplc="927C15BA">
      <w:start w:val="1"/>
      <w:numFmt w:val="bullet"/>
      <w:lvlText w:val="o"/>
      <w:lvlJc w:val="left"/>
      <w:pPr>
        <w:ind w:left="3600" w:hanging="360"/>
      </w:pPr>
      <w:rPr>
        <w:rFonts w:hint="default" w:ascii="Courier New" w:hAnsi="Courier New"/>
      </w:rPr>
    </w:lvl>
    <w:lvl w:ilvl="5" w:tplc="DED887CE">
      <w:start w:val="1"/>
      <w:numFmt w:val="bullet"/>
      <w:lvlText w:val=""/>
      <w:lvlJc w:val="left"/>
      <w:pPr>
        <w:ind w:left="4320" w:hanging="360"/>
      </w:pPr>
      <w:rPr>
        <w:rFonts w:hint="default" w:ascii="Wingdings" w:hAnsi="Wingdings"/>
      </w:rPr>
    </w:lvl>
    <w:lvl w:ilvl="6" w:tplc="843C8B0C">
      <w:start w:val="1"/>
      <w:numFmt w:val="bullet"/>
      <w:lvlText w:val=""/>
      <w:lvlJc w:val="left"/>
      <w:pPr>
        <w:ind w:left="5040" w:hanging="360"/>
      </w:pPr>
      <w:rPr>
        <w:rFonts w:hint="default" w:ascii="Symbol" w:hAnsi="Symbol"/>
      </w:rPr>
    </w:lvl>
    <w:lvl w:ilvl="7" w:tplc="D25A87C4">
      <w:start w:val="1"/>
      <w:numFmt w:val="bullet"/>
      <w:lvlText w:val="o"/>
      <w:lvlJc w:val="left"/>
      <w:pPr>
        <w:ind w:left="5760" w:hanging="360"/>
      </w:pPr>
      <w:rPr>
        <w:rFonts w:hint="default" w:ascii="Courier New" w:hAnsi="Courier New"/>
      </w:rPr>
    </w:lvl>
    <w:lvl w:ilvl="8" w:tplc="0296A5D6">
      <w:start w:val="1"/>
      <w:numFmt w:val="bullet"/>
      <w:lvlText w:val=""/>
      <w:lvlJc w:val="left"/>
      <w:pPr>
        <w:ind w:left="6480" w:hanging="360"/>
      </w:pPr>
      <w:rPr>
        <w:rFonts w:hint="default" w:ascii="Wingdings" w:hAnsi="Wingdings"/>
      </w:rPr>
    </w:lvl>
  </w:abstractNum>
  <w:abstractNum w:abstractNumId="1" w15:restartNumberingAfterBreak="0">
    <w:nsid w:val="01A517A0"/>
    <w:multiLevelType w:val="hybridMultilevel"/>
    <w:tmpl w:val="2392E238"/>
    <w:lvl w:ilvl="0" w:tplc="2612C9BA">
      <w:start w:val="1"/>
      <w:numFmt w:val="bullet"/>
      <w:lvlText w:val=""/>
      <w:lvlJc w:val="left"/>
      <w:pPr>
        <w:ind w:left="720" w:hanging="360"/>
      </w:pPr>
      <w:rPr>
        <w:rFonts w:hint="default" w:ascii="Symbol" w:hAnsi="Symbol"/>
      </w:rPr>
    </w:lvl>
    <w:lvl w:ilvl="1" w:tplc="6242F8CC">
      <w:start w:val="1"/>
      <w:numFmt w:val="bullet"/>
      <w:lvlText w:val="o"/>
      <w:lvlJc w:val="left"/>
      <w:pPr>
        <w:ind w:left="1440" w:hanging="360"/>
      </w:pPr>
      <w:rPr>
        <w:rFonts w:hint="default" w:ascii="Courier New" w:hAnsi="Courier New"/>
      </w:rPr>
    </w:lvl>
    <w:lvl w:ilvl="2" w:tplc="71BA5B06">
      <w:start w:val="1"/>
      <w:numFmt w:val="bullet"/>
      <w:lvlText w:val=""/>
      <w:lvlJc w:val="left"/>
      <w:pPr>
        <w:ind w:left="2160" w:hanging="360"/>
      </w:pPr>
      <w:rPr>
        <w:rFonts w:hint="default" w:ascii="Wingdings" w:hAnsi="Wingdings"/>
      </w:rPr>
    </w:lvl>
    <w:lvl w:ilvl="3" w:tplc="6B10A6EE">
      <w:start w:val="1"/>
      <w:numFmt w:val="bullet"/>
      <w:lvlText w:val=""/>
      <w:lvlJc w:val="left"/>
      <w:pPr>
        <w:ind w:left="2880" w:hanging="360"/>
      </w:pPr>
      <w:rPr>
        <w:rFonts w:hint="default" w:ascii="Symbol" w:hAnsi="Symbol"/>
      </w:rPr>
    </w:lvl>
    <w:lvl w:ilvl="4" w:tplc="8C4CC22A">
      <w:start w:val="1"/>
      <w:numFmt w:val="bullet"/>
      <w:lvlText w:val="o"/>
      <w:lvlJc w:val="left"/>
      <w:pPr>
        <w:ind w:left="3600" w:hanging="360"/>
      </w:pPr>
      <w:rPr>
        <w:rFonts w:hint="default" w:ascii="Courier New" w:hAnsi="Courier New"/>
      </w:rPr>
    </w:lvl>
    <w:lvl w:ilvl="5" w:tplc="36E6A66E">
      <w:start w:val="1"/>
      <w:numFmt w:val="bullet"/>
      <w:lvlText w:val=""/>
      <w:lvlJc w:val="left"/>
      <w:pPr>
        <w:ind w:left="4320" w:hanging="360"/>
      </w:pPr>
      <w:rPr>
        <w:rFonts w:hint="default" w:ascii="Wingdings" w:hAnsi="Wingdings"/>
      </w:rPr>
    </w:lvl>
    <w:lvl w:ilvl="6" w:tplc="43FEE9B6">
      <w:start w:val="1"/>
      <w:numFmt w:val="bullet"/>
      <w:lvlText w:val=""/>
      <w:lvlJc w:val="left"/>
      <w:pPr>
        <w:ind w:left="5040" w:hanging="360"/>
      </w:pPr>
      <w:rPr>
        <w:rFonts w:hint="default" w:ascii="Symbol" w:hAnsi="Symbol"/>
      </w:rPr>
    </w:lvl>
    <w:lvl w:ilvl="7" w:tplc="8072069E">
      <w:start w:val="1"/>
      <w:numFmt w:val="bullet"/>
      <w:lvlText w:val="o"/>
      <w:lvlJc w:val="left"/>
      <w:pPr>
        <w:ind w:left="5760" w:hanging="360"/>
      </w:pPr>
      <w:rPr>
        <w:rFonts w:hint="default" w:ascii="Courier New" w:hAnsi="Courier New"/>
      </w:rPr>
    </w:lvl>
    <w:lvl w:ilvl="8" w:tplc="4B30D934">
      <w:start w:val="1"/>
      <w:numFmt w:val="bullet"/>
      <w:lvlText w:val=""/>
      <w:lvlJc w:val="left"/>
      <w:pPr>
        <w:ind w:left="6480" w:hanging="360"/>
      </w:pPr>
      <w:rPr>
        <w:rFonts w:hint="default" w:ascii="Wingdings" w:hAnsi="Wingdings"/>
      </w:rPr>
    </w:lvl>
  </w:abstractNum>
  <w:abstractNum w:abstractNumId="2" w15:restartNumberingAfterBreak="0">
    <w:nsid w:val="0879E517"/>
    <w:multiLevelType w:val="hybridMultilevel"/>
    <w:tmpl w:val="95A8E8C6"/>
    <w:lvl w:ilvl="0" w:tplc="9C60898E">
      <w:start w:val="1"/>
      <w:numFmt w:val="bullet"/>
      <w:lvlText w:val=""/>
      <w:lvlJc w:val="left"/>
      <w:pPr>
        <w:ind w:left="720" w:hanging="360"/>
      </w:pPr>
      <w:rPr>
        <w:rFonts w:hint="default" w:ascii="Symbol" w:hAnsi="Symbol"/>
      </w:rPr>
    </w:lvl>
    <w:lvl w:ilvl="1" w:tplc="74C67534">
      <w:start w:val="1"/>
      <w:numFmt w:val="bullet"/>
      <w:lvlText w:val="o"/>
      <w:lvlJc w:val="left"/>
      <w:pPr>
        <w:ind w:left="1440" w:hanging="360"/>
      </w:pPr>
      <w:rPr>
        <w:rFonts w:hint="default" w:ascii="Courier New" w:hAnsi="Courier New"/>
      </w:rPr>
    </w:lvl>
    <w:lvl w:ilvl="2" w:tplc="D8C0D392">
      <w:start w:val="1"/>
      <w:numFmt w:val="bullet"/>
      <w:lvlText w:val=""/>
      <w:lvlJc w:val="left"/>
      <w:pPr>
        <w:ind w:left="2160" w:hanging="360"/>
      </w:pPr>
      <w:rPr>
        <w:rFonts w:hint="default" w:ascii="Wingdings" w:hAnsi="Wingdings"/>
      </w:rPr>
    </w:lvl>
    <w:lvl w:ilvl="3" w:tplc="2A0C6DF8">
      <w:start w:val="1"/>
      <w:numFmt w:val="bullet"/>
      <w:lvlText w:val=""/>
      <w:lvlJc w:val="left"/>
      <w:pPr>
        <w:ind w:left="2880" w:hanging="360"/>
      </w:pPr>
      <w:rPr>
        <w:rFonts w:hint="default" w:ascii="Symbol" w:hAnsi="Symbol"/>
      </w:rPr>
    </w:lvl>
    <w:lvl w:ilvl="4" w:tplc="4482B836">
      <w:start w:val="1"/>
      <w:numFmt w:val="bullet"/>
      <w:lvlText w:val="o"/>
      <w:lvlJc w:val="left"/>
      <w:pPr>
        <w:ind w:left="3600" w:hanging="360"/>
      </w:pPr>
      <w:rPr>
        <w:rFonts w:hint="default" w:ascii="Courier New" w:hAnsi="Courier New"/>
      </w:rPr>
    </w:lvl>
    <w:lvl w:ilvl="5" w:tplc="A4909BCA">
      <w:start w:val="1"/>
      <w:numFmt w:val="bullet"/>
      <w:lvlText w:val=""/>
      <w:lvlJc w:val="left"/>
      <w:pPr>
        <w:ind w:left="4320" w:hanging="360"/>
      </w:pPr>
      <w:rPr>
        <w:rFonts w:hint="default" w:ascii="Wingdings" w:hAnsi="Wingdings"/>
      </w:rPr>
    </w:lvl>
    <w:lvl w:ilvl="6" w:tplc="283E523A">
      <w:start w:val="1"/>
      <w:numFmt w:val="bullet"/>
      <w:lvlText w:val=""/>
      <w:lvlJc w:val="left"/>
      <w:pPr>
        <w:ind w:left="5040" w:hanging="360"/>
      </w:pPr>
      <w:rPr>
        <w:rFonts w:hint="default" w:ascii="Symbol" w:hAnsi="Symbol"/>
      </w:rPr>
    </w:lvl>
    <w:lvl w:ilvl="7" w:tplc="13EEE758">
      <w:start w:val="1"/>
      <w:numFmt w:val="bullet"/>
      <w:lvlText w:val="o"/>
      <w:lvlJc w:val="left"/>
      <w:pPr>
        <w:ind w:left="5760" w:hanging="360"/>
      </w:pPr>
      <w:rPr>
        <w:rFonts w:hint="default" w:ascii="Courier New" w:hAnsi="Courier New"/>
      </w:rPr>
    </w:lvl>
    <w:lvl w:ilvl="8" w:tplc="B7F25AA2">
      <w:start w:val="1"/>
      <w:numFmt w:val="bullet"/>
      <w:lvlText w:val=""/>
      <w:lvlJc w:val="left"/>
      <w:pPr>
        <w:ind w:left="6480" w:hanging="360"/>
      </w:pPr>
      <w:rPr>
        <w:rFonts w:hint="default" w:ascii="Wingdings" w:hAnsi="Wingdings"/>
      </w:rPr>
    </w:lvl>
  </w:abstractNum>
  <w:abstractNum w:abstractNumId="3" w15:restartNumberingAfterBreak="0">
    <w:nsid w:val="09610B1E"/>
    <w:multiLevelType w:val="hybridMultilevel"/>
    <w:tmpl w:val="6C08E7E6"/>
    <w:lvl w:ilvl="0" w:tplc="FD6CAE28">
      <w:start w:val="1"/>
      <w:numFmt w:val="bullet"/>
      <w:lvlText w:val=""/>
      <w:lvlJc w:val="left"/>
      <w:pPr>
        <w:ind w:left="720" w:hanging="360"/>
      </w:pPr>
      <w:rPr>
        <w:rFonts w:hint="default" w:ascii="Symbol" w:hAnsi="Symbol"/>
      </w:rPr>
    </w:lvl>
    <w:lvl w:ilvl="1" w:tplc="E312B1D2">
      <w:start w:val="1"/>
      <w:numFmt w:val="bullet"/>
      <w:lvlText w:val="o"/>
      <w:lvlJc w:val="left"/>
      <w:pPr>
        <w:ind w:left="1440" w:hanging="360"/>
      </w:pPr>
      <w:rPr>
        <w:rFonts w:hint="default" w:ascii="Courier New" w:hAnsi="Courier New"/>
      </w:rPr>
    </w:lvl>
    <w:lvl w:ilvl="2" w:tplc="3A52E496">
      <w:start w:val="1"/>
      <w:numFmt w:val="bullet"/>
      <w:lvlText w:val=""/>
      <w:lvlJc w:val="left"/>
      <w:pPr>
        <w:ind w:left="2160" w:hanging="360"/>
      </w:pPr>
      <w:rPr>
        <w:rFonts w:hint="default" w:ascii="Wingdings" w:hAnsi="Wingdings"/>
      </w:rPr>
    </w:lvl>
    <w:lvl w:ilvl="3" w:tplc="ECF06E04">
      <w:start w:val="1"/>
      <w:numFmt w:val="bullet"/>
      <w:lvlText w:val=""/>
      <w:lvlJc w:val="left"/>
      <w:pPr>
        <w:ind w:left="2880" w:hanging="360"/>
      </w:pPr>
      <w:rPr>
        <w:rFonts w:hint="default" w:ascii="Symbol" w:hAnsi="Symbol"/>
      </w:rPr>
    </w:lvl>
    <w:lvl w:ilvl="4" w:tplc="EAAC78D8">
      <w:start w:val="1"/>
      <w:numFmt w:val="bullet"/>
      <w:lvlText w:val="o"/>
      <w:lvlJc w:val="left"/>
      <w:pPr>
        <w:ind w:left="3600" w:hanging="360"/>
      </w:pPr>
      <w:rPr>
        <w:rFonts w:hint="default" w:ascii="Courier New" w:hAnsi="Courier New"/>
      </w:rPr>
    </w:lvl>
    <w:lvl w:ilvl="5" w:tplc="724AF5CA">
      <w:start w:val="1"/>
      <w:numFmt w:val="bullet"/>
      <w:lvlText w:val=""/>
      <w:lvlJc w:val="left"/>
      <w:pPr>
        <w:ind w:left="4320" w:hanging="360"/>
      </w:pPr>
      <w:rPr>
        <w:rFonts w:hint="default" w:ascii="Wingdings" w:hAnsi="Wingdings"/>
      </w:rPr>
    </w:lvl>
    <w:lvl w:ilvl="6" w:tplc="E93E99D6">
      <w:start w:val="1"/>
      <w:numFmt w:val="bullet"/>
      <w:lvlText w:val=""/>
      <w:lvlJc w:val="left"/>
      <w:pPr>
        <w:ind w:left="5040" w:hanging="360"/>
      </w:pPr>
      <w:rPr>
        <w:rFonts w:hint="default" w:ascii="Symbol" w:hAnsi="Symbol"/>
      </w:rPr>
    </w:lvl>
    <w:lvl w:ilvl="7" w:tplc="36746968">
      <w:start w:val="1"/>
      <w:numFmt w:val="bullet"/>
      <w:lvlText w:val="o"/>
      <w:lvlJc w:val="left"/>
      <w:pPr>
        <w:ind w:left="5760" w:hanging="360"/>
      </w:pPr>
      <w:rPr>
        <w:rFonts w:hint="default" w:ascii="Courier New" w:hAnsi="Courier New"/>
      </w:rPr>
    </w:lvl>
    <w:lvl w:ilvl="8" w:tplc="41189CEC">
      <w:start w:val="1"/>
      <w:numFmt w:val="bullet"/>
      <w:lvlText w:val=""/>
      <w:lvlJc w:val="left"/>
      <w:pPr>
        <w:ind w:left="6480" w:hanging="360"/>
      </w:pPr>
      <w:rPr>
        <w:rFonts w:hint="default" w:ascii="Wingdings" w:hAnsi="Wingdings"/>
      </w:rPr>
    </w:lvl>
  </w:abstractNum>
  <w:abstractNum w:abstractNumId="4" w15:restartNumberingAfterBreak="0">
    <w:nsid w:val="0E9748FA"/>
    <w:multiLevelType w:val="hybridMultilevel"/>
    <w:tmpl w:val="05D28B0A"/>
    <w:lvl w:ilvl="0" w:tplc="616E2A64">
      <w:start w:val="1"/>
      <w:numFmt w:val="bullet"/>
      <w:lvlText w:val=""/>
      <w:lvlJc w:val="left"/>
      <w:pPr>
        <w:ind w:left="720" w:hanging="360"/>
      </w:pPr>
      <w:rPr>
        <w:rFonts w:hint="default" w:ascii="Symbol" w:hAnsi="Symbol"/>
      </w:rPr>
    </w:lvl>
    <w:lvl w:ilvl="1" w:tplc="AA0AD3AA">
      <w:start w:val="1"/>
      <w:numFmt w:val="bullet"/>
      <w:lvlText w:val="o"/>
      <w:lvlJc w:val="left"/>
      <w:pPr>
        <w:ind w:left="1440" w:hanging="360"/>
      </w:pPr>
      <w:rPr>
        <w:rFonts w:hint="default" w:ascii="Courier New" w:hAnsi="Courier New"/>
      </w:rPr>
    </w:lvl>
    <w:lvl w:ilvl="2" w:tplc="C17C4278">
      <w:start w:val="1"/>
      <w:numFmt w:val="bullet"/>
      <w:lvlText w:val=""/>
      <w:lvlJc w:val="left"/>
      <w:pPr>
        <w:ind w:left="2160" w:hanging="360"/>
      </w:pPr>
      <w:rPr>
        <w:rFonts w:hint="default" w:ascii="Wingdings" w:hAnsi="Wingdings"/>
      </w:rPr>
    </w:lvl>
    <w:lvl w:ilvl="3" w:tplc="5792F6B8">
      <w:start w:val="1"/>
      <w:numFmt w:val="bullet"/>
      <w:lvlText w:val=""/>
      <w:lvlJc w:val="left"/>
      <w:pPr>
        <w:ind w:left="2880" w:hanging="360"/>
      </w:pPr>
      <w:rPr>
        <w:rFonts w:hint="default" w:ascii="Symbol" w:hAnsi="Symbol"/>
      </w:rPr>
    </w:lvl>
    <w:lvl w:ilvl="4" w:tplc="74127382">
      <w:start w:val="1"/>
      <w:numFmt w:val="bullet"/>
      <w:lvlText w:val="o"/>
      <w:lvlJc w:val="left"/>
      <w:pPr>
        <w:ind w:left="3600" w:hanging="360"/>
      </w:pPr>
      <w:rPr>
        <w:rFonts w:hint="default" w:ascii="Courier New" w:hAnsi="Courier New"/>
      </w:rPr>
    </w:lvl>
    <w:lvl w:ilvl="5" w:tplc="D06431C8">
      <w:start w:val="1"/>
      <w:numFmt w:val="bullet"/>
      <w:lvlText w:val=""/>
      <w:lvlJc w:val="left"/>
      <w:pPr>
        <w:ind w:left="4320" w:hanging="360"/>
      </w:pPr>
      <w:rPr>
        <w:rFonts w:hint="default" w:ascii="Wingdings" w:hAnsi="Wingdings"/>
      </w:rPr>
    </w:lvl>
    <w:lvl w:ilvl="6" w:tplc="13D4F23A">
      <w:start w:val="1"/>
      <w:numFmt w:val="bullet"/>
      <w:lvlText w:val=""/>
      <w:lvlJc w:val="left"/>
      <w:pPr>
        <w:ind w:left="5040" w:hanging="360"/>
      </w:pPr>
      <w:rPr>
        <w:rFonts w:hint="default" w:ascii="Symbol" w:hAnsi="Symbol"/>
      </w:rPr>
    </w:lvl>
    <w:lvl w:ilvl="7" w:tplc="5DDAF2DA">
      <w:start w:val="1"/>
      <w:numFmt w:val="bullet"/>
      <w:lvlText w:val="o"/>
      <w:lvlJc w:val="left"/>
      <w:pPr>
        <w:ind w:left="5760" w:hanging="360"/>
      </w:pPr>
      <w:rPr>
        <w:rFonts w:hint="default" w:ascii="Courier New" w:hAnsi="Courier New"/>
      </w:rPr>
    </w:lvl>
    <w:lvl w:ilvl="8" w:tplc="20582350">
      <w:start w:val="1"/>
      <w:numFmt w:val="bullet"/>
      <w:lvlText w:val=""/>
      <w:lvlJc w:val="left"/>
      <w:pPr>
        <w:ind w:left="6480" w:hanging="360"/>
      </w:pPr>
      <w:rPr>
        <w:rFonts w:hint="default" w:ascii="Wingdings" w:hAnsi="Wingdings"/>
      </w:rPr>
    </w:lvl>
  </w:abstractNum>
  <w:abstractNum w:abstractNumId="5" w15:restartNumberingAfterBreak="0">
    <w:nsid w:val="118039A6"/>
    <w:multiLevelType w:val="hybridMultilevel"/>
    <w:tmpl w:val="E1DC57E6"/>
    <w:lvl w:ilvl="0" w:tplc="ACF24D30">
      <w:start w:val="1"/>
      <w:numFmt w:val="decimal"/>
      <w:lvlText w:val="%1."/>
      <w:lvlJc w:val="left"/>
      <w:pPr>
        <w:ind w:left="720" w:hanging="360"/>
      </w:pPr>
    </w:lvl>
    <w:lvl w:ilvl="1" w:tplc="9DE84C62">
      <w:start w:val="1"/>
      <w:numFmt w:val="lowerLetter"/>
      <w:lvlText w:val="%2."/>
      <w:lvlJc w:val="left"/>
      <w:pPr>
        <w:ind w:left="1440" w:hanging="360"/>
      </w:pPr>
    </w:lvl>
    <w:lvl w:ilvl="2" w:tplc="BD564476">
      <w:start w:val="1"/>
      <w:numFmt w:val="lowerRoman"/>
      <w:lvlText w:val="%3."/>
      <w:lvlJc w:val="right"/>
      <w:pPr>
        <w:ind w:left="2160" w:hanging="180"/>
      </w:pPr>
    </w:lvl>
    <w:lvl w:ilvl="3" w:tplc="B8B0D378">
      <w:start w:val="1"/>
      <w:numFmt w:val="decimal"/>
      <w:lvlText w:val="%4."/>
      <w:lvlJc w:val="left"/>
      <w:pPr>
        <w:ind w:left="2880" w:hanging="360"/>
      </w:pPr>
    </w:lvl>
    <w:lvl w:ilvl="4" w:tplc="6206E092">
      <w:start w:val="1"/>
      <w:numFmt w:val="lowerLetter"/>
      <w:lvlText w:val="%5."/>
      <w:lvlJc w:val="left"/>
      <w:pPr>
        <w:ind w:left="3600" w:hanging="360"/>
      </w:pPr>
    </w:lvl>
    <w:lvl w:ilvl="5" w:tplc="06462AD2">
      <w:start w:val="1"/>
      <w:numFmt w:val="lowerRoman"/>
      <w:lvlText w:val="%6."/>
      <w:lvlJc w:val="right"/>
      <w:pPr>
        <w:ind w:left="4320" w:hanging="180"/>
      </w:pPr>
    </w:lvl>
    <w:lvl w:ilvl="6" w:tplc="17149E36">
      <w:start w:val="1"/>
      <w:numFmt w:val="decimal"/>
      <w:lvlText w:val="%7."/>
      <w:lvlJc w:val="left"/>
      <w:pPr>
        <w:ind w:left="5040" w:hanging="360"/>
      </w:pPr>
    </w:lvl>
    <w:lvl w:ilvl="7" w:tplc="F7CCCF5C">
      <w:start w:val="1"/>
      <w:numFmt w:val="lowerLetter"/>
      <w:lvlText w:val="%8."/>
      <w:lvlJc w:val="left"/>
      <w:pPr>
        <w:ind w:left="5760" w:hanging="360"/>
      </w:pPr>
    </w:lvl>
    <w:lvl w:ilvl="8" w:tplc="851E3458">
      <w:start w:val="1"/>
      <w:numFmt w:val="lowerRoman"/>
      <w:lvlText w:val="%9."/>
      <w:lvlJc w:val="right"/>
      <w:pPr>
        <w:ind w:left="6480" w:hanging="180"/>
      </w:pPr>
    </w:lvl>
  </w:abstractNum>
  <w:abstractNum w:abstractNumId="6" w15:restartNumberingAfterBreak="0">
    <w:nsid w:val="158616F2"/>
    <w:multiLevelType w:val="hybridMultilevel"/>
    <w:tmpl w:val="0A908814"/>
    <w:lvl w:ilvl="0" w:tplc="D6AAC9E0">
      <w:start w:val="1"/>
      <w:numFmt w:val="bullet"/>
      <w:lvlText w:val=""/>
      <w:lvlJc w:val="left"/>
      <w:pPr>
        <w:ind w:left="720" w:hanging="360"/>
      </w:pPr>
      <w:rPr>
        <w:rFonts w:hint="default" w:ascii="Symbol" w:hAnsi="Symbol"/>
      </w:rPr>
    </w:lvl>
    <w:lvl w:ilvl="1" w:tplc="0D2A74A6">
      <w:start w:val="1"/>
      <w:numFmt w:val="bullet"/>
      <w:lvlText w:val="o"/>
      <w:lvlJc w:val="left"/>
      <w:pPr>
        <w:ind w:left="1440" w:hanging="360"/>
      </w:pPr>
      <w:rPr>
        <w:rFonts w:hint="default" w:ascii="Courier New" w:hAnsi="Courier New"/>
      </w:rPr>
    </w:lvl>
    <w:lvl w:ilvl="2" w:tplc="65643956">
      <w:start w:val="1"/>
      <w:numFmt w:val="bullet"/>
      <w:lvlText w:val=""/>
      <w:lvlJc w:val="left"/>
      <w:pPr>
        <w:ind w:left="2160" w:hanging="360"/>
      </w:pPr>
      <w:rPr>
        <w:rFonts w:hint="default" w:ascii="Wingdings" w:hAnsi="Wingdings"/>
      </w:rPr>
    </w:lvl>
    <w:lvl w:ilvl="3" w:tplc="F502FC88">
      <w:start w:val="1"/>
      <w:numFmt w:val="bullet"/>
      <w:lvlText w:val=""/>
      <w:lvlJc w:val="left"/>
      <w:pPr>
        <w:ind w:left="2880" w:hanging="360"/>
      </w:pPr>
      <w:rPr>
        <w:rFonts w:hint="default" w:ascii="Symbol" w:hAnsi="Symbol"/>
      </w:rPr>
    </w:lvl>
    <w:lvl w:ilvl="4" w:tplc="B8D8CC90">
      <w:start w:val="1"/>
      <w:numFmt w:val="bullet"/>
      <w:lvlText w:val="o"/>
      <w:lvlJc w:val="left"/>
      <w:pPr>
        <w:ind w:left="3600" w:hanging="360"/>
      </w:pPr>
      <w:rPr>
        <w:rFonts w:hint="default" w:ascii="Courier New" w:hAnsi="Courier New"/>
      </w:rPr>
    </w:lvl>
    <w:lvl w:ilvl="5" w:tplc="5D921050">
      <w:start w:val="1"/>
      <w:numFmt w:val="bullet"/>
      <w:lvlText w:val=""/>
      <w:lvlJc w:val="left"/>
      <w:pPr>
        <w:ind w:left="4320" w:hanging="360"/>
      </w:pPr>
      <w:rPr>
        <w:rFonts w:hint="default" w:ascii="Wingdings" w:hAnsi="Wingdings"/>
      </w:rPr>
    </w:lvl>
    <w:lvl w:ilvl="6" w:tplc="18280B96">
      <w:start w:val="1"/>
      <w:numFmt w:val="bullet"/>
      <w:lvlText w:val=""/>
      <w:lvlJc w:val="left"/>
      <w:pPr>
        <w:ind w:left="5040" w:hanging="360"/>
      </w:pPr>
      <w:rPr>
        <w:rFonts w:hint="default" w:ascii="Symbol" w:hAnsi="Symbol"/>
      </w:rPr>
    </w:lvl>
    <w:lvl w:ilvl="7" w:tplc="D92C2BF2">
      <w:start w:val="1"/>
      <w:numFmt w:val="bullet"/>
      <w:lvlText w:val="o"/>
      <w:lvlJc w:val="left"/>
      <w:pPr>
        <w:ind w:left="5760" w:hanging="360"/>
      </w:pPr>
      <w:rPr>
        <w:rFonts w:hint="default" w:ascii="Courier New" w:hAnsi="Courier New"/>
      </w:rPr>
    </w:lvl>
    <w:lvl w:ilvl="8" w:tplc="5EFA36E8">
      <w:start w:val="1"/>
      <w:numFmt w:val="bullet"/>
      <w:lvlText w:val=""/>
      <w:lvlJc w:val="left"/>
      <w:pPr>
        <w:ind w:left="6480" w:hanging="360"/>
      </w:pPr>
      <w:rPr>
        <w:rFonts w:hint="default" w:ascii="Wingdings" w:hAnsi="Wingdings"/>
      </w:rPr>
    </w:lvl>
  </w:abstractNum>
  <w:abstractNum w:abstractNumId="7" w15:restartNumberingAfterBreak="0">
    <w:nsid w:val="19623FEB"/>
    <w:multiLevelType w:val="hybridMultilevel"/>
    <w:tmpl w:val="7702FDE6"/>
    <w:lvl w:ilvl="0" w:tplc="F8D0C7B0">
      <w:start w:val="1"/>
      <w:numFmt w:val="bullet"/>
      <w:lvlText w:val=""/>
      <w:lvlJc w:val="left"/>
      <w:pPr>
        <w:ind w:left="720" w:hanging="360"/>
      </w:pPr>
      <w:rPr>
        <w:rFonts w:hint="default" w:ascii="Symbol" w:hAnsi="Symbol"/>
      </w:rPr>
    </w:lvl>
    <w:lvl w:ilvl="1" w:tplc="5A1AEA46">
      <w:start w:val="1"/>
      <w:numFmt w:val="bullet"/>
      <w:lvlText w:val="o"/>
      <w:lvlJc w:val="left"/>
      <w:pPr>
        <w:ind w:left="1440" w:hanging="360"/>
      </w:pPr>
      <w:rPr>
        <w:rFonts w:hint="default" w:ascii="Courier New" w:hAnsi="Courier New"/>
      </w:rPr>
    </w:lvl>
    <w:lvl w:ilvl="2" w:tplc="243ECF1E">
      <w:start w:val="1"/>
      <w:numFmt w:val="bullet"/>
      <w:lvlText w:val=""/>
      <w:lvlJc w:val="left"/>
      <w:pPr>
        <w:ind w:left="2160" w:hanging="360"/>
      </w:pPr>
      <w:rPr>
        <w:rFonts w:hint="default" w:ascii="Wingdings" w:hAnsi="Wingdings"/>
      </w:rPr>
    </w:lvl>
    <w:lvl w:ilvl="3" w:tplc="58960C92">
      <w:start w:val="1"/>
      <w:numFmt w:val="bullet"/>
      <w:lvlText w:val=""/>
      <w:lvlJc w:val="left"/>
      <w:pPr>
        <w:ind w:left="2880" w:hanging="360"/>
      </w:pPr>
      <w:rPr>
        <w:rFonts w:hint="default" w:ascii="Symbol" w:hAnsi="Symbol"/>
      </w:rPr>
    </w:lvl>
    <w:lvl w:ilvl="4" w:tplc="93628C06">
      <w:start w:val="1"/>
      <w:numFmt w:val="bullet"/>
      <w:lvlText w:val="o"/>
      <w:lvlJc w:val="left"/>
      <w:pPr>
        <w:ind w:left="3600" w:hanging="360"/>
      </w:pPr>
      <w:rPr>
        <w:rFonts w:hint="default" w:ascii="Courier New" w:hAnsi="Courier New"/>
      </w:rPr>
    </w:lvl>
    <w:lvl w:ilvl="5" w:tplc="4F06067A">
      <w:start w:val="1"/>
      <w:numFmt w:val="bullet"/>
      <w:lvlText w:val=""/>
      <w:lvlJc w:val="left"/>
      <w:pPr>
        <w:ind w:left="4320" w:hanging="360"/>
      </w:pPr>
      <w:rPr>
        <w:rFonts w:hint="default" w:ascii="Wingdings" w:hAnsi="Wingdings"/>
      </w:rPr>
    </w:lvl>
    <w:lvl w:ilvl="6" w:tplc="D452FB6E">
      <w:start w:val="1"/>
      <w:numFmt w:val="bullet"/>
      <w:lvlText w:val=""/>
      <w:lvlJc w:val="left"/>
      <w:pPr>
        <w:ind w:left="5040" w:hanging="360"/>
      </w:pPr>
      <w:rPr>
        <w:rFonts w:hint="default" w:ascii="Symbol" w:hAnsi="Symbol"/>
      </w:rPr>
    </w:lvl>
    <w:lvl w:ilvl="7" w:tplc="721ABDFA">
      <w:start w:val="1"/>
      <w:numFmt w:val="bullet"/>
      <w:lvlText w:val="o"/>
      <w:lvlJc w:val="left"/>
      <w:pPr>
        <w:ind w:left="5760" w:hanging="360"/>
      </w:pPr>
      <w:rPr>
        <w:rFonts w:hint="default" w:ascii="Courier New" w:hAnsi="Courier New"/>
      </w:rPr>
    </w:lvl>
    <w:lvl w:ilvl="8" w:tplc="B518E4CA">
      <w:start w:val="1"/>
      <w:numFmt w:val="bullet"/>
      <w:lvlText w:val=""/>
      <w:lvlJc w:val="left"/>
      <w:pPr>
        <w:ind w:left="6480" w:hanging="360"/>
      </w:pPr>
      <w:rPr>
        <w:rFonts w:hint="default" w:ascii="Wingdings" w:hAnsi="Wingdings"/>
      </w:rPr>
    </w:lvl>
  </w:abstractNum>
  <w:abstractNum w:abstractNumId="8" w15:restartNumberingAfterBreak="0">
    <w:nsid w:val="1EB868DB"/>
    <w:multiLevelType w:val="hybridMultilevel"/>
    <w:tmpl w:val="28E0A0D4"/>
    <w:lvl w:ilvl="0" w:tplc="549080C2">
      <w:start w:val="1"/>
      <w:numFmt w:val="decimal"/>
      <w:lvlText w:val="%1."/>
      <w:lvlJc w:val="left"/>
      <w:pPr>
        <w:ind w:left="720" w:hanging="360"/>
      </w:pPr>
    </w:lvl>
    <w:lvl w:ilvl="1" w:tplc="3AA2BD9E">
      <w:start w:val="1"/>
      <w:numFmt w:val="lowerLetter"/>
      <w:lvlText w:val="%2."/>
      <w:lvlJc w:val="left"/>
      <w:pPr>
        <w:ind w:left="1440" w:hanging="360"/>
      </w:pPr>
    </w:lvl>
    <w:lvl w:ilvl="2" w:tplc="C69AAFC6">
      <w:start w:val="1"/>
      <w:numFmt w:val="lowerRoman"/>
      <w:lvlText w:val="%3."/>
      <w:lvlJc w:val="right"/>
      <w:pPr>
        <w:ind w:left="2160" w:hanging="180"/>
      </w:pPr>
    </w:lvl>
    <w:lvl w:ilvl="3" w:tplc="E3ACEFE8">
      <w:start w:val="1"/>
      <w:numFmt w:val="decimal"/>
      <w:lvlText w:val="%4."/>
      <w:lvlJc w:val="left"/>
      <w:pPr>
        <w:ind w:left="2880" w:hanging="360"/>
      </w:pPr>
    </w:lvl>
    <w:lvl w:ilvl="4" w:tplc="5534288A">
      <w:start w:val="1"/>
      <w:numFmt w:val="lowerLetter"/>
      <w:lvlText w:val="%5."/>
      <w:lvlJc w:val="left"/>
      <w:pPr>
        <w:ind w:left="3600" w:hanging="360"/>
      </w:pPr>
    </w:lvl>
    <w:lvl w:ilvl="5" w:tplc="9A1241BE">
      <w:start w:val="1"/>
      <w:numFmt w:val="lowerRoman"/>
      <w:lvlText w:val="%6."/>
      <w:lvlJc w:val="right"/>
      <w:pPr>
        <w:ind w:left="4320" w:hanging="180"/>
      </w:pPr>
    </w:lvl>
    <w:lvl w:ilvl="6" w:tplc="992489F2">
      <w:start w:val="1"/>
      <w:numFmt w:val="decimal"/>
      <w:lvlText w:val="%7."/>
      <w:lvlJc w:val="left"/>
      <w:pPr>
        <w:ind w:left="5040" w:hanging="360"/>
      </w:pPr>
    </w:lvl>
    <w:lvl w:ilvl="7" w:tplc="6D8E5A2C">
      <w:start w:val="1"/>
      <w:numFmt w:val="lowerLetter"/>
      <w:lvlText w:val="%8."/>
      <w:lvlJc w:val="left"/>
      <w:pPr>
        <w:ind w:left="5760" w:hanging="360"/>
      </w:pPr>
    </w:lvl>
    <w:lvl w:ilvl="8" w:tplc="CA280D78">
      <w:start w:val="1"/>
      <w:numFmt w:val="lowerRoman"/>
      <w:lvlText w:val="%9."/>
      <w:lvlJc w:val="right"/>
      <w:pPr>
        <w:ind w:left="6480" w:hanging="180"/>
      </w:pPr>
    </w:lvl>
  </w:abstractNum>
  <w:abstractNum w:abstractNumId="9" w15:restartNumberingAfterBreak="0">
    <w:nsid w:val="39BA9642"/>
    <w:multiLevelType w:val="hybridMultilevel"/>
    <w:tmpl w:val="1ECCD3C0"/>
    <w:lvl w:ilvl="0" w:tplc="E5962ACA">
      <w:start w:val="1"/>
      <w:numFmt w:val="bullet"/>
      <w:lvlText w:val=""/>
      <w:lvlJc w:val="left"/>
      <w:pPr>
        <w:ind w:left="720" w:hanging="360"/>
      </w:pPr>
      <w:rPr>
        <w:rFonts w:hint="default" w:ascii="Symbol" w:hAnsi="Symbol"/>
      </w:rPr>
    </w:lvl>
    <w:lvl w:ilvl="1" w:tplc="DB5848CA">
      <w:start w:val="1"/>
      <w:numFmt w:val="bullet"/>
      <w:lvlText w:val="o"/>
      <w:lvlJc w:val="left"/>
      <w:pPr>
        <w:ind w:left="1440" w:hanging="360"/>
      </w:pPr>
      <w:rPr>
        <w:rFonts w:hint="default" w:ascii="Courier New" w:hAnsi="Courier New"/>
      </w:rPr>
    </w:lvl>
    <w:lvl w:ilvl="2" w:tplc="C7F46A22">
      <w:start w:val="1"/>
      <w:numFmt w:val="bullet"/>
      <w:lvlText w:val=""/>
      <w:lvlJc w:val="left"/>
      <w:pPr>
        <w:ind w:left="2160" w:hanging="360"/>
      </w:pPr>
      <w:rPr>
        <w:rFonts w:hint="default" w:ascii="Wingdings" w:hAnsi="Wingdings"/>
      </w:rPr>
    </w:lvl>
    <w:lvl w:ilvl="3" w:tplc="047E97DA">
      <w:start w:val="1"/>
      <w:numFmt w:val="bullet"/>
      <w:lvlText w:val=""/>
      <w:lvlJc w:val="left"/>
      <w:pPr>
        <w:ind w:left="2880" w:hanging="360"/>
      </w:pPr>
      <w:rPr>
        <w:rFonts w:hint="default" w:ascii="Symbol" w:hAnsi="Symbol"/>
      </w:rPr>
    </w:lvl>
    <w:lvl w:ilvl="4" w:tplc="1B50472C">
      <w:start w:val="1"/>
      <w:numFmt w:val="bullet"/>
      <w:lvlText w:val="o"/>
      <w:lvlJc w:val="left"/>
      <w:pPr>
        <w:ind w:left="3600" w:hanging="360"/>
      </w:pPr>
      <w:rPr>
        <w:rFonts w:hint="default" w:ascii="Courier New" w:hAnsi="Courier New"/>
      </w:rPr>
    </w:lvl>
    <w:lvl w:ilvl="5" w:tplc="ED1ABB44">
      <w:start w:val="1"/>
      <w:numFmt w:val="bullet"/>
      <w:lvlText w:val=""/>
      <w:lvlJc w:val="left"/>
      <w:pPr>
        <w:ind w:left="4320" w:hanging="360"/>
      </w:pPr>
      <w:rPr>
        <w:rFonts w:hint="default" w:ascii="Wingdings" w:hAnsi="Wingdings"/>
      </w:rPr>
    </w:lvl>
    <w:lvl w:ilvl="6" w:tplc="D0D2A0C8">
      <w:start w:val="1"/>
      <w:numFmt w:val="bullet"/>
      <w:lvlText w:val=""/>
      <w:lvlJc w:val="left"/>
      <w:pPr>
        <w:ind w:left="5040" w:hanging="360"/>
      </w:pPr>
      <w:rPr>
        <w:rFonts w:hint="default" w:ascii="Symbol" w:hAnsi="Symbol"/>
      </w:rPr>
    </w:lvl>
    <w:lvl w:ilvl="7" w:tplc="920C8288">
      <w:start w:val="1"/>
      <w:numFmt w:val="bullet"/>
      <w:lvlText w:val="o"/>
      <w:lvlJc w:val="left"/>
      <w:pPr>
        <w:ind w:left="5760" w:hanging="360"/>
      </w:pPr>
      <w:rPr>
        <w:rFonts w:hint="default" w:ascii="Courier New" w:hAnsi="Courier New"/>
      </w:rPr>
    </w:lvl>
    <w:lvl w:ilvl="8" w:tplc="07E8C282">
      <w:start w:val="1"/>
      <w:numFmt w:val="bullet"/>
      <w:lvlText w:val=""/>
      <w:lvlJc w:val="left"/>
      <w:pPr>
        <w:ind w:left="6480" w:hanging="360"/>
      </w:pPr>
      <w:rPr>
        <w:rFonts w:hint="default" w:ascii="Wingdings" w:hAnsi="Wingdings"/>
      </w:rPr>
    </w:lvl>
  </w:abstractNum>
  <w:abstractNum w:abstractNumId="10" w15:restartNumberingAfterBreak="0">
    <w:nsid w:val="41ED6093"/>
    <w:multiLevelType w:val="hybridMultilevel"/>
    <w:tmpl w:val="A33471FC"/>
    <w:lvl w:ilvl="0" w:tplc="43F09AFC">
      <w:start w:val="1"/>
      <w:numFmt w:val="bullet"/>
      <w:lvlText w:val=""/>
      <w:lvlJc w:val="left"/>
      <w:pPr>
        <w:ind w:left="720" w:hanging="360"/>
      </w:pPr>
      <w:rPr>
        <w:rFonts w:hint="default" w:ascii="Symbol" w:hAnsi="Symbol"/>
      </w:rPr>
    </w:lvl>
    <w:lvl w:ilvl="1" w:tplc="322655D6">
      <w:start w:val="1"/>
      <w:numFmt w:val="bullet"/>
      <w:lvlText w:val="o"/>
      <w:lvlJc w:val="left"/>
      <w:pPr>
        <w:ind w:left="1440" w:hanging="360"/>
      </w:pPr>
      <w:rPr>
        <w:rFonts w:hint="default" w:ascii="Courier New" w:hAnsi="Courier New"/>
      </w:rPr>
    </w:lvl>
    <w:lvl w:ilvl="2" w:tplc="5EC62E08">
      <w:start w:val="1"/>
      <w:numFmt w:val="bullet"/>
      <w:lvlText w:val=""/>
      <w:lvlJc w:val="left"/>
      <w:pPr>
        <w:ind w:left="2160" w:hanging="360"/>
      </w:pPr>
      <w:rPr>
        <w:rFonts w:hint="default" w:ascii="Wingdings" w:hAnsi="Wingdings"/>
      </w:rPr>
    </w:lvl>
    <w:lvl w:ilvl="3" w:tplc="68D4166E">
      <w:start w:val="1"/>
      <w:numFmt w:val="bullet"/>
      <w:lvlText w:val=""/>
      <w:lvlJc w:val="left"/>
      <w:pPr>
        <w:ind w:left="2880" w:hanging="360"/>
      </w:pPr>
      <w:rPr>
        <w:rFonts w:hint="default" w:ascii="Symbol" w:hAnsi="Symbol"/>
      </w:rPr>
    </w:lvl>
    <w:lvl w:ilvl="4" w:tplc="C7C2EEEA">
      <w:start w:val="1"/>
      <w:numFmt w:val="bullet"/>
      <w:lvlText w:val="o"/>
      <w:lvlJc w:val="left"/>
      <w:pPr>
        <w:ind w:left="3600" w:hanging="360"/>
      </w:pPr>
      <w:rPr>
        <w:rFonts w:hint="default" w:ascii="Courier New" w:hAnsi="Courier New"/>
      </w:rPr>
    </w:lvl>
    <w:lvl w:ilvl="5" w:tplc="4C221D06">
      <w:start w:val="1"/>
      <w:numFmt w:val="bullet"/>
      <w:lvlText w:val=""/>
      <w:lvlJc w:val="left"/>
      <w:pPr>
        <w:ind w:left="4320" w:hanging="360"/>
      </w:pPr>
      <w:rPr>
        <w:rFonts w:hint="default" w:ascii="Wingdings" w:hAnsi="Wingdings"/>
      </w:rPr>
    </w:lvl>
    <w:lvl w:ilvl="6" w:tplc="D9623362">
      <w:start w:val="1"/>
      <w:numFmt w:val="bullet"/>
      <w:lvlText w:val=""/>
      <w:lvlJc w:val="left"/>
      <w:pPr>
        <w:ind w:left="5040" w:hanging="360"/>
      </w:pPr>
      <w:rPr>
        <w:rFonts w:hint="default" w:ascii="Symbol" w:hAnsi="Symbol"/>
      </w:rPr>
    </w:lvl>
    <w:lvl w:ilvl="7" w:tplc="88580ACE">
      <w:start w:val="1"/>
      <w:numFmt w:val="bullet"/>
      <w:lvlText w:val="o"/>
      <w:lvlJc w:val="left"/>
      <w:pPr>
        <w:ind w:left="5760" w:hanging="360"/>
      </w:pPr>
      <w:rPr>
        <w:rFonts w:hint="default" w:ascii="Courier New" w:hAnsi="Courier New"/>
      </w:rPr>
    </w:lvl>
    <w:lvl w:ilvl="8" w:tplc="D78CB4CC">
      <w:start w:val="1"/>
      <w:numFmt w:val="bullet"/>
      <w:lvlText w:val=""/>
      <w:lvlJc w:val="left"/>
      <w:pPr>
        <w:ind w:left="6480" w:hanging="360"/>
      </w:pPr>
      <w:rPr>
        <w:rFonts w:hint="default" w:ascii="Wingdings" w:hAnsi="Wingdings"/>
      </w:rPr>
    </w:lvl>
  </w:abstractNum>
  <w:abstractNum w:abstractNumId="11" w15:restartNumberingAfterBreak="0">
    <w:nsid w:val="531FFB2F"/>
    <w:multiLevelType w:val="hybridMultilevel"/>
    <w:tmpl w:val="440E5898"/>
    <w:lvl w:ilvl="0" w:tplc="161809CA">
      <w:start w:val="1"/>
      <w:numFmt w:val="bullet"/>
      <w:lvlText w:val=""/>
      <w:lvlJc w:val="left"/>
      <w:pPr>
        <w:ind w:left="720" w:hanging="360"/>
      </w:pPr>
      <w:rPr>
        <w:rFonts w:hint="default" w:ascii="Symbol" w:hAnsi="Symbol"/>
      </w:rPr>
    </w:lvl>
    <w:lvl w:ilvl="1" w:tplc="FF1214C4">
      <w:start w:val="1"/>
      <w:numFmt w:val="bullet"/>
      <w:lvlText w:val="o"/>
      <w:lvlJc w:val="left"/>
      <w:pPr>
        <w:ind w:left="1440" w:hanging="360"/>
      </w:pPr>
      <w:rPr>
        <w:rFonts w:hint="default" w:ascii="Courier New" w:hAnsi="Courier New"/>
      </w:rPr>
    </w:lvl>
    <w:lvl w:ilvl="2" w:tplc="FC2EFFB4">
      <w:start w:val="1"/>
      <w:numFmt w:val="bullet"/>
      <w:lvlText w:val=""/>
      <w:lvlJc w:val="left"/>
      <w:pPr>
        <w:ind w:left="2160" w:hanging="360"/>
      </w:pPr>
      <w:rPr>
        <w:rFonts w:hint="default" w:ascii="Wingdings" w:hAnsi="Wingdings"/>
      </w:rPr>
    </w:lvl>
    <w:lvl w:ilvl="3" w:tplc="33EC74BE">
      <w:start w:val="1"/>
      <w:numFmt w:val="bullet"/>
      <w:lvlText w:val=""/>
      <w:lvlJc w:val="left"/>
      <w:pPr>
        <w:ind w:left="2880" w:hanging="360"/>
      </w:pPr>
      <w:rPr>
        <w:rFonts w:hint="default" w:ascii="Symbol" w:hAnsi="Symbol"/>
      </w:rPr>
    </w:lvl>
    <w:lvl w:ilvl="4" w:tplc="0910EC10">
      <w:start w:val="1"/>
      <w:numFmt w:val="bullet"/>
      <w:lvlText w:val="o"/>
      <w:lvlJc w:val="left"/>
      <w:pPr>
        <w:ind w:left="3600" w:hanging="360"/>
      </w:pPr>
      <w:rPr>
        <w:rFonts w:hint="default" w:ascii="Courier New" w:hAnsi="Courier New"/>
      </w:rPr>
    </w:lvl>
    <w:lvl w:ilvl="5" w:tplc="B526E3FC">
      <w:start w:val="1"/>
      <w:numFmt w:val="bullet"/>
      <w:lvlText w:val=""/>
      <w:lvlJc w:val="left"/>
      <w:pPr>
        <w:ind w:left="4320" w:hanging="360"/>
      </w:pPr>
      <w:rPr>
        <w:rFonts w:hint="default" w:ascii="Wingdings" w:hAnsi="Wingdings"/>
      </w:rPr>
    </w:lvl>
    <w:lvl w:ilvl="6" w:tplc="C762B1F8">
      <w:start w:val="1"/>
      <w:numFmt w:val="bullet"/>
      <w:lvlText w:val=""/>
      <w:lvlJc w:val="left"/>
      <w:pPr>
        <w:ind w:left="5040" w:hanging="360"/>
      </w:pPr>
      <w:rPr>
        <w:rFonts w:hint="default" w:ascii="Symbol" w:hAnsi="Symbol"/>
      </w:rPr>
    </w:lvl>
    <w:lvl w:ilvl="7" w:tplc="13447406">
      <w:start w:val="1"/>
      <w:numFmt w:val="bullet"/>
      <w:lvlText w:val="o"/>
      <w:lvlJc w:val="left"/>
      <w:pPr>
        <w:ind w:left="5760" w:hanging="360"/>
      </w:pPr>
      <w:rPr>
        <w:rFonts w:hint="default" w:ascii="Courier New" w:hAnsi="Courier New"/>
      </w:rPr>
    </w:lvl>
    <w:lvl w:ilvl="8" w:tplc="79C28A5A">
      <w:start w:val="1"/>
      <w:numFmt w:val="bullet"/>
      <w:lvlText w:val=""/>
      <w:lvlJc w:val="left"/>
      <w:pPr>
        <w:ind w:left="6480" w:hanging="360"/>
      </w:pPr>
      <w:rPr>
        <w:rFonts w:hint="default" w:ascii="Wingdings" w:hAnsi="Wingdings"/>
      </w:rPr>
    </w:lvl>
  </w:abstractNum>
  <w:abstractNum w:abstractNumId="12" w15:restartNumberingAfterBreak="0">
    <w:nsid w:val="644558AE"/>
    <w:multiLevelType w:val="hybridMultilevel"/>
    <w:tmpl w:val="FCF29BC0"/>
    <w:lvl w:ilvl="0" w:tplc="A8403244">
      <w:start w:val="1"/>
      <w:numFmt w:val="bullet"/>
      <w:lvlText w:val=""/>
      <w:lvlJc w:val="left"/>
      <w:pPr>
        <w:ind w:left="720" w:hanging="360"/>
      </w:pPr>
      <w:rPr>
        <w:rFonts w:hint="default" w:ascii="Symbol" w:hAnsi="Symbol"/>
      </w:rPr>
    </w:lvl>
    <w:lvl w:ilvl="1" w:tplc="A3E0751E">
      <w:start w:val="1"/>
      <w:numFmt w:val="bullet"/>
      <w:lvlText w:val="o"/>
      <w:lvlJc w:val="left"/>
      <w:pPr>
        <w:ind w:left="1440" w:hanging="360"/>
      </w:pPr>
      <w:rPr>
        <w:rFonts w:hint="default" w:ascii="Courier New" w:hAnsi="Courier New"/>
      </w:rPr>
    </w:lvl>
    <w:lvl w:ilvl="2" w:tplc="5F606FC2">
      <w:start w:val="1"/>
      <w:numFmt w:val="bullet"/>
      <w:lvlText w:val=""/>
      <w:lvlJc w:val="left"/>
      <w:pPr>
        <w:ind w:left="2160" w:hanging="360"/>
      </w:pPr>
      <w:rPr>
        <w:rFonts w:hint="default" w:ascii="Wingdings" w:hAnsi="Wingdings"/>
      </w:rPr>
    </w:lvl>
    <w:lvl w:ilvl="3" w:tplc="03AC52AC">
      <w:start w:val="1"/>
      <w:numFmt w:val="bullet"/>
      <w:lvlText w:val=""/>
      <w:lvlJc w:val="left"/>
      <w:pPr>
        <w:ind w:left="2880" w:hanging="360"/>
      </w:pPr>
      <w:rPr>
        <w:rFonts w:hint="default" w:ascii="Symbol" w:hAnsi="Symbol"/>
      </w:rPr>
    </w:lvl>
    <w:lvl w:ilvl="4" w:tplc="28F0F780">
      <w:start w:val="1"/>
      <w:numFmt w:val="bullet"/>
      <w:lvlText w:val="o"/>
      <w:lvlJc w:val="left"/>
      <w:pPr>
        <w:ind w:left="3600" w:hanging="360"/>
      </w:pPr>
      <w:rPr>
        <w:rFonts w:hint="default" w:ascii="Courier New" w:hAnsi="Courier New"/>
      </w:rPr>
    </w:lvl>
    <w:lvl w:ilvl="5" w:tplc="9ECED64C">
      <w:start w:val="1"/>
      <w:numFmt w:val="bullet"/>
      <w:lvlText w:val=""/>
      <w:lvlJc w:val="left"/>
      <w:pPr>
        <w:ind w:left="4320" w:hanging="360"/>
      </w:pPr>
      <w:rPr>
        <w:rFonts w:hint="default" w:ascii="Wingdings" w:hAnsi="Wingdings"/>
      </w:rPr>
    </w:lvl>
    <w:lvl w:ilvl="6" w:tplc="E004B65E">
      <w:start w:val="1"/>
      <w:numFmt w:val="bullet"/>
      <w:lvlText w:val=""/>
      <w:lvlJc w:val="left"/>
      <w:pPr>
        <w:ind w:left="5040" w:hanging="360"/>
      </w:pPr>
      <w:rPr>
        <w:rFonts w:hint="default" w:ascii="Symbol" w:hAnsi="Symbol"/>
      </w:rPr>
    </w:lvl>
    <w:lvl w:ilvl="7" w:tplc="A4F84238">
      <w:start w:val="1"/>
      <w:numFmt w:val="bullet"/>
      <w:lvlText w:val="o"/>
      <w:lvlJc w:val="left"/>
      <w:pPr>
        <w:ind w:left="5760" w:hanging="360"/>
      </w:pPr>
      <w:rPr>
        <w:rFonts w:hint="default" w:ascii="Courier New" w:hAnsi="Courier New"/>
      </w:rPr>
    </w:lvl>
    <w:lvl w:ilvl="8" w:tplc="A9AE0DD0">
      <w:start w:val="1"/>
      <w:numFmt w:val="bullet"/>
      <w:lvlText w:val=""/>
      <w:lvlJc w:val="left"/>
      <w:pPr>
        <w:ind w:left="6480" w:hanging="360"/>
      </w:pPr>
      <w:rPr>
        <w:rFonts w:hint="default" w:ascii="Wingdings" w:hAnsi="Wingdings"/>
      </w:rPr>
    </w:lvl>
  </w:abstractNum>
  <w:abstractNum w:abstractNumId="13" w15:restartNumberingAfterBreak="0">
    <w:nsid w:val="7449C415"/>
    <w:multiLevelType w:val="hybridMultilevel"/>
    <w:tmpl w:val="36FE2A8C"/>
    <w:lvl w:ilvl="0" w:tplc="BA32890A">
      <w:start w:val="1"/>
      <w:numFmt w:val="decimal"/>
      <w:lvlText w:val="%1."/>
      <w:lvlJc w:val="left"/>
      <w:pPr>
        <w:ind w:left="720" w:hanging="360"/>
      </w:pPr>
    </w:lvl>
    <w:lvl w:ilvl="1" w:tplc="BCBC2502">
      <w:start w:val="1"/>
      <w:numFmt w:val="lowerLetter"/>
      <w:lvlText w:val="%2."/>
      <w:lvlJc w:val="left"/>
      <w:pPr>
        <w:ind w:left="1440" w:hanging="360"/>
      </w:pPr>
    </w:lvl>
    <w:lvl w:ilvl="2" w:tplc="35E606E0">
      <w:start w:val="1"/>
      <w:numFmt w:val="lowerRoman"/>
      <w:lvlText w:val="%3."/>
      <w:lvlJc w:val="right"/>
      <w:pPr>
        <w:ind w:left="2160" w:hanging="180"/>
      </w:pPr>
    </w:lvl>
    <w:lvl w:ilvl="3" w:tplc="04DE2300">
      <w:start w:val="1"/>
      <w:numFmt w:val="decimal"/>
      <w:lvlText w:val="%4."/>
      <w:lvlJc w:val="left"/>
      <w:pPr>
        <w:ind w:left="2880" w:hanging="360"/>
      </w:pPr>
    </w:lvl>
    <w:lvl w:ilvl="4" w:tplc="2E70D642">
      <w:start w:val="1"/>
      <w:numFmt w:val="lowerLetter"/>
      <w:lvlText w:val="%5."/>
      <w:lvlJc w:val="left"/>
      <w:pPr>
        <w:ind w:left="3600" w:hanging="360"/>
      </w:pPr>
    </w:lvl>
    <w:lvl w:ilvl="5" w:tplc="6428A910">
      <w:start w:val="1"/>
      <w:numFmt w:val="lowerRoman"/>
      <w:lvlText w:val="%6."/>
      <w:lvlJc w:val="right"/>
      <w:pPr>
        <w:ind w:left="4320" w:hanging="180"/>
      </w:pPr>
    </w:lvl>
    <w:lvl w:ilvl="6" w:tplc="50820B6A">
      <w:start w:val="1"/>
      <w:numFmt w:val="decimal"/>
      <w:lvlText w:val="%7."/>
      <w:lvlJc w:val="left"/>
      <w:pPr>
        <w:ind w:left="5040" w:hanging="360"/>
      </w:pPr>
    </w:lvl>
    <w:lvl w:ilvl="7" w:tplc="5B30C1A4">
      <w:start w:val="1"/>
      <w:numFmt w:val="lowerLetter"/>
      <w:lvlText w:val="%8."/>
      <w:lvlJc w:val="left"/>
      <w:pPr>
        <w:ind w:left="5760" w:hanging="360"/>
      </w:pPr>
    </w:lvl>
    <w:lvl w:ilvl="8" w:tplc="41E2EFF6">
      <w:start w:val="1"/>
      <w:numFmt w:val="lowerRoman"/>
      <w:lvlText w:val="%9."/>
      <w:lvlJc w:val="right"/>
      <w:pPr>
        <w:ind w:left="6480" w:hanging="180"/>
      </w:pPr>
    </w:lvl>
  </w:abstractNum>
  <w:abstractNum w:abstractNumId="14" w15:restartNumberingAfterBreak="0">
    <w:nsid w:val="789459EE"/>
    <w:multiLevelType w:val="hybridMultilevel"/>
    <w:tmpl w:val="5C8021C2"/>
    <w:lvl w:ilvl="0" w:tplc="5094D1EA">
      <w:start w:val="1"/>
      <w:numFmt w:val="bullet"/>
      <w:lvlText w:val=""/>
      <w:lvlJc w:val="left"/>
      <w:pPr>
        <w:ind w:left="720" w:hanging="360"/>
      </w:pPr>
      <w:rPr>
        <w:rFonts w:hint="default" w:ascii="Symbol" w:hAnsi="Symbol"/>
      </w:rPr>
    </w:lvl>
    <w:lvl w:ilvl="1" w:tplc="A11ADC00">
      <w:start w:val="1"/>
      <w:numFmt w:val="bullet"/>
      <w:lvlText w:val="o"/>
      <w:lvlJc w:val="left"/>
      <w:pPr>
        <w:ind w:left="1440" w:hanging="360"/>
      </w:pPr>
      <w:rPr>
        <w:rFonts w:hint="default" w:ascii="Courier New" w:hAnsi="Courier New"/>
      </w:rPr>
    </w:lvl>
    <w:lvl w:ilvl="2" w:tplc="9D9633AE">
      <w:start w:val="1"/>
      <w:numFmt w:val="bullet"/>
      <w:lvlText w:val=""/>
      <w:lvlJc w:val="left"/>
      <w:pPr>
        <w:ind w:left="2160" w:hanging="360"/>
      </w:pPr>
      <w:rPr>
        <w:rFonts w:hint="default" w:ascii="Wingdings" w:hAnsi="Wingdings"/>
      </w:rPr>
    </w:lvl>
    <w:lvl w:ilvl="3" w:tplc="EFC4CA38">
      <w:start w:val="1"/>
      <w:numFmt w:val="bullet"/>
      <w:lvlText w:val=""/>
      <w:lvlJc w:val="left"/>
      <w:pPr>
        <w:ind w:left="2880" w:hanging="360"/>
      </w:pPr>
      <w:rPr>
        <w:rFonts w:hint="default" w:ascii="Symbol" w:hAnsi="Symbol"/>
      </w:rPr>
    </w:lvl>
    <w:lvl w:ilvl="4" w:tplc="7D2C8904">
      <w:start w:val="1"/>
      <w:numFmt w:val="bullet"/>
      <w:lvlText w:val="o"/>
      <w:lvlJc w:val="left"/>
      <w:pPr>
        <w:ind w:left="3600" w:hanging="360"/>
      </w:pPr>
      <w:rPr>
        <w:rFonts w:hint="default" w:ascii="Courier New" w:hAnsi="Courier New"/>
      </w:rPr>
    </w:lvl>
    <w:lvl w:ilvl="5" w:tplc="F7E47B14">
      <w:start w:val="1"/>
      <w:numFmt w:val="bullet"/>
      <w:lvlText w:val=""/>
      <w:lvlJc w:val="left"/>
      <w:pPr>
        <w:ind w:left="4320" w:hanging="360"/>
      </w:pPr>
      <w:rPr>
        <w:rFonts w:hint="default" w:ascii="Wingdings" w:hAnsi="Wingdings"/>
      </w:rPr>
    </w:lvl>
    <w:lvl w:ilvl="6" w:tplc="2CA28982">
      <w:start w:val="1"/>
      <w:numFmt w:val="bullet"/>
      <w:lvlText w:val=""/>
      <w:lvlJc w:val="left"/>
      <w:pPr>
        <w:ind w:left="5040" w:hanging="360"/>
      </w:pPr>
      <w:rPr>
        <w:rFonts w:hint="default" w:ascii="Symbol" w:hAnsi="Symbol"/>
      </w:rPr>
    </w:lvl>
    <w:lvl w:ilvl="7" w:tplc="B27268B0">
      <w:start w:val="1"/>
      <w:numFmt w:val="bullet"/>
      <w:lvlText w:val="o"/>
      <w:lvlJc w:val="left"/>
      <w:pPr>
        <w:ind w:left="5760" w:hanging="360"/>
      </w:pPr>
      <w:rPr>
        <w:rFonts w:hint="default" w:ascii="Courier New" w:hAnsi="Courier New"/>
      </w:rPr>
    </w:lvl>
    <w:lvl w:ilvl="8" w:tplc="BD028A12">
      <w:start w:val="1"/>
      <w:numFmt w:val="bullet"/>
      <w:lvlText w:val=""/>
      <w:lvlJc w:val="left"/>
      <w:pPr>
        <w:ind w:left="6480" w:hanging="360"/>
      </w:pPr>
      <w:rPr>
        <w:rFonts w:hint="default" w:ascii="Wingdings" w:hAnsi="Wingdings"/>
      </w:rPr>
    </w:lvl>
  </w:abstractNum>
  <w:num w:numId="1" w16cid:durableId="1919712172">
    <w:abstractNumId w:val="2"/>
  </w:num>
  <w:num w:numId="2" w16cid:durableId="2058043782">
    <w:abstractNumId w:val="11"/>
  </w:num>
  <w:num w:numId="3" w16cid:durableId="558638919">
    <w:abstractNumId w:val="10"/>
  </w:num>
  <w:num w:numId="4" w16cid:durableId="1774589816">
    <w:abstractNumId w:val="9"/>
  </w:num>
  <w:num w:numId="5" w16cid:durableId="1095976199">
    <w:abstractNumId w:val="0"/>
  </w:num>
  <w:num w:numId="6" w16cid:durableId="817958780">
    <w:abstractNumId w:val="14"/>
  </w:num>
  <w:num w:numId="7" w16cid:durableId="2068916853">
    <w:abstractNumId w:val="6"/>
  </w:num>
  <w:num w:numId="8" w16cid:durableId="583876984">
    <w:abstractNumId w:val="7"/>
  </w:num>
  <w:num w:numId="9" w16cid:durableId="344744263">
    <w:abstractNumId w:val="12"/>
  </w:num>
  <w:num w:numId="10" w16cid:durableId="1436906112">
    <w:abstractNumId w:val="3"/>
  </w:num>
  <w:num w:numId="11" w16cid:durableId="131673961">
    <w:abstractNumId w:val="4"/>
  </w:num>
  <w:num w:numId="12" w16cid:durableId="244337204">
    <w:abstractNumId w:val="1"/>
  </w:num>
  <w:num w:numId="13" w16cid:durableId="1194344730">
    <w:abstractNumId w:val="13"/>
  </w:num>
  <w:num w:numId="14" w16cid:durableId="676076439">
    <w:abstractNumId w:val="5"/>
  </w:num>
  <w:num w:numId="15" w16cid:durableId="15261687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463BCA"/>
    <w:rsid w:val="0003BA44"/>
    <w:rsid w:val="00076030"/>
    <w:rsid w:val="00144D96"/>
    <w:rsid w:val="002D257D"/>
    <w:rsid w:val="003408B8"/>
    <w:rsid w:val="003958F5"/>
    <w:rsid w:val="003A0737"/>
    <w:rsid w:val="003D319F"/>
    <w:rsid w:val="0051517C"/>
    <w:rsid w:val="00642990"/>
    <w:rsid w:val="00681B5F"/>
    <w:rsid w:val="006F1883"/>
    <w:rsid w:val="007A3E2A"/>
    <w:rsid w:val="0080365C"/>
    <w:rsid w:val="00814E4D"/>
    <w:rsid w:val="00840A8A"/>
    <w:rsid w:val="008CDD1E"/>
    <w:rsid w:val="00A407C0"/>
    <w:rsid w:val="00A87BEB"/>
    <w:rsid w:val="00AF5690"/>
    <w:rsid w:val="00B20F92"/>
    <w:rsid w:val="00C468A0"/>
    <w:rsid w:val="00CA500F"/>
    <w:rsid w:val="00CB1407"/>
    <w:rsid w:val="00D44EA1"/>
    <w:rsid w:val="00D60427"/>
    <w:rsid w:val="00D709E0"/>
    <w:rsid w:val="00DD2314"/>
    <w:rsid w:val="00E21D46"/>
    <w:rsid w:val="00EF09ED"/>
    <w:rsid w:val="00FA20C3"/>
    <w:rsid w:val="00FD4FED"/>
    <w:rsid w:val="00FF2A9F"/>
    <w:rsid w:val="010D24C1"/>
    <w:rsid w:val="011C1295"/>
    <w:rsid w:val="0151EA8D"/>
    <w:rsid w:val="017BD0AD"/>
    <w:rsid w:val="01D930CF"/>
    <w:rsid w:val="01FADF33"/>
    <w:rsid w:val="028BE27B"/>
    <w:rsid w:val="02CEE686"/>
    <w:rsid w:val="035B5538"/>
    <w:rsid w:val="03A4E60C"/>
    <w:rsid w:val="0445AEBC"/>
    <w:rsid w:val="04774B41"/>
    <w:rsid w:val="048023F9"/>
    <w:rsid w:val="04899B42"/>
    <w:rsid w:val="048B8F50"/>
    <w:rsid w:val="0507C351"/>
    <w:rsid w:val="051B350B"/>
    <w:rsid w:val="0542FF4C"/>
    <w:rsid w:val="05D8FDFC"/>
    <w:rsid w:val="071C245D"/>
    <w:rsid w:val="071D5FF8"/>
    <w:rsid w:val="072D2298"/>
    <w:rsid w:val="075BF3ED"/>
    <w:rsid w:val="07C45416"/>
    <w:rsid w:val="07F463DA"/>
    <w:rsid w:val="0870952B"/>
    <w:rsid w:val="089FBDD9"/>
    <w:rsid w:val="08B76D70"/>
    <w:rsid w:val="090C5D9E"/>
    <w:rsid w:val="0982ACA9"/>
    <w:rsid w:val="09B7E65E"/>
    <w:rsid w:val="09C8C6FE"/>
    <w:rsid w:val="09DBD841"/>
    <w:rsid w:val="0A52E40C"/>
    <w:rsid w:val="0A9E4D09"/>
    <w:rsid w:val="0ABD9FCD"/>
    <w:rsid w:val="0ADDA4AF"/>
    <w:rsid w:val="0B38690C"/>
    <w:rsid w:val="0B6BCE63"/>
    <w:rsid w:val="0BF6CC41"/>
    <w:rsid w:val="0C21099F"/>
    <w:rsid w:val="0C5E6834"/>
    <w:rsid w:val="0C5FC305"/>
    <w:rsid w:val="0C996F2A"/>
    <w:rsid w:val="0CE48A8A"/>
    <w:rsid w:val="0D6980D0"/>
    <w:rsid w:val="0D8E92DB"/>
    <w:rsid w:val="0E09303E"/>
    <w:rsid w:val="0E292F0D"/>
    <w:rsid w:val="0E3327E6"/>
    <w:rsid w:val="0E4EFB81"/>
    <w:rsid w:val="0EA23EBF"/>
    <w:rsid w:val="0EED8B9E"/>
    <w:rsid w:val="0F0E6852"/>
    <w:rsid w:val="0FB7655E"/>
    <w:rsid w:val="100D3487"/>
    <w:rsid w:val="10110B02"/>
    <w:rsid w:val="1103CE98"/>
    <w:rsid w:val="111C3E0E"/>
    <w:rsid w:val="113E7ABE"/>
    <w:rsid w:val="114BC3B0"/>
    <w:rsid w:val="11814BF3"/>
    <w:rsid w:val="120CAC6F"/>
    <w:rsid w:val="123272B1"/>
    <w:rsid w:val="12387E8D"/>
    <w:rsid w:val="12A51DD7"/>
    <w:rsid w:val="12C4802E"/>
    <w:rsid w:val="1309B414"/>
    <w:rsid w:val="138818BE"/>
    <w:rsid w:val="13C31267"/>
    <w:rsid w:val="13DBF1F2"/>
    <w:rsid w:val="1409FA38"/>
    <w:rsid w:val="1433923D"/>
    <w:rsid w:val="14AADABD"/>
    <w:rsid w:val="1516FA5B"/>
    <w:rsid w:val="15B7DE35"/>
    <w:rsid w:val="15E77BD0"/>
    <w:rsid w:val="15F7762F"/>
    <w:rsid w:val="15FD1DAB"/>
    <w:rsid w:val="162E8081"/>
    <w:rsid w:val="1694E3C2"/>
    <w:rsid w:val="16BC6687"/>
    <w:rsid w:val="1703EFF3"/>
    <w:rsid w:val="170F6634"/>
    <w:rsid w:val="17343AAA"/>
    <w:rsid w:val="1788AEB5"/>
    <w:rsid w:val="17A9849D"/>
    <w:rsid w:val="17B73C9E"/>
    <w:rsid w:val="17CFB4BE"/>
    <w:rsid w:val="18469156"/>
    <w:rsid w:val="18695E0C"/>
    <w:rsid w:val="18730422"/>
    <w:rsid w:val="18A2182C"/>
    <w:rsid w:val="18A510BB"/>
    <w:rsid w:val="18BB372D"/>
    <w:rsid w:val="18D4ABEB"/>
    <w:rsid w:val="1909457A"/>
    <w:rsid w:val="197FFD24"/>
    <w:rsid w:val="19A450C8"/>
    <w:rsid w:val="19CFA1BF"/>
    <w:rsid w:val="1A13284B"/>
    <w:rsid w:val="1A858D50"/>
    <w:rsid w:val="1A8D0A45"/>
    <w:rsid w:val="1ABB65EB"/>
    <w:rsid w:val="1B0A3CEE"/>
    <w:rsid w:val="1B132480"/>
    <w:rsid w:val="1B171AFD"/>
    <w:rsid w:val="1B318C65"/>
    <w:rsid w:val="1B546A9D"/>
    <w:rsid w:val="1B6533B2"/>
    <w:rsid w:val="1B6F563D"/>
    <w:rsid w:val="1B74D9DB"/>
    <w:rsid w:val="1B9D93A3"/>
    <w:rsid w:val="1C0A1F88"/>
    <w:rsid w:val="1C2E5E50"/>
    <w:rsid w:val="1C40ADF3"/>
    <w:rsid w:val="1C4549DD"/>
    <w:rsid w:val="1C4D16E0"/>
    <w:rsid w:val="1C73B028"/>
    <w:rsid w:val="1C77D6B2"/>
    <w:rsid w:val="1C7AF72C"/>
    <w:rsid w:val="1C7D0C35"/>
    <w:rsid w:val="1C83F82C"/>
    <w:rsid w:val="1CA895AE"/>
    <w:rsid w:val="1CEFBF4B"/>
    <w:rsid w:val="1D0F7D23"/>
    <w:rsid w:val="1D46A95B"/>
    <w:rsid w:val="1D5AE193"/>
    <w:rsid w:val="1D66EE9A"/>
    <w:rsid w:val="1DA20E80"/>
    <w:rsid w:val="1DB364AA"/>
    <w:rsid w:val="1DBDA863"/>
    <w:rsid w:val="1DD7FD4F"/>
    <w:rsid w:val="1E149665"/>
    <w:rsid w:val="1E1736F0"/>
    <w:rsid w:val="1E77AD31"/>
    <w:rsid w:val="1E834B94"/>
    <w:rsid w:val="1ED4ED36"/>
    <w:rsid w:val="1EEF80D1"/>
    <w:rsid w:val="1EFEEDDA"/>
    <w:rsid w:val="1F3651CE"/>
    <w:rsid w:val="1F515FAE"/>
    <w:rsid w:val="1F675648"/>
    <w:rsid w:val="1FE68218"/>
    <w:rsid w:val="1FF38BBE"/>
    <w:rsid w:val="2013D4E1"/>
    <w:rsid w:val="214C0A1F"/>
    <w:rsid w:val="21813C1B"/>
    <w:rsid w:val="21BE6BDC"/>
    <w:rsid w:val="21EEA1D5"/>
    <w:rsid w:val="224F3FD2"/>
    <w:rsid w:val="22894256"/>
    <w:rsid w:val="22CB6540"/>
    <w:rsid w:val="2367A612"/>
    <w:rsid w:val="238B9F42"/>
    <w:rsid w:val="23BB06FE"/>
    <w:rsid w:val="240F8F5C"/>
    <w:rsid w:val="241C21D3"/>
    <w:rsid w:val="242EE119"/>
    <w:rsid w:val="24E8BA34"/>
    <w:rsid w:val="24F28446"/>
    <w:rsid w:val="24F5B01F"/>
    <w:rsid w:val="25753EE2"/>
    <w:rsid w:val="25B0A735"/>
    <w:rsid w:val="26033477"/>
    <w:rsid w:val="263F0441"/>
    <w:rsid w:val="26DEA12B"/>
    <w:rsid w:val="2713A141"/>
    <w:rsid w:val="27628F8E"/>
    <w:rsid w:val="27B10F23"/>
    <w:rsid w:val="286CFDE0"/>
    <w:rsid w:val="28C50471"/>
    <w:rsid w:val="28CE8BC8"/>
    <w:rsid w:val="294BD386"/>
    <w:rsid w:val="29858AF1"/>
    <w:rsid w:val="29DC6A24"/>
    <w:rsid w:val="2A16F299"/>
    <w:rsid w:val="2A223734"/>
    <w:rsid w:val="2A39DA27"/>
    <w:rsid w:val="2A4B54BD"/>
    <w:rsid w:val="2B2BBA11"/>
    <w:rsid w:val="2B35246F"/>
    <w:rsid w:val="2B900541"/>
    <w:rsid w:val="2BD6E720"/>
    <w:rsid w:val="2CB76B4A"/>
    <w:rsid w:val="2CB8E7FC"/>
    <w:rsid w:val="2D00195E"/>
    <w:rsid w:val="2DC07014"/>
    <w:rsid w:val="2E1B0A6D"/>
    <w:rsid w:val="2E5C7A32"/>
    <w:rsid w:val="2E7AB1A1"/>
    <w:rsid w:val="2E86F8FB"/>
    <w:rsid w:val="2E97931D"/>
    <w:rsid w:val="2EADC8FD"/>
    <w:rsid w:val="2F190810"/>
    <w:rsid w:val="2F9A0A84"/>
    <w:rsid w:val="306611FE"/>
    <w:rsid w:val="30CFCF8F"/>
    <w:rsid w:val="30E483D3"/>
    <w:rsid w:val="30E534D4"/>
    <w:rsid w:val="3169C910"/>
    <w:rsid w:val="31EA2705"/>
    <w:rsid w:val="31F35D74"/>
    <w:rsid w:val="31F3CF8C"/>
    <w:rsid w:val="3219521E"/>
    <w:rsid w:val="322CF316"/>
    <w:rsid w:val="3238FEC5"/>
    <w:rsid w:val="3245A1A4"/>
    <w:rsid w:val="3247CDBA"/>
    <w:rsid w:val="328D0AD8"/>
    <w:rsid w:val="329DAC20"/>
    <w:rsid w:val="32C86819"/>
    <w:rsid w:val="32D0A92E"/>
    <w:rsid w:val="32D149EC"/>
    <w:rsid w:val="32DC36B4"/>
    <w:rsid w:val="33372058"/>
    <w:rsid w:val="334D6B92"/>
    <w:rsid w:val="3388D532"/>
    <w:rsid w:val="339662E5"/>
    <w:rsid w:val="33D5403A"/>
    <w:rsid w:val="347A6683"/>
    <w:rsid w:val="3492FEE2"/>
    <w:rsid w:val="34AABB81"/>
    <w:rsid w:val="355E5F02"/>
    <w:rsid w:val="358BA80E"/>
    <w:rsid w:val="35C31DC7"/>
    <w:rsid w:val="3622C6A7"/>
    <w:rsid w:val="36243377"/>
    <w:rsid w:val="362597DE"/>
    <w:rsid w:val="3640BAAC"/>
    <w:rsid w:val="366DD5D6"/>
    <w:rsid w:val="368921BE"/>
    <w:rsid w:val="36A6E8A7"/>
    <w:rsid w:val="36C9EB8D"/>
    <w:rsid w:val="36CA0CB2"/>
    <w:rsid w:val="36FA9DCF"/>
    <w:rsid w:val="37199E3F"/>
    <w:rsid w:val="3722B896"/>
    <w:rsid w:val="375D26B2"/>
    <w:rsid w:val="37BBB73F"/>
    <w:rsid w:val="37E75BC7"/>
    <w:rsid w:val="382BDBF4"/>
    <w:rsid w:val="3862BD1E"/>
    <w:rsid w:val="38E04AA5"/>
    <w:rsid w:val="38EAB00E"/>
    <w:rsid w:val="39463BCA"/>
    <w:rsid w:val="3946CB92"/>
    <w:rsid w:val="39D59F57"/>
    <w:rsid w:val="39E8E49D"/>
    <w:rsid w:val="3A09F7E3"/>
    <w:rsid w:val="3A1A364F"/>
    <w:rsid w:val="3A2628A8"/>
    <w:rsid w:val="3A8BE4B1"/>
    <w:rsid w:val="3AA805E7"/>
    <w:rsid w:val="3AACC3E8"/>
    <w:rsid w:val="3AB4DB65"/>
    <w:rsid w:val="3ABFD938"/>
    <w:rsid w:val="3B81E1A5"/>
    <w:rsid w:val="3BE15881"/>
    <w:rsid w:val="3BF7D919"/>
    <w:rsid w:val="3C0B00A3"/>
    <w:rsid w:val="3C2ECB52"/>
    <w:rsid w:val="3C4C98D2"/>
    <w:rsid w:val="3C6D2DF9"/>
    <w:rsid w:val="3C738DED"/>
    <w:rsid w:val="3CB70E35"/>
    <w:rsid w:val="3CC8ACA1"/>
    <w:rsid w:val="3CD087B1"/>
    <w:rsid w:val="3CFEF2F8"/>
    <w:rsid w:val="3D0D797F"/>
    <w:rsid w:val="3D95369B"/>
    <w:rsid w:val="3DA747DA"/>
    <w:rsid w:val="3E0B8CCB"/>
    <w:rsid w:val="3E0E8397"/>
    <w:rsid w:val="3EC0B10B"/>
    <w:rsid w:val="3EC7AC64"/>
    <w:rsid w:val="3ED2359C"/>
    <w:rsid w:val="3F0E0199"/>
    <w:rsid w:val="3F6AC257"/>
    <w:rsid w:val="3FA76061"/>
    <w:rsid w:val="3FB3FEE3"/>
    <w:rsid w:val="3FB8B288"/>
    <w:rsid w:val="4015E98B"/>
    <w:rsid w:val="4017A4C7"/>
    <w:rsid w:val="40384DDC"/>
    <w:rsid w:val="407C80D0"/>
    <w:rsid w:val="409C1F51"/>
    <w:rsid w:val="411B770B"/>
    <w:rsid w:val="4189BBF4"/>
    <w:rsid w:val="41F71799"/>
    <w:rsid w:val="42592FDB"/>
    <w:rsid w:val="4261B28A"/>
    <w:rsid w:val="426E8682"/>
    <w:rsid w:val="426F8272"/>
    <w:rsid w:val="42AA25CC"/>
    <w:rsid w:val="42D36C88"/>
    <w:rsid w:val="42D6C026"/>
    <w:rsid w:val="4300FB84"/>
    <w:rsid w:val="43101BC5"/>
    <w:rsid w:val="436B0B37"/>
    <w:rsid w:val="43BDD377"/>
    <w:rsid w:val="43E9AFDA"/>
    <w:rsid w:val="4403FA12"/>
    <w:rsid w:val="4425E690"/>
    <w:rsid w:val="444E3CA7"/>
    <w:rsid w:val="44EDC984"/>
    <w:rsid w:val="45265E5E"/>
    <w:rsid w:val="454444B4"/>
    <w:rsid w:val="454FA70C"/>
    <w:rsid w:val="4557DD14"/>
    <w:rsid w:val="45E8376B"/>
    <w:rsid w:val="4608BE14"/>
    <w:rsid w:val="462A7C80"/>
    <w:rsid w:val="46479340"/>
    <w:rsid w:val="464C3B4A"/>
    <w:rsid w:val="467AC8CC"/>
    <w:rsid w:val="46EF4C9F"/>
    <w:rsid w:val="47A538B9"/>
    <w:rsid w:val="47E0748D"/>
    <w:rsid w:val="481DDAF8"/>
    <w:rsid w:val="4834FAAD"/>
    <w:rsid w:val="48A9F18A"/>
    <w:rsid w:val="48B4D60D"/>
    <w:rsid w:val="48B59FC0"/>
    <w:rsid w:val="490103A7"/>
    <w:rsid w:val="49146913"/>
    <w:rsid w:val="4926F5DB"/>
    <w:rsid w:val="49EBAAAF"/>
    <w:rsid w:val="4A49CCC6"/>
    <w:rsid w:val="4A82E0C0"/>
    <w:rsid w:val="4AAEC624"/>
    <w:rsid w:val="4AE5B8D1"/>
    <w:rsid w:val="4B099F65"/>
    <w:rsid w:val="4B24BBD6"/>
    <w:rsid w:val="4B32F85F"/>
    <w:rsid w:val="4B417766"/>
    <w:rsid w:val="4B48859D"/>
    <w:rsid w:val="4B5707A1"/>
    <w:rsid w:val="4B6C1C14"/>
    <w:rsid w:val="4B8A25A2"/>
    <w:rsid w:val="4BABE282"/>
    <w:rsid w:val="4BF72FC4"/>
    <w:rsid w:val="4BFC8C38"/>
    <w:rsid w:val="4C2021CA"/>
    <w:rsid w:val="4C41030C"/>
    <w:rsid w:val="4C892B57"/>
    <w:rsid w:val="4CEE5D7D"/>
    <w:rsid w:val="4D294DAA"/>
    <w:rsid w:val="4D58E8AF"/>
    <w:rsid w:val="4D747B60"/>
    <w:rsid w:val="4D7C79BE"/>
    <w:rsid w:val="4DBE6F2C"/>
    <w:rsid w:val="4E0E35C1"/>
    <w:rsid w:val="4E0F7A48"/>
    <w:rsid w:val="4E2086B7"/>
    <w:rsid w:val="4E21DF8A"/>
    <w:rsid w:val="4E62D3B4"/>
    <w:rsid w:val="4E804858"/>
    <w:rsid w:val="4F7F322A"/>
    <w:rsid w:val="4F97B6D2"/>
    <w:rsid w:val="4FF707A3"/>
    <w:rsid w:val="5045EAA0"/>
    <w:rsid w:val="50602B77"/>
    <w:rsid w:val="5094129B"/>
    <w:rsid w:val="5094129B"/>
    <w:rsid w:val="5095B30D"/>
    <w:rsid w:val="5112A4CE"/>
    <w:rsid w:val="5163F2E2"/>
    <w:rsid w:val="51658346"/>
    <w:rsid w:val="5188E925"/>
    <w:rsid w:val="51940F1A"/>
    <w:rsid w:val="519ED538"/>
    <w:rsid w:val="51D228F1"/>
    <w:rsid w:val="51F39214"/>
    <w:rsid w:val="5213C8B0"/>
    <w:rsid w:val="521EA303"/>
    <w:rsid w:val="5233C833"/>
    <w:rsid w:val="5253061B"/>
    <w:rsid w:val="527072E6"/>
    <w:rsid w:val="53272978"/>
    <w:rsid w:val="5333B99F"/>
    <w:rsid w:val="53A87F3E"/>
    <w:rsid w:val="5441130B"/>
    <w:rsid w:val="546EC875"/>
    <w:rsid w:val="54C2624E"/>
    <w:rsid w:val="54FD9474"/>
    <w:rsid w:val="55B854FA"/>
    <w:rsid w:val="55F97E15"/>
    <w:rsid w:val="56B80715"/>
    <w:rsid w:val="56C19347"/>
    <w:rsid w:val="571B49FA"/>
    <w:rsid w:val="574C0269"/>
    <w:rsid w:val="5767CCD4"/>
    <w:rsid w:val="5789B735"/>
    <w:rsid w:val="578F29D5"/>
    <w:rsid w:val="57D3D0CD"/>
    <w:rsid w:val="57EA1886"/>
    <w:rsid w:val="588E75EE"/>
    <w:rsid w:val="58CABEEF"/>
    <w:rsid w:val="58D5A901"/>
    <w:rsid w:val="5909BE3C"/>
    <w:rsid w:val="595505E7"/>
    <w:rsid w:val="599B55A2"/>
    <w:rsid w:val="5A89AE92"/>
    <w:rsid w:val="5AA3CA58"/>
    <w:rsid w:val="5B68ECDC"/>
    <w:rsid w:val="5B6DE994"/>
    <w:rsid w:val="5B728072"/>
    <w:rsid w:val="5C78996A"/>
    <w:rsid w:val="5C7D547D"/>
    <w:rsid w:val="5C7D7029"/>
    <w:rsid w:val="5C9C6E0D"/>
    <w:rsid w:val="5CB93369"/>
    <w:rsid w:val="5CFADB10"/>
    <w:rsid w:val="5D5B1A57"/>
    <w:rsid w:val="5D9BD8D7"/>
    <w:rsid w:val="5DB2391B"/>
    <w:rsid w:val="5E643B8B"/>
    <w:rsid w:val="5E868A13"/>
    <w:rsid w:val="5F5C25CF"/>
    <w:rsid w:val="5F831906"/>
    <w:rsid w:val="5FB9D001"/>
    <w:rsid w:val="5FC46DFE"/>
    <w:rsid w:val="5FF7F52C"/>
    <w:rsid w:val="6015E9C1"/>
    <w:rsid w:val="602509D1"/>
    <w:rsid w:val="6042E319"/>
    <w:rsid w:val="6066BEB8"/>
    <w:rsid w:val="60942E8A"/>
    <w:rsid w:val="60D8F5FA"/>
    <w:rsid w:val="60FD58A7"/>
    <w:rsid w:val="6100A01E"/>
    <w:rsid w:val="61177F08"/>
    <w:rsid w:val="61AFE936"/>
    <w:rsid w:val="62226BEA"/>
    <w:rsid w:val="6223500E"/>
    <w:rsid w:val="62355D37"/>
    <w:rsid w:val="63419CC2"/>
    <w:rsid w:val="639C589C"/>
    <w:rsid w:val="63A48B90"/>
    <w:rsid w:val="63B825BB"/>
    <w:rsid w:val="63F9711B"/>
    <w:rsid w:val="64033610"/>
    <w:rsid w:val="6426952B"/>
    <w:rsid w:val="642D13B1"/>
    <w:rsid w:val="643CE256"/>
    <w:rsid w:val="643D3390"/>
    <w:rsid w:val="647BB9A4"/>
    <w:rsid w:val="6494870E"/>
    <w:rsid w:val="64B9AC21"/>
    <w:rsid w:val="64EA29EB"/>
    <w:rsid w:val="6504A61A"/>
    <w:rsid w:val="653847D7"/>
    <w:rsid w:val="654588D2"/>
    <w:rsid w:val="66AE470C"/>
    <w:rsid w:val="66B26B14"/>
    <w:rsid w:val="66C2A443"/>
    <w:rsid w:val="66DB5ADC"/>
    <w:rsid w:val="6754479E"/>
    <w:rsid w:val="67615E75"/>
    <w:rsid w:val="67B3F484"/>
    <w:rsid w:val="6870B2FD"/>
    <w:rsid w:val="68CBD98F"/>
    <w:rsid w:val="68D0E522"/>
    <w:rsid w:val="68E2E8CC"/>
    <w:rsid w:val="690447AF"/>
    <w:rsid w:val="69149716"/>
    <w:rsid w:val="6921E3DC"/>
    <w:rsid w:val="694D5411"/>
    <w:rsid w:val="695BEFBB"/>
    <w:rsid w:val="695DC28B"/>
    <w:rsid w:val="69C14E6E"/>
    <w:rsid w:val="69F68824"/>
    <w:rsid w:val="6A3FB602"/>
    <w:rsid w:val="6A67E093"/>
    <w:rsid w:val="6AA8EEB1"/>
    <w:rsid w:val="6ACC2E84"/>
    <w:rsid w:val="6B0DAB31"/>
    <w:rsid w:val="6B336709"/>
    <w:rsid w:val="6B442FBB"/>
    <w:rsid w:val="6B4C499F"/>
    <w:rsid w:val="6B641297"/>
    <w:rsid w:val="6BAE84B3"/>
    <w:rsid w:val="6BDDC86D"/>
    <w:rsid w:val="6C604998"/>
    <w:rsid w:val="6C6B64D4"/>
    <w:rsid w:val="6C9B40BA"/>
    <w:rsid w:val="6CBC9923"/>
    <w:rsid w:val="6CBF7F7C"/>
    <w:rsid w:val="6CDCFAF4"/>
    <w:rsid w:val="6CF9EDC1"/>
    <w:rsid w:val="6D9C4AB8"/>
    <w:rsid w:val="6DCA631C"/>
    <w:rsid w:val="6E385DA3"/>
    <w:rsid w:val="6E528631"/>
    <w:rsid w:val="6E5835BD"/>
    <w:rsid w:val="6E612D2F"/>
    <w:rsid w:val="6EB48F79"/>
    <w:rsid w:val="6EC33222"/>
    <w:rsid w:val="6EC90B8D"/>
    <w:rsid w:val="6F2CFBD6"/>
    <w:rsid w:val="703A1074"/>
    <w:rsid w:val="70B65225"/>
    <w:rsid w:val="70DCC8A5"/>
    <w:rsid w:val="70ED7415"/>
    <w:rsid w:val="7107A754"/>
    <w:rsid w:val="71EDE386"/>
    <w:rsid w:val="71FC0EC4"/>
    <w:rsid w:val="721B3501"/>
    <w:rsid w:val="7238C7C3"/>
    <w:rsid w:val="72948FF5"/>
    <w:rsid w:val="7295FEE9"/>
    <w:rsid w:val="72AC5622"/>
    <w:rsid w:val="72AED0E3"/>
    <w:rsid w:val="72CAAD23"/>
    <w:rsid w:val="72F41C48"/>
    <w:rsid w:val="7308FB97"/>
    <w:rsid w:val="736C7375"/>
    <w:rsid w:val="73A59EC1"/>
    <w:rsid w:val="73B3FBE3"/>
    <w:rsid w:val="73D6038F"/>
    <w:rsid w:val="73E0E03F"/>
    <w:rsid w:val="745A04D4"/>
    <w:rsid w:val="745E857A"/>
    <w:rsid w:val="74723A31"/>
    <w:rsid w:val="74864105"/>
    <w:rsid w:val="7515E6AD"/>
    <w:rsid w:val="75F6B00E"/>
    <w:rsid w:val="767D0076"/>
    <w:rsid w:val="76B82ECC"/>
    <w:rsid w:val="772076E3"/>
    <w:rsid w:val="774B2D70"/>
    <w:rsid w:val="77A8805D"/>
    <w:rsid w:val="77A99A2E"/>
    <w:rsid w:val="77C45327"/>
    <w:rsid w:val="77DE8924"/>
    <w:rsid w:val="77E1C171"/>
    <w:rsid w:val="77F6D9D3"/>
    <w:rsid w:val="781B31C8"/>
    <w:rsid w:val="783EEB91"/>
    <w:rsid w:val="785A3407"/>
    <w:rsid w:val="7898B108"/>
    <w:rsid w:val="78A64D97"/>
    <w:rsid w:val="78E23CE5"/>
    <w:rsid w:val="79142E0C"/>
    <w:rsid w:val="7976152B"/>
    <w:rsid w:val="79841D49"/>
    <w:rsid w:val="7A024DE6"/>
    <w:rsid w:val="7A2358FE"/>
    <w:rsid w:val="7A43DB47"/>
    <w:rsid w:val="7A9E4683"/>
    <w:rsid w:val="7B68F5EC"/>
    <w:rsid w:val="7B78809F"/>
    <w:rsid w:val="7BAC391F"/>
    <w:rsid w:val="7BFCCAC5"/>
    <w:rsid w:val="7C315C05"/>
    <w:rsid w:val="7CA461D3"/>
    <w:rsid w:val="7CDE7591"/>
    <w:rsid w:val="7D93A276"/>
    <w:rsid w:val="7DF36C1B"/>
    <w:rsid w:val="7DF8AED3"/>
    <w:rsid w:val="7E230405"/>
    <w:rsid w:val="7E2C19F9"/>
    <w:rsid w:val="7E689460"/>
    <w:rsid w:val="7E7416D8"/>
    <w:rsid w:val="7E928BE2"/>
    <w:rsid w:val="7E9CD5B1"/>
    <w:rsid w:val="7EA75FDA"/>
    <w:rsid w:val="7EBE331C"/>
    <w:rsid w:val="7F3124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B0BBE"/>
  <w15:chartTrackingRefBased/>
  <w15:docId w15:val="{45167EC9-71AE-4DFF-B7F6-7FFD3DC7E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uiPriority w:val="9"/>
    <w:unhideWhenUsed/>
    <w:qFormat/>
    <w:rsid w:val="238B9F42"/>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238B9F42"/>
    <w:pPr>
      <w:tabs>
        <w:tab w:val="center" w:pos="4680"/>
        <w:tab w:val="right" w:pos="9360"/>
      </w:tabs>
      <w:spacing w:after="0" w:line="240" w:lineRule="auto"/>
    </w:pPr>
  </w:style>
  <w:style w:type="paragraph" w:styleId="Footer">
    <w:name w:val="footer"/>
    <w:basedOn w:val="Normal"/>
    <w:uiPriority w:val="99"/>
    <w:unhideWhenUsed/>
    <w:rsid w:val="238B9F42"/>
    <w:pPr>
      <w:tabs>
        <w:tab w:val="center" w:pos="4680"/>
        <w:tab w:val="right" w:pos="9360"/>
      </w:tabs>
      <w:spacing w:after="0" w:line="240" w:lineRule="auto"/>
    </w:pPr>
  </w:style>
  <w:style w:type="paragraph" w:styleId="ListParagraph">
    <w:name w:val="List Paragraph"/>
    <w:basedOn w:val="Normal"/>
    <w:uiPriority w:val="34"/>
    <w:qFormat/>
    <w:rsid w:val="238B9F42"/>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70ED7415"/>
    <w:rPr>
      <w:color w:val="467886"/>
      <w:u w:val="single"/>
    </w:rPr>
  </w:style>
  <w:style w:type="paragraph" w:styleId="TOC3">
    <w:name w:val="toc 3"/>
    <w:basedOn w:val="Normal"/>
    <w:next w:val="Normal"/>
    <w:uiPriority w:val="39"/>
    <w:unhideWhenUsed/>
    <w:rsid w:val="5441130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fontTable" Target="fontTable.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oter" Target="footer1.xml" Id="rId28" /><Relationship Type="http://schemas.microsoft.com/office/2020/10/relationships/intelligence" Target="intelligence2.xml" Id="rId31" /><Relationship Type="http://schemas.openxmlformats.org/officeDocument/2006/relationships/webSettings" Target="webSettings.xml" Id="rId4" /><Relationship Type="http://schemas.openxmlformats.org/officeDocument/2006/relationships/header" Target="header1.xml" Id="rId27" /><Relationship Type="http://schemas.openxmlformats.org/officeDocument/2006/relationships/theme" Target="theme/theme1.xml" Id="rId30" /><Relationship Type="http://schemas.openxmlformats.org/officeDocument/2006/relationships/hyperlink" Target="https://www.ageuk.org.uk/" TargetMode="External" Id="Rb11d7c7da8344c1f" /><Relationship Type="http://schemas.openxmlformats.org/officeDocument/2006/relationships/hyperlink" Target="https://doi.org/10.1093/ageing/afaa052" TargetMode="External" Id="Rc100da4d86084244" /><Relationship Type="http://schemas.openxmlformats.org/officeDocument/2006/relationships/hyperlink" Target="https://doi.org/10.1080/1364557032000119616" TargetMode="External" Id="R0ce83159fd564870" /><Relationship Type="http://schemas.openxmlformats.org/officeDocument/2006/relationships/hyperlink" Target="https://doi.org/10.1136/bmjopen-2016-013384" TargetMode="External" Id="Re45a887f33724734" /><Relationship Type="http://schemas.openxmlformats.org/officeDocument/2006/relationships/hyperlink" Target="https://doi.org/10.1191/1478088706qp063oa" TargetMode="External" Id="R6cfdbcbf2eba44be" /><Relationship Type="http://schemas.openxmlformats.org/officeDocument/2006/relationships/hyperlink" Target="https://www.campaigntoendloneliness.org/strategy" TargetMode="External" Id="Rf521ef89bc9e43fd" /><Relationship Type="http://schemas.openxmlformats.org/officeDocument/2006/relationships/hyperlink" Target="https://doi.org/10.2196/19673" TargetMode="External" Id="R3de96f9c891a4d25" /><Relationship Type="http://schemas.openxmlformats.org/officeDocument/2006/relationships/hyperlink" Target="https://www.gov.uk/government/publications/building-a-connected-society-the-governments-strategy-to-tackle-loneliness" TargetMode="External" Id="R5f9f60532b3640d4" /><Relationship Type="http://schemas.openxmlformats.org/officeDocument/2006/relationships/hyperlink" Target="https://www.who.int/europe/publications/i/item/9789289054989" TargetMode="External" Id="R34deffe6b5104f6a" /><Relationship Type="http://schemas.openxmlformats.org/officeDocument/2006/relationships/hyperlink" Target="https://doi.org/10.1080/19460171.2024.2306240" TargetMode="External" Id="R0b45c7056bfa47ea" /><Relationship Type="http://schemas.openxmlformats.org/officeDocument/2006/relationships/hyperlink" Target="https://doi.org/10.1186/s12889-023-16657-9" TargetMode="External" Id="Rfc8d43f3ea954d34" /><Relationship Type="http://schemas.openxmlformats.org/officeDocument/2006/relationships/hyperlink" Target="https://www.manchester.gov.uk/people-and-communities/life-over-50" TargetMode="External" Id="R913fc3d6ceda4c02" /><Relationship Type="http://schemas.openxmlformats.org/officeDocument/2006/relationships/hyperlink" Target="https://www.mind.org.uk/resources/policy-briefs/loneliness-and-mental-health/" TargetMode="External" Id="R79478e1aa7e14918" /><Relationship Type="http://schemas.openxmlformats.org/officeDocument/2006/relationships/hyperlink" Target="https://www.health.org.uk/publications/marmot-review-10-years-on" TargetMode="External" Id="R8e0a16662fa54c5a" /><Relationship Type="http://schemas.openxmlformats.org/officeDocument/2006/relationships/hyperlink" Target="https://www.longtermplan.nhs.uk/" TargetMode="External" Id="Raf019b96720e4738" /><Relationship Type="http://schemas.openxmlformats.org/officeDocument/2006/relationships/hyperlink" Target="https://www.ons.gov.uk/peoplepopulationandcommunity/wellbeing/bulletins/lonelinessintheunitedkingdom/2023" TargetMode="External" Id="R16d30325b4e84b94" /><Relationship Type="http://schemas.openxmlformats.org/officeDocument/2006/relationships/hyperlink" Target="https://doi.org/10.1093/heapro/dab067" TargetMode="External" Id="Rf88ce9f7af434b96" /><Relationship Type="http://schemas.openxmlformats.org/officeDocument/2006/relationships/hyperlink" Target="https://doi.org/10.7326/M18-0850" TargetMode="External" Id="R9192d2dc3976464f" /><Relationship Type="http://schemas.openxmlformats.org/officeDocument/2006/relationships/hyperlink" Target="https://www.uwtsd.ac.uk/research/research-integrity-and-ethics" TargetMode="External" Id="Rcee1be39994545b9" /><Relationship Type="http://schemas.openxmlformats.org/officeDocument/2006/relationships/hyperlink" Target="https://doi.org/10.1080/00223980.2011.613876" TargetMode="External" Id="Rcb26a2435da3490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Nichola Timothy (2407528)</dc:creator>
  <keywords/>
  <dc:description/>
  <lastModifiedBy>Nichola Timothy (2407528)</lastModifiedBy>
  <revision>17</revision>
  <dcterms:created xsi:type="dcterms:W3CDTF">2026-07-15T08:28:00.0000000Z</dcterms:created>
  <dcterms:modified xsi:type="dcterms:W3CDTF">2026-07-17T08:37:15.9145979Z</dcterms:modified>
</coreProperties>
</file>