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430EA4" w14:textId="69BE72AE" w:rsidR="004A0604" w:rsidRPr="00A94B71" w:rsidRDefault="004A0604" w:rsidP="00A94B71">
      <w:pPr>
        <w:pStyle w:val="BodyA"/>
        <w:spacing w:line="360" w:lineRule="auto"/>
        <w:rPr>
          <w:rFonts w:ascii="Arial" w:hAnsi="Arial" w:cs="Arial"/>
        </w:rPr>
      </w:pPr>
      <w:r w:rsidRPr="00A94B71">
        <w:rPr>
          <w:rFonts w:ascii="Arial" w:hAnsi="Arial" w:cs="Arial"/>
          <w:b/>
          <w:bCs/>
        </w:rPr>
        <w:t>Module code</w:t>
      </w:r>
      <w:r w:rsidRPr="00A94B71">
        <w:rPr>
          <w:rFonts w:ascii="Arial" w:hAnsi="Arial" w:cs="Arial"/>
        </w:rPr>
        <w:t>: ECAD7004</w:t>
      </w:r>
      <w:r w:rsidRPr="00A94B71">
        <w:rPr>
          <w:rFonts w:ascii="Arial" w:hAnsi="Arial" w:cs="Arial"/>
        </w:rPr>
        <w:br/>
      </w:r>
      <w:r w:rsidRPr="00A94B71">
        <w:rPr>
          <w:rFonts w:ascii="Arial" w:hAnsi="Arial" w:cs="Arial"/>
        </w:rPr>
        <w:br/>
      </w:r>
      <w:r w:rsidRPr="00A94B71">
        <w:rPr>
          <w:rFonts w:ascii="Arial" w:hAnsi="Arial" w:cs="Arial"/>
        </w:rPr>
        <w:br/>
      </w:r>
      <w:r w:rsidRPr="00A94B71">
        <w:rPr>
          <w:rFonts w:ascii="Arial" w:hAnsi="Arial" w:cs="Arial"/>
          <w:b/>
          <w:bCs/>
        </w:rPr>
        <w:t>Module:</w:t>
      </w:r>
      <w:r w:rsidRPr="00A94B71">
        <w:rPr>
          <w:rFonts w:ascii="Arial" w:hAnsi="Arial" w:cs="Arial"/>
        </w:rPr>
        <w:t xml:space="preserve"> Professional and Pedagogic Studies: Researching the Learning: what, how and why am I teaching?</w:t>
      </w:r>
    </w:p>
    <w:p w14:paraId="5C957075" w14:textId="77777777" w:rsidR="004A0604" w:rsidRPr="00A94B71" w:rsidRDefault="004A0604" w:rsidP="00A94B71">
      <w:pPr>
        <w:pStyle w:val="BodyA"/>
        <w:spacing w:line="360" w:lineRule="auto"/>
        <w:rPr>
          <w:rFonts w:ascii="Arial" w:hAnsi="Arial" w:cs="Arial"/>
        </w:rPr>
      </w:pPr>
    </w:p>
    <w:p w14:paraId="3C8C56E9" w14:textId="68A3DBC4" w:rsidR="004A0604" w:rsidRPr="00A94B71" w:rsidRDefault="004A0604" w:rsidP="00A94B71">
      <w:pPr>
        <w:spacing w:line="360" w:lineRule="auto"/>
        <w:rPr>
          <w:rFonts w:ascii="Arial" w:hAnsi="Arial" w:cs="Arial"/>
          <w:b/>
          <w:bCs/>
          <w:sz w:val="22"/>
          <w:szCs w:val="22"/>
        </w:rPr>
      </w:pPr>
      <w:r w:rsidRPr="00A94B71">
        <w:rPr>
          <w:rFonts w:ascii="Arial" w:hAnsi="Arial" w:cs="Arial"/>
          <w:b/>
          <w:bCs/>
          <w:sz w:val="22"/>
          <w:szCs w:val="22"/>
        </w:rPr>
        <w:t>Assignment title</w:t>
      </w:r>
      <w:r w:rsidRPr="00A94B71">
        <w:rPr>
          <w:rFonts w:ascii="Arial" w:hAnsi="Arial" w:cs="Arial"/>
          <w:sz w:val="22"/>
          <w:szCs w:val="22"/>
        </w:rPr>
        <w:t>: Design, conduct and critically evaluate a close-to-practice research project focusing on the model of the transformative teacher in developing practice that has a positive impact on the learner.</w:t>
      </w:r>
      <w:r w:rsidRPr="00A94B71">
        <w:rPr>
          <w:rFonts w:ascii="Arial" w:hAnsi="Arial" w:cs="Arial"/>
          <w:sz w:val="22"/>
          <w:szCs w:val="22"/>
        </w:rPr>
        <w:br/>
      </w:r>
      <w:r w:rsidRPr="00A94B71">
        <w:rPr>
          <w:rFonts w:ascii="Arial" w:hAnsi="Arial" w:cs="Arial"/>
          <w:sz w:val="22"/>
          <w:szCs w:val="22"/>
        </w:rPr>
        <w:br/>
      </w:r>
      <w:r w:rsidR="00293E0A" w:rsidRPr="00A94B71">
        <w:rPr>
          <w:rFonts w:ascii="Arial" w:hAnsi="Arial" w:cs="Arial"/>
          <w:b/>
          <w:bCs/>
          <w:sz w:val="22"/>
          <w:szCs w:val="22"/>
        </w:rPr>
        <w:t>Name:</w:t>
      </w:r>
      <w:r w:rsidRPr="00A94B71">
        <w:rPr>
          <w:rFonts w:ascii="Arial" w:hAnsi="Arial" w:cs="Arial"/>
          <w:b/>
          <w:bCs/>
          <w:sz w:val="22"/>
          <w:szCs w:val="22"/>
        </w:rPr>
        <w:t xml:space="preserve"> </w:t>
      </w:r>
      <w:r w:rsidRPr="00A94B71">
        <w:rPr>
          <w:rFonts w:ascii="Arial" w:hAnsi="Arial" w:cs="Arial"/>
          <w:sz w:val="22"/>
          <w:szCs w:val="22"/>
        </w:rPr>
        <w:t>Awen Davies-Jones</w:t>
      </w:r>
    </w:p>
    <w:p w14:paraId="49DAF349" w14:textId="25924B52" w:rsidR="0078105B" w:rsidRPr="00A94B71" w:rsidRDefault="004A0604" w:rsidP="00A94B71">
      <w:pPr>
        <w:spacing w:line="360" w:lineRule="auto"/>
        <w:rPr>
          <w:rFonts w:ascii="Arial" w:hAnsi="Arial" w:cs="Arial"/>
          <w:sz w:val="22"/>
          <w:szCs w:val="22"/>
        </w:rPr>
      </w:pPr>
      <w:r w:rsidRPr="00A94B71">
        <w:rPr>
          <w:rFonts w:ascii="Arial" w:hAnsi="Arial" w:cs="Arial"/>
          <w:b/>
          <w:bCs/>
          <w:sz w:val="22"/>
          <w:szCs w:val="22"/>
        </w:rPr>
        <w:br/>
      </w:r>
      <w:r w:rsidR="00B33F71" w:rsidRPr="00A94B71">
        <w:rPr>
          <w:rFonts w:ascii="Arial" w:hAnsi="Arial" w:cs="Arial"/>
          <w:b/>
          <w:bCs/>
          <w:sz w:val="22"/>
          <w:szCs w:val="22"/>
        </w:rPr>
        <w:br/>
        <w:t>Research question:</w:t>
      </w:r>
      <w:r w:rsidR="0078105B" w:rsidRPr="00A94B71">
        <w:rPr>
          <w:rFonts w:ascii="Arial" w:hAnsi="Arial" w:cs="Arial"/>
          <w:b/>
          <w:bCs/>
          <w:sz w:val="22"/>
          <w:szCs w:val="22"/>
        </w:rPr>
        <w:t xml:space="preserve"> </w:t>
      </w:r>
      <w:r w:rsidR="0078105B" w:rsidRPr="00A94B71">
        <w:rPr>
          <w:rFonts w:ascii="Arial" w:hAnsi="Arial" w:cs="Arial"/>
          <w:sz w:val="22"/>
          <w:szCs w:val="22"/>
        </w:rPr>
        <w:t>How do year 10 pupils perceive the use of scaffolding in supporting their unit 3 drama GCSE component?</w:t>
      </w:r>
    </w:p>
    <w:p w14:paraId="605DBA25" w14:textId="77777777" w:rsidR="0078105B" w:rsidRPr="00A94B71" w:rsidRDefault="0078105B" w:rsidP="00A94B71">
      <w:pPr>
        <w:spacing w:line="360" w:lineRule="auto"/>
        <w:rPr>
          <w:rFonts w:ascii="Arial" w:hAnsi="Arial" w:cs="Arial"/>
          <w:b/>
          <w:bCs/>
          <w:sz w:val="22"/>
          <w:szCs w:val="22"/>
        </w:rPr>
      </w:pPr>
    </w:p>
    <w:p w14:paraId="729502C7" w14:textId="7DACEF7D" w:rsidR="0078105B" w:rsidRPr="00A94B71" w:rsidRDefault="004A0604" w:rsidP="00A94B71">
      <w:pPr>
        <w:spacing w:line="360" w:lineRule="auto"/>
        <w:rPr>
          <w:rFonts w:ascii="Arial" w:hAnsi="Arial" w:cs="Arial"/>
          <w:b/>
          <w:bCs/>
          <w:sz w:val="22"/>
          <w:szCs w:val="22"/>
        </w:rPr>
      </w:pPr>
      <w:r w:rsidRPr="00A94B71">
        <w:rPr>
          <w:rFonts w:ascii="Arial" w:hAnsi="Arial" w:cs="Arial"/>
          <w:b/>
          <w:bCs/>
          <w:sz w:val="22"/>
          <w:szCs w:val="22"/>
        </w:rPr>
        <w:br/>
      </w:r>
      <w:r w:rsidRPr="00A94B71">
        <w:rPr>
          <w:rFonts w:ascii="Arial" w:hAnsi="Arial" w:cs="Arial"/>
          <w:b/>
          <w:bCs/>
          <w:sz w:val="22"/>
          <w:szCs w:val="22"/>
        </w:rPr>
        <w:br/>
      </w:r>
      <w:r w:rsidR="00B33F71" w:rsidRPr="00A94B71">
        <w:rPr>
          <w:rFonts w:ascii="Arial" w:hAnsi="Arial" w:cs="Arial"/>
          <w:b/>
          <w:bCs/>
          <w:sz w:val="22"/>
          <w:szCs w:val="22"/>
        </w:rPr>
        <w:t>Word count:</w:t>
      </w:r>
      <w:r w:rsidR="0078105B" w:rsidRPr="00A94B71">
        <w:rPr>
          <w:rFonts w:ascii="Arial" w:hAnsi="Arial" w:cs="Arial"/>
          <w:b/>
          <w:bCs/>
          <w:sz w:val="22"/>
          <w:szCs w:val="22"/>
        </w:rPr>
        <w:t xml:space="preserve"> 4</w:t>
      </w:r>
      <w:r w:rsidR="009D0E76">
        <w:rPr>
          <w:rFonts w:ascii="Arial" w:hAnsi="Arial" w:cs="Arial"/>
          <w:b/>
          <w:bCs/>
          <w:sz w:val="22"/>
          <w:szCs w:val="22"/>
        </w:rPr>
        <w:t>657</w:t>
      </w:r>
      <w:r w:rsidRPr="00A94B71">
        <w:rPr>
          <w:rFonts w:ascii="Arial" w:hAnsi="Arial" w:cs="Arial"/>
          <w:b/>
          <w:bCs/>
          <w:sz w:val="22"/>
          <w:szCs w:val="22"/>
        </w:rPr>
        <w:br/>
      </w:r>
      <w:r w:rsidRPr="00A94B71">
        <w:rPr>
          <w:rFonts w:ascii="Arial" w:hAnsi="Arial" w:cs="Arial"/>
          <w:b/>
          <w:bCs/>
          <w:sz w:val="22"/>
          <w:szCs w:val="22"/>
        </w:rPr>
        <w:br/>
      </w:r>
      <w:r w:rsidRPr="00A94B71">
        <w:rPr>
          <w:rFonts w:ascii="Arial" w:hAnsi="Arial" w:cs="Arial"/>
          <w:b/>
          <w:bCs/>
          <w:sz w:val="22"/>
          <w:szCs w:val="22"/>
        </w:rPr>
        <w:br/>
      </w:r>
      <w:r w:rsidRPr="00A94B71">
        <w:rPr>
          <w:rFonts w:ascii="Arial" w:hAnsi="Arial" w:cs="Arial"/>
          <w:b/>
          <w:bCs/>
          <w:sz w:val="22"/>
          <w:szCs w:val="22"/>
        </w:rPr>
        <w:br/>
      </w:r>
      <w:r w:rsidRPr="00A94B71">
        <w:rPr>
          <w:rFonts w:ascii="Arial" w:hAnsi="Arial" w:cs="Arial"/>
          <w:b/>
          <w:bCs/>
          <w:sz w:val="22"/>
          <w:szCs w:val="22"/>
        </w:rPr>
        <w:br/>
      </w:r>
      <w:r w:rsidRPr="00A94B71">
        <w:rPr>
          <w:rFonts w:ascii="Arial" w:hAnsi="Arial" w:cs="Arial"/>
          <w:b/>
          <w:bCs/>
          <w:sz w:val="22"/>
          <w:szCs w:val="22"/>
        </w:rPr>
        <w:br/>
      </w:r>
      <w:r w:rsidRPr="00A94B71">
        <w:rPr>
          <w:rFonts w:ascii="Arial" w:hAnsi="Arial" w:cs="Arial"/>
          <w:b/>
          <w:bCs/>
          <w:sz w:val="22"/>
          <w:szCs w:val="22"/>
        </w:rPr>
        <w:br/>
      </w:r>
      <w:r w:rsidRPr="00A94B71">
        <w:rPr>
          <w:rFonts w:ascii="Arial" w:hAnsi="Arial" w:cs="Arial"/>
          <w:b/>
          <w:bCs/>
          <w:sz w:val="22"/>
          <w:szCs w:val="22"/>
        </w:rPr>
        <w:br/>
      </w:r>
    </w:p>
    <w:p w14:paraId="4A86CA93" w14:textId="77777777" w:rsidR="0078105B" w:rsidRPr="00A94B71" w:rsidRDefault="0078105B" w:rsidP="00A94B71">
      <w:pPr>
        <w:spacing w:line="360" w:lineRule="auto"/>
        <w:rPr>
          <w:rFonts w:ascii="Arial" w:hAnsi="Arial" w:cs="Arial"/>
          <w:b/>
          <w:bCs/>
          <w:sz w:val="22"/>
          <w:szCs w:val="22"/>
        </w:rPr>
      </w:pPr>
    </w:p>
    <w:p w14:paraId="632C7B87" w14:textId="77777777" w:rsidR="0078105B" w:rsidRPr="00A94B71" w:rsidRDefault="0078105B" w:rsidP="00A94B71">
      <w:pPr>
        <w:spacing w:line="360" w:lineRule="auto"/>
        <w:rPr>
          <w:rFonts w:ascii="Arial" w:hAnsi="Arial" w:cs="Arial"/>
          <w:b/>
          <w:bCs/>
          <w:sz w:val="22"/>
          <w:szCs w:val="22"/>
        </w:rPr>
      </w:pPr>
    </w:p>
    <w:p w14:paraId="5ACC50EB" w14:textId="77777777" w:rsidR="0078105B" w:rsidRPr="00A94B71" w:rsidRDefault="0078105B" w:rsidP="00A94B71">
      <w:pPr>
        <w:spacing w:line="360" w:lineRule="auto"/>
        <w:rPr>
          <w:rFonts w:ascii="Arial" w:hAnsi="Arial" w:cs="Arial"/>
          <w:b/>
          <w:bCs/>
          <w:sz w:val="22"/>
          <w:szCs w:val="22"/>
        </w:rPr>
      </w:pPr>
    </w:p>
    <w:p w14:paraId="6E979147" w14:textId="77777777" w:rsidR="0078105B" w:rsidRPr="00A94B71" w:rsidRDefault="0078105B" w:rsidP="00A94B71">
      <w:pPr>
        <w:spacing w:line="360" w:lineRule="auto"/>
        <w:rPr>
          <w:rFonts w:ascii="Arial" w:hAnsi="Arial" w:cs="Arial"/>
          <w:b/>
          <w:bCs/>
          <w:sz w:val="22"/>
          <w:szCs w:val="22"/>
        </w:rPr>
      </w:pPr>
    </w:p>
    <w:p w14:paraId="5FBB505D" w14:textId="77777777" w:rsidR="0078105B" w:rsidRPr="00A94B71" w:rsidRDefault="0078105B" w:rsidP="00A94B71">
      <w:pPr>
        <w:spacing w:line="360" w:lineRule="auto"/>
        <w:rPr>
          <w:rFonts w:ascii="Arial" w:hAnsi="Arial" w:cs="Arial"/>
          <w:b/>
          <w:bCs/>
          <w:sz w:val="22"/>
          <w:szCs w:val="22"/>
        </w:rPr>
      </w:pPr>
    </w:p>
    <w:p w14:paraId="14C5DF0C" w14:textId="77777777" w:rsidR="0078105B" w:rsidRPr="00A94B71" w:rsidRDefault="0078105B" w:rsidP="00A94B71">
      <w:pPr>
        <w:spacing w:line="360" w:lineRule="auto"/>
        <w:rPr>
          <w:rFonts w:ascii="Arial" w:hAnsi="Arial" w:cs="Arial"/>
          <w:b/>
          <w:bCs/>
          <w:sz w:val="22"/>
          <w:szCs w:val="22"/>
        </w:rPr>
      </w:pPr>
    </w:p>
    <w:p w14:paraId="2FCD8D22" w14:textId="3006ED2F" w:rsidR="0078105B" w:rsidRPr="00A94B71" w:rsidRDefault="004A0604" w:rsidP="00A94B71">
      <w:pPr>
        <w:spacing w:line="360" w:lineRule="auto"/>
        <w:rPr>
          <w:rFonts w:ascii="Arial" w:hAnsi="Arial" w:cs="Arial"/>
          <w:b/>
          <w:bCs/>
          <w:sz w:val="22"/>
          <w:szCs w:val="22"/>
        </w:rPr>
      </w:pPr>
      <w:r w:rsidRPr="00A94B71">
        <w:rPr>
          <w:rFonts w:ascii="Arial" w:hAnsi="Arial" w:cs="Arial"/>
          <w:b/>
          <w:bCs/>
          <w:sz w:val="22"/>
          <w:szCs w:val="22"/>
        </w:rPr>
        <w:br/>
      </w:r>
      <w:r w:rsidRPr="00A94B71">
        <w:rPr>
          <w:rFonts w:ascii="Arial" w:hAnsi="Arial" w:cs="Arial"/>
          <w:b/>
          <w:bCs/>
          <w:sz w:val="22"/>
          <w:szCs w:val="22"/>
        </w:rPr>
        <w:br/>
      </w:r>
    </w:p>
    <w:p w14:paraId="5EA3B476" w14:textId="77777777" w:rsidR="0078105B" w:rsidRPr="00A94B71" w:rsidRDefault="0078105B" w:rsidP="00A94B71">
      <w:pPr>
        <w:spacing w:line="360" w:lineRule="auto"/>
        <w:rPr>
          <w:rFonts w:ascii="Arial" w:hAnsi="Arial" w:cs="Arial"/>
          <w:b/>
          <w:bCs/>
          <w:sz w:val="22"/>
          <w:szCs w:val="22"/>
        </w:rPr>
      </w:pPr>
    </w:p>
    <w:p w14:paraId="73A7EFC0" w14:textId="77777777" w:rsidR="0078105B" w:rsidRPr="00A94B71" w:rsidRDefault="0078105B" w:rsidP="00A94B71">
      <w:pPr>
        <w:spacing w:line="360" w:lineRule="auto"/>
        <w:rPr>
          <w:rFonts w:ascii="Arial" w:hAnsi="Arial" w:cs="Arial"/>
          <w:b/>
          <w:bCs/>
          <w:sz w:val="22"/>
          <w:szCs w:val="22"/>
        </w:rPr>
      </w:pPr>
    </w:p>
    <w:p w14:paraId="47769F8F" w14:textId="77777777" w:rsidR="0078105B" w:rsidRPr="00A94B71" w:rsidRDefault="0078105B" w:rsidP="00A94B71">
      <w:pPr>
        <w:spacing w:line="360" w:lineRule="auto"/>
        <w:rPr>
          <w:rFonts w:ascii="Arial" w:hAnsi="Arial" w:cs="Arial"/>
          <w:b/>
          <w:bCs/>
          <w:sz w:val="22"/>
          <w:szCs w:val="22"/>
        </w:rPr>
      </w:pPr>
    </w:p>
    <w:p w14:paraId="39BA7576" w14:textId="7D48D418" w:rsidR="00FB1908" w:rsidRPr="00A94B71" w:rsidRDefault="00FB1908" w:rsidP="00A94B71">
      <w:pPr>
        <w:spacing w:line="360" w:lineRule="auto"/>
        <w:rPr>
          <w:rFonts w:ascii="Arial" w:hAnsi="Arial" w:cs="Arial"/>
          <w:b/>
          <w:bCs/>
          <w:sz w:val="22"/>
          <w:szCs w:val="22"/>
        </w:rPr>
      </w:pPr>
      <w:r w:rsidRPr="00A94B71">
        <w:rPr>
          <w:rFonts w:ascii="Arial" w:hAnsi="Arial" w:cs="Arial"/>
          <w:b/>
          <w:bCs/>
          <w:sz w:val="22"/>
          <w:szCs w:val="22"/>
        </w:rPr>
        <w:lastRenderedPageBreak/>
        <w:t>Introduction</w:t>
      </w:r>
      <w:r w:rsidRPr="00A94B71">
        <w:rPr>
          <w:rFonts w:ascii="Arial" w:hAnsi="Arial" w:cs="Arial"/>
          <w:b/>
          <w:bCs/>
          <w:sz w:val="22"/>
          <w:szCs w:val="22"/>
        </w:rPr>
        <w:br/>
      </w:r>
      <w:r w:rsidRPr="00A94B71">
        <w:rPr>
          <w:rFonts w:ascii="Arial" w:hAnsi="Arial" w:cs="Arial"/>
          <w:sz w:val="22"/>
          <w:szCs w:val="22"/>
        </w:rPr>
        <w:t xml:space="preserve">As a student teacher nearing the attainment of Qualified Teacher Status, the researcher acknowledges the many responsibilities that lie ahead. Notably, the significant challenge of nurturing all young learners to become lifelong learners and guiding them through their GCSE qualifications, ensuring they are equipped for the uncertainties of their future beyond school. Such a responsibility demands both informed experience and innovative approaches to ensure the optimal learning experiences for all pupils. Aligned with the Teaching Standards in Wales, this research aims to develop and trial a new technique that suits the intended learning purposes in a structured approach, while also using personal professional practice to positively influence the practices of others and learn from the experiences of this small-scale case study </w:t>
      </w:r>
      <w:r w:rsidR="00C54BD1" w:rsidRPr="00A94B71">
        <w:rPr>
          <w:rFonts w:ascii="Arial" w:hAnsi="Arial" w:cs="Arial"/>
          <w:sz w:val="22"/>
          <w:szCs w:val="22"/>
        </w:rPr>
        <w:t>(Welsh Government, 2019).</w:t>
      </w:r>
    </w:p>
    <w:p w14:paraId="6477BFF6" w14:textId="77777777" w:rsidR="00A94B71" w:rsidRDefault="00FB1908" w:rsidP="00A94B71">
      <w:pPr>
        <w:pStyle w:val="NormalWeb"/>
        <w:spacing w:line="360" w:lineRule="auto"/>
        <w:rPr>
          <w:rFonts w:ascii="Arial" w:hAnsi="Arial" w:cs="Arial"/>
          <w:b/>
          <w:bCs/>
          <w:sz w:val="22"/>
          <w:szCs w:val="22"/>
        </w:rPr>
      </w:pPr>
      <w:r w:rsidRPr="00A94B71">
        <w:rPr>
          <w:rFonts w:ascii="Arial" w:hAnsi="Arial" w:cs="Arial"/>
          <w:b/>
          <w:bCs/>
          <w:sz w:val="22"/>
          <w:szCs w:val="22"/>
        </w:rPr>
        <w:t>Research Aims</w:t>
      </w:r>
    </w:p>
    <w:p w14:paraId="42D1C676" w14:textId="0F5BB9FA" w:rsidR="00FB1908" w:rsidRPr="00A94B71" w:rsidRDefault="00FB1908" w:rsidP="00A94B71">
      <w:pPr>
        <w:pStyle w:val="NormalWeb"/>
        <w:spacing w:line="360" w:lineRule="auto"/>
        <w:rPr>
          <w:rFonts w:ascii="Arial" w:hAnsi="Arial" w:cs="Arial"/>
          <w:b/>
          <w:bCs/>
          <w:sz w:val="22"/>
          <w:szCs w:val="22"/>
        </w:rPr>
      </w:pPr>
      <w:r w:rsidRPr="00A94B71">
        <w:rPr>
          <w:rFonts w:ascii="Arial" w:hAnsi="Arial" w:cs="Arial"/>
          <w:sz w:val="22"/>
          <w:szCs w:val="22"/>
        </w:rPr>
        <w:t xml:space="preserve">This research aims to explore how Year 10 pupils perceive scaffolding in supporting their writing, in preparation for the unit 3 </w:t>
      </w:r>
      <w:r w:rsidR="00E94B95">
        <w:rPr>
          <w:rFonts w:ascii="Arial" w:hAnsi="Arial" w:cs="Arial"/>
          <w:sz w:val="22"/>
          <w:szCs w:val="22"/>
        </w:rPr>
        <w:t>D</w:t>
      </w:r>
      <w:r w:rsidRPr="00A94B71">
        <w:rPr>
          <w:rFonts w:ascii="Arial" w:hAnsi="Arial" w:cs="Arial"/>
          <w:sz w:val="22"/>
          <w:szCs w:val="22"/>
        </w:rPr>
        <w:t xml:space="preserve">rama GCSE component. The driving motivation for this is the learners’ confidence, knowledge, and ability to respond to GCSE exam questions in Drama, based on the researchers’ experience in placement schools. This research interest stems from a desire to improve instructional practices and student outcomes in GCSE </w:t>
      </w:r>
      <w:r w:rsidR="00E94B95">
        <w:rPr>
          <w:rFonts w:ascii="Arial" w:hAnsi="Arial" w:cs="Arial"/>
          <w:sz w:val="22"/>
          <w:szCs w:val="22"/>
        </w:rPr>
        <w:t>D</w:t>
      </w:r>
      <w:r w:rsidRPr="00A94B71">
        <w:rPr>
          <w:rFonts w:ascii="Arial" w:hAnsi="Arial" w:cs="Arial"/>
          <w:sz w:val="22"/>
          <w:szCs w:val="22"/>
        </w:rPr>
        <w:t xml:space="preserve">rama education, outside of the practical nature of the course. To achieve this aim, the study will incorporate the use of a scaffolding sheet, which will be informed by existing research literature. </w:t>
      </w:r>
      <w:r w:rsidRPr="00A94B71">
        <w:rPr>
          <w:rFonts w:ascii="Arial" w:hAnsi="Arial" w:cs="Arial"/>
          <w:color w:val="0D0D0D"/>
          <w:sz w:val="22"/>
          <w:szCs w:val="22"/>
          <w:shd w:val="clear" w:color="auto" w:fill="FFFFFF"/>
        </w:rPr>
        <w:t>Through an investigation into learners' perceptions and experiences with scaffolding, the research seeks to gain insights that can inform future instructional practices.</w:t>
      </w:r>
    </w:p>
    <w:p w14:paraId="04B7828C" w14:textId="77777777" w:rsidR="00FB1908" w:rsidRPr="00A94B71" w:rsidRDefault="00FB1908" w:rsidP="00A94B71">
      <w:pPr>
        <w:spacing w:line="360" w:lineRule="auto"/>
        <w:rPr>
          <w:rFonts w:ascii="Arial" w:hAnsi="Arial" w:cs="Arial"/>
          <w:b/>
          <w:bCs/>
          <w:sz w:val="22"/>
          <w:szCs w:val="22"/>
        </w:rPr>
      </w:pPr>
    </w:p>
    <w:p w14:paraId="0D73C593" w14:textId="3118D829" w:rsidR="00A94B71" w:rsidRPr="00A94B71" w:rsidRDefault="00FB1908" w:rsidP="00A94B71">
      <w:pPr>
        <w:spacing w:line="360" w:lineRule="auto"/>
        <w:rPr>
          <w:rFonts w:ascii="Arial" w:hAnsi="Arial" w:cs="Arial"/>
          <w:b/>
          <w:bCs/>
          <w:sz w:val="22"/>
          <w:szCs w:val="22"/>
        </w:rPr>
      </w:pPr>
      <w:r w:rsidRPr="00A94B71">
        <w:rPr>
          <w:rFonts w:ascii="Arial" w:hAnsi="Arial" w:cs="Arial"/>
          <w:b/>
          <w:bCs/>
          <w:sz w:val="22"/>
          <w:szCs w:val="22"/>
        </w:rPr>
        <w:t>Setting and Participants</w:t>
      </w:r>
    </w:p>
    <w:p w14:paraId="7A5DF62B" w14:textId="4CFA72C7" w:rsidR="00FB1908" w:rsidRPr="00A94B71" w:rsidRDefault="00FB1908" w:rsidP="00A94B71">
      <w:pPr>
        <w:spacing w:line="360" w:lineRule="auto"/>
        <w:rPr>
          <w:rFonts w:ascii="Arial" w:eastAsia="Arial" w:hAnsi="Arial" w:cs="Arial"/>
          <w:b/>
          <w:bCs/>
          <w:sz w:val="22"/>
          <w:szCs w:val="22"/>
          <w:u w:val="single"/>
        </w:rPr>
      </w:pPr>
      <w:r w:rsidRPr="00A94B71">
        <w:rPr>
          <w:rFonts w:ascii="Arial" w:eastAsia="Arial" w:hAnsi="Arial" w:cs="Arial"/>
          <w:sz w:val="22"/>
          <w:szCs w:val="22"/>
        </w:rPr>
        <w:t>The case study is undertaken within a council-maintained comprehensive school in South Wales with 1109 mixed-gender pupils aged eleven to sixteen. Located in an affluent area, eligible free school meal pupils are 5.7%</w:t>
      </w:r>
      <w:r w:rsidR="00C54BD1" w:rsidRPr="00A94B71">
        <w:rPr>
          <w:rFonts w:ascii="Arial" w:eastAsia="Arial" w:hAnsi="Arial" w:cs="Arial"/>
          <w:sz w:val="22"/>
          <w:szCs w:val="22"/>
        </w:rPr>
        <w:t>,</w:t>
      </w:r>
      <w:r w:rsidRPr="00A94B71">
        <w:rPr>
          <w:rFonts w:ascii="Arial" w:eastAsia="Arial" w:hAnsi="Arial" w:cs="Arial"/>
          <w:sz w:val="22"/>
          <w:szCs w:val="22"/>
        </w:rPr>
        <w:t xml:space="preserve"> significantly lower than the Local Authority average of </w:t>
      </w:r>
      <w:r w:rsidRPr="00A94B71">
        <w:rPr>
          <w:rFonts w:ascii="Arial" w:hAnsi="Arial" w:cs="Arial"/>
          <w:color w:val="1F1F1F"/>
          <w:sz w:val="22"/>
          <w:szCs w:val="22"/>
        </w:rPr>
        <w:t xml:space="preserve">22.0% (My Local School, 2023). </w:t>
      </w:r>
      <w:r w:rsidRPr="00A94B71">
        <w:rPr>
          <w:rFonts w:ascii="Arial" w:eastAsia="Arial" w:hAnsi="Arial" w:cs="Arial"/>
          <w:sz w:val="22"/>
          <w:szCs w:val="22"/>
        </w:rPr>
        <w:t>The participants of the study consist of fourteen mixed-ability pupils enrolled in a Year 10 drama GCSE class, comprising one pupil who opted not to disclose their gender, one male</w:t>
      </w:r>
      <w:r w:rsidR="00C54BD1" w:rsidRPr="00A94B71">
        <w:rPr>
          <w:rFonts w:ascii="Arial" w:eastAsia="Arial" w:hAnsi="Arial" w:cs="Arial"/>
          <w:sz w:val="22"/>
          <w:szCs w:val="22"/>
        </w:rPr>
        <w:t>-</w:t>
      </w:r>
      <w:r w:rsidRPr="00A94B71">
        <w:rPr>
          <w:rFonts w:ascii="Arial" w:eastAsia="Arial" w:hAnsi="Arial" w:cs="Arial"/>
          <w:sz w:val="22"/>
          <w:szCs w:val="22"/>
        </w:rPr>
        <w:t xml:space="preserve">identifying, and twelve </w:t>
      </w:r>
      <w:r w:rsidR="00C54BD1" w:rsidRPr="00A94B71">
        <w:rPr>
          <w:rFonts w:ascii="Arial" w:eastAsia="Arial" w:hAnsi="Arial" w:cs="Arial"/>
          <w:sz w:val="22"/>
          <w:szCs w:val="22"/>
        </w:rPr>
        <w:t>female-identifying</w:t>
      </w:r>
      <w:r w:rsidRPr="00A94B71">
        <w:rPr>
          <w:rFonts w:ascii="Arial" w:eastAsia="Arial" w:hAnsi="Arial" w:cs="Arial"/>
          <w:sz w:val="22"/>
          <w:szCs w:val="22"/>
        </w:rPr>
        <w:t xml:space="preserve"> pupils.</w:t>
      </w:r>
      <w:r w:rsidRPr="00A94B71">
        <w:rPr>
          <w:rFonts w:ascii="Arial" w:eastAsia="Arial" w:hAnsi="Arial" w:cs="Arial"/>
          <w:sz w:val="22"/>
          <w:szCs w:val="22"/>
        </w:rPr>
        <w:br/>
      </w:r>
    </w:p>
    <w:p w14:paraId="5603FB4F" w14:textId="2794F0DF" w:rsidR="00013A90" w:rsidRPr="00A94B71" w:rsidRDefault="00013A90" w:rsidP="00A94B71">
      <w:pPr>
        <w:spacing w:after="160" w:line="360" w:lineRule="auto"/>
        <w:rPr>
          <w:rFonts w:ascii="Arial" w:eastAsiaTheme="minorHAnsi" w:hAnsi="Arial" w:cs="Arial"/>
          <w:b/>
          <w:bCs/>
          <w:kern w:val="2"/>
          <w:sz w:val="22"/>
          <w:szCs w:val="22"/>
          <w:lang w:eastAsia="en-US"/>
          <w14:ligatures w14:val="standardContextual"/>
        </w:rPr>
      </w:pPr>
      <w:r w:rsidRPr="00A94B71">
        <w:rPr>
          <w:rFonts w:ascii="Arial" w:eastAsiaTheme="minorHAnsi" w:hAnsi="Arial" w:cs="Arial"/>
          <w:b/>
          <w:bCs/>
          <w:kern w:val="2"/>
          <w:sz w:val="22"/>
          <w:szCs w:val="22"/>
          <w:lang w:eastAsia="en-US"/>
          <w14:ligatures w14:val="standardContextual"/>
        </w:rPr>
        <w:t>Literature review</w:t>
      </w:r>
    </w:p>
    <w:p w14:paraId="71CCF21E" w14:textId="01993C5E" w:rsidR="00013A90" w:rsidRPr="00A94B71" w:rsidRDefault="00013A90" w:rsidP="00A94B71">
      <w:pPr>
        <w:spacing w:after="160" w:line="360" w:lineRule="auto"/>
        <w:rPr>
          <w:rFonts w:ascii="Arial" w:eastAsiaTheme="minorHAnsi" w:hAnsi="Arial" w:cs="Arial"/>
          <w:kern w:val="2"/>
          <w:sz w:val="22"/>
          <w:szCs w:val="22"/>
          <w:lang w:eastAsia="en-US"/>
          <w14:ligatures w14:val="standardContextual"/>
        </w:rPr>
      </w:pPr>
      <w:r w:rsidRPr="00A94B71">
        <w:rPr>
          <w:rFonts w:ascii="Arial" w:eastAsiaTheme="minorHAnsi" w:hAnsi="Arial" w:cs="Arial"/>
          <w:b/>
          <w:bCs/>
          <w:i/>
          <w:iCs/>
          <w:kern w:val="2"/>
          <w:sz w:val="22"/>
          <w:szCs w:val="22"/>
          <w:lang w:eastAsia="en-US"/>
          <w14:ligatures w14:val="standardContextual"/>
        </w:rPr>
        <w:t>Scaffolding in Education</w:t>
      </w:r>
      <w:bookmarkStart w:id="0" w:name="OLE_LINK1"/>
      <w:bookmarkStart w:id="1" w:name="OLE_LINK2"/>
      <w:r w:rsidRPr="00A94B71">
        <w:rPr>
          <w:rFonts w:ascii="Arial" w:eastAsiaTheme="minorHAnsi" w:hAnsi="Arial" w:cs="Arial"/>
          <w:kern w:val="2"/>
          <w:sz w:val="22"/>
          <w:szCs w:val="22"/>
          <w:lang w:eastAsia="en-US"/>
          <w14:ligatures w14:val="standardContextual"/>
        </w:rPr>
        <w:br/>
        <w:t xml:space="preserve">Scaffolding, a concept evolving in educational theory, has been interpreted and refined by various scholars. While Vygotsky's (1978) theory of the Zones of Proximal Development (ZPD) lays the foundation, it's noteworthy that Vygotsky didn't explicitly use the term "scaffolding" in his seminal works (Shvarts &amp; Bakker, 2019). Nonetheless, the connection between Vygotsky's theory and scaffolding is commonly drawn, focusing on the idea of a knowledgeable individual guiding a learner towards their potential development (John-Steiner &amp; Mahn, 1996). Colter and Ulatowski (2017) underscore the </w:t>
      </w:r>
      <w:r w:rsidRPr="00A94B71">
        <w:rPr>
          <w:rFonts w:ascii="Arial" w:eastAsiaTheme="minorHAnsi" w:hAnsi="Arial" w:cs="Arial"/>
          <w:kern w:val="2"/>
          <w:sz w:val="22"/>
          <w:szCs w:val="22"/>
          <w:lang w:eastAsia="en-US"/>
          <w14:ligatures w14:val="standardContextual"/>
        </w:rPr>
        <w:lastRenderedPageBreak/>
        <w:t>preparatory phase's significance in scaffolding, stressing educators' need to identify learners' capabilities. Early works by Wood, Bruner, and Ross (1976) significantly influenced the concept, framing scaffolding as a metaphor for supporting learners within the ZPD context (Taber, 2018). Their study emphasised the tutor's role in offering structured support, breaking down complex tasks into manageable components initially beyond learners' capabilities.</w:t>
      </w:r>
      <w:r w:rsidRPr="00A94B71">
        <w:rPr>
          <w:rFonts w:ascii="Arial" w:eastAsiaTheme="minorHAnsi" w:hAnsi="Arial" w:cs="Arial"/>
          <w:kern w:val="2"/>
          <w:sz w:val="22"/>
          <w:szCs w:val="22"/>
          <w:lang w:eastAsia="en-US"/>
          <w14:ligatures w14:val="standardContextual"/>
        </w:rPr>
        <w:br/>
      </w:r>
      <w:r w:rsidRPr="00A94B71">
        <w:rPr>
          <w:rFonts w:ascii="Arial" w:eastAsiaTheme="minorHAnsi" w:hAnsi="Arial" w:cs="Arial"/>
          <w:kern w:val="2"/>
          <w:sz w:val="22"/>
          <w:szCs w:val="22"/>
          <w:lang w:eastAsia="en-US"/>
          <w14:ligatures w14:val="standardContextual"/>
        </w:rPr>
        <w:br/>
        <w:t>Defined as providing support to bridge the gap between current abilities and intended goals, scaffolding forms the core of this study (Rosenshine and Meister, 1992). This understanding of scaffolding as a process of temporary and graduated dialogic assistance, coupled with material tools or scaffolds, aligns with Puntambekar's (2021) perspective, echoing Wood, Bruner, and Ross's emphasis on structured support (1976). Spycher's (2021) proposal of integrating pre-planned scaffolds identified during the planning phase further emphasises the comprehensive nature of scaffolding. Furthermore, Maksić and Smiljana (2021) highlight the empowerment of learners' perceptions, aligning with the study's objective to investigate scaffolding techniques' effectiveness in enhancing learner engagement, understanding, and outcomes.</w:t>
      </w:r>
      <w:r w:rsidRPr="00A94B71">
        <w:rPr>
          <w:rFonts w:ascii="Arial" w:eastAsiaTheme="minorHAnsi" w:hAnsi="Arial" w:cs="Arial"/>
          <w:kern w:val="2"/>
          <w:sz w:val="22"/>
          <w:szCs w:val="22"/>
          <w:lang w:eastAsia="en-US"/>
          <w14:ligatures w14:val="standardContextual"/>
        </w:rPr>
        <w:br/>
      </w:r>
      <w:r w:rsidRPr="00A94B71">
        <w:rPr>
          <w:rFonts w:ascii="Arial" w:eastAsiaTheme="minorHAnsi" w:hAnsi="Arial" w:cs="Arial"/>
          <w:kern w:val="2"/>
          <w:sz w:val="22"/>
          <w:szCs w:val="22"/>
          <w:lang w:eastAsia="en-US"/>
          <w14:ligatures w14:val="standardContextual"/>
        </w:rPr>
        <w:br/>
      </w:r>
      <w:r w:rsidRPr="00A94B71">
        <w:rPr>
          <w:rFonts w:ascii="Arial" w:eastAsiaTheme="minorHAnsi" w:hAnsi="Arial" w:cs="Arial"/>
          <w:b/>
          <w:bCs/>
          <w:i/>
          <w:iCs/>
          <w:kern w:val="2"/>
          <w:sz w:val="22"/>
          <w:szCs w:val="22"/>
          <w:lang w:eastAsia="en-US"/>
          <w14:ligatures w14:val="standardContextual"/>
        </w:rPr>
        <w:t>Literacy Education and Scaffolding</w:t>
      </w:r>
      <w:r w:rsidRPr="00A94B71">
        <w:rPr>
          <w:rFonts w:ascii="Arial" w:eastAsiaTheme="minorHAnsi" w:hAnsi="Arial" w:cs="Arial"/>
          <w:kern w:val="2"/>
          <w:sz w:val="22"/>
          <w:szCs w:val="22"/>
          <w:lang w:eastAsia="en-US"/>
          <w14:ligatures w14:val="standardContextual"/>
        </w:rPr>
        <w:br/>
        <w:t>The Welsh Government's (2023) initiative to address literacy nationally</w:t>
      </w:r>
      <w:r w:rsidR="00E94B95">
        <w:rPr>
          <w:rFonts w:ascii="Arial" w:eastAsiaTheme="minorHAnsi" w:hAnsi="Arial" w:cs="Arial"/>
          <w:kern w:val="2"/>
          <w:sz w:val="22"/>
          <w:szCs w:val="22"/>
          <w:lang w:eastAsia="en-US"/>
          <w14:ligatures w14:val="standardContextual"/>
        </w:rPr>
        <w:t>,</w:t>
      </w:r>
      <w:r w:rsidRPr="00A94B71">
        <w:rPr>
          <w:rFonts w:ascii="Arial" w:eastAsiaTheme="minorHAnsi" w:hAnsi="Arial" w:cs="Arial"/>
          <w:kern w:val="2"/>
          <w:sz w:val="22"/>
          <w:szCs w:val="22"/>
          <w:lang w:eastAsia="en-US"/>
          <w14:ligatures w14:val="standardContextual"/>
        </w:rPr>
        <w:t xml:space="preserve"> demonstrates a proactive commitment to ensuring high-quality education for all learners. Echoing this sentiment, the EEF</w:t>
      </w:r>
      <w:r w:rsidR="00E94B95">
        <w:rPr>
          <w:rFonts w:ascii="Arial" w:eastAsiaTheme="minorHAnsi" w:hAnsi="Arial" w:cs="Arial"/>
          <w:kern w:val="2"/>
          <w:sz w:val="22"/>
          <w:szCs w:val="22"/>
          <w:lang w:eastAsia="en-US"/>
          <w14:ligatures w14:val="standardContextual"/>
        </w:rPr>
        <w:t xml:space="preserve"> (2019)</w:t>
      </w:r>
      <w:r w:rsidRPr="00A94B71">
        <w:rPr>
          <w:rFonts w:ascii="Arial" w:eastAsiaTheme="minorHAnsi" w:hAnsi="Arial" w:cs="Arial"/>
          <w:kern w:val="2"/>
          <w:sz w:val="22"/>
          <w:szCs w:val="22"/>
          <w:lang w:eastAsia="en-US"/>
          <w14:ligatures w14:val="standardContextual"/>
        </w:rPr>
        <w:t xml:space="preserve"> emphasises the importance of literacy skills beyond academic assessments</w:t>
      </w:r>
      <w:r w:rsidR="00E94B95">
        <w:rPr>
          <w:rFonts w:ascii="Arial" w:eastAsiaTheme="minorHAnsi" w:hAnsi="Arial" w:cs="Arial"/>
          <w:kern w:val="2"/>
          <w:sz w:val="22"/>
          <w:szCs w:val="22"/>
          <w:lang w:eastAsia="en-US"/>
          <w14:ligatures w14:val="standardContextual"/>
        </w:rPr>
        <w:t xml:space="preserve">. </w:t>
      </w:r>
      <w:r w:rsidR="00E94B95" w:rsidRPr="00A94B71">
        <w:rPr>
          <w:rFonts w:ascii="Arial" w:eastAsiaTheme="minorHAnsi" w:hAnsi="Arial" w:cs="Arial"/>
          <w:kern w:val="2"/>
          <w:sz w:val="22"/>
          <w:szCs w:val="22"/>
          <w:lang w:eastAsia="en-US"/>
          <w14:ligatures w14:val="standardContextual"/>
        </w:rPr>
        <w:t xml:space="preserve">The report emphasises the cognitive load and diverse skill set required within the realm of literacy. </w:t>
      </w:r>
      <w:r w:rsidRPr="00A94B71">
        <w:rPr>
          <w:rFonts w:ascii="Arial" w:eastAsiaTheme="minorHAnsi" w:hAnsi="Arial" w:cs="Arial"/>
          <w:kern w:val="2"/>
          <w:sz w:val="22"/>
          <w:szCs w:val="22"/>
          <w:lang w:eastAsia="en-US"/>
          <w14:ligatures w14:val="standardContextual"/>
        </w:rPr>
        <w:t>The EEF (2019) advocates for practical strategies to enhance literacy skills, prioritising subject-specific skills and vocabulary instruction. This focus resonates with Taber's (2018) argument, emphasising mastering language with support and tools for independent engagement.</w:t>
      </w:r>
    </w:p>
    <w:p w14:paraId="5E7162BB" w14:textId="160DC46A" w:rsidR="00013A90" w:rsidRPr="00A94B71" w:rsidRDefault="00013A90" w:rsidP="00A94B71">
      <w:pPr>
        <w:spacing w:after="160" w:line="360" w:lineRule="auto"/>
        <w:rPr>
          <w:rFonts w:ascii="Arial" w:eastAsiaTheme="minorHAnsi" w:hAnsi="Arial" w:cs="Arial"/>
          <w:kern w:val="2"/>
          <w:sz w:val="22"/>
          <w:szCs w:val="22"/>
          <w:lang w:eastAsia="en-US"/>
          <w14:ligatures w14:val="standardContextual"/>
        </w:rPr>
      </w:pPr>
      <w:r w:rsidRPr="00A94B71">
        <w:rPr>
          <w:rFonts w:ascii="Arial" w:eastAsiaTheme="minorHAnsi" w:hAnsi="Arial" w:cs="Arial"/>
          <w:kern w:val="2"/>
          <w:sz w:val="22"/>
          <w:szCs w:val="22"/>
          <w:lang w:eastAsia="en-US"/>
          <w14:ligatures w14:val="standardContextual"/>
        </w:rPr>
        <w:t xml:space="preserve">However, while the EEF (2019) report advocates for practical strategies to enhance literacy skills, it is essential to consider potential drawbacks associated with structured writing approaches. Thomas (2020) warns against the risks associated with overly rigid writing approaches, particularly in the context of GCSE-level education. He stresses the need to find a middle ground between teaching subject-specific literacy skills and encouraging genuine, independent language exploration and expression. This viewpoint aligns with the argument for gradually reducing the reliance on temporary interventions. </w:t>
      </w:r>
      <w:r w:rsidRPr="00A94B71">
        <w:rPr>
          <w:rFonts w:ascii="Arial" w:eastAsiaTheme="minorHAnsi" w:hAnsi="Arial" w:cs="Arial"/>
          <w:kern w:val="2"/>
          <w:sz w:val="22"/>
          <w:szCs w:val="22"/>
          <w:lang w:eastAsia="en-US"/>
          <w14:ligatures w14:val="standardContextual"/>
        </w:rPr>
        <w:br/>
        <w:t>Furthermore, Maskor and Baharudin (2016) emphasise the importance of receptive and productive vocabulary knowledge for effective expression, highlighting the need to balance explicit instruction with authentic language exploration.</w:t>
      </w:r>
      <w:r w:rsidRPr="00A94B71">
        <w:rPr>
          <w:rFonts w:ascii="Arial" w:eastAsiaTheme="minorHAnsi" w:hAnsi="Arial" w:cs="Arial"/>
          <w:kern w:val="2"/>
          <w:sz w:val="22"/>
          <w:szCs w:val="22"/>
          <w:lang w:eastAsia="en-US"/>
          <w14:ligatures w14:val="standardContextual"/>
        </w:rPr>
        <w:br/>
      </w:r>
      <w:r w:rsidRPr="00A94B71">
        <w:rPr>
          <w:rFonts w:ascii="Arial" w:eastAsiaTheme="minorHAnsi" w:hAnsi="Arial" w:cs="Arial"/>
          <w:kern w:val="2"/>
          <w:sz w:val="22"/>
          <w:szCs w:val="22"/>
          <w:lang w:eastAsia="en-US"/>
          <w14:ligatures w14:val="standardContextual"/>
        </w:rPr>
        <w:br/>
      </w:r>
      <w:r w:rsidRPr="00A94B71">
        <w:rPr>
          <w:rFonts w:ascii="Arial" w:eastAsiaTheme="minorHAnsi" w:hAnsi="Arial" w:cs="Arial"/>
          <w:b/>
          <w:bCs/>
          <w:i/>
          <w:iCs/>
          <w:kern w:val="2"/>
          <w:sz w:val="22"/>
          <w:szCs w:val="22"/>
          <w:lang w:eastAsia="en-US"/>
          <w14:ligatures w14:val="standardContextual"/>
        </w:rPr>
        <w:t>Scaffolding in Drama Education</w:t>
      </w:r>
      <w:bookmarkStart w:id="2" w:name="OLE_LINK3"/>
      <w:bookmarkStart w:id="3" w:name="OLE_LINK4"/>
      <w:r w:rsidRPr="00A94B71">
        <w:rPr>
          <w:rFonts w:ascii="Arial" w:eastAsiaTheme="minorHAnsi" w:hAnsi="Arial" w:cs="Arial"/>
          <w:kern w:val="2"/>
          <w:sz w:val="22"/>
          <w:szCs w:val="22"/>
          <w:lang w:eastAsia="en-US"/>
          <w14:ligatures w14:val="standardContextual"/>
        </w:rPr>
        <w:br/>
        <w:t xml:space="preserve">Despite the benefits and limitations of scaffolding in literacy education, there's a notable gap in its application in </w:t>
      </w:r>
      <w:r w:rsidR="0063500D">
        <w:rPr>
          <w:rFonts w:ascii="Arial" w:eastAsiaTheme="minorHAnsi" w:hAnsi="Arial" w:cs="Arial"/>
          <w:kern w:val="2"/>
          <w:sz w:val="22"/>
          <w:szCs w:val="22"/>
          <w:lang w:eastAsia="en-US"/>
          <w14:ligatures w14:val="standardContextual"/>
        </w:rPr>
        <w:t>d</w:t>
      </w:r>
      <w:r w:rsidRPr="00A94B71">
        <w:rPr>
          <w:rFonts w:ascii="Arial" w:eastAsiaTheme="minorHAnsi" w:hAnsi="Arial" w:cs="Arial"/>
          <w:kern w:val="2"/>
          <w:sz w:val="22"/>
          <w:szCs w:val="22"/>
          <w:lang w:eastAsia="en-US"/>
          <w14:ligatures w14:val="standardContextual"/>
        </w:rPr>
        <w:t xml:space="preserve">rama education, particularly at the GCSE level. Acknowledging this gap, this study aims to contribute to understanding scaffolding's role within a Year 10 drama class. In the context of the WJEC Drama qualification, Unit Three requires the emphasis on subject-specific knowledge and the use of </w:t>
      </w:r>
      <w:r w:rsidRPr="00A94B71">
        <w:rPr>
          <w:rFonts w:ascii="Arial" w:eastAsiaTheme="minorHAnsi" w:hAnsi="Arial" w:cs="Arial"/>
          <w:kern w:val="2"/>
          <w:sz w:val="22"/>
          <w:szCs w:val="22"/>
          <w:lang w:eastAsia="en-US"/>
          <w14:ligatures w14:val="standardContextual"/>
        </w:rPr>
        <w:lastRenderedPageBreak/>
        <w:t xml:space="preserve">technical vocabulary essential for learners to effectively analyse and interpret performance texts (WJEC,2024). While drama-based pedagogy influences literacy development (Ranzau and Horowitz, 2017), studies on literacy's influence on drama education are limited. Similarly, though teaching drama in a practical context is a naturally scaffolded act exemplifying ‘dialogic teaching’ (Fleming, 2018, p. x), the subject's practical nature can overshadow literacy and theoretical aspects. </w:t>
      </w:r>
    </w:p>
    <w:p w14:paraId="41B35BE7" w14:textId="6D6F5796" w:rsidR="00013A90" w:rsidRPr="00A94B71" w:rsidRDefault="00013A90" w:rsidP="00A94B71">
      <w:pPr>
        <w:spacing w:after="160" w:line="360" w:lineRule="auto"/>
        <w:rPr>
          <w:rFonts w:ascii="Arial" w:eastAsiaTheme="minorHAnsi" w:hAnsi="Arial" w:cs="Arial"/>
          <w:i/>
          <w:iCs/>
          <w:kern w:val="2"/>
          <w:sz w:val="22"/>
          <w:szCs w:val="22"/>
          <w:lang w:eastAsia="en-US"/>
          <w14:ligatures w14:val="standardContextual"/>
        </w:rPr>
      </w:pPr>
      <w:r w:rsidRPr="00A94B71">
        <w:rPr>
          <w:rFonts w:ascii="Arial" w:eastAsiaTheme="minorHAnsi" w:hAnsi="Arial" w:cs="Arial"/>
          <w:kern w:val="2"/>
          <w:sz w:val="22"/>
          <w:szCs w:val="22"/>
          <w:lang w:eastAsia="en-US"/>
          <w14:ligatures w14:val="standardContextual"/>
        </w:rPr>
        <w:t>Existing studies on scaffolding and literacy learning highlight some methodological limitations in measuring the impact of scaffolding on student outcomes (Brownfield and Wilkinson, 2018). Therefore, future research should aim to address these limitations and provide more robust evidence on the benefits of scaffolding in drama education, in the context of the Unit 3 written examination. This study aims to fill a gap in the literature, using EEF’s ‘5-a-day’ scaffolding principles</w:t>
      </w:r>
      <w:r w:rsidR="00A94B71" w:rsidRPr="00A94B71">
        <w:rPr>
          <w:rFonts w:ascii="Arial" w:eastAsiaTheme="minorHAnsi" w:hAnsi="Arial" w:cs="Arial"/>
          <w:kern w:val="2"/>
          <w:sz w:val="22"/>
          <w:szCs w:val="22"/>
          <w:lang w:eastAsia="en-US"/>
          <w14:ligatures w14:val="standardContextual"/>
        </w:rPr>
        <w:t xml:space="preserve"> (figure 1)</w:t>
      </w:r>
      <w:r w:rsidRPr="00A94B71">
        <w:rPr>
          <w:rFonts w:ascii="Arial" w:eastAsiaTheme="minorHAnsi" w:hAnsi="Arial" w:cs="Arial"/>
          <w:kern w:val="2"/>
          <w:sz w:val="22"/>
          <w:szCs w:val="22"/>
          <w:lang w:eastAsia="en-US"/>
          <w14:ligatures w14:val="standardContextual"/>
        </w:rPr>
        <w:t xml:space="preserve"> to inform the scaffold of this study. </w:t>
      </w:r>
      <w:r w:rsidRPr="00A94B71">
        <w:rPr>
          <w:rFonts w:ascii="Arial" w:eastAsiaTheme="minorHAnsi" w:hAnsi="Arial" w:cs="Arial"/>
          <w:kern w:val="2"/>
          <w:sz w:val="22"/>
          <w:szCs w:val="22"/>
          <w:lang w:eastAsia="en-US"/>
          <w14:ligatures w14:val="standardContextual"/>
        </w:rPr>
        <w:br/>
      </w:r>
      <w:r w:rsidRPr="00A94B71">
        <w:rPr>
          <w:rFonts w:ascii="Arial" w:eastAsiaTheme="minorHAnsi" w:hAnsi="Arial" w:cs="Arial"/>
          <w:kern w:val="2"/>
          <w:sz w:val="22"/>
          <w:szCs w:val="22"/>
          <w:lang w:eastAsia="en-US"/>
          <w14:ligatures w14:val="standardContextual"/>
        </w:rPr>
        <w:br/>
      </w:r>
      <w:r w:rsidRPr="00A94B71">
        <w:rPr>
          <w:rFonts w:ascii="Arial" w:eastAsiaTheme="minorHAnsi" w:hAnsi="Arial" w:cs="Arial"/>
          <w:i/>
          <w:iCs/>
          <w:kern w:val="2"/>
          <w:sz w:val="22"/>
          <w:szCs w:val="22"/>
          <w:lang w:eastAsia="en-US"/>
          <w14:ligatures w14:val="standardContextual"/>
        </w:rPr>
        <w:t>Figure 1:</w:t>
      </w:r>
    </w:p>
    <w:p w14:paraId="3EE5871C" w14:textId="5ECF1E6E" w:rsidR="00013A90" w:rsidRPr="00A94B71" w:rsidRDefault="00013A90" w:rsidP="00A94B71">
      <w:pPr>
        <w:spacing w:after="160" w:line="360" w:lineRule="auto"/>
        <w:jc w:val="center"/>
        <w:rPr>
          <w:rFonts w:ascii="Arial" w:eastAsiaTheme="minorHAnsi" w:hAnsi="Arial" w:cs="Arial"/>
          <w:kern w:val="2"/>
          <w:sz w:val="22"/>
          <w:szCs w:val="22"/>
          <w:lang w:eastAsia="en-US"/>
          <w14:ligatures w14:val="standardContextual"/>
        </w:rPr>
      </w:pPr>
      <w:r w:rsidRPr="00A94B71">
        <w:rPr>
          <w:rFonts w:ascii="Arial" w:eastAsiaTheme="minorHAnsi" w:hAnsi="Arial" w:cs="Arial"/>
          <w:kern w:val="2"/>
          <w:sz w:val="22"/>
          <w:szCs w:val="22"/>
          <w:lang w:eastAsia="en-US"/>
          <w14:ligatures w14:val="standardContextual"/>
        </w:rPr>
        <w:fldChar w:fldCharType="begin"/>
      </w:r>
      <w:r w:rsidRPr="00A94B71">
        <w:rPr>
          <w:rFonts w:ascii="Arial" w:eastAsiaTheme="minorHAnsi" w:hAnsi="Arial" w:cs="Arial"/>
          <w:kern w:val="2"/>
          <w:sz w:val="22"/>
          <w:szCs w:val="22"/>
          <w:lang w:eastAsia="en-US"/>
          <w14:ligatures w14:val="standardContextual"/>
        </w:rPr>
        <w:instrText xml:space="preserve"> INCLUDEPICTURE "https://d2rty5wuu5bi5t.cloudfront.net/eyJidWNrZXQiOiJlZWYtYnVja2V0Iiwia2V5IjoiY29udGVudC9TRU5ELXBsYXRlLnBuZyIsImVkaXRzIjp7ImpwZWciOnsicXVhbGl0eSI6ODIsInByb2dyZXNzaXZlIjp0cnVlLCJ0cmVsbGlzUXVhbnRpc2F0aW9uIjp0cnVlLCJvdmVyc2hvb3REZXJpbmdpbmciOnRydWUsIm9wdGltaXplU2NhbnMiOnRydWV9LCJyZXNpemUiOnsid2lkdGgiOjEyMDAsImhlaWdodCI6NjM3LCJmaXQiOiJjb3ZlciJ9LCJzaGFycGVuIjp0cnVlfX0=" \* MERGEFORMATINET </w:instrText>
      </w:r>
      <w:r w:rsidRPr="00A94B71">
        <w:rPr>
          <w:rFonts w:ascii="Arial" w:eastAsiaTheme="minorHAnsi" w:hAnsi="Arial" w:cs="Arial"/>
          <w:kern w:val="2"/>
          <w:sz w:val="22"/>
          <w:szCs w:val="22"/>
          <w:lang w:eastAsia="en-US"/>
          <w14:ligatures w14:val="standardContextual"/>
        </w:rPr>
        <w:fldChar w:fldCharType="separate"/>
      </w:r>
      <w:r w:rsidRPr="00A94B71">
        <w:rPr>
          <w:rFonts w:ascii="Arial" w:eastAsiaTheme="minorHAnsi" w:hAnsi="Arial" w:cs="Arial"/>
          <w:noProof/>
          <w:kern w:val="2"/>
          <w:sz w:val="22"/>
          <w:szCs w:val="22"/>
          <w:lang w:eastAsia="en-US"/>
          <w14:ligatures w14:val="standardContextual"/>
        </w:rPr>
        <w:drawing>
          <wp:inline distT="0" distB="0" distL="0" distR="0" wp14:anchorId="33314DB3" wp14:editId="4C831275">
            <wp:extent cx="4660490" cy="2156564"/>
            <wp:effectExtent l="0" t="0" r="635" b="2540"/>
            <wp:docPr id="612468599" name="Picture 1" descr="SEND 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ND plate"/>
                    <pic:cNvPicPr>
                      <a:picLocks noChangeAspect="1" noChangeArrowheads="1"/>
                    </pic:cNvPicPr>
                  </pic:nvPicPr>
                  <pic:blipFill rotWithShape="1">
                    <a:blip r:embed="rId4" cstate="print">
                      <a:extLst>
                        <a:ext uri="{28A0092B-C50C-407E-A947-70E740481C1C}">
                          <a14:useLocalDpi xmlns:a14="http://schemas.microsoft.com/office/drawing/2010/main" val="0"/>
                        </a:ext>
                      </a:extLst>
                    </a:blip>
                    <a:srcRect/>
                    <a:stretch/>
                  </pic:blipFill>
                  <pic:spPr bwMode="auto">
                    <a:xfrm>
                      <a:off x="0" y="0"/>
                      <a:ext cx="4775452" cy="2209761"/>
                    </a:xfrm>
                    <a:prstGeom prst="rect">
                      <a:avLst/>
                    </a:prstGeom>
                    <a:noFill/>
                    <a:ln>
                      <a:noFill/>
                    </a:ln>
                    <a:extLst>
                      <a:ext uri="{53640926-AAD7-44D8-BBD7-CCE9431645EC}">
                        <a14:shadowObscured xmlns:a14="http://schemas.microsoft.com/office/drawing/2010/main"/>
                      </a:ext>
                    </a:extLst>
                  </pic:spPr>
                </pic:pic>
              </a:graphicData>
            </a:graphic>
          </wp:inline>
        </w:drawing>
      </w:r>
      <w:r w:rsidRPr="00A94B71">
        <w:rPr>
          <w:rFonts w:ascii="Arial" w:eastAsiaTheme="minorHAnsi" w:hAnsi="Arial" w:cs="Arial"/>
          <w:kern w:val="2"/>
          <w:sz w:val="22"/>
          <w:szCs w:val="22"/>
          <w:lang w:eastAsia="en-US"/>
          <w14:ligatures w14:val="standardContextual"/>
        </w:rPr>
        <w:fldChar w:fldCharType="end"/>
      </w:r>
    </w:p>
    <w:p w14:paraId="7400E476" w14:textId="20EDEDD8" w:rsidR="00013A90" w:rsidRPr="00A94B71" w:rsidRDefault="00013A90" w:rsidP="00A94B71">
      <w:pPr>
        <w:spacing w:after="160" w:line="360" w:lineRule="auto"/>
        <w:jc w:val="center"/>
        <w:rPr>
          <w:rFonts w:ascii="Arial" w:eastAsiaTheme="minorHAnsi" w:hAnsi="Arial" w:cs="Arial"/>
          <w:b/>
          <w:bCs/>
          <w:i/>
          <w:iCs/>
          <w:kern w:val="2"/>
          <w:sz w:val="22"/>
          <w:szCs w:val="22"/>
          <w:lang w:eastAsia="en-US"/>
          <w14:ligatures w14:val="standardContextual"/>
        </w:rPr>
      </w:pPr>
      <w:r w:rsidRPr="00A94B71">
        <w:rPr>
          <w:rFonts w:ascii="Arial" w:eastAsiaTheme="minorHAnsi" w:hAnsi="Arial" w:cs="Arial"/>
          <w:i/>
          <w:iCs/>
          <w:kern w:val="2"/>
          <w:sz w:val="22"/>
          <w:szCs w:val="22"/>
          <w:lang w:eastAsia="en-US"/>
          <w14:ligatures w14:val="standardContextual"/>
        </w:rPr>
        <w:t>(EEF- 5-a-day image</w:t>
      </w:r>
      <w:r w:rsidR="00B5247F" w:rsidRPr="00A94B71">
        <w:rPr>
          <w:rFonts w:ascii="Arial" w:eastAsiaTheme="minorHAnsi" w:hAnsi="Arial" w:cs="Arial"/>
          <w:i/>
          <w:iCs/>
          <w:kern w:val="2"/>
          <w:sz w:val="22"/>
          <w:szCs w:val="22"/>
          <w:lang w:eastAsia="en-US"/>
          <w14:ligatures w14:val="standardContextual"/>
        </w:rPr>
        <w:t>, 2022</w:t>
      </w:r>
      <w:r w:rsidRPr="00A94B71">
        <w:rPr>
          <w:rFonts w:ascii="Arial" w:eastAsiaTheme="minorHAnsi" w:hAnsi="Arial" w:cs="Arial"/>
          <w:i/>
          <w:iCs/>
          <w:kern w:val="2"/>
          <w:sz w:val="22"/>
          <w:szCs w:val="22"/>
          <w:lang w:eastAsia="en-US"/>
          <w14:ligatures w14:val="standardContextual"/>
        </w:rPr>
        <w:t>)</w:t>
      </w:r>
    </w:p>
    <w:bookmarkEnd w:id="0"/>
    <w:bookmarkEnd w:id="1"/>
    <w:bookmarkEnd w:id="2"/>
    <w:bookmarkEnd w:id="3"/>
    <w:p w14:paraId="31D9C7C0" w14:textId="77777777" w:rsidR="0078105B" w:rsidRPr="00A94B71" w:rsidRDefault="0078105B" w:rsidP="00A94B71">
      <w:pPr>
        <w:spacing w:after="160" w:line="360" w:lineRule="auto"/>
        <w:rPr>
          <w:rFonts w:ascii="Arial" w:eastAsiaTheme="minorHAnsi" w:hAnsi="Arial" w:cs="Arial"/>
          <w:b/>
          <w:bCs/>
          <w:kern w:val="2"/>
          <w:sz w:val="22"/>
          <w:szCs w:val="22"/>
          <w:u w:val="single"/>
          <w:lang w:eastAsia="en-US"/>
          <w14:ligatures w14:val="standardContextual"/>
        </w:rPr>
      </w:pPr>
    </w:p>
    <w:p w14:paraId="63E0DC8D" w14:textId="1E4E031A" w:rsidR="00D6473C" w:rsidRPr="00A94B71" w:rsidRDefault="00D6473C" w:rsidP="00A94B71">
      <w:pPr>
        <w:spacing w:after="160" w:line="360" w:lineRule="auto"/>
        <w:rPr>
          <w:rFonts w:ascii="Arial" w:eastAsiaTheme="minorHAnsi" w:hAnsi="Arial" w:cs="Arial"/>
          <w:b/>
          <w:bCs/>
          <w:kern w:val="2"/>
          <w:sz w:val="22"/>
          <w:szCs w:val="22"/>
          <w:lang w:eastAsia="en-US"/>
          <w14:ligatures w14:val="standardContextual"/>
        </w:rPr>
      </w:pPr>
      <w:r w:rsidRPr="00A94B71">
        <w:rPr>
          <w:rFonts w:ascii="Arial" w:eastAsiaTheme="minorHAnsi" w:hAnsi="Arial" w:cs="Arial"/>
          <w:b/>
          <w:bCs/>
          <w:kern w:val="2"/>
          <w:sz w:val="22"/>
          <w:szCs w:val="22"/>
          <w:lang w:eastAsia="en-US"/>
          <w14:ligatures w14:val="standardContextual"/>
        </w:rPr>
        <w:t>Case Study</w:t>
      </w:r>
    </w:p>
    <w:p w14:paraId="5F7B1AB6" w14:textId="77777777" w:rsidR="0063500D" w:rsidRDefault="00D6473C" w:rsidP="00A94B71">
      <w:pPr>
        <w:spacing w:after="160" w:line="360" w:lineRule="auto"/>
        <w:rPr>
          <w:rFonts w:ascii="Arial" w:eastAsiaTheme="minorHAnsi" w:hAnsi="Arial" w:cs="Arial"/>
          <w:kern w:val="2"/>
          <w:sz w:val="22"/>
          <w:szCs w:val="22"/>
          <w:lang w:eastAsia="en-US"/>
          <w14:ligatures w14:val="standardContextual"/>
        </w:rPr>
      </w:pPr>
      <w:r w:rsidRPr="00A94B71">
        <w:rPr>
          <w:rFonts w:ascii="Arial" w:eastAsiaTheme="minorHAnsi" w:hAnsi="Arial" w:cs="Arial"/>
          <w:kern w:val="2"/>
          <w:sz w:val="22"/>
          <w:szCs w:val="22"/>
          <w:lang w:eastAsia="en-US"/>
          <w14:ligatures w14:val="standardContextual"/>
        </w:rPr>
        <w:t>Case study research, as defined by Yin (2018), is a mode of inquiry aimed at exploring social phenomena within their real-life contexts to achieve a greater understanding. Schoch (2019) further characterises it as an analysis of a particular event or situation within a defined space and time frame. This method is primarily exploratory and explanatory, focusing on answering how and why research questions (Ebneyamini and Moghadam, 2018). Investigating these questions allows for an exploratory approach to new or understudied topics, facilitating further focused research (Yin, 2018).</w:t>
      </w:r>
    </w:p>
    <w:p w14:paraId="4C2D20A7" w14:textId="6C99B329" w:rsidR="00A94B71" w:rsidRPr="00A94B71" w:rsidRDefault="00D6473C" w:rsidP="00A94B71">
      <w:pPr>
        <w:spacing w:after="160" w:line="360" w:lineRule="auto"/>
        <w:rPr>
          <w:rFonts w:ascii="Arial" w:eastAsiaTheme="minorHAnsi" w:hAnsi="Arial" w:cs="Arial"/>
          <w:kern w:val="2"/>
          <w:sz w:val="22"/>
          <w:szCs w:val="22"/>
          <w:lang w:eastAsia="en-US"/>
          <w14:ligatures w14:val="standardContextual"/>
        </w:rPr>
      </w:pPr>
      <w:r w:rsidRPr="00A94B71">
        <w:rPr>
          <w:rFonts w:ascii="Arial" w:eastAsiaTheme="minorHAnsi" w:hAnsi="Arial" w:cs="Arial"/>
          <w:kern w:val="2"/>
          <w:sz w:val="22"/>
          <w:szCs w:val="22"/>
          <w:lang w:eastAsia="en-US"/>
          <w14:ligatures w14:val="standardContextual"/>
        </w:rPr>
        <w:br/>
      </w:r>
      <w:r w:rsidR="00D44F4E" w:rsidRPr="00A94B71">
        <w:rPr>
          <w:rFonts w:ascii="Arial" w:eastAsiaTheme="minorHAnsi" w:hAnsi="Arial" w:cs="Arial"/>
          <w:kern w:val="2"/>
          <w:sz w:val="22"/>
          <w:szCs w:val="22"/>
          <w:lang w:eastAsia="en-US"/>
          <w14:ligatures w14:val="standardContextual"/>
        </w:rPr>
        <w:t>Merriam</w:t>
      </w:r>
      <w:r w:rsidRPr="00A94B71">
        <w:rPr>
          <w:rFonts w:ascii="Arial" w:eastAsiaTheme="minorHAnsi" w:hAnsi="Arial" w:cs="Arial"/>
          <w:kern w:val="2"/>
          <w:sz w:val="22"/>
          <w:szCs w:val="22"/>
          <w:lang w:eastAsia="en-US"/>
          <w14:ligatures w14:val="standardContextual"/>
        </w:rPr>
        <w:t xml:space="preserve"> (1998) emphasises the importance of clearly defining the boundaries of the phenomenon, specifying the scope and parameters of the study, </w:t>
      </w:r>
      <w:r w:rsidR="00D44F4E" w:rsidRPr="00A94B71">
        <w:rPr>
          <w:rFonts w:ascii="Arial" w:eastAsiaTheme="minorHAnsi" w:hAnsi="Arial" w:cs="Arial"/>
          <w:kern w:val="2"/>
          <w:sz w:val="22"/>
          <w:szCs w:val="22"/>
          <w:lang w:eastAsia="en-US"/>
          <w14:ligatures w14:val="standardContextual"/>
        </w:rPr>
        <w:t xml:space="preserve">and </w:t>
      </w:r>
      <w:r w:rsidRPr="00A94B71">
        <w:rPr>
          <w:rFonts w:ascii="Arial" w:eastAsiaTheme="minorHAnsi" w:hAnsi="Arial" w:cs="Arial"/>
          <w:kern w:val="2"/>
          <w:sz w:val="22"/>
          <w:szCs w:val="22"/>
          <w:lang w:eastAsia="en-US"/>
          <w14:ligatures w14:val="standardContextual"/>
        </w:rPr>
        <w:t xml:space="preserve">aligning with the researcher's design. While case studies offer strengths such as contextual and holistic understanding (Yazan, 2015), establishing causation can be challenging due to the complexity of external variables (Ebneyamini and Moghadam, </w:t>
      </w:r>
      <w:r w:rsidRPr="00A94B71">
        <w:rPr>
          <w:rFonts w:ascii="Arial" w:eastAsiaTheme="minorHAnsi" w:hAnsi="Arial" w:cs="Arial"/>
          <w:kern w:val="2"/>
          <w:sz w:val="22"/>
          <w:szCs w:val="22"/>
          <w:lang w:eastAsia="en-US"/>
          <w14:ligatures w14:val="standardContextual"/>
        </w:rPr>
        <w:lastRenderedPageBreak/>
        <w:t>2018). Thus, indicating a difficulty in determining the exact cause-effect relationships. Additionally, Yin (2018) notes that the credibility of case studies can be questioned due to preconceived notions and interpretative bias. However, Dasgupta (2015) highlights the rich descriptions case studies offer toward contributing to theory building, suggesting their flexibility conforms to the evolving demands in education. Furthermore, Yin (2018) suggests by developing theoretical frameworks to guide the case study design and implementation, researchers can generate new insights and contribute to the advancement of knowledge in their respective fields.</w:t>
      </w:r>
    </w:p>
    <w:p w14:paraId="17AFD3CD" w14:textId="611F9816" w:rsidR="00D6473C" w:rsidRPr="00A94B71" w:rsidRDefault="00D6473C" w:rsidP="00A94B71">
      <w:pPr>
        <w:spacing w:after="160" w:line="360" w:lineRule="auto"/>
        <w:rPr>
          <w:rFonts w:ascii="Arial" w:eastAsiaTheme="minorHAnsi" w:hAnsi="Arial" w:cs="Arial"/>
          <w:kern w:val="2"/>
          <w:sz w:val="22"/>
          <w:szCs w:val="22"/>
          <w:lang w:eastAsia="en-US"/>
          <w14:ligatures w14:val="standardContextual"/>
        </w:rPr>
      </w:pPr>
      <w:r w:rsidRPr="00A94B71">
        <w:rPr>
          <w:rFonts w:ascii="Arial" w:eastAsiaTheme="minorHAnsi" w:hAnsi="Arial" w:cs="Arial"/>
          <w:kern w:val="2"/>
          <w:sz w:val="22"/>
          <w:szCs w:val="22"/>
          <w:lang w:eastAsia="en-US"/>
          <w14:ligatures w14:val="standardContextual"/>
        </w:rPr>
        <w:t xml:space="preserve">Following </w:t>
      </w:r>
      <w:r w:rsidR="00D44F4E" w:rsidRPr="00A94B71">
        <w:rPr>
          <w:rFonts w:ascii="Arial" w:eastAsiaTheme="minorHAnsi" w:hAnsi="Arial" w:cs="Arial"/>
          <w:kern w:val="2"/>
          <w:sz w:val="22"/>
          <w:szCs w:val="22"/>
          <w:lang w:eastAsia="en-US"/>
          <w14:ligatures w14:val="standardContextual"/>
        </w:rPr>
        <w:t>Merriam’s</w:t>
      </w:r>
      <w:r w:rsidRPr="00A94B71">
        <w:rPr>
          <w:rFonts w:ascii="Arial" w:eastAsiaTheme="minorHAnsi" w:hAnsi="Arial" w:cs="Arial"/>
          <w:kern w:val="2"/>
          <w:sz w:val="22"/>
          <w:szCs w:val="22"/>
          <w:lang w:eastAsia="en-US"/>
          <w14:ligatures w14:val="standardContextual"/>
        </w:rPr>
        <w:t xml:space="preserve"> (1998) approach of selecting participants prior to exploring the phenomenon, this case study included fourteen Year 10 participants in a GCSE drama class. The selection of participants was purposeful</w:t>
      </w:r>
      <w:r w:rsidR="0063500D">
        <w:rPr>
          <w:rFonts w:ascii="Arial" w:eastAsiaTheme="minorHAnsi" w:hAnsi="Arial" w:cs="Arial"/>
          <w:kern w:val="2"/>
          <w:sz w:val="22"/>
          <w:szCs w:val="22"/>
          <w:lang w:eastAsia="en-US"/>
          <w14:ligatures w14:val="standardContextual"/>
        </w:rPr>
        <w:t xml:space="preserve"> and convenient</w:t>
      </w:r>
      <w:r w:rsidRPr="00A94B71">
        <w:rPr>
          <w:rFonts w:ascii="Arial" w:eastAsiaTheme="minorHAnsi" w:hAnsi="Arial" w:cs="Arial"/>
          <w:kern w:val="2"/>
          <w:sz w:val="22"/>
          <w:szCs w:val="22"/>
          <w:lang w:eastAsia="en-US"/>
          <w14:ligatures w14:val="standardContextual"/>
        </w:rPr>
        <w:t>, including individuals who directly experienced the intervention (scaffolding support), providing valuable insights into its effectiveness and impact (Yin, 2018).</w:t>
      </w:r>
    </w:p>
    <w:p w14:paraId="4F5D1AF7" w14:textId="77777777" w:rsidR="00D6473C" w:rsidRDefault="00D6473C" w:rsidP="00A94B71">
      <w:pPr>
        <w:spacing w:after="160" w:line="360" w:lineRule="auto"/>
        <w:rPr>
          <w:rFonts w:ascii="Arial" w:eastAsiaTheme="minorHAnsi" w:hAnsi="Arial" w:cs="Arial"/>
          <w:kern w:val="2"/>
          <w:sz w:val="22"/>
          <w:szCs w:val="22"/>
          <w:lang w:eastAsia="en-US"/>
          <w14:ligatures w14:val="standardContextual"/>
        </w:rPr>
      </w:pPr>
      <w:r w:rsidRPr="00A94B71">
        <w:rPr>
          <w:rFonts w:ascii="Arial" w:eastAsiaTheme="minorHAnsi" w:hAnsi="Arial" w:cs="Arial"/>
          <w:kern w:val="2"/>
          <w:sz w:val="22"/>
          <w:szCs w:val="22"/>
          <w:lang w:eastAsia="en-US"/>
          <w14:ligatures w14:val="standardContextual"/>
        </w:rPr>
        <w:t>To ensure a representative sample, five of the fourteen pupils were randomly selected for the interview method of data collection to aid the mitigation of sampling bias. These participants were chosen using the ClassCharts random pupil generator.</w:t>
      </w:r>
    </w:p>
    <w:p w14:paraId="4263A4D1" w14:textId="77777777" w:rsidR="00A94B71" w:rsidRPr="00A94B71" w:rsidRDefault="00A94B71" w:rsidP="00A94B71">
      <w:pPr>
        <w:spacing w:after="160" w:line="360" w:lineRule="auto"/>
        <w:rPr>
          <w:rFonts w:ascii="Arial" w:eastAsiaTheme="minorHAnsi" w:hAnsi="Arial" w:cs="Arial"/>
          <w:kern w:val="2"/>
          <w:sz w:val="22"/>
          <w:szCs w:val="22"/>
          <w:lang w:eastAsia="en-US"/>
          <w14:ligatures w14:val="standardContextual"/>
        </w:rPr>
      </w:pPr>
    </w:p>
    <w:p w14:paraId="41E0581D" w14:textId="6AAAD7CD" w:rsidR="00D6473C" w:rsidRDefault="00D6473C" w:rsidP="00A94B71">
      <w:pPr>
        <w:spacing w:after="160" w:line="360" w:lineRule="auto"/>
        <w:rPr>
          <w:rFonts w:ascii="Arial" w:eastAsiaTheme="minorHAnsi" w:hAnsi="Arial" w:cs="Arial"/>
          <w:kern w:val="2"/>
          <w:sz w:val="22"/>
          <w:szCs w:val="22"/>
          <w:lang w:eastAsia="en-US"/>
          <w14:ligatures w14:val="standardContextual"/>
        </w:rPr>
      </w:pPr>
      <w:r w:rsidRPr="00A94B71">
        <w:rPr>
          <w:rFonts w:ascii="Arial" w:eastAsiaTheme="minorHAnsi" w:hAnsi="Arial" w:cs="Arial"/>
          <w:b/>
          <w:bCs/>
          <w:i/>
          <w:iCs/>
          <w:kern w:val="2"/>
          <w:sz w:val="22"/>
          <w:szCs w:val="22"/>
          <w:lang w:eastAsia="en-US"/>
          <w14:ligatures w14:val="standardContextual"/>
        </w:rPr>
        <w:t>Overview of this case study</w:t>
      </w:r>
      <w:r w:rsidRPr="00A94B71">
        <w:rPr>
          <w:rFonts w:ascii="Arial" w:eastAsiaTheme="minorHAnsi" w:hAnsi="Arial" w:cs="Arial"/>
          <w:b/>
          <w:bCs/>
          <w:kern w:val="2"/>
          <w:sz w:val="22"/>
          <w:szCs w:val="22"/>
          <w:lang w:eastAsia="en-US"/>
          <w14:ligatures w14:val="standardContextual"/>
        </w:rPr>
        <w:br/>
      </w:r>
      <w:r w:rsidRPr="00A94B71">
        <w:rPr>
          <w:rFonts w:ascii="Arial" w:eastAsiaTheme="minorHAnsi" w:hAnsi="Arial" w:cs="Arial"/>
          <w:kern w:val="2"/>
          <w:sz w:val="22"/>
          <w:szCs w:val="22"/>
          <w:lang w:eastAsia="en-US"/>
          <w14:ligatures w14:val="standardContextual"/>
        </w:rPr>
        <w:t xml:space="preserve">The effectiveness of scaffolding in supporting Year 10 pupils' preparation for the Unit 3 </w:t>
      </w:r>
      <w:r w:rsidR="0063500D">
        <w:rPr>
          <w:rFonts w:ascii="Arial" w:eastAsiaTheme="minorHAnsi" w:hAnsi="Arial" w:cs="Arial"/>
          <w:kern w:val="2"/>
          <w:sz w:val="22"/>
          <w:szCs w:val="22"/>
          <w:lang w:eastAsia="en-US"/>
          <w14:ligatures w14:val="standardContextual"/>
        </w:rPr>
        <w:t>D</w:t>
      </w:r>
      <w:r w:rsidRPr="00A94B71">
        <w:rPr>
          <w:rFonts w:ascii="Arial" w:eastAsiaTheme="minorHAnsi" w:hAnsi="Arial" w:cs="Arial"/>
          <w:kern w:val="2"/>
          <w:sz w:val="22"/>
          <w:szCs w:val="22"/>
          <w:lang w:eastAsia="en-US"/>
          <w14:ligatures w14:val="standardContextual"/>
        </w:rPr>
        <w:t xml:space="preserve">rama GCSE exam was investigated. Students were introduced to the study, and consent and assent were obtained. An overview of the GCSE paper was provided, followed by a question-and-answer session. The </w:t>
      </w:r>
      <w:r w:rsidR="0063500D">
        <w:rPr>
          <w:rFonts w:ascii="Arial" w:eastAsiaTheme="minorHAnsi" w:hAnsi="Arial" w:cs="Arial"/>
          <w:kern w:val="2"/>
          <w:sz w:val="22"/>
          <w:szCs w:val="22"/>
          <w:lang w:eastAsia="en-US"/>
          <w14:ligatures w14:val="standardContextual"/>
        </w:rPr>
        <w:t>intervention task</w:t>
      </w:r>
      <w:r w:rsidRPr="00A94B71">
        <w:rPr>
          <w:rFonts w:ascii="Arial" w:eastAsiaTheme="minorHAnsi" w:hAnsi="Arial" w:cs="Arial"/>
          <w:kern w:val="2"/>
          <w:sz w:val="22"/>
          <w:szCs w:val="22"/>
          <w:lang w:eastAsia="en-US"/>
          <w14:ligatures w14:val="standardContextual"/>
        </w:rPr>
        <w:t xml:space="preserve"> for the subsequent lesson was introduced, alongside the purposefully designed scaffolding sheet (see appendix </w:t>
      </w:r>
      <w:r w:rsidR="00AF29C6" w:rsidRPr="00A94B71">
        <w:rPr>
          <w:rFonts w:ascii="Arial" w:eastAsiaTheme="minorHAnsi" w:hAnsi="Arial" w:cs="Arial"/>
          <w:kern w:val="2"/>
          <w:sz w:val="22"/>
          <w:szCs w:val="22"/>
          <w:lang w:eastAsia="en-US"/>
          <w14:ligatures w14:val="standardContextual"/>
        </w:rPr>
        <w:t>A</w:t>
      </w:r>
      <w:r w:rsidRPr="00A94B71">
        <w:rPr>
          <w:rFonts w:ascii="Arial" w:eastAsiaTheme="minorHAnsi" w:hAnsi="Arial" w:cs="Arial"/>
          <w:kern w:val="2"/>
          <w:sz w:val="22"/>
          <w:szCs w:val="22"/>
          <w:lang w:eastAsia="en-US"/>
          <w14:ligatures w14:val="standardContextual"/>
        </w:rPr>
        <w:t xml:space="preserve">), </w:t>
      </w:r>
      <w:r w:rsidR="0063500D">
        <w:rPr>
          <w:rFonts w:ascii="Arial" w:eastAsiaTheme="minorHAnsi" w:hAnsi="Arial" w:cs="Arial"/>
          <w:kern w:val="2"/>
          <w:sz w:val="22"/>
          <w:szCs w:val="22"/>
          <w:lang w:eastAsia="en-US"/>
          <w14:ligatures w14:val="standardContextual"/>
        </w:rPr>
        <w:t>supported</w:t>
      </w:r>
      <w:r w:rsidRPr="00A94B71">
        <w:rPr>
          <w:rFonts w:ascii="Arial" w:eastAsiaTheme="minorHAnsi" w:hAnsi="Arial" w:cs="Arial"/>
          <w:kern w:val="2"/>
          <w:sz w:val="22"/>
          <w:szCs w:val="22"/>
          <w:lang w:eastAsia="en-US"/>
          <w14:ligatures w14:val="standardContextual"/>
        </w:rPr>
        <w:t xml:space="preserve"> with an example answer demonstration (see appendix </w:t>
      </w:r>
      <w:r w:rsidR="00AF29C6" w:rsidRPr="00A94B71">
        <w:rPr>
          <w:rFonts w:ascii="Arial" w:eastAsiaTheme="minorHAnsi" w:hAnsi="Arial" w:cs="Arial"/>
          <w:kern w:val="2"/>
          <w:sz w:val="22"/>
          <w:szCs w:val="22"/>
          <w:lang w:eastAsia="en-US"/>
          <w14:ligatures w14:val="standardContextual"/>
        </w:rPr>
        <w:t>B</w:t>
      </w:r>
      <w:r w:rsidRPr="00A94B71">
        <w:rPr>
          <w:rFonts w:ascii="Arial" w:eastAsiaTheme="minorHAnsi" w:hAnsi="Arial" w:cs="Arial"/>
          <w:kern w:val="2"/>
          <w:sz w:val="22"/>
          <w:szCs w:val="22"/>
          <w:lang w:eastAsia="en-US"/>
          <w14:ligatures w14:val="standardContextual"/>
        </w:rPr>
        <w:t xml:space="preserve">). In the final lesson, the scaffolding was reviewed, and students' queries were addressed. Students then completed a mock exam question under timed conditions to assess the impact of the scaffolding. This case study spanned over a three-lesson timeframe, due to timetable restrictions. </w:t>
      </w:r>
    </w:p>
    <w:p w14:paraId="484D9418" w14:textId="77777777" w:rsidR="00A94B71" w:rsidRPr="00A94B71" w:rsidRDefault="00A94B71" w:rsidP="00A94B71">
      <w:pPr>
        <w:spacing w:after="160" w:line="360" w:lineRule="auto"/>
        <w:rPr>
          <w:rFonts w:ascii="Arial" w:eastAsiaTheme="minorHAnsi" w:hAnsi="Arial" w:cs="Arial"/>
          <w:kern w:val="2"/>
          <w:sz w:val="22"/>
          <w:szCs w:val="22"/>
          <w:lang w:eastAsia="en-US"/>
          <w14:ligatures w14:val="standardContextual"/>
        </w:rPr>
      </w:pPr>
    </w:p>
    <w:p w14:paraId="006F2975" w14:textId="03B6BF8B" w:rsidR="00B33F71" w:rsidRPr="00A94B71" w:rsidRDefault="00B33F71" w:rsidP="00A94B71">
      <w:pPr>
        <w:spacing w:line="360" w:lineRule="auto"/>
        <w:rPr>
          <w:rFonts w:ascii="Arial" w:hAnsi="Arial" w:cs="Arial"/>
          <w:b/>
          <w:bCs/>
          <w:sz w:val="22"/>
          <w:szCs w:val="22"/>
        </w:rPr>
      </w:pPr>
      <w:r w:rsidRPr="00A94B71">
        <w:rPr>
          <w:rFonts w:ascii="Arial" w:hAnsi="Arial" w:cs="Arial"/>
          <w:b/>
          <w:bCs/>
          <w:sz w:val="22"/>
          <w:szCs w:val="22"/>
        </w:rPr>
        <w:t>Research Methods</w:t>
      </w:r>
    </w:p>
    <w:p w14:paraId="5A1D690B" w14:textId="3BF350CA" w:rsidR="00B33F71" w:rsidRPr="00A94B71" w:rsidRDefault="00B33F71" w:rsidP="00A94B71">
      <w:pPr>
        <w:spacing w:line="360" w:lineRule="auto"/>
        <w:rPr>
          <w:rFonts w:ascii="Arial" w:hAnsi="Arial" w:cs="Arial"/>
          <w:sz w:val="22"/>
          <w:szCs w:val="22"/>
        </w:rPr>
      </w:pPr>
      <w:r w:rsidRPr="00A94B71">
        <w:rPr>
          <w:rFonts w:ascii="Arial" w:hAnsi="Arial" w:cs="Arial"/>
          <w:sz w:val="22"/>
          <w:szCs w:val="22"/>
        </w:rPr>
        <w:t>The research question delves into pupils' perceptions regarding the utilisation of scaffolding, with a specific focus on the unit 3 paper. Hence, it was crucial for the research methods to reflect the voice of the pupils. Employing a mixed-methods approach, the data collection techniques comprised a pre and post-intervention questionnaire, a semi-structured interview, and observation.</w:t>
      </w:r>
    </w:p>
    <w:p w14:paraId="3553A8A8" w14:textId="40562F9B" w:rsidR="00B33F71" w:rsidRDefault="00B33F71" w:rsidP="00A94B71">
      <w:pPr>
        <w:spacing w:line="360" w:lineRule="auto"/>
        <w:rPr>
          <w:rFonts w:ascii="Arial" w:hAnsi="Arial" w:cs="Arial"/>
          <w:sz w:val="22"/>
          <w:szCs w:val="22"/>
        </w:rPr>
      </w:pPr>
      <w:r w:rsidRPr="00A94B71">
        <w:rPr>
          <w:rFonts w:ascii="Arial" w:hAnsi="Arial" w:cs="Arial"/>
          <w:b/>
          <w:bCs/>
          <w:i/>
          <w:iCs/>
          <w:sz w:val="22"/>
          <w:szCs w:val="22"/>
        </w:rPr>
        <w:t>Data</w:t>
      </w:r>
      <w:r w:rsidRPr="00A94B71">
        <w:rPr>
          <w:rFonts w:ascii="Arial" w:hAnsi="Arial" w:cs="Arial"/>
          <w:sz w:val="22"/>
          <w:szCs w:val="22"/>
        </w:rPr>
        <w:br/>
        <w:t>Qualitative data analysis serves as an interpretative tool aimed at unravelling the implicit meanings within a study through the analysis of visual or linguistic information (Mezmir, 2020). Eisenhart (2006) emphasi</w:t>
      </w:r>
      <w:r w:rsidR="0063500D">
        <w:rPr>
          <w:rFonts w:ascii="Arial" w:hAnsi="Arial" w:cs="Arial"/>
          <w:sz w:val="22"/>
          <w:szCs w:val="22"/>
        </w:rPr>
        <w:t>s</w:t>
      </w:r>
      <w:r w:rsidRPr="00A94B71">
        <w:rPr>
          <w:rFonts w:ascii="Arial" w:hAnsi="Arial" w:cs="Arial"/>
          <w:sz w:val="22"/>
          <w:szCs w:val="22"/>
        </w:rPr>
        <w:t>es the significance of qualitative data in representing the authentic voice of the participants, urging researchers to critically reflect on their positionality to ensure ethical representation. Despite its holistic nature, qualitative research can be constrained by the researcher's personal involvement and participants' hesitance to express themselves openly (Damaskinidis, 2017).</w:t>
      </w:r>
    </w:p>
    <w:p w14:paraId="13D40D4D" w14:textId="77777777" w:rsidR="00A94B71" w:rsidRPr="00A94B71" w:rsidRDefault="00A94B71" w:rsidP="00A94B71">
      <w:pPr>
        <w:spacing w:line="360" w:lineRule="auto"/>
        <w:rPr>
          <w:rFonts w:ascii="Arial" w:hAnsi="Arial" w:cs="Arial"/>
          <w:sz w:val="22"/>
          <w:szCs w:val="22"/>
        </w:rPr>
      </w:pPr>
    </w:p>
    <w:p w14:paraId="657A10D1" w14:textId="77777777" w:rsidR="00B33F71" w:rsidRDefault="00B33F71" w:rsidP="00A94B71">
      <w:pPr>
        <w:spacing w:line="360" w:lineRule="auto"/>
        <w:rPr>
          <w:rFonts w:ascii="Arial" w:hAnsi="Arial" w:cs="Arial"/>
          <w:sz w:val="22"/>
          <w:szCs w:val="22"/>
        </w:rPr>
      </w:pPr>
      <w:r w:rsidRPr="00A94B71">
        <w:rPr>
          <w:rFonts w:ascii="Arial" w:hAnsi="Arial" w:cs="Arial"/>
          <w:sz w:val="22"/>
          <w:szCs w:val="22"/>
        </w:rPr>
        <w:t>Conversely, quantitative data offers quantifiable insights into phenomena, aiding in answering the "what" or "how" of a given situation (Goertzen, 2017). The systematic nature of quantitative data, as outlined by Ahmad et al. (2019), enables the creation of graphs and charts to present raw data, facilitating an objective analysis. Valued for its thorough analytical structure, quantitative research is often preferred for its direct comparability and efficiency in methods such as surveys (Choy, 2014). However, Taherdoost (2014) highlights limitations such as the lack of participant perspective and the snapshot capture of data at specific points in time. To address these constraints, a mixed-methods approach was employed to triangulate data for validity and credibility (Cohen, Manion and Morrison, 2017). This approach, as defined by Ponce and Pagán-Maldonado (2015), blends quantitative and qualitative approaches to gain a comprehensive understanding of the research problem.</w:t>
      </w:r>
    </w:p>
    <w:p w14:paraId="5D64F335" w14:textId="77777777" w:rsidR="00A94B71" w:rsidRPr="00A94B71" w:rsidRDefault="00A94B71" w:rsidP="00A94B71">
      <w:pPr>
        <w:spacing w:line="360" w:lineRule="auto"/>
        <w:rPr>
          <w:rFonts w:ascii="Arial" w:hAnsi="Arial" w:cs="Arial"/>
          <w:sz w:val="22"/>
          <w:szCs w:val="22"/>
        </w:rPr>
      </w:pPr>
    </w:p>
    <w:p w14:paraId="16E40F53" w14:textId="77777777" w:rsidR="00B33F71" w:rsidRDefault="00B33F71" w:rsidP="00A94B71">
      <w:pPr>
        <w:spacing w:line="360" w:lineRule="auto"/>
        <w:rPr>
          <w:rFonts w:ascii="Arial" w:hAnsi="Arial" w:cs="Arial"/>
          <w:sz w:val="22"/>
          <w:szCs w:val="22"/>
        </w:rPr>
      </w:pPr>
      <w:r w:rsidRPr="00A94B71">
        <w:rPr>
          <w:rFonts w:ascii="Arial" w:hAnsi="Arial" w:cs="Arial"/>
          <w:sz w:val="22"/>
          <w:szCs w:val="22"/>
        </w:rPr>
        <w:t>To ensure the alignment of questions with research objectives and prevent leading questions, both the questionnaire and semi-structured interview were piloted with three peers (Dikko, 2016).</w:t>
      </w:r>
    </w:p>
    <w:p w14:paraId="6410C1EC" w14:textId="77777777" w:rsidR="00A94B71" w:rsidRPr="00A94B71" w:rsidRDefault="00A94B71" w:rsidP="00A94B71">
      <w:pPr>
        <w:spacing w:line="360" w:lineRule="auto"/>
        <w:rPr>
          <w:rFonts w:ascii="Arial" w:hAnsi="Arial" w:cs="Arial"/>
          <w:sz w:val="22"/>
          <w:szCs w:val="22"/>
        </w:rPr>
      </w:pPr>
    </w:p>
    <w:p w14:paraId="462C9E1F" w14:textId="4D3DD872" w:rsidR="00B33F71" w:rsidRPr="00A94B71" w:rsidRDefault="00B33F71" w:rsidP="00A94B71">
      <w:pPr>
        <w:spacing w:line="360" w:lineRule="auto"/>
        <w:rPr>
          <w:rFonts w:ascii="Arial" w:hAnsi="Arial" w:cs="Arial"/>
          <w:sz w:val="22"/>
          <w:szCs w:val="22"/>
        </w:rPr>
      </w:pPr>
      <w:r w:rsidRPr="00A94B71">
        <w:rPr>
          <w:rFonts w:ascii="Arial" w:hAnsi="Arial" w:cs="Arial"/>
          <w:b/>
          <w:bCs/>
          <w:i/>
          <w:iCs/>
          <w:sz w:val="22"/>
          <w:szCs w:val="22"/>
        </w:rPr>
        <w:t>Questionnaire</w:t>
      </w:r>
      <w:r w:rsidRPr="00A94B71">
        <w:rPr>
          <w:rFonts w:ascii="Arial" w:hAnsi="Arial" w:cs="Arial"/>
          <w:sz w:val="22"/>
          <w:szCs w:val="22"/>
        </w:rPr>
        <w:br/>
        <w:t xml:space="preserve">Pre and post-intervention questionnaires were crafted to evaluate pupils' perceptions before and after the intervention (refer to Appendices </w:t>
      </w:r>
      <w:r w:rsidR="00ED2464" w:rsidRPr="00A94B71">
        <w:rPr>
          <w:rFonts w:ascii="Arial" w:hAnsi="Arial" w:cs="Arial"/>
          <w:sz w:val="22"/>
          <w:szCs w:val="22"/>
        </w:rPr>
        <w:t>C</w:t>
      </w:r>
      <w:r w:rsidRPr="00A94B71">
        <w:rPr>
          <w:rFonts w:ascii="Arial" w:hAnsi="Arial" w:cs="Arial"/>
          <w:sz w:val="22"/>
          <w:szCs w:val="22"/>
        </w:rPr>
        <w:t xml:space="preserve"> and </w:t>
      </w:r>
      <w:r w:rsidR="00ED2464" w:rsidRPr="00A94B71">
        <w:rPr>
          <w:rFonts w:ascii="Arial" w:hAnsi="Arial" w:cs="Arial"/>
          <w:sz w:val="22"/>
          <w:szCs w:val="22"/>
        </w:rPr>
        <w:t>D</w:t>
      </w:r>
      <w:r w:rsidRPr="00A94B71">
        <w:rPr>
          <w:rFonts w:ascii="Arial" w:hAnsi="Arial" w:cs="Arial"/>
          <w:sz w:val="22"/>
          <w:szCs w:val="22"/>
        </w:rPr>
        <w:t xml:space="preserve"> respectively). These questionnaires were meticulously designed, incorporating Likert-scale questions, a blend of closed and open-ended questions, and some multiple-choice questions to capture a diverse range of responses. While pre-defined structured responses like Likert scales and multiple-choice questions offer efficiency in data collection and analysis (Taherdoost, 2019), open-ended questions can unveil unforeseen insights termed as 'gems' (Cohen, Manion and Morrison, 2017). Embracing this approach, a variety of question types were utilised to balance the need for quantifiable data with the desire for comprehensive insights into participants' perceptions (Patten, 2016).</w:t>
      </w:r>
    </w:p>
    <w:p w14:paraId="3AEBFF2B" w14:textId="77777777" w:rsidR="00B33F71" w:rsidRPr="00A94B71" w:rsidRDefault="00B33F71" w:rsidP="00A94B71">
      <w:pPr>
        <w:spacing w:line="360" w:lineRule="auto"/>
        <w:rPr>
          <w:rFonts w:ascii="Arial" w:hAnsi="Arial" w:cs="Arial"/>
          <w:sz w:val="22"/>
          <w:szCs w:val="22"/>
          <w:u w:val="single"/>
        </w:rPr>
      </w:pPr>
    </w:p>
    <w:p w14:paraId="38BAE33A" w14:textId="09A0162B" w:rsidR="00B33F71" w:rsidRPr="00A94B71" w:rsidRDefault="00B33F71" w:rsidP="00A94B71">
      <w:pPr>
        <w:spacing w:line="360" w:lineRule="auto"/>
        <w:rPr>
          <w:rFonts w:ascii="Arial" w:hAnsi="Arial" w:cs="Arial"/>
          <w:sz w:val="22"/>
          <w:szCs w:val="22"/>
        </w:rPr>
      </w:pPr>
      <w:r w:rsidRPr="00A94B71">
        <w:rPr>
          <w:rFonts w:ascii="Arial" w:hAnsi="Arial" w:cs="Arial"/>
          <w:sz w:val="22"/>
          <w:szCs w:val="22"/>
        </w:rPr>
        <w:t xml:space="preserve">To mitigate potential hesitancy in providing truthful responses, several considerations were integrated into the questionnaire design process Theofanidis and Fountouki, 2018). Clear, accessible language was employed, tailored to the age and attainment levels of the pupils, ensuring comprehension and relevance (Cohen, Manion and Morrison, 2017). Additionally, clear instructions underscored the study's purpose of assisting participants, accompanied by reminders of their right to withdraw at any stage, </w:t>
      </w:r>
      <w:r w:rsidR="0063500D" w:rsidRPr="00A94B71">
        <w:rPr>
          <w:rFonts w:ascii="Arial" w:hAnsi="Arial" w:cs="Arial"/>
          <w:sz w:val="22"/>
          <w:szCs w:val="22"/>
        </w:rPr>
        <w:t>nurturing</w:t>
      </w:r>
      <w:r w:rsidRPr="00A94B71">
        <w:rPr>
          <w:rFonts w:ascii="Arial" w:hAnsi="Arial" w:cs="Arial"/>
          <w:sz w:val="22"/>
          <w:szCs w:val="22"/>
        </w:rPr>
        <w:t xml:space="preserve"> an environment conducive to honest responses, and minimising data inaccuracies due to hesitancy or reluctance (Yin, 2018).</w:t>
      </w:r>
    </w:p>
    <w:p w14:paraId="74AC0B59" w14:textId="71C284F4" w:rsidR="00B33F71" w:rsidRPr="00A94B71" w:rsidRDefault="00B33F71" w:rsidP="00A94B71">
      <w:pPr>
        <w:spacing w:line="360" w:lineRule="auto"/>
        <w:rPr>
          <w:rFonts w:ascii="Arial" w:hAnsi="Arial" w:cs="Arial"/>
          <w:sz w:val="22"/>
          <w:szCs w:val="22"/>
        </w:rPr>
      </w:pPr>
      <w:r w:rsidRPr="00A94B71">
        <w:rPr>
          <w:rFonts w:ascii="Arial" w:hAnsi="Arial" w:cs="Arial"/>
          <w:sz w:val="22"/>
          <w:szCs w:val="22"/>
        </w:rPr>
        <w:br/>
        <w:t>Recognised as an efficient data collection tool, online questionnaires offer enhanced ease of analysis and accessibility (Patten, 2016; Cohen, Manion and Morrison, 2017). Distributing the questionnaires via Microsoft Forms provided standardised, accessible formats, appealing to both</w:t>
      </w:r>
      <w:r w:rsidR="0063500D">
        <w:rPr>
          <w:rFonts w:ascii="Arial" w:hAnsi="Arial" w:cs="Arial"/>
          <w:sz w:val="22"/>
          <w:szCs w:val="22"/>
        </w:rPr>
        <w:t xml:space="preserve"> the</w:t>
      </w:r>
      <w:r w:rsidRPr="00A94B71">
        <w:rPr>
          <w:rFonts w:ascii="Arial" w:hAnsi="Arial" w:cs="Arial"/>
          <w:sz w:val="22"/>
          <w:szCs w:val="22"/>
        </w:rPr>
        <w:t xml:space="preserve"> researcher and participants (Nayak and Narayan, 2019). While digital distribution streamlined data management, the availability of a paper copy as a precautionary measure accounted for potential technical difficulties. The </w:t>
      </w:r>
      <w:r w:rsidRPr="00A94B71">
        <w:rPr>
          <w:rFonts w:ascii="Arial" w:hAnsi="Arial" w:cs="Arial"/>
          <w:sz w:val="22"/>
          <w:szCs w:val="22"/>
        </w:rPr>
        <w:lastRenderedPageBreak/>
        <w:t xml:space="preserve">implementation of both </w:t>
      </w:r>
      <w:proofErr w:type="gramStart"/>
      <w:r w:rsidRPr="00A94B71">
        <w:rPr>
          <w:rFonts w:ascii="Arial" w:hAnsi="Arial" w:cs="Arial"/>
          <w:sz w:val="22"/>
          <w:szCs w:val="22"/>
        </w:rPr>
        <w:t>pre</w:t>
      </w:r>
      <w:proofErr w:type="gramEnd"/>
      <w:r w:rsidRPr="00A94B71">
        <w:rPr>
          <w:rFonts w:ascii="Arial" w:hAnsi="Arial" w:cs="Arial"/>
          <w:sz w:val="22"/>
          <w:szCs w:val="22"/>
        </w:rPr>
        <w:t xml:space="preserve"> and post-intervention questionnaires facilitated the possibility of comparative analysis.</w:t>
      </w:r>
    </w:p>
    <w:p w14:paraId="073C4906" w14:textId="77777777" w:rsidR="00B33F71" w:rsidRPr="00A94B71" w:rsidRDefault="00B33F71" w:rsidP="00A94B71">
      <w:pPr>
        <w:spacing w:line="360" w:lineRule="auto"/>
        <w:rPr>
          <w:rFonts w:ascii="Arial" w:hAnsi="Arial" w:cs="Arial"/>
          <w:sz w:val="22"/>
          <w:szCs w:val="22"/>
        </w:rPr>
      </w:pPr>
    </w:p>
    <w:p w14:paraId="2ECA300A" w14:textId="1743AC9F" w:rsidR="00B33F71" w:rsidRPr="00A94B71" w:rsidRDefault="00B33F71" w:rsidP="00A94B71">
      <w:pPr>
        <w:spacing w:line="360" w:lineRule="auto"/>
        <w:rPr>
          <w:rFonts w:ascii="Arial" w:hAnsi="Arial" w:cs="Arial"/>
          <w:b/>
          <w:bCs/>
          <w:sz w:val="22"/>
          <w:szCs w:val="22"/>
        </w:rPr>
      </w:pPr>
      <w:r w:rsidRPr="00A94B71">
        <w:rPr>
          <w:rFonts w:ascii="Arial" w:hAnsi="Arial" w:cs="Arial"/>
          <w:b/>
          <w:bCs/>
          <w:i/>
          <w:iCs/>
          <w:sz w:val="22"/>
          <w:szCs w:val="22"/>
        </w:rPr>
        <w:t>Semi-Structured Interviews</w:t>
      </w:r>
      <w:r w:rsidRPr="00A94B71">
        <w:rPr>
          <w:rFonts w:ascii="Arial" w:hAnsi="Arial" w:cs="Arial"/>
          <w:sz w:val="22"/>
          <w:szCs w:val="22"/>
        </w:rPr>
        <w:br/>
        <w:t xml:space="preserve">Semi-structured interviews were conducted with a sample group of five pupils to delve into their experiences, attitudes, and perceptions concerning the utilisation of scaffolding support in GCSE </w:t>
      </w:r>
      <w:r w:rsidR="0063500D">
        <w:rPr>
          <w:rFonts w:ascii="Arial" w:hAnsi="Arial" w:cs="Arial"/>
          <w:sz w:val="22"/>
          <w:szCs w:val="22"/>
        </w:rPr>
        <w:t>D</w:t>
      </w:r>
      <w:r w:rsidRPr="00A94B71">
        <w:rPr>
          <w:rFonts w:ascii="Arial" w:hAnsi="Arial" w:cs="Arial"/>
          <w:sz w:val="22"/>
          <w:szCs w:val="22"/>
        </w:rPr>
        <w:t>rama. Designed to be open-ended, the interview questions allowed participants to elaborate on their responses, providing detailed insights into their thoughts and experiences, as advocated by Damaskinidis (2017).</w:t>
      </w:r>
      <w:r w:rsidRPr="00A94B71">
        <w:rPr>
          <w:rFonts w:ascii="Arial" w:hAnsi="Arial" w:cs="Arial"/>
          <w:sz w:val="22"/>
          <w:szCs w:val="22"/>
        </w:rPr>
        <w:br/>
      </w:r>
      <w:r w:rsidRPr="00A94B71">
        <w:rPr>
          <w:rFonts w:ascii="Arial" w:hAnsi="Arial" w:cs="Arial"/>
          <w:sz w:val="22"/>
          <w:szCs w:val="22"/>
        </w:rPr>
        <w:br/>
        <w:t xml:space="preserve">Interviews </w:t>
      </w:r>
      <w:r w:rsidR="0063500D" w:rsidRPr="00A94B71">
        <w:rPr>
          <w:rFonts w:ascii="Arial" w:hAnsi="Arial" w:cs="Arial"/>
          <w:sz w:val="22"/>
          <w:szCs w:val="22"/>
        </w:rPr>
        <w:t>offer</w:t>
      </w:r>
      <w:r w:rsidRPr="00A94B71">
        <w:rPr>
          <w:rFonts w:ascii="Arial" w:hAnsi="Arial" w:cs="Arial"/>
          <w:sz w:val="22"/>
          <w:szCs w:val="22"/>
        </w:rPr>
        <w:t xml:space="preserve"> personal interaction, developing deeper insights and enabling the exploration of unforeseen avenues (Jain, 2021). This personali</w:t>
      </w:r>
      <w:r w:rsidR="0063500D">
        <w:rPr>
          <w:rFonts w:ascii="Arial" w:hAnsi="Arial" w:cs="Arial"/>
          <w:sz w:val="22"/>
          <w:szCs w:val="22"/>
        </w:rPr>
        <w:t>s</w:t>
      </w:r>
      <w:r w:rsidRPr="00A94B71">
        <w:rPr>
          <w:rFonts w:ascii="Arial" w:hAnsi="Arial" w:cs="Arial"/>
          <w:sz w:val="22"/>
          <w:szCs w:val="22"/>
        </w:rPr>
        <w:t>ed approach signifies an invested interest in the participants and the study's objectives. Semi-structured interviews, as discussed by Alshenqeeti (2014), offer flexibility, allowing interviewers to delve into responses while adhering to the parameters of the intended questions. However, caution is warranted as highlighted by Cohen, Manion, and Morrison (2017), regarding potential interviewer bias that could influence respondents' answers. To mitigate this risk, the interviewer maintained neutrality and objectivity throughout, ensuring that respondents' answers guided the direction of the questioning.</w:t>
      </w:r>
    </w:p>
    <w:p w14:paraId="1DA1C6B4" w14:textId="224C6578" w:rsidR="00B33F71" w:rsidRPr="00A94B71" w:rsidRDefault="00B33F71" w:rsidP="00A94B71">
      <w:pPr>
        <w:spacing w:line="360" w:lineRule="auto"/>
        <w:rPr>
          <w:rFonts w:ascii="Arial" w:hAnsi="Arial" w:cs="Arial"/>
          <w:b/>
          <w:bCs/>
          <w:sz w:val="22"/>
          <w:szCs w:val="22"/>
        </w:rPr>
      </w:pPr>
      <w:r w:rsidRPr="00A94B71">
        <w:rPr>
          <w:rFonts w:ascii="Arial" w:hAnsi="Arial" w:cs="Arial"/>
          <w:sz w:val="22"/>
          <w:szCs w:val="22"/>
        </w:rPr>
        <w:br/>
        <w:t xml:space="preserve">The researcher employed the random pupil generator function of ClassCharts, adhering to the principles of random sampling (Stratton, 2021). Random sampling ensures equal representation of each student in the targeted population, enhancing the representativeness of selected participants and minimising bias (Dikko, 2016). This approach contributes to the validity of the study's findings. Additionally, as emphasised by Alshenqeeti (2014), interviews </w:t>
      </w:r>
      <w:r w:rsidR="0063500D">
        <w:rPr>
          <w:rFonts w:ascii="Arial" w:hAnsi="Arial" w:cs="Arial"/>
          <w:sz w:val="22"/>
          <w:szCs w:val="22"/>
        </w:rPr>
        <w:t>were</w:t>
      </w:r>
      <w:r w:rsidRPr="00A94B71">
        <w:rPr>
          <w:rFonts w:ascii="Arial" w:hAnsi="Arial" w:cs="Arial"/>
          <w:sz w:val="22"/>
          <w:szCs w:val="22"/>
        </w:rPr>
        <w:t xml:space="preserve"> presented as a reflective process, allowing participants to engage in introspection and critical examination of their experiences, thereby enriching the depth of their perspectives.</w:t>
      </w:r>
    </w:p>
    <w:p w14:paraId="62509D6A" w14:textId="77777777" w:rsidR="00B33F71" w:rsidRPr="00A94B71" w:rsidRDefault="00B33F71" w:rsidP="00A94B71">
      <w:pPr>
        <w:spacing w:line="360" w:lineRule="auto"/>
        <w:rPr>
          <w:rFonts w:ascii="Arial" w:hAnsi="Arial" w:cs="Arial"/>
          <w:sz w:val="22"/>
          <w:szCs w:val="22"/>
        </w:rPr>
      </w:pPr>
    </w:p>
    <w:p w14:paraId="10701B77" w14:textId="04D322BB" w:rsidR="00B33F71" w:rsidRPr="00A94B71" w:rsidRDefault="00B33F71" w:rsidP="00A94B71">
      <w:pPr>
        <w:spacing w:line="360" w:lineRule="auto"/>
        <w:rPr>
          <w:rFonts w:ascii="Arial" w:hAnsi="Arial" w:cs="Arial"/>
          <w:sz w:val="22"/>
          <w:szCs w:val="22"/>
        </w:rPr>
      </w:pPr>
      <w:r w:rsidRPr="00A94B71">
        <w:rPr>
          <w:rFonts w:ascii="Arial" w:hAnsi="Arial" w:cs="Arial"/>
          <w:b/>
          <w:bCs/>
          <w:i/>
          <w:iCs/>
          <w:sz w:val="22"/>
          <w:szCs w:val="22"/>
        </w:rPr>
        <w:t>Observational Data</w:t>
      </w:r>
      <w:r w:rsidRPr="00A94B71">
        <w:rPr>
          <w:rFonts w:ascii="Arial" w:hAnsi="Arial" w:cs="Arial"/>
          <w:sz w:val="22"/>
          <w:szCs w:val="22"/>
        </w:rPr>
        <w:br/>
        <w:t>Observational data collection involved maintaining informal records to document pupils' behaviour, interactions, and engagement with scaffolding support. These observations provided additional insights into the practical implications of using scaffolding in GCSE drama education and complemented findings from other data sources, enhancing the study's validity.</w:t>
      </w:r>
    </w:p>
    <w:p w14:paraId="37DA58D5" w14:textId="77777777" w:rsidR="00B33F71" w:rsidRPr="00A94B71" w:rsidRDefault="00B33F71" w:rsidP="00A94B71">
      <w:pPr>
        <w:spacing w:line="360" w:lineRule="auto"/>
        <w:rPr>
          <w:rFonts w:ascii="Arial" w:hAnsi="Arial" w:cs="Arial"/>
          <w:b/>
          <w:bCs/>
          <w:sz w:val="22"/>
          <w:szCs w:val="22"/>
        </w:rPr>
      </w:pPr>
      <w:r w:rsidRPr="00A94B71">
        <w:rPr>
          <w:rFonts w:ascii="Arial" w:hAnsi="Arial" w:cs="Arial"/>
          <w:sz w:val="22"/>
          <w:szCs w:val="22"/>
        </w:rPr>
        <w:br/>
        <w:t xml:space="preserve">Direct observation, highlighted by Yin (2012), is a foundation of case study evidence collection, involving first-hand observation of situations like classroom behaviour for data gathering. This approach offers real-time insights into the phenomena under study (Cohen, Manion, and Morrison, 2017). Observational data analysis enables researchers to explore human behaviours such as non-verbal cues and body language, enriching the data beyond verbal responses alone (Mazhar et al., 2021). By observing participants' interactions with the scaffolding sheet while answering the exam question, a visual </w:t>
      </w:r>
      <w:r w:rsidRPr="00A94B71">
        <w:rPr>
          <w:rFonts w:ascii="Arial" w:hAnsi="Arial" w:cs="Arial"/>
          <w:sz w:val="22"/>
          <w:szCs w:val="22"/>
        </w:rPr>
        <w:lastRenderedPageBreak/>
        <w:t>dimension was added to contextualise verbal responses, providing deeper insights into engagement and understanding.</w:t>
      </w:r>
    </w:p>
    <w:p w14:paraId="5F763A78" w14:textId="77777777" w:rsidR="00AB366F" w:rsidRDefault="00AB366F" w:rsidP="00A94B71">
      <w:pPr>
        <w:spacing w:line="360" w:lineRule="auto"/>
        <w:rPr>
          <w:rFonts w:ascii="Arial" w:hAnsi="Arial" w:cs="Arial"/>
          <w:sz w:val="22"/>
          <w:szCs w:val="22"/>
        </w:rPr>
      </w:pPr>
    </w:p>
    <w:p w14:paraId="7056DC0C" w14:textId="795C27F7" w:rsidR="00B33F71" w:rsidRPr="00A94B71" w:rsidRDefault="00B33F71" w:rsidP="00A94B71">
      <w:pPr>
        <w:spacing w:line="360" w:lineRule="auto"/>
        <w:rPr>
          <w:rFonts w:ascii="Arial" w:hAnsi="Arial" w:cs="Arial"/>
          <w:sz w:val="22"/>
          <w:szCs w:val="22"/>
        </w:rPr>
      </w:pPr>
      <w:r w:rsidRPr="00A94B71">
        <w:rPr>
          <w:rFonts w:ascii="Arial" w:hAnsi="Arial" w:cs="Arial"/>
          <w:sz w:val="22"/>
          <w:szCs w:val="22"/>
        </w:rPr>
        <w:t xml:space="preserve">However, the limitations of observational data, particularly observer bias, must be acknowledged (Johnson, Adkins, and Chauvin, 2020). Researchers' preconceptions or expectations may influence interpretation, emphasising the need for reflexivity in the observational process (Cohen, Manion, and Morrison, 2017). Structured observational records were aligned with research objectives, capturing visual representations of pupil behaviour and interactions with scaffolding support, alongside noteworthy observations or insights (Johnson, Adkins, and Chauvin, 2020). During </w:t>
      </w:r>
      <w:r w:rsidR="00541814" w:rsidRPr="00A94B71">
        <w:rPr>
          <w:rFonts w:ascii="Arial" w:hAnsi="Arial" w:cs="Arial"/>
          <w:sz w:val="22"/>
          <w:szCs w:val="22"/>
        </w:rPr>
        <w:t>the semi structured interview (see appendix E)</w:t>
      </w:r>
      <w:r w:rsidRPr="00A94B71">
        <w:rPr>
          <w:rFonts w:ascii="Arial" w:hAnsi="Arial" w:cs="Arial"/>
          <w:sz w:val="22"/>
          <w:szCs w:val="22"/>
        </w:rPr>
        <w:t>, shorthand notes were initially taken, with additional depth added afterwards to ensure accuracy and authenticity.</w:t>
      </w:r>
    </w:p>
    <w:p w14:paraId="64C87907" w14:textId="32E817AE" w:rsidR="00BC474F" w:rsidRPr="00A94B71" w:rsidRDefault="00BC474F" w:rsidP="00A94B71">
      <w:pPr>
        <w:spacing w:line="360" w:lineRule="auto"/>
        <w:rPr>
          <w:rFonts w:ascii="Arial" w:eastAsiaTheme="minorHAnsi" w:hAnsi="Arial" w:cs="Arial"/>
          <w:b/>
          <w:bCs/>
          <w:kern w:val="2"/>
          <w:sz w:val="22"/>
          <w:szCs w:val="22"/>
          <w:lang w:eastAsia="en-US"/>
          <w14:ligatures w14:val="standardContextual"/>
        </w:rPr>
      </w:pPr>
      <w:r w:rsidRPr="00A94B71">
        <w:rPr>
          <w:rFonts w:ascii="Arial" w:eastAsiaTheme="minorHAnsi" w:hAnsi="Arial" w:cs="Arial"/>
          <w:b/>
          <w:bCs/>
          <w:kern w:val="2"/>
          <w:sz w:val="22"/>
          <w:szCs w:val="22"/>
          <w:u w:val="single"/>
          <w:lang w:eastAsia="en-US"/>
          <w14:ligatures w14:val="standardContextual"/>
        </w:rPr>
        <w:br/>
      </w:r>
      <w:r w:rsidRPr="00A94B71">
        <w:rPr>
          <w:rFonts w:ascii="Arial" w:eastAsiaTheme="minorHAnsi" w:hAnsi="Arial" w:cs="Arial"/>
          <w:b/>
          <w:bCs/>
          <w:kern w:val="2"/>
          <w:sz w:val="22"/>
          <w:szCs w:val="22"/>
          <w:lang w:eastAsia="en-US"/>
          <w14:ligatures w14:val="standardContextual"/>
        </w:rPr>
        <w:t>Data Presentation and Analysis Method(s)</w:t>
      </w:r>
    </w:p>
    <w:p w14:paraId="55528762" w14:textId="77777777" w:rsidR="00AB366F" w:rsidRDefault="00BC474F" w:rsidP="00A94B71">
      <w:pPr>
        <w:spacing w:after="160" w:line="360" w:lineRule="auto"/>
        <w:rPr>
          <w:rFonts w:ascii="Arial" w:eastAsiaTheme="minorHAnsi" w:hAnsi="Arial" w:cs="Arial"/>
          <w:kern w:val="2"/>
          <w:sz w:val="22"/>
          <w:szCs w:val="22"/>
          <w:lang w:eastAsia="en-US"/>
          <w14:ligatures w14:val="standardContextual"/>
        </w:rPr>
      </w:pPr>
      <w:r w:rsidRPr="00A94B71">
        <w:rPr>
          <w:rFonts w:ascii="Arial" w:eastAsiaTheme="minorHAnsi" w:hAnsi="Arial" w:cs="Arial"/>
          <w:kern w:val="2"/>
          <w:sz w:val="22"/>
          <w:szCs w:val="22"/>
          <w:lang w:eastAsia="en-US"/>
          <w14:ligatures w14:val="standardContextual"/>
        </w:rPr>
        <w:t>Effective data presentation and analysis methods are pivotal in any research study, as they ensure accurate representation and interpretation of findings, placing responsibility on the researcher(s) (Peel, 2020). The choice of analysis methods is crucial, as they inform how data will be conducted and presented, acting as a bridge from data to understanding and interpretation of the phenomenon under investigation (Cohen, Manion, and Morrison, 2017). Consequently, the selected analysis methods align with the mixed-methods approach adopted in this study, enhancing its validity.</w:t>
      </w:r>
    </w:p>
    <w:p w14:paraId="22EFFFBB" w14:textId="2D8CA848" w:rsidR="00BC474F" w:rsidRPr="00A94B71" w:rsidRDefault="00BC474F" w:rsidP="00A94B71">
      <w:pPr>
        <w:spacing w:after="160" w:line="360" w:lineRule="auto"/>
        <w:rPr>
          <w:rFonts w:ascii="Arial" w:eastAsiaTheme="minorHAnsi" w:hAnsi="Arial" w:cs="Arial"/>
          <w:kern w:val="2"/>
          <w:sz w:val="22"/>
          <w:szCs w:val="22"/>
          <w:lang w:eastAsia="en-US"/>
          <w14:ligatures w14:val="standardContextual"/>
        </w:rPr>
      </w:pPr>
      <w:r w:rsidRPr="00A94B71">
        <w:rPr>
          <w:rFonts w:ascii="Arial" w:eastAsiaTheme="minorHAnsi" w:hAnsi="Arial" w:cs="Arial"/>
          <w:kern w:val="2"/>
          <w:sz w:val="22"/>
          <w:szCs w:val="22"/>
          <w:lang w:eastAsia="en-US"/>
          <w14:ligatures w14:val="standardContextual"/>
        </w:rPr>
        <w:br/>
        <w:t xml:space="preserve">Qualitative data </w:t>
      </w:r>
      <w:r w:rsidR="00AB366F" w:rsidRPr="00A94B71">
        <w:rPr>
          <w:rFonts w:ascii="Arial" w:eastAsiaTheme="minorHAnsi" w:hAnsi="Arial" w:cs="Arial"/>
          <w:kern w:val="2"/>
          <w:sz w:val="22"/>
          <w:szCs w:val="22"/>
          <w:lang w:eastAsia="en-US"/>
          <w14:ligatures w14:val="standardContextual"/>
        </w:rPr>
        <w:t>undertook</w:t>
      </w:r>
      <w:r w:rsidRPr="00A94B71">
        <w:rPr>
          <w:rFonts w:ascii="Arial" w:eastAsiaTheme="minorHAnsi" w:hAnsi="Arial" w:cs="Arial"/>
          <w:kern w:val="2"/>
          <w:sz w:val="22"/>
          <w:szCs w:val="22"/>
          <w:lang w:eastAsia="en-US"/>
          <w14:ligatures w14:val="standardContextual"/>
        </w:rPr>
        <w:t xml:space="preserve"> thematic analysis, a widely recognised method for identifying, analysing, and reporting patterns and common themes within qualitative data (Clarke and Braun, 2016). Thematic analysis facilitated the exploration of emerging themes and patterns from semi-structured interviews, observational records, and qualitative open-ended questionnaire responses, aiming to provide insights into participants' perceptions and behaviours. The flexibility of thematic analysis, as highlighted by Maguire and Delahunt (2017), is valuable in educational research due to its adaptability to diverse teaching and learning contexts. The systematic approach involved initial coding of data segments, grouping of codes into categories, development of coherent themes, and iterative review and refinement</w:t>
      </w:r>
      <w:r w:rsidR="00AB366F">
        <w:rPr>
          <w:rFonts w:ascii="Arial" w:eastAsiaTheme="minorHAnsi" w:hAnsi="Arial" w:cs="Arial"/>
          <w:kern w:val="2"/>
          <w:sz w:val="22"/>
          <w:szCs w:val="22"/>
          <w:lang w:eastAsia="en-US"/>
          <w14:ligatures w14:val="standardContextual"/>
        </w:rPr>
        <w:t>,</w:t>
      </w:r>
      <w:r w:rsidRPr="00A94B71">
        <w:rPr>
          <w:rFonts w:ascii="Arial" w:eastAsiaTheme="minorHAnsi" w:hAnsi="Arial" w:cs="Arial"/>
          <w:kern w:val="2"/>
          <w:sz w:val="22"/>
          <w:szCs w:val="22"/>
          <w:lang w:eastAsia="en-US"/>
          <w14:ligatures w14:val="standardContextual"/>
        </w:rPr>
        <w:t xml:space="preserve"> to ensure a thorough and insightful analysis.</w:t>
      </w:r>
      <w:r w:rsidRPr="00A94B71">
        <w:rPr>
          <w:rFonts w:ascii="Arial" w:eastAsiaTheme="minorHAnsi" w:hAnsi="Arial" w:cs="Arial"/>
          <w:kern w:val="2"/>
          <w:sz w:val="22"/>
          <w:szCs w:val="22"/>
          <w:lang w:eastAsia="en-US"/>
          <w14:ligatures w14:val="standardContextual"/>
        </w:rPr>
        <w:br/>
      </w:r>
    </w:p>
    <w:p w14:paraId="6C3275BC" w14:textId="77777777" w:rsidR="00BC474F" w:rsidRPr="00A94B71" w:rsidRDefault="00BC474F" w:rsidP="00A94B71">
      <w:pPr>
        <w:spacing w:after="160" w:line="360" w:lineRule="auto"/>
        <w:rPr>
          <w:rFonts w:ascii="Arial" w:eastAsiaTheme="minorHAnsi" w:hAnsi="Arial" w:cs="Arial"/>
          <w:kern w:val="2"/>
          <w:sz w:val="22"/>
          <w:szCs w:val="22"/>
          <w:lang w:eastAsia="en-US"/>
          <w14:ligatures w14:val="standardContextual"/>
        </w:rPr>
      </w:pPr>
      <w:r w:rsidRPr="00A94B71">
        <w:rPr>
          <w:rFonts w:ascii="Arial" w:eastAsiaTheme="minorHAnsi" w:hAnsi="Arial" w:cs="Arial"/>
          <w:kern w:val="2"/>
          <w:sz w:val="22"/>
          <w:szCs w:val="22"/>
          <w:lang w:eastAsia="en-US"/>
          <w14:ligatures w14:val="standardContextual"/>
        </w:rPr>
        <w:t xml:space="preserve">Quantitative data analysis utilised Microsoft Forms and Excel online platforms. The systematic nature of quantitative data enabled the use of graphs and charts to present raw data effectively (Ahmad </w:t>
      </w:r>
      <w:r w:rsidRPr="00AB366F">
        <w:rPr>
          <w:rFonts w:ascii="Arial" w:eastAsiaTheme="minorHAnsi" w:hAnsi="Arial" w:cs="Arial"/>
          <w:i/>
          <w:iCs/>
          <w:kern w:val="2"/>
          <w:sz w:val="22"/>
          <w:szCs w:val="22"/>
          <w:lang w:eastAsia="en-US"/>
          <w14:ligatures w14:val="standardContextual"/>
        </w:rPr>
        <w:t>et al</w:t>
      </w:r>
      <w:r w:rsidRPr="00A94B71">
        <w:rPr>
          <w:rFonts w:ascii="Arial" w:eastAsiaTheme="minorHAnsi" w:hAnsi="Arial" w:cs="Arial"/>
          <w:kern w:val="2"/>
          <w:sz w:val="22"/>
          <w:szCs w:val="22"/>
          <w:lang w:eastAsia="en-US"/>
          <w14:ligatures w14:val="standardContextual"/>
        </w:rPr>
        <w:t>., 2019). Visual representations facilitated objective analysis and interpretation, complementing the strategic elements of thematic analysis. Additionally, descriptive analysis of statistical findings aimed to provide numerical insights to enrich qualitative findings (Yin, 2018), enhancing the validity and credibility of the study outcomes.</w:t>
      </w:r>
    </w:p>
    <w:p w14:paraId="55555A97" w14:textId="3A64E315" w:rsidR="004C2183" w:rsidRPr="00A94B71" w:rsidRDefault="00BC474F" w:rsidP="00A94B71">
      <w:pPr>
        <w:spacing w:after="160" w:line="360" w:lineRule="auto"/>
        <w:rPr>
          <w:rFonts w:ascii="Arial" w:eastAsiaTheme="minorHAnsi" w:hAnsi="Arial" w:cs="Arial"/>
          <w:kern w:val="2"/>
          <w:sz w:val="22"/>
          <w:szCs w:val="22"/>
          <w:lang w:eastAsia="en-US"/>
          <w14:ligatures w14:val="standardContextual"/>
        </w:rPr>
      </w:pPr>
      <w:r w:rsidRPr="00A94B71">
        <w:rPr>
          <w:rFonts w:ascii="Arial" w:eastAsiaTheme="minorHAnsi" w:hAnsi="Arial" w:cs="Arial"/>
          <w:kern w:val="2"/>
          <w:sz w:val="22"/>
          <w:szCs w:val="22"/>
          <w:lang w:eastAsia="en-US"/>
          <w14:ligatures w14:val="standardContextual"/>
        </w:rPr>
        <w:t xml:space="preserve">To ensure trustworthiness in data analysis, various measures were implemented. Research analysis was treated as an iterative and reflexive process, incorporating data collection, literature review, and </w:t>
      </w:r>
      <w:r w:rsidRPr="00A94B71">
        <w:rPr>
          <w:rFonts w:ascii="Arial" w:eastAsiaTheme="minorHAnsi" w:hAnsi="Arial" w:cs="Arial"/>
          <w:kern w:val="2"/>
          <w:sz w:val="22"/>
          <w:szCs w:val="22"/>
          <w:lang w:eastAsia="en-US"/>
          <w14:ligatures w14:val="standardContextual"/>
        </w:rPr>
        <w:lastRenderedPageBreak/>
        <w:t xml:space="preserve">researcher introspection (Xu and Zammit, 2020). Awareness of positionality, informed by the literature review, aimed to enhance objectivity. Moreover, the acknowledgement and discussion of research limitations contributed to the validity and applicability of the findings (Theofanidis and Fountouki, 2018). Furthermore, involving peers in the pilot testing phase enhanced the validity and reliability of research findings by ensuring well-structured and unbiased questions (Dikko, 2016). </w:t>
      </w:r>
      <w:r w:rsidR="00B33F71" w:rsidRPr="00A94B71">
        <w:rPr>
          <w:rFonts w:ascii="Arial" w:eastAsiaTheme="minorHAnsi" w:hAnsi="Arial" w:cs="Arial"/>
          <w:b/>
          <w:bCs/>
          <w:kern w:val="2"/>
          <w:sz w:val="22"/>
          <w:szCs w:val="22"/>
          <w:u w:val="single"/>
          <w:lang w:eastAsia="en-US"/>
          <w14:ligatures w14:val="standardContextual"/>
        </w:rPr>
        <w:br/>
      </w:r>
      <w:r w:rsidR="004C2183" w:rsidRPr="00A94B71">
        <w:rPr>
          <w:rFonts w:ascii="Arial" w:eastAsiaTheme="minorHAnsi" w:hAnsi="Arial" w:cs="Arial"/>
          <w:kern w:val="2"/>
          <w:sz w:val="22"/>
          <w:szCs w:val="22"/>
          <w:lang w:eastAsia="en-US"/>
          <w14:ligatures w14:val="standardContextual"/>
        </w:rPr>
        <w:br/>
      </w:r>
      <w:r w:rsidR="004C2183" w:rsidRPr="00A94B71">
        <w:rPr>
          <w:rFonts w:ascii="Arial" w:eastAsiaTheme="minorHAnsi" w:hAnsi="Arial" w:cs="Arial"/>
          <w:b/>
          <w:bCs/>
          <w:kern w:val="2"/>
          <w:sz w:val="22"/>
          <w:szCs w:val="22"/>
          <w:lang w:eastAsia="en-US"/>
          <w14:ligatures w14:val="standardContextual"/>
        </w:rPr>
        <w:t>Ethical Considerations</w:t>
      </w:r>
    </w:p>
    <w:p w14:paraId="46812BCC" w14:textId="77777777" w:rsidR="004C2183" w:rsidRPr="00A94B71" w:rsidRDefault="004C2183" w:rsidP="00A94B71">
      <w:pPr>
        <w:spacing w:after="160" w:line="360" w:lineRule="auto"/>
        <w:rPr>
          <w:rFonts w:ascii="Arial" w:eastAsiaTheme="minorHAnsi" w:hAnsi="Arial" w:cs="Arial"/>
          <w:kern w:val="2"/>
          <w:sz w:val="22"/>
          <w:szCs w:val="22"/>
          <w:lang w:eastAsia="en-US"/>
          <w14:ligatures w14:val="standardContextual"/>
        </w:rPr>
      </w:pPr>
      <w:r w:rsidRPr="00A94B71">
        <w:rPr>
          <w:rFonts w:ascii="Arial" w:eastAsiaTheme="minorHAnsi" w:hAnsi="Arial" w:cs="Arial"/>
          <w:kern w:val="2"/>
          <w:sz w:val="22"/>
          <w:szCs w:val="22"/>
          <w:lang w:eastAsia="en-US"/>
          <w14:ligatures w14:val="standardContextual"/>
        </w:rPr>
        <w:t xml:space="preserve">In accordance with the Education Workforce Council (EWC) Code of Professional Conduct (2023), which underscores a teacher's obligation to safeguard the best interests of all learners, this study adhered to rigorous ethical standards (EWC, 2023). Furthermore, it states educators must be accountable for their conduct and engage with learners to empower their confidence and holistic development (EWC, 2023).  </w:t>
      </w:r>
    </w:p>
    <w:p w14:paraId="36C117F2" w14:textId="2023CA02" w:rsidR="004C2183" w:rsidRPr="00A94B71" w:rsidRDefault="004C2183" w:rsidP="00A94B71">
      <w:pPr>
        <w:spacing w:after="160" w:line="360" w:lineRule="auto"/>
        <w:rPr>
          <w:rFonts w:ascii="Arial" w:eastAsiaTheme="minorHAnsi" w:hAnsi="Arial" w:cs="Arial"/>
          <w:kern w:val="2"/>
          <w:sz w:val="22"/>
          <w:szCs w:val="22"/>
          <w:lang w:eastAsia="en-US"/>
          <w14:ligatures w14:val="standardContextual"/>
        </w:rPr>
      </w:pPr>
      <w:r w:rsidRPr="00A94B71">
        <w:rPr>
          <w:rFonts w:ascii="Arial" w:eastAsiaTheme="minorHAnsi" w:hAnsi="Arial" w:cs="Arial"/>
          <w:kern w:val="2"/>
          <w:sz w:val="22"/>
          <w:szCs w:val="22"/>
          <w:lang w:eastAsia="en-US"/>
          <w14:ligatures w14:val="standardContextual"/>
        </w:rPr>
        <w:t>Therefore, following the British Educational Research Association (BERA) ethical guidelines (2018), an ethics form was meticulously completed and submitted</w:t>
      </w:r>
      <w:r w:rsidR="008D2FFC" w:rsidRPr="00A94B71">
        <w:rPr>
          <w:rFonts w:ascii="Arial" w:eastAsiaTheme="minorHAnsi" w:hAnsi="Arial" w:cs="Arial"/>
          <w:kern w:val="2"/>
          <w:sz w:val="22"/>
          <w:szCs w:val="22"/>
          <w:lang w:eastAsia="en-US"/>
          <w14:ligatures w14:val="standardContextual"/>
        </w:rPr>
        <w:t xml:space="preserve"> (see appendix </w:t>
      </w:r>
      <w:r w:rsidR="00F710B2" w:rsidRPr="00A94B71">
        <w:rPr>
          <w:rFonts w:ascii="Arial" w:eastAsiaTheme="minorHAnsi" w:hAnsi="Arial" w:cs="Arial"/>
          <w:kern w:val="2"/>
          <w:sz w:val="22"/>
          <w:szCs w:val="22"/>
          <w:lang w:eastAsia="en-US"/>
          <w14:ligatures w14:val="standardContextual"/>
        </w:rPr>
        <w:t>F</w:t>
      </w:r>
      <w:r w:rsidR="008D2FFC" w:rsidRPr="00A94B71">
        <w:rPr>
          <w:rFonts w:ascii="Arial" w:eastAsiaTheme="minorHAnsi" w:hAnsi="Arial" w:cs="Arial"/>
          <w:kern w:val="2"/>
          <w:sz w:val="22"/>
          <w:szCs w:val="22"/>
          <w:lang w:eastAsia="en-US"/>
          <w14:ligatures w14:val="standardContextual"/>
        </w:rPr>
        <w:t>)</w:t>
      </w:r>
      <w:r w:rsidRPr="00A94B71">
        <w:rPr>
          <w:rFonts w:ascii="Arial" w:eastAsiaTheme="minorHAnsi" w:hAnsi="Arial" w:cs="Arial"/>
          <w:kern w:val="2"/>
          <w:sz w:val="22"/>
          <w:szCs w:val="22"/>
          <w:lang w:eastAsia="en-US"/>
          <w14:ligatures w14:val="standardContextual"/>
        </w:rPr>
        <w:t>, detailing all proposed aspects of the research and ensuring compliance with approved ethical standards.</w:t>
      </w:r>
    </w:p>
    <w:p w14:paraId="28C068A5" w14:textId="072E3C7C" w:rsidR="004C2183" w:rsidRPr="00A94B71" w:rsidRDefault="004C2183" w:rsidP="00A94B71">
      <w:pPr>
        <w:spacing w:after="160" w:line="360" w:lineRule="auto"/>
        <w:rPr>
          <w:rFonts w:ascii="Arial" w:eastAsiaTheme="minorHAnsi" w:hAnsi="Arial" w:cs="Arial"/>
          <w:kern w:val="2"/>
          <w:sz w:val="22"/>
          <w:szCs w:val="22"/>
          <w:lang w:eastAsia="en-US"/>
          <w14:ligatures w14:val="standardContextual"/>
        </w:rPr>
      </w:pPr>
      <w:r w:rsidRPr="00A94B71">
        <w:rPr>
          <w:rFonts w:ascii="Arial" w:eastAsiaTheme="minorHAnsi" w:hAnsi="Arial" w:cs="Arial"/>
          <w:kern w:val="2"/>
          <w:sz w:val="22"/>
          <w:szCs w:val="22"/>
          <w:lang w:eastAsia="en-US"/>
          <w14:ligatures w14:val="standardContextual"/>
        </w:rPr>
        <w:t>Additionally, parental consent and guardianship approval were obtained for all participants (</w:t>
      </w:r>
      <w:r w:rsidR="008D2FFC" w:rsidRPr="00A94B71">
        <w:rPr>
          <w:rFonts w:ascii="Arial" w:eastAsiaTheme="minorHAnsi" w:hAnsi="Arial" w:cs="Arial"/>
          <w:kern w:val="2"/>
          <w:sz w:val="22"/>
          <w:szCs w:val="22"/>
          <w:lang w:eastAsia="en-US"/>
          <w14:ligatures w14:val="standardContextual"/>
        </w:rPr>
        <w:t xml:space="preserve">see </w:t>
      </w:r>
      <w:r w:rsidRPr="00A94B71">
        <w:rPr>
          <w:rFonts w:ascii="Arial" w:eastAsiaTheme="minorHAnsi" w:hAnsi="Arial" w:cs="Arial"/>
          <w:kern w:val="2"/>
          <w:sz w:val="22"/>
          <w:szCs w:val="22"/>
          <w:lang w:eastAsia="en-US"/>
          <w14:ligatures w14:val="standardContextual"/>
        </w:rPr>
        <w:t xml:space="preserve">appendix </w:t>
      </w:r>
      <w:r w:rsidR="00F710B2" w:rsidRPr="00A94B71">
        <w:rPr>
          <w:rFonts w:ascii="Arial" w:eastAsiaTheme="minorHAnsi" w:hAnsi="Arial" w:cs="Arial"/>
          <w:kern w:val="2"/>
          <w:sz w:val="22"/>
          <w:szCs w:val="22"/>
          <w:lang w:eastAsia="en-US"/>
          <w14:ligatures w14:val="standardContextual"/>
        </w:rPr>
        <w:t>G</w:t>
      </w:r>
      <w:r w:rsidRPr="00A94B71">
        <w:rPr>
          <w:rFonts w:ascii="Arial" w:eastAsiaTheme="minorHAnsi" w:hAnsi="Arial" w:cs="Arial"/>
          <w:kern w:val="2"/>
          <w:sz w:val="22"/>
          <w:szCs w:val="22"/>
          <w:lang w:eastAsia="en-US"/>
          <w14:ligatures w14:val="standardContextual"/>
        </w:rPr>
        <w:t>), while verbal assent was sought directly from the pupils. Participants were thoroughly briefed on the research during a classroom session, where they received detailed information regarding their involvement, the study's timeline, and all pertinent details concerning consent and assent, including their right to withdraw at any stage. Encouragement was given for participants to ask questions and seek clarification before providing their assent. This comprehensive process ensured that parents</w:t>
      </w:r>
      <w:r w:rsidR="00AB366F">
        <w:rPr>
          <w:rFonts w:ascii="Arial" w:eastAsiaTheme="minorHAnsi" w:hAnsi="Arial" w:cs="Arial"/>
          <w:kern w:val="2"/>
          <w:sz w:val="22"/>
          <w:szCs w:val="22"/>
          <w:lang w:eastAsia="en-US"/>
          <w14:ligatures w14:val="standardContextual"/>
        </w:rPr>
        <w:t xml:space="preserve">, </w:t>
      </w:r>
      <w:r w:rsidRPr="00A94B71">
        <w:rPr>
          <w:rFonts w:ascii="Arial" w:eastAsiaTheme="minorHAnsi" w:hAnsi="Arial" w:cs="Arial"/>
          <w:kern w:val="2"/>
          <w:sz w:val="22"/>
          <w:szCs w:val="22"/>
          <w:lang w:eastAsia="en-US"/>
          <w14:ligatures w14:val="standardContextual"/>
        </w:rPr>
        <w:t xml:space="preserve">guardians </w:t>
      </w:r>
      <w:r w:rsidR="00AB366F">
        <w:rPr>
          <w:rFonts w:ascii="Arial" w:eastAsiaTheme="minorHAnsi" w:hAnsi="Arial" w:cs="Arial"/>
          <w:kern w:val="2"/>
          <w:sz w:val="22"/>
          <w:szCs w:val="22"/>
          <w:lang w:eastAsia="en-US"/>
          <w14:ligatures w14:val="standardContextual"/>
        </w:rPr>
        <w:t xml:space="preserve">and participants </w:t>
      </w:r>
      <w:r w:rsidRPr="00A94B71">
        <w:rPr>
          <w:rFonts w:ascii="Arial" w:eastAsiaTheme="minorHAnsi" w:hAnsi="Arial" w:cs="Arial"/>
          <w:kern w:val="2"/>
          <w:sz w:val="22"/>
          <w:szCs w:val="22"/>
          <w:lang w:eastAsia="en-US"/>
          <w14:ligatures w14:val="standardContextual"/>
        </w:rPr>
        <w:t>were fully informed about the study, granting them the opportunity to provide consent</w:t>
      </w:r>
      <w:r w:rsidR="00AB366F">
        <w:rPr>
          <w:rFonts w:ascii="Arial" w:eastAsiaTheme="minorHAnsi" w:hAnsi="Arial" w:cs="Arial"/>
          <w:kern w:val="2"/>
          <w:sz w:val="22"/>
          <w:szCs w:val="22"/>
          <w:lang w:eastAsia="en-US"/>
          <w14:ligatures w14:val="standardContextual"/>
        </w:rPr>
        <w:t xml:space="preserve"> and assent</w:t>
      </w:r>
      <w:r w:rsidRPr="00A94B71">
        <w:rPr>
          <w:rFonts w:ascii="Arial" w:eastAsiaTheme="minorHAnsi" w:hAnsi="Arial" w:cs="Arial"/>
          <w:kern w:val="2"/>
          <w:sz w:val="22"/>
          <w:szCs w:val="22"/>
          <w:lang w:eastAsia="en-US"/>
          <w14:ligatures w14:val="standardContextual"/>
        </w:rPr>
        <w:t xml:space="preserve"> for their child's participation. </w:t>
      </w:r>
    </w:p>
    <w:p w14:paraId="787B5196" w14:textId="28087340" w:rsidR="004C2183" w:rsidRPr="00A94B71" w:rsidRDefault="004C2183" w:rsidP="00A94B71">
      <w:pPr>
        <w:spacing w:after="160" w:line="360" w:lineRule="auto"/>
        <w:rPr>
          <w:rFonts w:ascii="Arial" w:eastAsiaTheme="minorHAnsi" w:hAnsi="Arial" w:cs="Arial"/>
          <w:kern w:val="2"/>
          <w:sz w:val="22"/>
          <w:szCs w:val="22"/>
          <w:lang w:eastAsia="en-US"/>
          <w14:ligatures w14:val="standardContextual"/>
        </w:rPr>
      </w:pPr>
      <w:r w:rsidRPr="00A94B71">
        <w:rPr>
          <w:rFonts w:ascii="Arial" w:eastAsiaTheme="minorHAnsi" w:hAnsi="Arial" w:cs="Arial"/>
          <w:kern w:val="2"/>
          <w:sz w:val="22"/>
          <w:szCs w:val="22"/>
          <w:lang w:eastAsia="en-US"/>
          <w14:ligatures w14:val="standardContextual"/>
        </w:rPr>
        <w:t>Anonymity was strictly maintained for all participants in line with BERA (2018) guidelines, ensuring that no identifiable information, such as names or specific school identifiers, w</w:t>
      </w:r>
      <w:r w:rsidR="00AB366F">
        <w:rPr>
          <w:rFonts w:ascii="Arial" w:eastAsiaTheme="minorHAnsi" w:hAnsi="Arial" w:cs="Arial"/>
          <w:kern w:val="2"/>
          <w:sz w:val="22"/>
          <w:szCs w:val="22"/>
          <w:lang w:eastAsia="en-US"/>
          <w14:ligatures w14:val="standardContextual"/>
        </w:rPr>
        <w:t>ere</w:t>
      </w:r>
      <w:r w:rsidRPr="00A94B71">
        <w:rPr>
          <w:rFonts w:ascii="Arial" w:eastAsiaTheme="minorHAnsi" w:hAnsi="Arial" w:cs="Arial"/>
          <w:kern w:val="2"/>
          <w:sz w:val="22"/>
          <w:szCs w:val="22"/>
          <w:lang w:eastAsia="en-US"/>
          <w14:ligatures w14:val="standardContextual"/>
        </w:rPr>
        <w:t xml:space="preserve"> included in any research or case study documentation. Generic pseudonyms such as "pupil Y" or "School X" were utilised to uphold confidentiality and protect participants' privacy. This approach guaranteed that participants' identities remained confidential and that they could not be individually identified in any research outputs.</w:t>
      </w:r>
    </w:p>
    <w:p w14:paraId="030B5A75" w14:textId="673A2F05" w:rsidR="00A94B71" w:rsidRDefault="004C2183" w:rsidP="00A94B71">
      <w:pPr>
        <w:spacing w:after="160" w:line="360" w:lineRule="auto"/>
        <w:rPr>
          <w:rFonts w:ascii="Arial" w:eastAsiaTheme="minorHAnsi" w:hAnsi="Arial" w:cs="Arial"/>
          <w:kern w:val="2"/>
          <w:sz w:val="22"/>
          <w:szCs w:val="22"/>
          <w:lang w:eastAsia="en-US"/>
          <w14:ligatures w14:val="standardContextual"/>
        </w:rPr>
      </w:pPr>
      <w:r w:rsidRPr="00A94B71">
        <w:rPr>
          <w:rFonts w:ascii="Arial" w:eastAsiaTheme="minorHAnsi" w:hAnsi="Arial" w:cs="Arial"/>
          <w:kern w:val="2"/>
          <w:sz w:val="22"/>
          <w:szCs w:val="22"/>
          <w:lang w:eastAsia="en-US"/>
          <w14:ligatures w14:val="standardContextual"/>
        </w:rPr>
        <w:t>By prioritising the welfare and holistic development of learners, this research aimed to contribute to the advancement of educational practice while upholding ethical conduct and integrity.</w:t>
      </w:r>
    </w:p>
    <w:p w14:paraId="0AD4852A" w14:textId="77777777" w:rsidR="00AB366F" w:rsidRPr="00AB366F" w:rsidRDefault="00AB366F" w:rsidP="00A94B71">
      <w:pPr>
        <w:spacing w:after="160" w:line="360" w:lineRule="auto"/>
        <w:rPr>
          <w:rFonts w:ascii="Arial" w:eastAsiaTheme="minorHAnsi" w:hAnsi="Arial" w:cs="Arial"/>
          <w:kern w:val="2"/>
          <w:sz w:val="22"/>
          <w:szCs w:val="22"/>
          <w:lang w:eastAsia="en-US"/>
          <w14:ligatures w14:val="standardContextual"/>
        </w:rPr>
      </w:pPr>
    </w:p>
    <w:p w14:paraId="5D6E064E" w14:textId="16056384" w:rsidR="00A94B71" w:rsidRPr="00AB366F" w:rsidRDefault="00376045" w:rsidP="00A94B71">
      <w:pPr>
        <w:spacing w:after="160" w:line="360" w:lineRule="auto"/>
        <w:rPr>
          <w:rFonts w:ascii="Arial" w:eastAsiaTheme="minorHAnsi" w:hAnsi="Arial" w:cs="Arial"/>
          <w:b/>
          <w:bCs/>
          <w:kern w:val="2"/>
          <w:sz w:val="22"/>
          <w:szCs w:val="22"/>
          <w:lang w:eastAsia="en-US"/>
          <w14:ligatures w14:val="standardContextual"/>
        </w:rPr>
      </w:pPr>
      <w:r w:rsidRPr="00376045">
        <w:rPr>
          <w:rFonts w:ascii="Arial" w:eastAsiaTheme="minorHAnsi" w:hAnsi="Arial" w:cs="Arial"/>
          <w:b/>
          <w:bCs/>
          <w:kern w:val="2"/>
          <w:sz w:val="22"/>
          <w:szCs w:val="22"/>
          <w:lang w:eastAsia="en-US"/>
          <w14:ligatures w14:val="standardContextual"/>
        </w:rPr>
        <w:t>Results and Analysis</w:t>
      </w:r>
    </w:p>
    <w:p w14:paraId="58872C0D" w14:textId="549AAA7A" w:rsidR="00376045" w:rsidRPr="00376045" w:rsidRDefault="00376045" w:rsidP="00A94B71">
      <w:pPr>
        <w:spacing w:after="160" w:line="360" w:lineRule="auto"/>
        <w:rPr>
          <w:rFonts w:ascii="Arial" w:eastAsiaTheme="minorHAnsi" w:hAnsi="Arial" w:cs="Arial"/>
          <w:b/>
          <w:bCs/>
          <w:i/>
          <w:iCs/>
          <w:kern w:val="2"/>
          <w:sz w:val="22"/>
          <w:szCs w:val="22"/>
          <w:lang w:eastAsia="en-US"/>
          <w14:ligatures w14:val="standardContextual"/>
        </w:rPr>
      </w:pPr>
      <w:r w:rsidRPr="00376045">
        <w:rPr>
          <w:rFonts w:ascii="Arial" w:eastAsiaTheme="minorHAnsi" w:hAnsi="Arial" w:cs="Arial"/>
          <w:b/>
          <w:bCs/>
          <w:i/>
          <w:iCs/>
          <w:kern w:val="2"/>
          <w:sz w:val="22"/>
          <w:szCs w:val="22"/>
          <w:lang w:eastAsia="en-US"/>
          <w14:ligatures w14:val="standardContextual"/>
        </w:rPr>
        <w:t>Prior Experience and Confidence Levels</w:t>
      </w:r>
    </w:p>
    <w:p w14:paraId="54B1C3C4" w14:textId="2F902DB9" w:rsidR="00376045" w:rsidRPr="00376045" w:rsidRDefault="00376045" w:rsidP="00A94B71">
      <w:pPr>
        <w:spacing w:after="160" w:line="360" w:lineRule="auto"/>
        <w:rPr>
          <w:rFonts w:ascii="Arial" w:eastAsiaTheme="minorHAnsi" w:hAnsi="Arial" w:cs="Arial"/>
          <w:kern w:val="2"/>
          <w:sz w:val="22"/>
          <w:szCs w:val="22"/>
          <w:lang w:eastAsia="en-US"/>
          <w14:ligatures w14:val="standardContextual"/>
        </w:rPr>
      </w:pPr>
      <w:r w:rsidRPr="00376045">
        <w:rPr>
          <w:rFonts w:ascii="Arial" w:eastAsiaTheme="minorHAnsi" w:hAnsi="Arial" w:cs="Arial"/>
          <w:kern w:val="2"/>
          <w:sz w:val="22"/>
          <w:szCs w:val="22"/>
          <w:lang w:eastAsia="en-US"/>
          <w14:ligatures w14:val="standardContextual"/>
        </w:rPr>
        <w:t xml:space="preserve">A range of experience levels and confidence in abilities were displayed by pupils before the intervention. The pre-intervention questionnaire revealed that school productions were experienced by </w:t>
      </w:r>
      <w:r w:rsidR="00AB366F">
        <w:rPr>
          <w:rFonts w:ascii="Arial" w:eastAsiaTheme="minorHAnsi" w:hAnsi="Arial" w:cs="Arial"/>
          <w:kern w:val="2"/>
          <w:sz w:val="22"/>
          <w:szCs w:val="22"/>
          <w:lang w:eastAsia="en-US"/>
          <w14:ligatures w14:val="standardContextual"/>
        </w:rPr>
        <w:t>five</w:t>
      </w:r>
      <w:r w:rsidRPr="00376045">
        <w:rPr>
          <w:rFonts w:ascii="Arial" w:eastAsiaTheme="minorHAnsi" w:hAnsi="Arial" w:cs="Arial"/>
          <w:kern w:val="2"/>
          <w:sz w:val="22"/>
          <w:szCs w:val="22"/>
          <w:lang w:eastAsia="en-US"/>
          <w14:ligatures w14:val="standardContextual"/>
        </w:rPr>
        <w:t xml:space="preserve"> pupils (35.7%), drama schools outside regular hours were attended by </w:t>
      </w:r>
      <w:r w:rsidR="00AB366F">
        <w:rPr>
          <w:rFonts w:ascii="Arial" w:eastAsiaTheme="minorHAnsi" w:hAnsi="Arial" w:cs="Arial"/>
          <w:kern w:val="2"/>
          <w:sz w:val="22"/>
          <w:szCs w:val="22"/>
          <w:lang w:eastAsia="en-US"/>
          <w14:ligatures w14:val="standardContextual"/>
        </w:rPr>
        <w:t>six</w:t>
      </w:r>
      <w:r w:rsidRPr="00376045">
        <w:rPr>
          <w:rFonts w:ascii="Arial" w:eastAsiaTheme="minorHAnsi" w:hAnsi="Arial" w:cs="Arial"/>
          <w:kern w:val="2"/>
          <w:sz w:val="22"/>
          <w:szCs w:val="22"/>
          <w:lang w:eastAsia="en-US"/>
          <w14:ligatures w14:val="standardContextual"/>
        </w:rPr>
        <w:t xml:space="preserve"> students (42.9%), and </w:t>
      </w:r>
      <w:r w:rsidR="00AB366F">
        <w:rPr>
          <w:rFonts w:ascii="Arial" w:eastAsiaTheme="minorHAnsi" w:hAnsi="Arial" w:cs="Arial"/>
          <w:kern w:val="2"/>
          <w:sz w:val="22"/>
          <w:szCs w:val="22"/>
          <w:lang w:eastAsia="en-US"/>
          <w14:ligatures w14:val="standardContextual"/>
        </w:rPr>
        <w:t>six</w:t>
      </w:r>
      <w:r w:rsidRPr="00376045">
        <w:rPr>
          <w:rFonts w:ascii="Arial" w:eastAsiaTheme="minorHAnsi" w:hAnsi="Arial" w:cs="Arial"/>
          <w:kern w:val="2"/>
          <w:sz w:val="22"/>
          <w:szCs w:val="22"/>
          <w:lang w:eastAsia="en-US"/>
          <w14:ligatures w14:val="standardContextual"/>
        </w:rPr>
        <w:t xml:space="preserve"> students (42.9%) indicated that the course was their sole experience with Drama (figure </w:t>
      </w:r>
      <w:r w:rsidR="00A94B71" w:rsidRPr="00A94B71">
        <w:rPr>
          <w:rFonts w:ascii="Arial" w:eastAsiaTheme="minorHAnsi" w:hAnsi="Arial" w:cs="Arial"/>
          <w:kern w:val="2"/>
          <w:sz w:val="22"/>
          <w:szCs w:val="22"/>
          <w:lang w:eastAsia="en-US"/>
          <w14:ligatures w14:val="standardContextual"/>
        </w:rPr>
        <w:t>2</w:t>
      </w:r>
      <w:r w:rsidRPr="00376045">
        <w:rPr>
          <w:rFonts w:ascii="Arial" w:eastAsiaTheme="minorHAnsi" w:hAnsi="Arial" w:cs="Arial"/>
          <w:kern w:val="2"/>
          <w:sz w:val="22"/>
          <w:szCs w:val="22"/>
          <w:lang w:eastAsia="en-US"/>
          <w14:ligatures w14:val="standardContextual"/>
        </w:rPr>
        <w:t xml:space="preserve">). Despite some prior </w:t>
      </w:r>
      <w:r w:rsidRPr="00376045">
        <w:rPr>
          <w:rFonts w:ascii="Arial" w:eastAsiaTheme="minorHAnsi" w:hAnsi="Arial" w:cs="Arial"/>
          <w:kern w:val="2"/>
          <w:sz w:val="22"/>
          <w:szCs w:val="22"/>
          <w:lang w:eastAsia="en-US"/>
          <w14:ligatures w14:val="standardContextual"/>
        </w:rPr>
        <w:lastRenderedPageBreak/>
        <w:t>experience, 57.1% of pupils expressed feeling either ‘unconfident’ or ‘not so confident’ about their ability to write responses to GCSE drama exam questions.</w:t>
      </w:r>
      <w:r w:rsidRPr="00376045">
        <w:rPr>
          <w:rFonts w:ascii="Arial" w:eastAsiaTheme="minorHAnsi" w:hAnsi="Arial" w:cs="Arial"/>
          <w:kern w:val="2"/>
          <w:sz w:val="22"/>
          <w:szCs w:val="22"/>
          <w:lang w:eastAsia="en-US"/>
          <w14:ligatures w14:val="standardContextual"/>
        </w:rPr>
        <w:br/>
      </w:r>
      <w:r w:rsidRPr="00376045">
        <w:rPr>
          <w:rFonts w:ascii="Arial" w:eastAsiaTheme="minorHAnsi" w:hAnsi="Arial" w:cs="Arial"/>
          <w:kern w:val="2"/>
          <w:sz w:val="22"/>
          <w:szCs w:val="22"/>
          <w:lang w:eastAsia="en-US"/>
          <w14:ligatures w14:val="standardContextual"/>
        </w:rPr>
        <w:br/>
      </w:r>
      <w:r w:rsidRPr="00376045">
        <w:rPr>
          <w:rFonts w:ascii="Arial" w:eastAsiaTheme="minorHAnsi" w:hAnsi="Arial" w:cs="Arial"/>
          <w:i/>
          <w:iCs/>
          <w:kern w:val="2"/>
          <w:sz w:val="22"/>
          <w:szCs w:val="22"/>
          <w:lang w:eastAsia="en-US"/>
          <w14:ligatures w14:val="standardContextual"/>
        </w:rPr>
        <w:t xml:space="preserve">Figure </w:t>
      </w:r>
      <w:r w:rsidR="00A94B71" w:rsidRPr="00A94B71">
        <w:rPr>
          <w:rFonts w:ascii="Arial" w:eastAsiaTheme="minorHAnsi" w:hAnsi="Arial" w:cs="Arial"/>
          <w:i/>
          <w:iCs/>
          <w:kern w:val="2"/>
          <w:sz w:val="22"/>
          <w:szCs w:val="22"/>
          <w:lang w:eastAsia="en-US"/>
          <w14:ligatures w14:val="standardContextual"/>
        </w:rPr>
        <w:t>2</w:t>
      </w:r>
      <w:r w:rsidRPr="00376045">
        <w:rPr>
          <w:rFonts w:ascii="Arial" w:eastAsiaTheme="minorHAnsi" w:hAnsi="Arial" w:cs="Arial"/>
          <w:i/>
          <w:iCs/>
          <w:kern w:val="2"/>
          <w:sz w:val="22"/>
          <w:szCs w:val="22"/>
          <w:lang w:eastAsia="en-US"/>
          <w14:ligatures w14:val="standardContextual"/>
        </w:rPr>
        <w:t>:</w:t>
      </w:r>
      <w:r w:rsidRPr="00376045">
        <w:rPr>
          <w:rFonts w:ascii="Arial" w:eastAsiaTheme="minorHAnsi" w:hAnsi="Arial" w:cs="Arial"/>
          <w:b/>
          <w:bCs/>
          <w:kern w:val="2"/>
          <w:sz w:val="22"/>
          <w:szCs w:val="22"/>
          <w:lang w:eastAsia="en-US"/>
          <w14:ligatures w14:val="standardContextual"/>
        </w:rPr>
        <w:br/>
      </w:r>
      <w:r w:rsidRPr="00376045">
        <w:rPr>
          <w:rFonts w:ascii="Arial" w:eastAsiaTheme="minorHAnsi" w:hAnsi="Arial" w:cs="Arial"/>
          <w:noProof/>
          <w:kern w:val="2"/>
          <w:sz w:val="22"/>
          <w:szCs w:val="22"/>
          <w:lang w:eastAsia="en-US"/>
          <w14:ligatures w14:val="standardContextual"/>
        </w:rPr>
        <w:drawing>
          <wp:inline distT="0" distB="0" distL="0" distR="0" wp14:anchorId="568C34E1" wp14:editId="5BD58A08">
            <wp:extent cx="5607050" cy="2138829"/>
            <wp:effectExtent l="0" t="0" r="0" b="0"/>
            <wp:docPr id="2012018152" name="Picture 1" descr="A screenshot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018152" name="Picture 1" descr="A screenshot of a white background&#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615917" cy="2142211"/>
                    </a:xfrm>
                    <a:prstGeom prst="rect">
                      <a:avLst/>
                    </a:prstGeom>
                  </pic:spPr>
                </pic:pic>
              </a:graphicData>
            </a:graphic>
          </wp:inline>
        </w:drawing>
      </w:r>
    </w:p>
    <w:p w14:paraId="42B01643" w14:textId="77777777" w:rsidR="00376045" w:rsidRPr="00376045" w:rsidRDefault="00376045" w:rsidP="00A94B71">
      <w:pPr>
        <w:spacing w:after="160" w:line="360" w:lineRule="auto"/>
        <w:jc w:val="center"/>
        <w:rPr>
          <w:rFonts w:ascii="Arial" w:eastAsiaTheme="minorHAnsi" w:hAnsi="Arial" w:cs="Arial"/>
          <w:i/>
          <w:iCs/>
          <w:kern w:val="2"/>
          <w:sz w:val="22"/>
          <w:szCs w:val="22"/>
          <w:lang w:eastAsia="en-US"/>
          <w14:ligatures w14:val="standardContextual"/>
        </w:rPr>
      </w:pPr>
      <w:r w:rsidRPr="00376045">
        <w:rPr>
          <w:rFonts w:ascii="Arial" w:eastAsiaTheme="minorHAnsi" w:hAnsi="Arial" w:cs="Arial"/>
          <w:i/>
          <w:iCs/>
          <w:kern w:val="2"/>
          <w:sz w:val="22"/>
          <w:szCs w:val="22"/>
          <w:lang w:eastAsia="en-US"/>
          <w14:ligatures w14:val="standardContextual"/>
        </w:rPr>
        <w:t>(Pre-intervention questionnaire)</w:t>
      </w:r>
    </w:p>
    <w:p w14:paraId="7852DCEE" w14:textId="32E6FD42" w:rsidR="00376045" w:rsidRPr="00376045" w:rsidRDefault="00376045" w:rsidP="00A94B71">
      <w:pPr>
        <w:spacing w:after="160" w:line="360" w:lineRule="auto"/>
        <w:rPr>
          <w:rFonts w:ascii="Arial" w:eastAsiaTheme="minorHAnsi" w:hAnsi="Arial" w:cs="Arial"/>
          <w:kern w:val="2"/>
          <w:sz w:val="22"/>
          <w:szCs w:val="22"/>
          <w:lang w:eastAsia="en-US"/>
          <w14:ligatures w14:val="standardContextual"/>
        </w:rPr>
      </w:pPr>
      <w:r w:rsidRPr="00376045">
        <w:rPr>
          <w:rFonts w:ascii="Arial" w:eastAsiaTheme="minorHAnsi" w:hAnsi="Arial" w:cs="Arial"/>
          <w:kern w:val="2"/>
          <w:sz w:val="22"/>
          <w:szCs w:val="22"/>
          <w:lang w:eastAsia="en-US"/>
          <w14:ligatures w14:val="standardContextual"/>
        </w:rPr>
        <w:t xml:space="preserve">Moreover, subtle impacts of prior experience on </w:t>
      </w:r>
      <w:r w:rsidR="00AB366F">
        <w:rPr>
          <w:rFonts w:ascii="Arial" w:eastAsiaTheme="minorHAnsi" w:hAnsi="Arial" w:cs="Arial"/>
          <w:kern w:val="2"/>
          <w:sz w:val="22"/>
          <w:szCs w:val="22"/>
          <w:lang w:eastAsia="en-US"/>
          <w14:ligatures w14:val="standardContextual"/>
        </w:rPr>
        <w:t>pupil</w:t>
      </w:r>
      <w:r w:rsidRPr="00376045">
        <w:rPr>
          <w:rFonts w:ascii="Arial" w:eastAsiaTheme="minorHAnsi" w:hAnsi="Arial" w:cs="Arial"/>
          <w:kern w:val="2"/>
          <w:sz w:val="22"/>
          <w:szCs w:val="22"/>
          <w:lang w:eastAsia="en-US"/>
          <w14:ligatures w14:val="standardContextual"/>
        </w:rPr>
        <w:t xml:space="preserve">s' confidence levels and exam preparation strategies were highlighted by qualitative insights from interviews. It was shared by one pupil (G), </w:t>
      </w:r>
      <w:r w:rsidRPr="00376045">
        <w:rPr>
          <w:rFonts w:ascii="Arial" w:eastAsiaTheme="minorHAnsi" w:hAnsi="Arial" w:cs="Arial"/>
          <w:i/>
          <w:iCs/>
          <w:kern w:val="2"/>
          <w:sz w:val="22"/>
          <w:szCs w:val="22"/>
          <w:lang w:eastAsia="en-US"/>
          <w14:ligatures w14:val="standardContextual"/>
        </w:rPr>
        <w:t>"I've been in school plays before, but I still feel unsure about how to tackle the exam questions, I didn’t choose drama for the written side of it</w:t>
      </w:r>
      <w:r w:rsidR="00AB366F">
        <w:rPr>
          <w:rFonts w:ascii="Arial" w:eastAsiaTheme="minorHAnsi" w:hAnsi="Arial" w:cs="Arial"/>
          <w:i/>
          <w:iCs/>
          <w:kern w:val="2"/>
          <w:sz w:val="22"/>
          <w:szCs w:val="22"/>
          <w:lang w:eastAsia="en-US"/>
          <w14:ligatures w14:val="standardContextual"/>
        </w:rPr>
        <w:t>”</w:t>
      </w:r>
      <w:r w:rsidRPr="00376045">
        <w:rPr>
          <w:rFonts w:ascii="Arial" w:eastAsiaTheme="minorHAnsi" w:hAnsi="Arial" w:cs="Arial"/>
          <w:i/>
          <w:iCs/>
          <w:kern w:val="2"/>
          <w:sz w:val="22"/>
          <w:szCs w:val="22"/>
          <w:lang w:eastAsia="en-US"/>
          <w14:ligatures w14:val="standardContextual"/>
        </w:rPr>
        <w:t>.</w:t>
      </w:r>
      <w:r w:rsidRPr="00376045">
        <w:rPr>
          <w:rFonts w:ascii="Arial" w:eastAsiaTheme="minorHAnsi" w:hAnsi="Arial" w:cs="Arial"/>
          <w:kern w:val="2"/>
          <w:sz w:val="22"/>
          <w:szCs w:val="22"/>
          <w:lang w:eastAsia="en-US"/>
          <w14:ligatures w14:val="standardContextual"/>
        </w:rPr>
        <w:t xml:space="preserve"> This sentiment underscores the complexity of learners' emotions towards exam preparation, despite varying levels of experience.</w:t>
      </w:r>
    </w:p>
    <w:p w14:paraId="1DF29970" w14:textId="77777777" w:rsidR="00376045" w:rsidRPr="00376045" w:rsidRDefault="00376045" w:rsidP="00A94B71">
      <w:pPr>
        <w:spacing w:after="160" w:line="360" w:lineRule="auto"/>
        <w:rPr>
          <w:rFonts w:ascii="Arial" w:eastAsiaTheme="minorHAnsi" w:hAnsi="Arial" w:cs="Arial"/>
          <w:kern w:val="2"/>
          <w:sz w:val="22"/>
          <w:szCs w:val="22"/>
          <w:lang w:eastAsia="en-US"/>
          <w14:ligatures w14:val="standardContextual"/>
        </w:rPr>
      </w:pPr>
    </w:p>
    <w:p w14:paraId="7EF524A4" w14:textId="77777777" w:rsidR="00376045" w:rsidRPr="00376045" w:rsidRDefault="00376045" w:rsidP="00A94B71">
      <w:pPr>
        <w:spacing w:after="160" w:line="360" w:lineRule="auto"/>
        <w:rPr>
          <w:rFonts w:ascii="Arial" w:eastAsiaTheme="minorHAnsi" w:hAnsi="Arial" w:cs="Arial"/>
          <w:b/>
          <w:bCs/>
          <w:i/>
          <w:iCs/>
          <w:kern w:val="2"/>
          <w:sz w:val="22"/>
          <w:szCs w:val="22"/>
          <w:lang w:eastAsia="en-US"/>
          <w14:ligatures w14:val="standardContextual"/>
        </w:rPr>
      </w:pPr>
      <w:r w:rsidRPr="00376045">
        <w:rPr>
          <w:rFonts w:ascii="Arial" w:eastAsiaTheme="minorHAnsi" w:hAnsi="Arial" w:cs="Arial"/>
          <w:kern w:val="2"/>
          <w:sz w:val="22"/>
          <w:szCs w:val="22"/>
          <w:lang w:eastAsia="en-US"/>
          <w14:ligatures w14:val="standardContextual"/>
        </w:rPr>
        <w:t xml:space="preserve"> </w:t>
      </w:r>
      <w:r w:rsidRPr="00376045">
        <w:rPr>
          <w:rFonts w:ascii="Arial" w:eastAsiaTheme="minorHAnsi" w:hAnsi="Arial" w:cs="Arial"/>
          <w:b/>
          <w:bCs/>
          <w:i/>
          <w:iCs/>
          <w:kern w:val="2"/>
          <w:sz w:val="22"/>
          <w:szCs w:val="22"/>
          <w:lang w:eastAsia="en-US"/>
          <w14:ligatures w14:val="standardContextual"/>
        </w:rPr>
        <w:t>Engagement with Scaffolding Support</w:t>
      </w:r>
    </w:p>
    <w:p w14:paraId="1D8BA84F" w14:textId="77777777" w:rsidR="00376045" w:rsidRPr="00376045" w:rsidRDefault="00376045" w:rsidP="00A94B71">
      <w:pPr>
        <w:spacing w:after="160" w:line="360" w:lineRule="auto"/>
        <w:rPr>
          <w:rFonts w:ascii="Arial" w:eastAsiaTheme="minorHAnsi" w:hAnsi="Arial" w:cs="Arial"/>
          <w:kern w:val="2"/>
          <w:sz w:val="22"/>
          <w:szCs w:val="22"/>
          <w:lang w:eastAsia="en-US"/>
          <w14:ligatures w14:val="standardContextual"/>
        </w:rPr>
      </w:pPr>
      <w:r w:rsidRPr="00376045">
        <w:rPr>
          <w:rFonts w:ascii="Arial" w:eastAsiaTheme="minorHAnsi" w:hAnsi="Arial" w:cs="Arial"/>
          <w:kern w:val="2"/>
          <w:sz w:val="22"/>
          <w:szCs w:val="22"/>
          <w:lang w:eastAsia="en-US"/>
          <w14:ligatures w14:val="standardContextual"/>
        </w:rPr>
        <w:t>During the intervention session, extensive engagement with the provided scaffolding support was observed for the majority of students. Quantitative analysis representing qualitative data indicated that the scaffolding support was found helpful in exam preparation by thirteen out of fourteen learners (92.9%), with five students (35.7%) indicating it was very helpful.</w:t>
      </w:r>
    </w:p>
    <w:p w14:paraId="11C4946D" w14:textId="6234652F" w:rsidR="00376045" w:rsidRPr="00376045" w:rsidRDefault="00376045" w:rsidP="00A94B71">
      <w:pPr>
        <w:spacing w:after="160" w:line="360" w:lineRule="auto"/>
        <w:rPr>
          <w:rFonts w:ascii="Arial" w:eastAsiaTheme="minorHAnsi" w:hAnsi="Arial" w:cs="Arial"/>
          <w:i/>
          <w:iCs/>
          <w:kern w:val="2"/>
          <w:sz w:val="22"/>
          <w:szCs w:val="22"/>
          <w:lang w:eastAsia="en-US"/>
          <w14:ligatures w14:val="standardContextual"/>
        </w:rPr>
      </w:pPr>
      <w:r w:rsidRPr="00376045">
        <w:rPr>
          <w:rFonts w:ascii="Arial" w:eastAsiaTheme="minorHAnsi" w:hAnsi="Arial" w:cs="Arial"/>
          <w:kern w:val="2"/>
          <w:sz w:val="22"/>
          <w:szCs w:val="22"/>
          <w:lang w:eastAsia="en-US"/>
          <w14:ligatures w14:val="standardContextual"/>
        </w:rPr>
        <w:t xml:space="preserve">Qualitative insights from interviews echoed positive perceptions of scaffolding support by students. For instance, it was remarked by one pupil (D), </w:t>
      </w:r>
      <w:r w:rsidRPr="00376045">
        <w:rPr>
          <w:rFonts w:ascii="Arial" w:eastAsiaTheme="minorHAnsi" w:hAnsi="Arial" w:cs="Arial"/>
          <w:i/>
          <w:iCs/>
          <w:kern w:val="2"/>
          <w:sz w:val="22"/>
          <w:szCs w:val="22"/>
          <w:lang w:eastAsia="en-US"/>
          <w14:ligatures w14:val="standardContextual"/>
        </w:rPr>
        <w:t>"I appreciated having the structure provided by the scaffolding sheet; it helped me organise my thoughts better."</w:t>
      </w:r>
      <w:r w:rsidRPr="00376045">
        <w:rPr>
          <w:rFonts w:ascii="Arial" w:eastAsiaTheme="minorHAnsi" w:hAnsi="Arial" w:cs="Arial"/>
          <w:kern w:val="2"/>
          <w:sz w:val="22"/>
          <w:szCs w:val="22"/>
          <w:lang w:eastAsia="en-US"/>
          <w14:ligatures w14:val="standardContextual"/>
        </w:rPr>
        <w:t xml:space="preserve"> The practical utility of the resource was emphasised by another learner (I), stating, </w:t>
      </w:r>
      <w:r w:rsidRPr="00376045">
        <w:rPr>
          <w:rFonts w:ascii="Arial" w:eastAsiaTheme="minorHAnsi" w:hAnsi="Arial" w:cs="Arial"/>
          <w:i/>
          <w:iCs/>
          <w:kern w:val="2"/>
          <w:sz w:val="22"/>
          <w:szCs w:val="22"/>
          <w:lang w:eastAsia="en-US"/>
          <w14:ligatures w14:val="standardContextual"/>
        </w:rPr>
        <w:t>"The colour-coding on the sheet made it easier for me to find and focus on specific sections</w:t>
      </w:r>
      <w:r w:rsidR="00AB366F">
        <w:rPr>
          <w:rFonts w:ascii="Arial" w:eastAsiaTheme="minorHAnsi" w:hAnsi="Arial" w:cs="Arial"/>
          <w:i/>
          <w:iCs/>
          <w:kern w:val="2"/>
          <w:sz w:val="22"/>
          <w:szCs w:val="22"/>
          <w:lang w:eastAsia="en-US"/>
          <w14:ligatures w14:val="standardContextual"/>
        </w:rPr>
        <w:t>”</w:t>
      </w:r>
      <w:r w:rsidRPr="00376045">
        <w:rPr>
          <w:rFonts w:ascii="Arial" w:eastAsiaTheme="minorHAnsi" w:hAnsi="Arial" w:cs="Arial"/>
          <w:i/>
          <w:iCs/>
          <w:kern w:val="2"/>
          <w:sz w:val="22"/>
          <w:szCs w:val="22"/>
          <w:lang w:eastAsia="en-US"/>
          <w14:ligatures w14:val="standardContextual"/>
        </w:rPr>
        <w:t>.</w:t>
      </w:r>
    </w:p>
    <w:p w14:paraId="3D7ED624" w14:textId="77777777" w:rsidR="00376045" w:rsidRPr="00376045" w:rsidRDefault="00376045" w:rsidP="00A94B71">
      <w:pPr>
        <w:spacing w:after="160" w:line="360" w:lineRule="auto"/>
        <w:rPr>
          <w:rFonts w:ascii="Arial" w:eastAsiaTheme="minorHAnsi" w:hAnsi="Arial" w:cs="Arial"/>
          <w:kern w:val="2"/>
          <w:sz w:val="22"/>
          <w:szCs w:val="22"/>
          <w:lang w:eastAsia="en-US"/>
          <w14:ligatures w14:val="standardContextual"/>
        </w:rPr>
      </w:pPr>
    </w:p>
    <w:p w14:paraId="45E9F3ED" w14:textId="77777777" w:rsidR="00376045" w:rsidRPr="00376045" w:rsidRDefault="00376045" w:rsidP="00A94B71">
      <w:pPr>
        <w:spacing w:after="160" w:line="360" w:lineRule="auto"/>
        <w:rPr>
          <w:rFonts w:ascii="Arial" w:eastAsiaTheme="minorHAnsi" w:hAnsi="Arial" w:cs="Arial"/>
          <w:b/>
          <w:bCs/>
          <w:i/>
          <w:iCs/>
          <w:kern w:val="2"/>
          <w:sz w:val="22"/>
          <w:szCs w:val="22"/>
          <w:lang w:eastAsia="en-US"/>
          <w14:ligatures w14:val="standardContextual"/>
        </w:rPr>
      </w:pPr>
      <w:r w:rsidRPr="00376045">
        <w:rPr>
          <w:rFonts w:ascii="Arial" w:eastAsiaTheme="minorHAnsi" w:hAnsi="Arial" w:cs="Arial"/>
          <w:b/>
          <w:bCs/>
          <w:i/>
          <w:iCs/>
          <w:kern w:val="2"/>
          <w:sz w:val="22"/>
          <w:szCs w:val="22"/>
          <w:lang w:eastAsia="en-US"/>
          <w14:ligatures w14:val="standardContextual"/>
        </w:rPr>
        <w:t>Impact of Scaffolding Support</w:t>
      </w:r>
    </w:p>
    <w:p w14:paraId="01C7F0F3" w14:textId="77777777" w:rsidR="00A94B71" w:rsidRPr="00A94B71" w:rsidRDefault="00376045" w:rsidP="00A94B71">
      <w:pPr>
        <w:spacing w:after="160" w:line="360" w:lineRule="auto"/>
        <w:rPr>
          <w:rFonts w:ascii="Arial" w:eastAsiaTheme="minorHAnsi" w:hAnsi="Arial" w:cs="Arial"/>
          <w:b/>
          <w:bCs/>
          <w:kern w:val="2"/>
          <w:sz w:val="22"/>
          <w:szCs w:val="22"/>
          <w:lang w:eastAsia="en-US"/>
          <w14:ligatures w14:val="standardContextual"/>
        </w:rPr>
      </w:pPr>
      <w:r w:rsidRPr="00376045">
        <w:rPr>
          <w:rFonts w:ascii="Arial" w:eastAsiaTheme="minorHAnsi" w:hAnsi="Arial" w:cs="Arial"/>
          <w:kern w:val="2"/>
          <w:sz w:val="22"/>
          <w:szCs w:val="22"/>
          <w:lang w:eastAsia="en-US"/>
          <w14:ligatures w14:val="standardContextual"/>
        </w:rPr>
        <w:t xml:space="preserve">Overwhelming agreement among pupils regarding the helpfulness of scaffolding support was demonstrated by post-intervention questionnaire data. 64.3% of students strongly agreed that the support aided them in exam preparation, while 35.7% agreed with this statement. Despite 21% of pupils </w:t>
      </w:r>
      <w:r w:rsidRPr="00376045">
        <w:rPr>
          <w:rFonts w:ascii="Arial" w:eastAsiaTheme="minorHAnsi" w:hAnsi="Arial" w:cs="Arial"/>
          <w:kern w:val="2"/>
          <w:sz w:val="22"/>
          <w:szCs w:val="22"/>
          <w:lang w:eastAsia="en-US"/>
          <w14:ligatures w14:val="standardContextual"/>
        </w:rPr>
        <w:lastRenderedPageBreak/>
        <w:t xml:space="preserve">were unsure or had no exposure to scaffolding prior to the study (figure </w:t>
      </w:r>
      <w:r w:rsidR="00A94B71" w:rsidRPr="00A94B71">
        <w:rPr>
          <w:rFonts w:ascii="Arial" w:eastAsiaTheme="minorHAnsi" w:hAnsi="Arial" w:cs="Arial"/>
          <w:kern w:val="2"/>
          <w:sz w:val="22"/>
          <w:szCs w:val="22"/>
          <w:lang w:eastAsia="en-US"/>
          <w14:ligatures w14:val="standardContextual"/>
        </w:rPr>
        <w:t>3</w:t>
      </w:r>
      <w:r w:rsidRPr="00376045">
        <w:rPr>
          <w:rFonts w:ascii="Arial" w:eastAsiaTheme="minorHAnsi" w:hAnsi="Arial" w:cs="Arial"/>
          <w:kern w:val="2"/>
          <w:sz w:val="22"/>
          <w:szCs w:val="22"/>
          <w:lang w:eastAsia="en-US"/>
          <w14:ligatures w14:val="standardContextual"/>
        </w:rPr>
        <w:t xml:space="preserve">). </w:t>
      </w:r>
      <w:r w:rsidRPr="00376045">
        <w:rPr>
          <w:rFonts w:ascii="Arial" w:eastAsiaTheme="minorHAnsi" w:hAnsi="Arial" w:cs="Arial"/>
          <w:kern w:val="2"/>
          <w:sz w:val="22"/>
          <w:szCs w:val="22"/>
          <w:lang w:eastAsia="en-US"/>
          <w14:ligatures w14:val="standardContextual"/>
        </w:rPr>
        <w:br/>
      </w:r>
    </w:p>
    <w:p w14:paraId="3B3FA490" w14:textId="545CA8E3" w:rsidR="00376045" w:rsidRPr="00376045" w:rsidRDefault="00376045" w:rsidP="00A94B71">
      <w:pPr>
        <w:spacing w:after="160" w:line="360" w:lineRule="auto"/>
        <w:rPr>
          <w:rFonts w:ascii="Arial" w:eastAsiaTheme="minorHAnsi" w:hAnsi="Arial" w:cs="Arial"/>
          <w:b/>
          <w:bCs/>
          <w:kern w:val="2"/>
          <w:sz w:val="22"/>
          <w:szCs w:val="22"/>
          <w:lang w:eastAsia="en-US"/>
          <w14:ligatures w14:val="standardContextual"/>
        </w:rPr>
      </w:pPr>
      <w:r w:rsidRPr="00376045">
        <w:rPr>
          <w:rFonts w:ascii="Arial" w:eastAsiaTheme="minorHAnsi" w:hAnsi="Arial" w:cs="Arial"/>
          <w:i/>
          <w:iCs/>
          <w:kern w:val="2"/>
          <w:sz w:val="22"/>
          <w:szCs w:val="22"/>
          <w:lang w:eastAsia="en-US"/>
          <w14:ligatures w14:val="standardContextual"/>
        </w:rPr>
        <w:t xml:space="preserve">Figure </w:t>
      </w:r>
      <w:r w:rsidR="00A94B71" w:rsidRPr="00A94B71">
        <w:rPr>
          <w:rFonts w:ascii="Arial" w:eastAsiaTheme="minorHAnsi" w:hAnsi="Arial" w:cs="Arial"/>
          <w:i/>
          <w:iCs/>
          <w:kern w:val="2"/>
          <w:sz w:val="22"/>
          <w:szCs w:val="22"/>
          <w:lang w:eastAsia="en-US"/>
          <w14:ligatures w14:val="standardContextual"/>
        </w:rPr>
        <w:t>3</w:t>
      </w:r>
      <w:r w:rsidRPr="00376045">
        <w:rPr>
          <w:rFonts w:ascii="Arial" w:eastAsiaTheme="minorHAnsi" w:hAnsi="Arial" w:cs="Arial"/>
          <w:i/>
          <w:iCs/>
          <w:kern w:val="2"/>
          <w:sz w:val="22"/>
          <w:szCs w:val="22"/>
          <w:lang w:eastAsia="en-US"/>
          <w14:ligatures w14:val="standardContextual"/>
        </w:rPr>
        <w:t>:</w:t>
      </w:r>
      <w:r w:rsidR="00A94B71" w:rsidRPr="00A94B71">
        <w:rPr>
          <w:rFonts w:ascii="Arial" w:eastAsiaTheme="minorHAnsi" w:hAnsi="Arial" w:cs="Arial"/>
          <w:b/>
          <w:bCs/>
          <w:kern w:val="2"/>
          <w:sz w:val="22"/>
          <w:szCs w:val="22"/>
          <w:lang w:eastAsia="en-US"/>
          <w14:ligatures w14:val="standardContextual"/>
        </w:rPr>
        <w:t xml:space="preserve"> </w:t>
      </w:r>
      <w:r w:rsidRPr="00376045">
        <w:rPr>
          <w:rFonts w:ascii="Arial" w:eastAsiaTheme="minorHAnsi" w:hAnsi="Arial" w:cs="Arial"/>
          <w:b/>
          <w:bCs/>
          <w:kern w:val="2"/>
          <w:sz w:val="22"/>
          <w:szCs w:val="22"/>
          <w:lang w:eastAsia="en-US"/>
          <w14:ligatures w14:val="standardContextual"/>
        </w:rPr>
        <w:br/>
      </w:r>
      <w:r w:rsidR="00A94B71" w:rsidRPr="00A94B71">
        <w:rPr>
          <w:rFonts w:ascii="Arial" w:eastAsiaTheme="minorHAnsi" w:hAnsi="Arial" w:cs="Arial"/>
          <w:b/>
          <w:bCs/>
          <w:kern w:val="2"/>
          <w:sz w:val="22"/>
          <w:szCs w:val="22"/>
          <w:lang w:eastAsia="en-US"/>
          <w14:ligatures w14:val="standardContextual"/>
        </w:rPr>
        <w:t xml:space="preserve">   </w:t>
      </w:r>
      <w:r w:rsidR="00A94B71" w:rsidRPr="00376045">
        <w:rPr>
          <w:rFonts w:ascii="Arial" w:eastAsiaTheme="minorHAnsi" w:hAnsi="Arial" w:cs="Arial"/>
          <w:b/>
          <w:bCs/>
          <w:noProof/>
          <w:kern w:val="2"/>
          <w:sz w:val="22"/>
          <w:szCs w:val="22"/>
          <w:lang w:eastAsia="en-US"/>
          <w14:ligatures w14:val="standardContextual"/>
        </w:rPr>
        <w:drawing>
          <wp:inline distT="0" distB="0" distL="0" distR="0" wp14:anchorId="3D0FFF1D" wp14:editId="7568B20A">
            <wp:extent cx="5731510" cy="1804035"/>
            <wp:effectExtent l="0" t="0" r="0" b="0"/>
            <wp:docPr id="459599206" name="Picture 1" descr="A pie chart with a pie chart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599206" name="Picture 1" descr="A pie chart with a pie chart in the middl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1804035"/>
                    </a:xfrm>
                    <a:prstGeom prst="rect">
                      <a:avLst/>
                    </a:prstGeom>
                  </pic:spPr>
                </pic:pic>
              </a:graphicData>
            </a:graphic>
          </wp:inline>
        </w:drawing>
      </w:r>
    </w:p>
    <w:p w14:paraId="1398FD82" w14:textId="77777777" w:rsidR="00376045" w:rsidRPr="00376045" w:rsidRDefault="00376045" w:rsidP="00A94B71">
      <w:pPr>
        <w:spacing w:after="160" w:line="360" w:lineRule="auto"/>
        <w:jc w:val="center"/>
        <w:rPr>
          <w:rFonts w:ascii="Arial" w:eastAsiaTheme="minorHAnsi" w:hAnsi="Arial" w:cs="Arial"/>
          <w:kern w:val="2"/>
          <w:sz w:val="22"/>
          <w:szCs w:val="22"/>
          <w:lang w:eastAsia="en-US"/>
          <w14:ligatures w14:val="standardContextual"/>
        </w:rPr>
      </w:pPr>
      <w:r w:rsidRPr="00376045">
        <w:rPr>
          <w:rFonts w:ascii="Arial" w:eastAsiaTheme="minorHAnsi" w:hAnsi="Arial" w:cs="Arial"/>
          <w:i/>
          <w:iCs/>
          <w:kern w:val="2"/>
          <w:sz w:val="22"/>
          <w:szCs w:val="22"/>
          <w:lang w:eastAsia="en-US"/>
          <w14:ligatures w14:val="standardContextual"/>
        </w:rPr>
        <w:t>(Pre-intervention questionnaire)</w:t>
      </w:r>
      <w:r w:rsidRPr="00376045">
        <w:rPr>
          <w:rFonts w:ascii="Arial" w:eastAsiaTheme="minorHAnsi" w:hAnsi="Arial" w:cs="Arial"/>
          <w:b/>
          <w:bCs/>
          <w:kern w:val="2"/>
          <w:sz w:val="22"/>
          <w:szCs w:val="22"/>
          <w:lang w:eastAsia="en-US"/>
          <w14:ligatures w14:val="standardContextual"/>
        </w:rPr>
        <w:br/>
      </w:r>
    </w:p>
    <w:p w14:paraId="6F422BDB" w14:textId="08797DE5" w:rsidR="00376045" w:rsidRPr="00376045" w:rsidRDefault="00376045" w:rsidP="00A94B71">
      <w:pPr>
        <w:spacing w:after="160" w:line="360" w:lineRule="auto"/>
        <w:rPr>
          <w:rFonts w:ascii="Arial" w:eastAsiaTheme="minorHAnsi" w:hAnsi="Arial" w:cs="Arial"/>
          <w:i/>
          <w:iCs/>
          <w:kern w:val="2"/>
          <w:sz w:val="22"/>
          <w:szCs w:val="22"/>
          <w:lang w:eastAsia="en-US"/>
          <w14:ligatures w14:val="standardContextual"/>
        </w:rPr>
      </w:pPr>
      <w:r w:rsidRPr="00376045">
        <w:rPr>
          <w:rFonts w:ascii="Arial" w:eastAsiaTheme="minorHAnsi" w:hAnsi="Arial" w:cs="Arial"/>
          <w:kern w:val="2"/>
          <w:sz w:val="22"/>
          <w:szCs w:val="22"/>
          <w:lang w:eastAsia="en-US"/>
          <w14:ligatures w14:val="standardContextual"/>
        </w:rPr>
        <w:t xml:space="preserve">Qualitative analysis further highlighted learners' appreciation for the supportive nature of the scaffolding resource (figures </w:t>
      </w:r>
      <w:r w:rsidR="00A94B71" w:rsidRPr="00A94B71">
        <w:rPr>
          <w:rFonts w:ascii="Arial" w:eastAsiaTheme="minorHAnsi" w:hAnsi="Arial" w:cs="Arial"/>
          <w:kern w:val="2"/>
          <w:sz w:val="22"/>
          <w:szCs w:val="22"/>
          <w:lang w:eastAsia="en-US"/>
          <w14:ligatures w14:val="standardContextual"/>
        </w:rPr>
        <w:t>4</w:t>
      </w:r>
      <w:r w:rsidRPr="00376045">
        <w:rPr>
          <w:rFonts w:ascii="Arial" w:eastAsiaTheme="minorHAnsi" w:hAnsi="Arial" w:cs="Arial"/>
          <w:kern w:val="2"/>
          <w:sz w:val="22"/>
          <w:szCs w:val="22"/>
          <w:lang w:eastAsia="en-US"/>
          <w14:ligatures w14:val="standardContextual"/>
        </w:rPr>
        <w:t xml:space="preserve"> and </w:t>
      </w:r>
      <w:r w:rsidR="00A94B71" w:rsidRPr="00A94B71">
        <w:rPr>
          <w:rFonts w:ascii="Arial" w:eastAsiaTheme="minorHAnsi" w:hAnsi="Arial" w:cs="Arial"/>
          <w:kern w:val="2"/>
          <w:sz w:val="22"/>
          <w:szCs w:val="22"/>
          <w:lang w:eastAsia="en-US"/>
          <w14:ligatures w14:val="standardContextual"/>
        </w:rPr>
        <w:t>5</w:t>
      </w:r>
      <w:r w:rsidRPr="00376045">
        <w:rPr>
          <w:rFonts w:ascii="Arial" w:eastAsiaTheme="minorHAnsi" w:hAnsi="Arial" w:cs="Arial"/>
          <w:kern w:val="2"/>
          <w:sz w:val="22"/>
          <w:szCs w:val="22"/>
          <w:lang w:eastAsia="en-US"/>
          <w14:ligatures w14:val="standardContextual"/>
        </w:rPr>
        <w:t xml:space="preserve">). It was expressed by one student (K), </w:t>
      </w:r>
      <w:r w:rsidRPr="00376045">
        <w:rPr>
          <w:rFonts w:ascii="Arial" w:eastAsiaTheme="minorHAnsi" w:hAnsi="Arial" w:cs="Arial"/>
          <w:i/>
          <w:iCs/>
          <w:kern w:val="2"/>
          <w:sz w:val="22"/>
          <w:szCs w:val="22"/>
          <w:lang w:eastAsia="en-US"/>
          <w14:ligatures w14:val="standardContextual"/>
        </w:rPr>
        <w:t xml:space="preserve">"I found the glossary </w:t>
      </w:r>
      <w:r w:rsidR="00A94B71" w:rsidRPr="00376045">
        <w:rPr>
          <w:rFonts w:ascii="Arial" w:eastAsiaTheme="minorHAnsi" w:hAnsi="Arial" w:cs="Arial"/>
          <w:i/>
          <w:iCs/>
          <w:kern w:val="2"/>
          <w:sz w:val="22"/>
          <w:szCs w:val="22"/>
          <w:lang w:eastAsia="en-US"/>
          <w14:ligatures w14:val="standardContextual"/>
        </w:rPr>
        <w:t>really</w:t>
      </w:r>
      <w:r w:rsidRPr="00376045">
        <w:rPr>
          <w:rFonts w:ascii="Arial" w:eastAsiaTheme="minorHAnsi" w:hAnsi="Arial" w:cs="Arial"/>
          <w:i/>
          <w:iCs/>
          <w:kern w:val="2"/>
          <w:sz w:val="22"/>
          <w:szCs w:val="22"/>
          <w:lang w:eastAsia="en-US"/>
          <w14:ligatures w14:val="standardContextual"/>
        </w:rPr>
        <w:t xml:space="preserve"> useful; it helped me understand and use keywords more effectively."</w:t>
      </w:r>
      <w:r w:rsidRPr="00376045">
        <w:rPr>
          <w:rFonts w:ascii="Arial" w:eastAsiaTheme="minorHAnsi" w:hAnsi="Arial" w:cs="Arial"/>
          <w:kern w:val="2"/>
          <w:sz w:val="22"/>
          <w:szCs w:val="22"/>
          <w:lang w:eastAsia="en-US"/>
          <w14:ligatures w14:val="standardContextual"/>
        </w:rPr>
        <w:t xml:space="preserve"> Another pupil (B) reflected, </w:t>
      </w:r>
      <w:r w:rsidRPr="00376045">
        <w:rPr>
          <w:rFonts w:ascii="Arial" w:eastAsiaTheme="minorHAnsi" w:hAnsi="Arial" w:cs="Arial"/>
          <w:i/>
          <w:iCs/>
          <w:kern w:val="2"/>
          <w:sz w:val="22"/>
          <w:szCs w:val="22"/>
          <w:lang w:eastAsia="en-US"/>
          <w14:ligatures w14:val="standardContextual"/>
        </w:rPr>
        <w:t xml:space="preserve">"The scaffolding support boosted my confidence especially when I came to a word I didn’t understand or a point in the question I was unsure of”. </w:t>
      </w:r>
    </w:p>
    <w:p w14:paraId="58996346" w14:textId="7EA288EF" w:rsidR="00376045" w:rsidRPr="00376045" w:rsidRDefault="00376045" w:rsidP="00A94B71">
      <w:pPr>
        <w:spacing w:after="160" w:line="360" w:lineRule="auto"/>
        <w:rPr>
          <w:rFonts w:ascii="Arial" w:eastAsiaTheme="minorHAnsi" w:hAnsi="Arial" w:cs="Arial"/>
          <w:kern w:val="2"/>
          <w:sz w:val="22"/>
          <w:szCs w:val="22"/>
          <w:lang w:eastAsia="en-US"/>
          <w14:ligatures w14:val="standardContextual"/>
        </w:rPr>
      </w:pPr>
      <w:r w:rsidRPr="00376045">
        <w:rPr>
          <w:rFonts w:ascii="Arial" w:eastAsiaTheme="minorHAnsi" w:hAnsi="Arial" w:cs="Arial"/>
          <w:i/>
          <w:iCs/>
          <w:kern w:val="2"/>
          <w:sz w:val="22"/>
          <w:szCs w:val="22"/>
          <w:lang w:eastAsia="en-US"/>
          <w14:ligatures w14:val="standardContextual"/>
        </w:rPr>
        <w:t xml:space="preserve">Figure </w:t>
      </w:r>
      <w:r w:rsidR="00A94B71" w:rsidRPr="00A94B71">
        <w:rPr>
          <w:rFonts w:ascii="Arial" w:eastAsiaTheme="minorHAnsi" w:hAnsi="Arial" w:cs="Arial"/>
          <w:i/>
          <w:iCs/>
          <w:kern w:val="2"/>
          <w:sz w:val="22"/>
          <w:szCs w:val="22"/>
          <w:lang w:eastAsia="en-US"/>
          <w14:ligatures w14:val="standardContextual"/>
        </w:rPr>
        <w:t>4</w:t>
      </w:r>
      <w:r w:rsidRPr="00376045">
        <w:rPr>
          <w:rFonts w:ascii="Arial" w:eastAsiaTheme="minorHAnsi" w:hAnsi="Arial" w:cs="Arial"/>
          <w:i/>
          <w:iCs/>
          <w:kern w:val="2"/>
          <w:sz w:val="22"/>
          <w:szCs w:val="22"/>
          <w:lang w:eastAsia="en-US"/>
          <w14:ligatures w14:val="standardContextual"/>
        </w:rPr>
        <w:t>:</w:t>
      </w:r>
      <w:r w:rsidRPr="00376045">
        <w:rPr>
          <w:rFonts w:ascii="Arial" w:eastAsiaTheme="minorHAnsi" w:hAnsi="Arial" w:cs="Arial"/>
          <w:i/>
          <w:iCs/>
          <w:kern w:val="2"/>
          <w:sz w:val="22"/>
          <w:szCs w:val="22"/>
          <w:lang w:eastAsia="en-US"/>
          <w14:ligatures w14:val="standardContextual"/>
        </w:rPr>
        <w:tab/>
      </w:r>
      <w:r w:rsidRPr="00376045">
        <w:rPr>
          <w:rFonts w:ascii="Arial" w:eastAsiaTheme="minorHAnsi" w:hAnsi="Arial" w:cs="Arial"/>
          <w:i/>
          <w:iCs/>
          <w:kern w:val="2"/>
          <w:sz w:val="22"/>
          <w:szCs w:val="22"/>
          <w:lang w:eastAsia="en-US"/>
          <w14:ligatures w14:val="standardContextual"/>
        </w:rPr>
        <w:tab/>
      </w:r>
      <w:r w:rsidRPr="00376045">
        <w:rPr>
          <w:rFonts w:ascii="Arial" w:eastAsiaTheme="minorHAnsi" w:hAnsi="Arial" w:cs="Arial"/>
          <w:i/>
          <w:iCs/>
          <w:kern w:val="2"/>
          <w:sz w:val="22"/>
          <w:szCs w:val="22"/>
          <w:lang w:eastAsia="en-US"/>
          <w14:ligatures w14:val="standardContextual"/>
        </w:rPr>
        <w:tab/>
      </w:r>
      <w:r w:rsidRPr="00376045">
        <w:rPr>
          <w:rFonts w:ascii="Arial" w:eastAsiaTheme="minorHAnsi" w:hAnsi="Arial" w:cs="Arial"/>
          <w:i/>
          <w:iCs/>
          <w:kern w:val="2"/>
          <w:sz w:val="22"/>
          <w:szCs w:val="22"/>
          <w:lang w:eastAsia="en-US"/>
          <w14:ligatures w14:val="standardContextual"/>
        </w:rPr>
        <w:tab/>
      </w:r>
      <w:r w:rsidRPr="00376045">
        <w:rPr>
          <w:rFonts w:ascii="Arial" w:eastAsiaTheme="minorHAnsi" w:hAnsi="Arial" w:cs="Arial"/>
          <w:i/>
          <w:iCs/>
          <w:kern w:val="2"/>
          <w:sz w:val="22"/>
          <w:szCs w:val="22"/>
          <w:lang w:eastAsia="en-US"/>
          <w14:ligatures w14:val="standardContextual"/>
        </w:rPr>
        <w:tab/>
        <w:t xml:space="preserve">Figure </w:t>
      </w:r>
      <w:r w:rsidR="00A94B71" w:rsidRPr="00A94B71">
        <w:rPr>
          <w:rFonts w:ascii="Arial" w:eastAsiaTheme="minorHAnsi" w:hAnsi="Arial" w:cs="Arial"/>
          <w:i/>
          <w:iCs/>
          <w:kern w:val="2"/>
          <w:sz w:val="22"/>
          <w:szCs w:val="22"/>
          <w:lang w:eastAsia="en-US"/>
          <w14:ligatures w14:val="standardContextual"/>
        </w:rPr>
        <w:t>5</w:t>
      </w:r>
      <w:r w:rsidRPr="00376045">
        <w:rPr>
          <w:rFonts w:ascii="Arial" w:eastAsiaTheme="minorHAnsi" w:hAnsi="Arial" w:cs="Arial"/>
          <w:i/>
          <w:iCs/>
          <w:kern w:val="2"/>
          <w:sz w:val="22"/>
          <w:szCs w:val="22"/>
          <w:lang w:eastAsia="en-US"/>
          <w14:ligatures w14:val="standardContextual"/>
        </w:rPr>
        <w:t xml:space="preserve">: </w:t>
      </w:r>
      <w:r w:rsidRPr="00376045">
        <w:rPr>
          <w:rFonts w:ascii="Arial" w:eastAsiaTheme="minorHAnsi" w:hAnsi="Arial" w:cs="Arial"/>
          <w:i/>
          <w:iCs/>
          <w:kern w:val="2"/>
          <w:sz w:val="22"/>
          <w:szCs w:val="22"/>
          <w:lang w:eastAsia="en-US"/>
          <w14:ligatures w14:val="standardContextual"/>
        </w:rPr>
        <w:br/>
      </w:r>
      <w:r w:rsidRPr="00376045">
        <w:rPr>
          <w:rFonts w:ascii="Arial" w:eastAsiaTheme="minorHAnsi" w:hAnsi="Arial" w:cs="Arial"/>
          <w:noProof/>
          <w:kern w:val="2"/>
          <w:sz w:val="22"/>
          <w:szCs w:val="22"/>
          <w:lang w:eastAsia="en-US"/>
          <w14:ligatures w14:val="standardContextual"/>
        </w:rPr>
        <w:drawing>
          <wp:inline distT="0" distB="0" distL="0" distR="0" wp14:anchorId="4291AED9" wp14:editId="42FCC043">
            <wp:extent cx="2786332" cy="1646872"/>
            <wp:effectExtent l="0" t="0" r="0" b="4445"/>
            <wp:docPr id="848857470" name="Picture 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857470" name="Picture 3" descr="A screenshot of a graph&#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86332" cy="1646872"/>
                    </a:xfrm>
                    <a:prstGeom prst="rect">
                      <a:avLst/>
                    </a:prstGeom>
                  </pic:spPr>
                </pic:pic>
              </a:graphicData>
            </a:graphic>
          </wp:inline>
        </w:drawing>
      </w:r>
      <w:r w:rsidRPr="00376045">
        <w:rPr>
          <w:rFonts w:ascii="Arial" w:eastAsiaTheme="minorHAnsi" w:hAnsi="Arial" w:cs="Arial"/>
          <w:noProof/>
          <w:kern w:val="2"/>
          <w:sz w:val="22"/>
          <w:szCs w:val="22"/>
          <w:lang w:eastAsia="en-US"/>
          <w14:ligatures w14:val="standardContextual"/>
        </w:rPr>
        <w:drawing>
          <wp:inline distT="0" distB="0" distL="0" distR="0" wp14:anchorId="57F7D87A" wp14:editId="5A38ADDD">
            <wp:extent cx="2924175" cy="1645248"/>
            <wp:effectExtent l="0" t="0" r="0" b="6350"/>
            <wp:docPr id="1109017164" name="Picture 4" descr="A screenshot of a test resul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017164" name="Picture 4" descr="A screenshot of a test results&#10;&#10;Description automatically generated"/>
                    <pic:cNvPicPr/>
                  </pic:nvPicPr>
                  <pic:blipFill rotWithShape="1">
                    <a:blip r:embed="rId8" cstate="print">
                      <a:extLst>
                        <a:ext uri="{28A0092B-C50C-407E-A947-70E740481C1C}">
                          <a14:useLocalDpi xmlns:a14="http://schemas.microsoft.com/office/drawing/2010/main" val="0"/>
                        </a:ext>
                      </a:extLst>
                    </a:blip>
                    <a:srcRect b="12627"/>
                    <a:stretch/>
                  </pic:blipFill>
                  <pic:spPr bwMode="auto">
                    <a:xfrm>
                      <a:off x="0" y="0"/>
                      <a:ext cx="3069149" cy="1726816"/>
                    </a:xfrm>
                    <a:prstGeom prst="rect">
                      <a:avLst/>
                    </a:prstGeom>
                    <a:ln>
                      <a:noFill/>
                    </a:ln>
                    <a:extLst>
                      <a:ext uri="{53640926-AAD7-44D8-BBD7-CCE9431645EC}">
                        <a14:shadowObscured xmlns:a14="http://schemas.microsoft.com/office/drawing/2010/main"/>
                      </a:ext>
                    </a:extLst>
                  </pic:spPr>
                </pic:pic>
              </a:graphicData>
            </a:graphic>
          </wp:inline>
        </w:drawing>
      </w:r>
    </w:p>
    <w:p w14:paraId="0F8251DE" w14:textId="77777777" w:rsidR="00376045" w:rsidRPr="00376045" w:rsidRDefault="00376045" w:rsidP="00A94B71">
      <w:pPr>
        <w:spacing w:after="160" w:line="360" w:lineRule="auto"/>
        <w:rPr>
          <w:rFonts w:ascii="Arial" w:eastAsiaTheme="minorHAnsi" w:hAnsi="Arial" w:cs="Arial"/>
          <w:i/>
          <w:iCs/>
          <w:kern w:val="2"/>
          <w:sz w:val="22"/>
          <w:szCs w:val="22"/>
          <w:lang w:eastAsia="en-US"/>
          <w14:ligatures w14:val="standardContextual"/>
        </w:rPr>
      </w:pPr>
      <w:r w:rsidRPr="00376045">
        <w:rPr>
          <w:rFonts w:ascii="Arial" w:eastAsiaTheme="minorHAnsi" w:hAnsi="Arial" w:cs="Arial"/>
          <w:i/>
          <w:iCs/>
          <w:kern w:val="2"/>
          <w:sz w:val="22"/>
          <w:szCs w:val="22"/>
          <w:lang w:eastAsia="en-US"/>
          <w14:ligatures w14:val="standardContextual"/>
        </w:rPr>
        <w:t>(pre- intervention questionnaire)</w:t>
      </w:r>
      <w:r w:rsidRPr="00376045">
        <w:rPr>
          <w:rFonts w:ascii="Arial" w:eastAsiaTheme="minorHAnsi" w:hAnsi="Arial" w:cs="Arial"/>
          <w:i/>
          <w:iCs/>
          <w:kern w:val="2"/>
          <w:sz w:val="22"/>
          <w:szCs w:val="22"/>
          <w:lang w:eastAsia="en-US"/>
          <w14:ligatures w14:val="standardContextual"/>
        </w:rPr>
        <w:tab/>
      </w:r>
      <w:r w:rsidRPr="00376045">
        <w:rPr>
          <w:rFonts w:ascii="Arial" w:eastAsiaTheme="minorHAnsi" w:hAnsi="Arial" w:cs="Arial"/>
          <w:i/>
          <w:iCs/>
          <w:kern w:val="2"/>
          <w:sz w:val="22"/>
          <w:szCs w:val="22"/>
          <w:lang w:eastAsia="en-US"/>
          <w14:ligatures w14:val="standardContextual"/>
        </w:rPr>
        <w:tab/>
      </w:r>
      <w:r w:rsidRPr="00376045">
        <w:rPr>
          <w:rFonts w:ascii="Arial" w:eastAsiaTheme="minorHAnsi" w:hAnsi="Arial" w:cs="Arial"/>
          <w:i/>
          <w:iCs/>
          <w:kern w:val="2"/>
          <w:sz w:val="22"/>
          <w:szCs w:val="22"/>
          <w:lang w:eastAsia="en-US"/>
          <w14:ligatures w14:val="standardContextual"/>
        </w:rPr>
        <w:tab/>
        <w:t>(post-intervention questionnaire)</w:t>
      </w:r>
    </w:p>
    <w:p w14:paraId="158B7889" w14:textId="77777777" w:rsidR="00376045" w:rsidRPr="00376045" w:rsidRDefault="00376045" w:rsidP="00A94B71">
      <w:pPr>
        <w:spacing w:after="160" w:line="360" w:lineRule="auto"/>
        <w:rPr>
          <w:rFonts w:ascii="Arial" w:eastAsiaTheme="minorHAnsi" w:hAnsi="Arial" w:cs="Arial"/>
          <w:kern w:val="2"/>
          <w:sz w:val="22"/>
          <w:szCs w:val="22"/>
          <w:lang w:eastAsia="en-US"/>
          <w14:ligatures w14:val="standardContextual"/>
        </w:rPr>
      </w:pPr>
      <w:r w:rsidRPr="00376045">
        <w:rPr>
          <w:rFonts w:ascii="Arial" w:eastAsiaTheme="minorHAnsi" w:hAnsi="Arial" w:cs="Arial"/>
          <w:kern w:val="2"/>
          <w:sz w:val="22"/>
          <w:szCs w:val="22"/>
          <w:lang w:eastAsia="en-US"/>
          <w14:ligatures w14:val="standardContextual"/>
        </w:rPr>
        <w:br/>
        <w:t>The responses provided by pupils in their answers notably reflected the perceptions of increased confidence reported by pupils with 64% of pupils achieving marks in the top two bands of the WJEC marking scheme. However, it's important to note that without a comparative answer, establishing a direct cause-and-effect relationship between the use of the scaffolding sheet and improved performance cannot be definitively determined.</w:t>
      </w:r>
    </w:p>
    <w:p w14:paraId="229BCCCE" w14:textId="77777777" w:rsidR="00376045" w:rsidRPr="00376045" w:rsidRDefault="00376045" w:rsidP="00A94B71">
      <w:pPr>
        <w:spacing w:after="160" w:line="360" w:lineRule="auto"/>
        <w:rPr>
          <w:rFonts w:ascii="Arial" w:eastAsiaTheme="minorHAnsi" w:hAnsi="Arial" w:cs="Arial"/>
          <w:kern w:val="2"/>
          <w:sz w:val="22"/>
          <w:szCs w:val="22"/>
          <w:lang w:eastAsia="en-US"/>
          <w14:ligatures w14:val="standardContextual"/>
        </w:rPr>
      </w:pPr>
    </w:p>
    <w:p w14:paraId="4E0CB4AE" w14:textId="77777777" w:rsidR="00376045" w:rsidRPr="00376045" w:rsidRDefault="00376045" w:rsidP="00A94B71">
      <w:pPr>
        <w:spacing w:after="160" w:line="360" w:lineRule="auto"/>
        <w:rPr>
          <w:rFonts w:ascii="Arial" w:eastAsiaTheme="minorHAnsi" w:hAnsi="Arial" w:cs="Arial"/>
          <w:b/>
          <w:bCs/>
          <w:i/>
          <w:iCs/>
          <w:kern w:val="2"/>
          <w:sz w:val="22"/>
          <w:szCs w:val="22"/>
          <w:lang w:eastAsia="en-US"/>
          <w14:ligatures w14:val="standardContextual"/>
        </w:rPr>
      </w:pPr>
      <w:r w:rsidRPr="00376045">
        <w:rPr>
          <w:rFonts w:ascii="Arial" w:eastAsiaTheme="minorHAnsi" w:hAnsi="Arial" w:cs="Arial"/>
          <w:b/>
          <w:bCs/>
          <w:i/>
          <w:iCs/>
          <w:kern w:val="2"/>
          <w:sz w:val="22"/>
          <w:szCs w:val="22"/>
          <w:lang w:eastAsia="en-US"/>
          <w14:ligatures w14:val="standardContextual"/>
        </w:rPr>
        <w:t>Pupil Recommendations</w:t>
      </w:r>
    </w:p>
    <w:p w14:paraId="358BA265" w14:textId="37DF7F5A" w:rsidR="00376045" w:rsidRPr="00376045" w:rsidRDefault="00376045" w:rsidP="00A94B71">
      <w:pPr>
        <w:spacing w:after="160" w:line="360" w:lineRule="auto"/>
        <w:rPr>
          <w:rFonts w:ascii="Arial" w:eastAsiaTheme="minorHAnsi" w:hAnsi="Arial" w:cs="Arial"/>
          <w:kern w:val="2"/>
          <w:sz w:val="22"/>
          <w:szCs w:val="22"/>
          <w:lang w:eastAsia="en-US"/>
          <w14:ligatures w14:val="standardContextual"/>
        </w:rPr>
      </w:pPr>
      <w:r w:rsidRPr="00376045">
        <w:rPr>
          <w:rFonts w:ascii="Arial" w:eastAsiaTheme="minorHAnsi" w:hAnsi="Arial" w:cs="Arial"/>
          <w:kern w:val="2"/>
          <w:sz w:val="22"/>
          <w:szCs w:val="22"/>
          <w:lang w:eastAsia="en-US"/>
          <w14:ligatures w14:val="standardContextual"/>
        </w:rPr>
        <w:lastRenderedPageBreak/>
        <w:t xml:space="preserve">Despite overall positive feedback, valuable recommendations for improvement were provided by learners. Some difficulties with certain aspects of the scaffolding support or identification of areas where additional assistance was needed were expressed by pupils. For example, it was suggested by one pupil (G), </w:t>
      </w:r>
      <w:r w:rsidRPr="00376045">
        <w:rPr>
          <w:rFonts w:ascii="Arial" w:eastAsiaTheme="minorHAnsi" w:hAnsi="Arial" w:cs="Arial"/>
          <w:i/>
          <w:iCs/>
          <w:kern w:val="2"/>
          <w:sz w:val="22"/>
          <w:szCs w:val="22"/>
          <w:lang w:eastAsia="en-US"/>
          <w14:ligatures w14:val="standardContextual"/>
        </w:rPr>
        <w:t>"I struggled with understanding some of the terminology provided; maybe including more detail in the explanations or examples would be helpful”</w:t>
      </w:r>
      <w:r w:rsidRPr="00376045">
        <w:rPr>
          <w:rFonts w:ascii="Arial" w:eastAsiaTheme="minorHAnsi" w:hAnsi="Arial" w:cs="Arial"/>
          <w:kern w:val="2"/>
          <w:sz w:val="22"/>
          <w:szCs w:val="22"/>
          <w:lang w:eastAsia="en-US"/>
          <w14:ligatures w14:val="standardContextual"/>
        </w:rPr>
        <w:t>.</w:t>
      </w:r>
    </w:p>
    <w:p w14:paraId="48E1C466" w14:textId="06C17EB5" w:rsidR="00376045" w:rsidRPr="00376045" w:rsidRDefault="00376045" w:rsidP="00A94B71">
      <w:pPr>
        <w:spacing w:after="160" w:line="360" w:lineRule="auto"/>
        <w:rPr>
          <w:rFonts w:ascii="Arial" w:eastAsiaTheme="minorHAnsi" w:hAnsi="Arial" w:cs="Arial"/>
          <w:kern w:val="2"/>
          <w:sz w:val="22"/>
          <w:szCs w:val="22"/>
          <w:lang w:eastAsia="en-US"/>
          <w14:ligatures w14:val="standardContextual"/>
        </w:rPr>
      </w:pPr>
      <w:r w:rsidRPr="00376045">
        <w:rPr>
          <w:rFonts w:ascii="Arial" w:eastAsiaTheme="minorHAnsi" w:hAnsi="Arial" w:cs="Arial"/>
          <w:kern w:val="2"/>
          <w:sz w:val="22"/>
          <w:szCs w:val="22"/>
          <w:lang w:eastAsia="en-US"/>
          <w14:ligatures w14:val="standardContextual"/>
        </w:rPr>
        <w:t xml:space="preserve">Concerns about the relevance of certain terms to the given exam questions were raised by another student (C), stating, </w:t>
      </w:r>
      <w:r w:rsidRPr="00376045">
        <w:rPr>
          <w:rFonts w:ascii="Arial" w:eastAsiaTheme="minorHAnsi" w:hAnsi="Arial" w:cs="Arial"/>
          <w:i/>
          <w:iCs/>
          <w:kern w:val="2"/>
          <w:sz w:val="22"/>
          <w:szCs w:val="22"/>
          <w:lang w:eastAsia="en-US"/>
          <w14:ligatures w14:val="standardContextual"/>
        </w:rPr>
        <w:t xml:space="preserve">"The </w:t>
      </w:r>
      <w:r w:rsidRPr="00376045">
        <w:rPr>
          <w:rFonts w:ascii="Arial" w:eastAsiaTheme="minorHAnsi" w:hAnsi="Arial" w:cs="Arial"/>
          <w:kern w:val="2"/>
          <w:sz w:val="22"/>
          <w:szCs w:val="22"/>
          <w:lang w:eastAsia="en-US"/>
          <w14:ligatures w14:val="standardContextual"/>
        </w:rPr>
        <w:t>(scaffolding)</w:t>
      </w:r>
      <w:r w:rsidRPr="00376045">
        <w:rPr>
          <w:rFonts w:ascii="Arial" w:eastAsiaTheme="minorHAnsi" w:hAnsi="Arial" w:cs="Arial"/>
          <w:i/>
          <w:iCs/>
          <w:kern w:val="2"/>
          <w:sz w:val="22"/>
          <w:szCs w:val="22"/>
          <w:lang w:eastAsia="en-US"/>
          <w14:ligatures w14:val="standardContextual"/>
        </w:rPr>
        <w:t xml:space="preserve"> sheet was helpful overall, but I found that some of the terms included weren’t needed for the question we were answering."</w:t>
      </w:r>
      <w:r w:rsidRPr="00376045">
        <w:rPr>
          <w:rFonts w:ascii="Arial" w:eastAsiaTheme="minorHAnsi" w:hAnsi="Arial" w:cs="Arial"/>
          <w:kern w:val="2"/>
          <w:sz w:val="22"/>
          <w:szCs w:val="22"/>
          <w:lang w:eastAsia="en-US"/>
          <w14:ligatures w14:val="standardContextual"/>
        </w:rPr>
        <w:t xml:space="preserve"> This feedback highlights the importance of aligning support resources closely with exam requirements to maximise their effectiveness. Additionally, it highlights the clarity required by the researcher in introducing the scaffolding sheet as a guide for the exam as a whole, rather than the one question provided in the study. </w:t>
      </w:r>
      <w:r w:rsidRPr="00376045">
        <w:rPr>
          <w:rFonts w:ascii="Arial" w:eastAsiaTheme="minorHAnsi" w:hAnsi="Arial" w:cs="Arial"/>
          <w:kern w:val="2"/>
          <w:sz w:val="22"/>
          <w:szCs w:val="22"/>
          <w:lang w:eastAsia="en-US"/>
          <w14:ligatures w14:val="standardContextual"/>
        </w:rPr>
        <w:br/>
      </w:r>
      <w:r w:rsidRPr="00376045">
        <w:rPr>
          <w:rFonts w:ascii="Arial" w:eastAsiaTheme="minorHAnsi" w:hAnsi="Arial" w:cs="Arial"/>
          <w:kern w:val="2"/>
          <w:sz w:val="22"/>
          <w:szCs w:val="22"/>
          <w:lang w:eastAsia="en-US"/>
          <w14:ligatures w14:val="standardContextual"/>
        </w:rPr>
        <w:br/>
      </w:r>
      <w:r w:rsidRPr="00376045">
        <w:rPr>
          <w:rFonts w:ascii="Arial" w:eastAsiaTheme="minorHAnsi" w:hAnsi="Arial" w:cs="Arial"/>
          <w:b/>
          <w:bCs/>
          <w:kern w:val="2"/>
          <w:sz w:val="22"/>
          <w:szCs w:val="22"/>
          <w:lang w:eastAsia="en-US"/>
          <w14:ligatures w14:val="standardContextual"/>
        </w:rPr>
        <w:t>Discussion</w:t>
      </w:r>
      <w:r w:rsidRPr="00376045">
        <w:rPr>
          <w:rFonts w:ascii="Arial" w:eastAsiaTheme="minorHAnsi" w:hAnsi="Arial" w:cs="Arial"/>
          <w:kern w:val="2"/>
          <w:sz w:val="22"/>
          <w:szCs w:val="22"/>
          <w:u w:val="single"/>
          <w:lang w:eastAsia="en-US"/>
          <w14:ligatures w14:val="standardContextual"/>
        </w:rPr>
        <w:br/>
      </w:r>
      <w:r w:rsidRPr="00376045">
        <w:rPr>
          <w:rFonts w:ascii="Arial" w:eastAsiaTheme="minorHAnsi" w:hAnsi="Arial" w:cs="Arial"/>
          <w:kern w:val="2"/>
          <w:sz w:val="22"/>
          <w:szCs w:val="22"/>
          <w:lang w:eastAsia="en-US"/>
          <w14:ligatures w14:val="standardContextual"/>
        </w:rPr>
        <w:t xml:space="preserve">Several key insights emerged from the data regarding the use of scaffolding in supporting Year 10 pupils' writing in preparation for the </w:t>
      </w:r>
      <w:r w:rsidR="00B059F4">
        <w:rPr>
          <w:rFonts w:ascii="Arial" w:eastAsiaTheme="minorHAnsi" w:hAnsi="Arial" w:cs="Arial"/>
          <w:kern w:val="2"/>
          <w:sz w:val="22"/>
          <w:szCs w:val="22"/>
          <w:lang w:eastAsia="en-US"/>
          <w14:ligatures w14:val="standardContextual"/>
        </w:rPr>
        <w:t>U</w:t>
      </w:r>
      <w:r w:rsidRPr="00376045">
        <w:rPr>
          <w:rFonts w:ascii="Arial" w:eastAsiaTheme="minorHAnsi" w:hAnsi="Arial" w:cs="Arial"/>
          <w:kern w:val="2"/>
          <w:sz w:val="22"/>
          <w:szCs w:val="22"/>
          <w:lang w:eastAsia="en-US"/>
          <w14:ligatures w14:val="standardContextual"/>
        </w:rPr>
        <w:t>nit 3 GCSE Drama component. The findings shed light on pupils' perceptions, engagement levels, and outcomes, providing valuable implications for instructional practices and student achievement in GCSE Drama education.</w:t>
      </w:r>
    </w:p>
    <w:p w14:paraId="18385061" w14:textId="77777777" w:rsidR="00376045" w:rsidRPr="00376045" w:rsidRDefault="00376045" w:rsidP="00A94B71">
      <w:pPr>
        <w:spacing w:after="160" w:line="360" w:lineRule="auto"/>
        <w:rPr>
          <w:rFonts w:ascii="Arial" w:eastAsiaTheme="minorHAnsi" w:hAnsi="Arial" w:cs="Arial"/>
          <w:kern w:val="2"/>
          <w:sz w:val="22"/>
          <w:szCs w:val="22"/>
          <w:lang w:eastAsia="en-US"/>
          <w14:ligatures w14:val="standardContextual"/>
        </w:rPr>
      </w:pPr>
      <w:r w:rsidRPr="00376045">
        <w:rPr>
          <w:rFonts w:ascii="Arial" w:eastAsiaTheme="minorHAnsi" w:hAnsi="Arial" w:cs="Arial"/>
          <w:kern w:val="2"/>
          <w:sz w:val="22"/>
          <w:szCs w:val="22"/>
          <w:lang w:eastAsia="en-US"/>
          <w14:ligatures w14:val="standardContextual"/>
        </w:rPr>
        <w:t>Firstly, the data reveals a diverse range of experience levels and confidence among students prior to the intervention. Despite some learners having prior experience with school productions or attending drama schools, a significant portion expressed a lack of confidence in their ability to write responses to GCSE Drama exam questions. This finding resonates with the literature, which underscores the importance of understanding pupils' capabilities and addressing their varying levels of confidence in scaffolding practices (Colter &amp; Ulatowski, 2017).</w:t>
      </w:r>
    </w:p>
    <w:p w14:paraId="43704C1D" w14:textId="77777777" w:rsidR="00376045" w:rsidRPr="00376045" w:rsidRDefault="00376045" w:rsidP="00A94B71">
      <w:pPr>
        <w:spacing w:after="160" w:line="360" w:lineRule="auto"/>
        <w:rPr>
          <w:rFonts w:ascii="Arial" w:eastAsiaTheme="minorHAnsi" w:hAnsi="Arial" w:cs="Arial"/>
          <w:kern w:val="2"/>
          <w:sz w:val="22"/>
          <w:szCs w:val="22"/>
          <w:lang w:eastAsia="en-US"/>
          <w14:ligatures w14:val="standardContextual"/>
        </w:rPr>
      </w:pPr>
      <w:r w:rsidRPr="00376045">
        <w:rPr>
          <w:rFonts w:ascii="Arial" w:eastAsiaTheme="minorHAnsi" w:hAnsi="Arial" w:cs="Arial"/>
          <w:kern w:val="2"/>
          <w:sz w:val="22"/>
          <w:szCs w:val="22"/>
          <w:lang w:eastAsia="en-US"/>
          <w14:ligatures w14:val="standardContextual"/>
        </w:rPr>
        <w:t>Furthermore, the data indicates extensive engagement with the provided scaffolding support during the project sessions, with the majority of students finding it helpful in exam preparation. Qualitative insights from interviews echo pupils' positive perceptions of scaffolding, highlighting its practical function and role in boosting confidence. These findings align with existing literature emphasising the effectiveness of scaffolding in facilitating learning and comprehension (Rosenshine &amp; Meister, 1992; Puntambekar, 2021).</w:t>
      </w:r>
    </w:p>
    <w:p w14:paraId="4624DB30" w14:textId="7CE7B7DD" w:rsidR="00376045" w:rsidRPr="00376045" w:rsidRDefault="00376045" w:rsidP="00A94B71">
      <w:pPr>
        <w:spacing w:after="160" w:line="360" w:lineRule="auto"/>
        <w:rPr>
          <w:rFonts w:ascii="Arial" w:eastAsiaTheme="minorHAnsi" w:hAnsi="Arial" w:cs="Arial"/>
          <w:kern w:val="2"/>
          <w:sz w:val="22"/>
          <w:szCs w:val="22"/>
          <w:lang w:eastAsia="en-US"/>
          <w14:ligatures w14:val="standardContextual"/>
        </w:rPr>
      </w:pPr>
      <w:r w:rsidRPr="00376045">
        <w:rPr>
          <w:rFonts w:ascii="Arial" w:eastAsiaTheme="minorHAnsi" w:hAnsi="Arial" w:cs="Arial"/>
          <w:kern w:val="2"/>
          <w:sz w:val="22"/>
          <w:szCs w:val="22"/>
          <w:lang w:eastAsia="en-US"/>
          <w14:ligatures w14:val="standardContextual"/>
        </w:rPr>
        <w:t>Moreover, the overwhelming agreement among students regarding the helpfulness of scaffolding support, as demonstrated by post-intervention questionnaire data, reinforces the positive impact of scaffolding on pupils' exam preparation strategies and overall learning experience. However, it is important to note that while a significant proportion of learners achieved marks in the top two bands of the WJEC marking scheme, establishing a direct cause-and-effect relationship between the use of the scaffolding sheet and improved performance requires further investigation</w:t>
      </w:r>
      <w:r w:rsidR="00D44F4E" w:rsidRPr="00A94B71">
        <w:rPr>
          <w:rFonts w:ascii="Arial" w:eastAsiaTheme="minorHAnsi" w:hAnsi="Arial" w:cs="Arial"/>
          <w:kern w:val="2"/>
          <w:sz w:val="22"/>
          <w:szCs w:val="22"/>
          <w:lang w:eastAsia="en-US"/>
          <w14:ligatures w14:val="standardContextual"/>
        </w:rPr>
        <w:t xml:space="preserve"> </w:t>
      </w:r>
      <w:r w:rsidRPr="00376045">
        <w:rPr>
          <w:rFonts w:ascii="Arial" w:eastAsiaTheme="minorHAnsi" w:hAnsi="Arial" w:cs="Arial"/>
          <w:kern w:val="2"/>
          <w:sz w:val="22"/>
          <w:szCs w:val="22"/>
          <w:lang w:eastAsia="en-US"/>
          <w14:ligatures w14:val="standardContextual"/>
        </w:rPr>
        <w:t>(Ebneyamini and Moghadam, 2018).</w:t>
      </w:r>
    </w:p>
    <w:p w14:paraId="0EF9946F" w14:textId="77777777" w:rsidR="00376045" w:rsidRPr="00376045" w:rsidRDefault="00376045" w:rsidP="00A94B71">
      <w:pPr>
        <w:spacing w:after="160" w:line="360" w:lineRule="auto"/>
        <w:rPr>
          <w:rFonts w:ascii="Arial" w:eastAsiaTheme="minorHAnsi" w:hAnsi="Arial" w:cs="Arial"/>
          <w:kern w:val="2"/>
          <w:sz w:val="22"/>
          <w:szCs w:val="22"/>
          <w:lang w:eastAsia="en-US"/>
          <w14:ligatures w14:val="standardContextual"/>
        </w:rPr>
      </w:pPr>
      <w:r w:rsidRPr="00376045">
        <w:rPr>
          <w:rFonts w:ascii="Arial" w:eastAsiaTheme="minorHAnsi" w:hAnsi="Arial" w:cs="Arial"/>
          <w:kern w:val="2"/>
          <w:sz w:val="22"/>
          <w:szCs w:val="22"/>
          <w:lang w:eastAsia="en-US"/>
          <w14:ligatures w14:val="standardContextual"/>
        </w:rPr>
        <w:t xml:space="preserve">Despite the overall positive feedback, pupils provided valuable recommendations for improvement, highlighting the importance of aligning support resources closely with exam requirements and ensuring </w:t>
      </w:r>
      <w:r w:rsidRPr="00376045">
        <w:rPr>
          <w:rFonts w:ascii="Arial" w:eastAsiaTheme="minorHAnsi" w:hAnsi="Arial" w:cs="Arial"/>
          <w:kern w:val="2"/>
          <w:sz w:val="22"/>
          <w:szCs w:val="22"/>
          <w:lang w:eastAsia="en-US"/>
          <w14:ligatures w14:val="standardContextual"/>
        </w:rPr>
        <w:lastRenderedPageBreak/>
        <w:t>clarity in introducing scaffolding tools. This underscores the need for educators to continuously refine instructional strategies based on student feedback and align scaffolding practices with learning objectives (Maskor &amp; Baharudin, 2016).</w:t>
      </w:r>
    </w:p>
    <w:p w14:paraId="17C0318E" w14:textId="77777777" w:rsidR="00376045" w:rsidRPr="00376045" w:rsidRDefault="00376045" w:rsidP="00A94B71">
      <w:pPr>
        <w:spacing w:after="160" w:line="360" w:lineRule="auto"/>
        <w:rPr>
          <w:rFonts w:ascii="Arial" w:eastAsiaTheme="minorHAnsi" w:hAnsi="Arial" w:cs="Arial"/>
          <w:kern w:val="2"/>
          <w:sz w:val="22"/>
          <w:szCs w:val="22"/>
          <w:lang w:eastAsia="en-US"/>
          <w14:ligatures w14:val="standardContextual"/>
        </w:rPr>
      </w:pPr>
      <w:r w:rsidRPr="00376045">
        <w:rPr>
          <w:rFonts w:ascii="Arial" w:eastAsiaTheme="minorHAnsi" w:hAnsi="Arial" w:cs="Arial"/>
          <w:kern w:val="2"/>
          <w:sz w:val="22"/>
          <w:szCs w:val="22"/>
          <w:lang w:eastAsia="en-US"/>
          <w14:ligatures w14:val="standardContextual"/>
        </w:rPr>
        <w:t>In summary, the findings of this study provide valuable insights into the effectiveness of scaffolding techniques in supporting Year 10 pupils' writing in preparation for the GCSE Drama exam. By aligning with theoretical frameworks, pupil perceptions, and insights from the literature, educators can leverage scaffolding practices to address pupils' varying levels of experience and confidence, enhance engagement and comprehension, and ultimately improve learning outcomes in GCSE Drama education.</w:t>
      </w:r>
    </w:p>
    <w:p w14:paraId="6D82E7CA" w14:textId="77777777" w:rsidR="00A94B71" w:rsidRDefault="00A94B71" w:rsidP="00A94B71">
      <w:pPr>
        <w:spacing w:after="160" w:line="360" w:lineRule="auto"/>
        <w:rPr>
          <w:rFonts w:ascii="Arial" w:eastAsiaTheme="minorHAnsi" w:hAnsi="Arial" w:cs="Arial"/>
          <w:b/>
          <w:bCs/>
          <w:kern w:val="2"/>
          <w:sz w:val="22"/>
          <w:szCs w:val="22"/>
          <w:lang w:eastAsia="en-US"/>
          <w14:ligatures w14:val="standardContextual"/>
        </w:rPr>
      </w:pPr>
    </w:p>
    <w:p w14:paraId="0BA14A1D" w14:textId="7AB78554" w:rsidR="0078105B" w:rsidRPr="0078105B" w:rsidRDefault="0078105B" w:rsidP="00A94B71">
      <w:pPr>
        <w:spacing w:after="160" w:line="360" w:lineRule="auto"/>
        <w:rPr>
          <w:rFonts w:ascii="Arial" w:eastAsiaTheme="minorHAnsi" w:hAnsi="Arial" w:cs="Arial"/>
          <w:b/>
          <w:bCs/>
          <w:kern w:val="2"/>
          <w:sz w:val="22"/>
          <w:szCs w:val="22"/>
          <w:lang w:eastAsia="en-US"/>
          <w14:ligatures w14:val="standardContextual"/>
        </w:rPr>
      </w:pPr>
      <w:r w:rsidRPr="0078105B">
        <w:rPr>
          <w:rFonts w:ascii="Arial" w:eastAsiaTheme="minorHAnsi" w:hAnsi="Arial" w:cs="Arial"/>
          <w:b/>
          <w:bCs/>
          <w:kern w:val="2"/>
          <w:sz w:val="22"/>
          <w:szCs w:val="22"/>
          <w:lang w:eastAsia="en-US"/>
          <w14:ligatures w14:val="standardContextual"/>
        </w:rPr>
        <w:t xml:space="preserve">Conclusions </w:t>
      </w:r>
    </w:p>
    <w:p w14:paraId="45A4FAE6" w14:textId="59E3E92B" w:rsidR="0078105B" w:rsidRPr="0078105B" w:rsidRDefault="0078105B" w:rsidP="00A94B71">
      <w:pPr>
        <w:spacing w:after="160" w:line="360" w:lineRule="auto"/>
        <w:rPr>
          <w:rFonts w:ascii="Arial" w:eastAsiaTheme="minorHAnsi" w:hAnsi="Arial" w:cs="Arial"/>
          <w:kern w:val="2"/>
          <w:sz w:val="22"/>
          <w:szCs w:val="22"/>
          <w:lang w:eastAsia="en-US"/>
          <w14:ligatures w14:val="standardContextual"/>
        </w:rPr>
      </w:pPr>
      <w:r w:rsidRPr="0078105B">
        <w:rPr>
          <w:rFonts w:ascii="Arial" w:eastAsiaTheme="minorHAnsi" w:hAnsi="Arial" w:cs="Arial"/>
          <w:kern w:val="2"/>
          <w:sz w:val="22"/>
          <w:szCs w:val="22"/>
          <w:lang w:eastAsia="en-US"/>
          <w14:ligatures w14:val="standardContextual"/>
        </w:rPr>
        <w:t xml:space="preserve">In reflecting on the methodology employed in this research study, several considerations emerge regarding the reliability, validity, and generalisability of the findings. The methods of data collection, including </w:t>
      </w:r>
      <w:proofErr w:type="gramStart"/>
      <w:r w:rsidRPr="0078105B">
        <w:rPr>
          <w:rFonts w:ascii="Arial" w:eastAsiaTheme="minorHAnsi" w:hAnsi="Arial" w:cs="Arial"/>
          <w:kern w:val="2"/>
          <w:sz w:val="22"/>
          <w:szCs w:val="22"/>
          <w:lang w:eastAsia="en-US"/>
          <w14:ligatures w14:val="standardContextual"/>
        </w:rPr>
        <w:t>pre</w:t>
      </w:r>
      <w:proofErr w:type="gramEnd"/>
      <w:r w:rsidRPr="0078105B">
        <w:rPr>
          <w:rFonts w:ascii="Arial" w:eastAsiaTheme="minorHAnsi" w:hAnsi="Arial" w:cs="Arial"/>
          <w:kern w:val="2"/>
          <w:sz w:val="22"/>
          <w:szCs w:val="22"/>
          <w:lang w:eastAsia="en-US"/>
          <w14:ligatures w14:val="standardContextual"/>
        </w:rPr>
        <w:t xml:space="preserve"> and post-intervention questionnaires, observation notes, and qualitative interviews, were chosen to provide a comprehensive understanding of students' perceptions and experiences with scaffolding support in exam preparation. While these methods offer valuable insights into </w:t>
      </w:r>
      <w:r w:rsidR="00B059F4">
        <w:rPr>
          <w:rFonts w:ascii="Arial" w:eastAsiaTheme="minorHAnsi" w:hAnsi="Arial" w:cs="Arial"/>
          <w:kern w:val="2"/>
          <w:sz w:val="22"/>
          <w:szCs w:val="22"/>
          <w:lang w:eastAsia="en-US"/>
          <w14:ligatures w14:val="standardContextual"/>
        </w:rPr>
        <w:t>pupil</w:t>
      </w:r>
      <w:r w:rsidRPr="0078105B">
        <w:rPr>
          <w:rFonts w:ascii="Arial" w:eastAsiaTheme="minorHAnsi" w:hAnsi="Arial" w:cs="Arial"/>
          <w:kern w:val="2"/>
          <w:sz w:val="22"/>
          <w:szCs w:val="22"/>
          <w:lang w:eastAsia="en-US"/>
          <w14:ligatures w14:val="standardContextual"/>
        </w:rPr>
        <w:t xml:space="preserve">s' perspectives, it is essential to acknowledge their limitations. The short timeframe of the study may have limited the depth of understanding of pupils' individual developmental stages and needs, as well as the opportunity to explain and refine the scaffolding technique as required. Additionally, the limited duration may have restricted the evaluation of the long-term impact of the scaffolding technique and its gradual removal on </w:t>
      </w:r>
      <w:r w:rsidR="00B059F4">
        <w:rPr>
          <w:rFonts w:ascii="Arial" w:eastAsiaTheme="minorHAnsi" w:hAnsi="Arial" w:cs="Arial"/>
          <w:kern w:val="2"/>
          <w:sz w:val="22"/>
          <w:szCs w:val="22"/>
          <w:lang w:eastAsia="en-US"/>
          <w14:ligatures w14:val="standardContextual"/>
        </w:rPr>
        <w:t>pupil</w:t>
      </w:r>
      <w:r w:rsidRPr="0078105B">
        <w:rPr>
          <w:rFonts w:ascii="Arial" w:eastAsiaTheme="minorHAnsi" w:hAnsi="Arial" w:cs="Arial"/>
          <w:kern w:val="2"/>
          <w:sz w:val="22"/>
          <w:szCs w:val="22"/>
          <w:lang w:eastAsia="en-US"/>
          <w14:ligatures w14:val="standardContextual"/>
        </w:rPr>
        <w:t>s' learning outcomes and confidence levels.</w:t>
      </w:r>
    </w:p>
    <w:p w14:paraId="653A2484" w14:textId="05937F0A" w:rsidR="0078105B" w:rsidRPr="0078105B" w:rsidRDefault="0078105B" w:rsidP="00A94B71">
      <w:pPr>
        <w:spacing w:after="160" w:line="360" w:lineRule="auto"/>
        <w:rPr>
          <w:rFonts w:ascii="Arial" w:eastAsiaTheme="minorHAnsi" w:hAnsi="Arial" w:cs="Arial"/>
          <w:kern w:val="2"/>
          <w:sz w:val="22"/>
          <w:szCs w:val="22"/>
          <w:lang w:eastAsia="en-US"/>
          <w14:ligatures w14:val="standardContextual"/>
        </w:rPr>
      </w:pPr>
      <w:r w:rsidRPr="0078105B">
        <w:rPr>
          <w:rFonts w:ascii="Arial" w:eastAsiaTheme="minorHAnsi" w:hAnsi="Arial" w:cs="Arial"/>
          <w:kern w:val="2"/>
          <w:sz w:val="22"/>
          <w:szCs w:val="22"/>
          <w:lang w:eastAsia="en-US"/>
          <w14:ligatures w14:val="standardContextual"/>
        </w:rPr>
        <w:t>Despite these limitations, the findings offer valuable insights into the effectiveness of scaffolding techniques in enhancing pupils' engagement, understanding, and outcomes in exam preparation</w:t>
      </w:r>
      <w:r w:rsidR="00B059F4">
        <w:rPr>
          <w:rFonts w:ascii="Arial" w:eastAsiaTheme="minorHAnsi" w:hAnsi="Arial" w:cs="Arial"/>
          <w:kern w:val="2"/>
          <w:sz w:val="22"/>
          <w:szCs w:val="22"/>
          <w:lang w:eastAsia="en-US"/>
          <w14:ligatures w14:val="standardContextual"/>
        </w:rPr>
        <w:t>, exemplifying the exploratory nature of the study</w:t>
      </w:r>
      <w:r w:rsidRPr="0078105B">
        <w:rPr>
          <w:rFonts w:ascii="Arial" w:eastAsiaTheme="minorHAnsi" w:hAnsi="Arial" w:cs="Arial"/>
          <w:kern w:val="2"/>
          <w:sz w:val="22"/>
          <w:szCs w:val="22"/>
          <w:lang w:eastAsia="en-US"/>
          <w14:ligatures w14:val="standardContextual"/>
        </w:rPr>
        <w:t>. Furthermore, it highlights the importance of continuing professional learning, as outlined in the Professional Learning Passport.</w:t>
      </w:r>
      <w:r w:rsidRPr="0078105B">
        <w:rPr>
          <w:rFonts w:ascii="Arial" w:eastAsiaTheme="minorHAnsi" w:hAnsi="Arial" w:cs="Arial"/>
          <w:color w:val="0D0D0D"/>
          <w:kern w:val="2"/>
          <w:sz w:val="22"/>
          <w:szCs w:val="22"/>
          <w:shd w:val="clear" w:color="auto" w:fill="FFFFFF"/>
          <w:lang w:eastAsia="en-US"/>
          <w14:ligatures w14:val="standardContextual"/>
        </w:rPr>
        <w:t xml:space="preserve"> </w:t>
      </w:r>
      <w:r w:rsidRPr="0078105B">
        <w:rPr>
          <w:rFonts w:ascii="Arial" w:eastAsiaTheme="minorHAnsi" w:hAnsi="Arial" w:cs="Arial"/>
          <w:kern w:val="2"/>
          <w:sz w:val="22"/>
          <w:szCs w:val="22"/>
          <w:lang w:eastAsia="en-US"/>
          <w14:ligatures w14:val="standardContextual"/>
        </w:rPr>
        <w:t>Future research could explore the transferability of scaffolding interventions across different educational settings and year groups to determine their broader applicability. Longitudinal studies could investigate the long-term impact of scaffolding support on learners' academic performance and confidence levels, allowing for a more comprehensive assessment of the interventions’ effectiveness over time.</w:t>
      </w:r>
    </w:p>
    <w:p w14:paraId="0297C96D" w14:textId="77777777" w:rsidR="0078105B" w:rsidRPr="0078105B" w:rsidRDefault="0078105B" w:rsidP="00A94B71">
      <w:pPr>
        <w:spacing w:after="160" w:line="360" w:lineRule="auto"/>
        <w:rPr>
          <w:rFonts w:ascii="Arial" w:eastAsiaTheme="minorHAnsi" w:hAnsi="Arial" w:cs="Arial"/>
          <w:b/>
          <w:bCs/>
          <w:kern w:val="2"/>
          <w:sz w:val="22"/>
          <w:szCs w:val="22"/>
          <w:lang w:eastAsia="en-US"/>
          <w14:ligatures w14:val="standardContextual"/>
        </w:rPr>
      </w:pPr>
    </w:p>
    <w:p w14:paraId="14171C8A" w14:textId="77777777" w:rsidR="0078105B" w:rsidRPr="0078105B" w:rsidRDefault="0078105B" w:rsidP="00A94B71">
      <w:pPr>
        <w:spacing w:after="160" w:line="360" w:lineRule="auto"/>
        <w:rPr>
          <w:rFonts w:ascii="Arial" w:eastAsiaTheme="minorHAnsi" w:hAnsi="Arial" w:cs="Arial"/>
          <w:b/>
          <w:bCs/>
          <w:kern w:val="2"/>
          <w:sz w:val="22"/>
          <w:szCs w:val="22"/>
          <w:lang w:eastAsia="en-US"/>
          <w14:ligatures w14:val="standardContextual"/>
        </w:rPr>
      </w:pPr>
      <w:r w:rsidRPr="0078105B">
        <w:rPr>
          <w:rFonts w:ascii="Arial" w:eastAsiaTheme="minorHAnsi" w:hAnsi="Arial" w:cs="Arial"/>
          <w:b/>
          <w:bCs/>
          <w:kern w:val="2"/>
          <w:sz w:val="22"/>
          <w:szCs w:val="22"/>
          <w:lang w:eastAsia="en-US"/>
          <w14:ligatures w14:val="standardContextual"/>
        </w:rPr>
        <w:t xml:space="preserve">Future Recommendations </w:t>
      </w:r>
    </w:p>
    <w:p w14:paraId="55AE879E" w14:textId="7EB09B69" w:rsidR="0078105B" w:rsidRPr="0078105B" w:rsidRDefault="0078105B" w:rsidP="00A94B71">
      <w:pPr>
        <w:spacing w:after="160" w:line="360" w:lineRule="auto"/>
        <w:rPr>
          <w:rFonts w:ascii="Arial" w:eastAsiaTheme="minorHAnsi" w:hAnsi="Arial" w:cs="Arial"/>
          <w:kern w:val="2"/>
          <w:sz w:val="22"/>
          <w:szCs w:val="22"/>
          <w:lang w:eastAsia="en-US"/>
          <w14:ligatures w14:val="standardContextual"/>
        </w:rPr>
      </w:pPr>
      <w:r w:rsidRPr="0078105B">
        <w:rPr>
          <w:rFonts w:ascii="Arial" w:eastAsiaTheme="minorHAnsi" w:hAnsi="Arial" w:cs="Arial"/>
          <w:kern w:val="2"/>
          <w:sz w:val="22"/>
          <w:szCs w:val="22"/>
          <w:lang w:eastAsia="en-US"/>
          <w14:ligatures w14:val="standardContextual"/>
        </w:rPr>
        <w:t xml:space="preserve">Based on the findings of this research study and acknowledging its limitations, several recommendations can be made to enhance the effectiveness of scaffolding interventions in exam preparation. Firstly, educators should prioritise the development of scaffolded resources that align closely with exam requirements and address pupils' specific needs and challenges. This may involve incorporating additional examples, explanations, or interactive elements to scaffold learning effectively. Moreover, as an emerging reflective practitioner, the researcher advocates for the adoption of a ‘plan-do-review’ cycle </w:t>
      </w:r>
      <w:r w:rsidRPr="0078105B">
        <w:rPr>
          <w:rFonts w:ascii="Arial" w:eastAsiaTheme="minorHAnsi" w:hAnsi="Arial" w:cs="Arial"/>
          <w:kern w:val="2"/>
          <w:sz w:val="22"/>
          <w:szCs w:val="22"/>
          <w:lang w:eastAsia="en-US"/>
          <w14:ligatures w14:val="standardContextual"/>
        </w:rPr>
        <w:lastRenderedPageBreak/>
        <w:t xml:space="preserve">to guide future research and practice to ensure refinement. By adopting a cyclical approach to planning, implementing interventions, and reflecting on their effectiveness, educators can iteratively refine their teaching strategies to better meet the needs of their </w:t>
      </w:r>
      <w:r w:rsidR="009D0E76">
        <w:rPr>
          <w:rFonts w:ascii="Arial" w:eastAsiaTheme="minorHAnsi" w:hAnsi="Arial" w:cs="Arial"/>
          <w:kern w:val="2"/>
          <w:sz w:val="22"/>
          <w:szCs w:val="22"/>
          <w:lang w:eastAsia="en-US"/>
          <w14:ligatures w14:val="standardContextual"/>
        </w:rPr>
        <w:t>pupils</w:t>
      </w:r>
      <w:r w:rsidRPr="0078105B">
        <w:rPr>
          <w:rFonts w:ascii="Arial" w:eastAsiaTheme="minorHAnsi" w:hAnsi="Arial" w:cs="Arial"/>
          <w:kern w:val="2"/>
          <w:sz w:val="22"/>
          <w:szCs w:val="22"/>
          <w:lang w:eastAsia="en-US"/>
          <w14:ligatures w14:val="standardContextual"/>
        </w:rPr>
        <w:t>.</w:t>
      </w:r>
    </w:p>
    <w:p w14:paraId="3B434967" w14:textId="58470A72" w:rsidR="0078105B" w:rsidRPr="0078105B" w:rsidRDefault="0078105B" w:rsidP="00A94B71">
      <w:pPr>
        <w:spacing w:after="160" w:line="360" w:lineRule="auto"/>
        <w:rPr>
          <w:rFonts w:ascii="Arial" w:eastAsiaTheme="minorHAnsi" w:hAnsi="Arial" w:cs="Arial"/>
          <w:kern w:val="2"/>
          <w:sz w:val="22"/>
          <w:szCs w:val="22"/>
          <w:lang w:eastAsia="en-US"/>
          <w14:ligatures w14:val="standardContextual"/>
        </w:rPr>
      </w:pPr>
      <w:r w:rsidRPr="0078105B">
        <w:rPr>
          <w:rFonts w:ascii="Arial" w:eastAsiaTheme="minorHAnsi" w:hAnsi="Arial" w:cs="Arial"/>
          <w:kern w:val="2"/>
          <w:sz w:val="22"/>
          <w:szCs w:val="22"/>
          <w:lang w:eastAsia="en-US"/>
          <w14:ligatures w14:val="standardContextual"/>
        </w:rPr>
        <w:t>Additionally, providing educators with ongoing professional development opportunities can enhance their understanding and implementation of scaffolding techniques in the classroom, thereby supporting continuous improvement in teaching strategies. Furthermore, future research should focus on trialling the scaffolding technique in other schools and classes to confirm its generalisability beyond the current case setting. This would allow for a broader assessment of the interventions’ effectiveness across diverse educational contexts and student populations, providing valuable insights into their potential applicability on a larger scale.</w:t>
      </w:r>
    </w:p>
    <w:p w14:paraId="490D108F" w14:textId="5DCE7F60" w:rsidR="00013A90" w:rsidRPr="00A94B71" w:rsidRDefault="0078105B" w:rsidP="00A94B71">
      <w:pPr>
        <w:spacing w:after="160" w:line="360" w:lineRule="auto"/>
        <w:rPr>
          <w:rFonts w:ascii="Arial" w:eastAsiaTheme="minorHAnsi" w:hAnsi="Arial" w:cs="Arial"/>
          <w:kern w:val="2"/>
          <w:sz w:val="22"/>
          <w:szCs w:val="22"/>
          <w:lang w:eastAsia="en-US"/>
          <w14:ligatures w14:val="standardContextual"/>
        </w:rPr>
      </w:pPr>
      <w:r w:rsidRPr="00A94B71">
        <w:rPr>
          <w:rFonts w:ascii="Arial" w:eastAsiaTheme="minorHAnsi" w:hAnsi="Arial" w:cs="Arial"/>
          <w:kern w:val="2"/>
          <w:sz w:val="22"/>
          <w:szCs w:val="22"/>
          <w:lang w:eastAsia="en-US"/>
          <w14:ligatures w14:val="standardContextual"/>
        </w:rPr>
        <w:t xml:space="preserve">In conclusion, by addressing these </w:t>
      </w:r>
      <w:r w:rsidR="009D0E76">
        <w:rPr>
          <w:rFonts w:ascii="Arial" w:eastAsiaTheme="minorHAnsi" w:hAnsi="Arial" w:cs="Arial"/>
          <w:kern w:val="2"/>
          <w:sz w:val="22"/>
          <w:szCs w:val="22"/>
          <w:lang w:eastAsia="en-US"/>
          <w14:ligatures w14:val="standardContextual"/>
        </w:rPr>
        <w:t xml:space="preserve">conclusions and </w:t>
      </w:r>
      <w:r w:rsidR="009D0E76" w:rsidRPr="00A94B71">
        <w:rPr>
          <w:rFonts w:ascii="Arial" w:eastAsiaTheme="minorHAnsi" w:hAnsi="Arial" w:cs="Arial"/>
          <w:kern w:val="2"/>
          <w:sz w:val="22"/>
          <w:szCs w:val="22"/>
          <w:lang w:eastAsia="en-US"/>
          <w14:ligatures w14:val="standardContextual"/>
        </w:rPr>
        <w:t>recommendations</w:t>
      </w:r>
      <w:r w:rsidR="009D0E76">
        <w:rPr>
          <w:rFonts w:ascii="Arial" w:eastAsiaTheme="minorHAnsi" w:hAnsi="Arial" w:cs="Arial"/>
          <w:kern w:val="2"/>
          <w:sz w:val="22"/>
          <w:szCs w:val="22"/>
          <w:lang w:eastAsia="en-US"/>
          <w14:ligatures w14:val="standardContextual"/>
        </w:rPr>
        <w:t>,</w:t>
      </w:r>
      <w:r w:rsidR="009D0E76" w:rsidRPr="00A94B71">
        <w:rPr>
          <w:rFonts w:ascii="Arial" w:eastAsiaTheme="minorHAnsi" w:hAnsi="Arial" w:cs="Arial"/>
          <w:kern w:val="2"/>
          <w:sz w:val="22"/>
          <w:szCs w:val="22"/>
          <w:lang w:eastAsia="en-US"/>
          <w14:ligatures w14:val="standardContextual"/>
        </w:rPr>
        <w:t xml:space="preserve"> building</w:t>
      </w:r>
      <w:r w:rsidRPr="00A94B71">
        <w:rPr>
          <w:rFonts w:ascii="Arial" w:eastAsiaTheme="minorHAnsi" w:hAnsi="Arial" w:cs="Arial"/>
          <w:kern w:val="2"/>
          <w:sz w:val="22"/>
          <w:szCs w:val="22"/>
          <w:lang w:eastAsia="en-US"/>
          <w14:ligatures w14:val="standardContextual"/>
        </w:rPr>
        <w:t xml:space="preserve"> upon the findings of this research study, educators can create inclusive learning environments that empower students to achieve academic success and develop lifelong learning skills through the use of scaffolding to aid pupil development.</w:t>
      </w:r>
      <w:r w:rsidRPr="00A94B71">
        <w:rPr>
          <w:rFonts w:ascii="Arial" w:eastAsiaTheme="minorHAnsi" w:hAnsi="Arial" w:cs="Arial"/>
          <w:kern w:val="2"/>
          <w:sz w:val="22"/>
          <w:szCs w:val="22"/>
          <w:lang w:eastAsia="en-US"/>
          <w14:ligatures w14:val="standardContextual"/>
        </w:rPr>
        <w:br/>
      </w:r>
    </w:p>
    <w:p w14:paraId="15412308" w14:textId="77777777" w:rsidR="00013A90" w:rsidRPr="00A94B71" w:rsidRDefault="00013A90" w:rsidP="00A94B71">
      <w:pPr>
        <w:spacing w:after="160" w:line="360" w:lineRule="auto"/>
        <w:rPr>
          <w:rFonts w:ascii="Arial" w:eastAsiaTheme="minorHAnsi" w:hAnsi="Arial" w:cs="Arial"/>
          <w:kern w:val="2"/>
          <w:sz w:val="22"/>
          <w:szCs w:val="22"/>
          <w:lang w:eastAsia="en-US"/>
          <w14:ligatures w14:val="standardContextual"/>
        </w:rPr>
      </w:pPr>
    </w:p>
    <w:p w14:paraId="2C29B367" w14:textId="77777777" w:rsidR="00E54BF9" w:rsidRPr="00A94B71" w:rsidRDefault="00E54BF9" w:rsidP="00A94B71">
      <w:pPr>
        <w:spacing w:after="160" w:line="360" w:lineRule="auto"/>
        <w:rPr>
          <w:rFonts w:ascii="Arial" w:eastAsiaTheme="minorHAnsi" w:hAnsi="Arial" w:cs="Arial"/>
          <w:kern w:val="2"/>
          <w:sz w:val="22"/>
          <w:szCs w:val="22"/>
          <w:lang w:eastAsia="en-US"/>
          <w14:ligatures w14:val="standardContextual"/>
        </w:rPr>
      </w:pPr>
    </w:p>
    <w:p w14:paraId="26D62B28" w14:textId="77777777" w:rsidR="00E54BF9" w:rsidRPr="00A94B71" w:rsidRDefault="00E54BF9" w:rsidP="00A94B71">
      <w:pPr>
        <w:spacing w:after="160" w:line="360" w:lineRule="auto"/>
        <w:rPr>
          <w:rFonts w:ascii="Arial" w:eastAsiaTheme="minorHAnsi" w:hAnsi="Arial" w:cs="Arial"/>
          <w:kern w:val="2"/>
          <w:sz w:val="22"/>
          <w:szCs w:val="22"/>
          <w:lang w:eastAsia="en-US"/>
          <w14:ligatures w14:val="standardContextual"/>
        </w:rPr>
      </w:pPr>
    </w:p>
    <w:p w14:paraId="68F98216" w14:textId="77777777" w:rsidR="00E54BF9" w:rsidRPr="00A94B71" w:rsidRDefault="00E54BF9" w:rsidP="00A94B71">
      <w:pPr>
        <w:spacing w:after="160" w:line="360" w:lineRule="auto"/>
        <w:rPr>
          <w:rFonts w:ascii="Arial" w:eastAsiaTheme="minorHAnsi" w:hAnsi="Arial" w:cs="Arial"/>
          <w:kern w:val="2"/>
          <w:sz w:val="22"/>
          <w:szCs w:val="22"/>
          <w:lang w:eastAsia="en-US"/>
          <w14:ligatures w14:val="standardContextual"/>
        </w:rPr>
      </w:pPr>
    </w:p>
    <w:p w14:paraId="75DEFAB3" w14:textId="77777777" w:rsidR="00E54BF9" w:rsidRPr="00A94B71" w:rsidRDefault="00E54BF9" w:rsidP="00A94B71">
      <w:pPr>
        <w:spacing w:after="160" w:line="360" w:lineRule="auto"/>
        <w:rPr>
          <w:rFonts w:ascii="Arial" w:eastAsiaTheme="minorHAnsi" w:hAnsi="Arial" w:cs="Arial"/>
          <w:kern w:val="2"/>
          <w:sz w:val="22"/>
          <w:szCs w:val="22"/>
          <w:lang w:eastAsia="en-US"/>
          <w14:ligatures w14:val="standardContextual"/>
        </w:rPr>
      </w:pPr>
    </w:p>
    <w:p w14:paraId="11728665" w14:textId="77777777" w:rsidR="00E54BF9" w:rsidRPr="00A94B71" w:rsidRDefault="00E54BF9" w:rsidP="00A94B71">
      <w:pPr>
        <w:spacing w:after="160" w:line="360" w:lineRule="auto"/>
        <w:rPr>
          <w:rFonts w:ascii="Arial" w:eastAsiaTheme="minorHAnsi" w:hAnsi="Arial" w:cs="Arial"/>
          <w:kern w:val="2"/>
          <w:sz w:val="22"/>
          <w:szCs w:val="22"/>
          <w:lang w:eastAsia="en-US"/>
          <w14:ligatures w14:val="standardContextual"/>
        </w:rPr>
      </w:pPr>
    </w:p>
    <w:p w14:paraId="50E9CA7D" w14:textId="77777777" w:rsidR="00E54BF9" w:rsidRPr="00A94B71" w:rsidRDefault="00E54BF9" w:rsidP="00A94B71">
      <w:pPr>
        <w:spacing w:after="160" w:line="360" w:lineRule="auto"/>
        <w:rPr>
          <w:rFonts w:ascii="Arial" w:eastAsiaTheme="minorHAnsi" w:hAnsi="Arial" w:cs="Arial"/>
          <w:kern w:val="2"/>
          <w:sz w:val="22"/>
          <w:szCs w:val="22"/>
          <w:lang w:eastAsia="en-US"/>
          <w14:ligatures w14:val="standardContextual"/>
        </w:rPr>
      </w:pPr>
    </w:p>
    <w:p w14:paraId="7F6A4C62" w14:textId="77777777" w:rsidR="00E54BF9" w:rsidRPr="00A94B71" w:rsidRDefault="00E54BF9" w:rsidP="00A94B71">
      <w:pPr>
        <w:spacing w:after="160" w:line="360" w:lineRule="auto"/>
        <w:rPr>
          <w:rFonts w:ascii="Arial" w:eastAsiaTheme="minorHAnsi" w:hAnsi="Arial" w:cs="Arial"/>
          <w:kern w:val="2"/>
          <w:sz w:val="22"/>
          <w:szCs w:val="22"/>
          <w:lang w:eastAsia="en-US"/>
          <w14:ligatures w14:val="standardContextual"/>
        </w:rPr>
      </w:pPr>
    </w:p>
    <w:p w14:paraId="458A14D4" w14:textId="77777777" w:rsidR="00E54BF9" w:rsidRPr="00A94B71" w:rsidRDefault="00E54BF9" w:rsidP="00A94B71">
      <w:pPr>
        <w:spacing w:after="160" w:line="360" w:lineRule="auto"/>
        <w:rPr>
          <w:rFonts w:ascii="Arial" w:eastAsiaTheme="minorHAnsi" w:hAnsi="Arial" w:cs="Arial"/>
          <w:kern w:val="2"/>
          <w:sz w:val="22"/>
          <w:szCs w:val="22"/>
          <w:lang w:eastAsia="en-US"/>
          <w14:ligatures w14:val="standardContextual"/>
        </w:rPr>
      </w:pPr>
    </w:p>
    <w:p w14:paraId="10A2D61F" w14:textId="77777777" w:rsidR="00E54BF9" w:rsidRPr="00A94B71" w:rsidRDefault="00E54BF9" w:rsidP="00A94B71">
      <w:pPr>
        <w:spacing w:after="160" w:line="360" w:lineRule="auto"/>
        <w:rPr>
          <w:rFonts w:ascii="Arial" w:eastAsiaTheme="minorHAnsi" w:hAnsi="Arial" w:cs="Arial"/>
          <w:kern w:val="2"/>
          <w:sz w:val="22"/>
          <w:szCs w:val="22"/>
          <w:lang w:eastAsia="en-US"/>
          <w14:ligatures w14:val="standardContextual"/>
        </w:rPr>
      </w:pPr>
    </w:p>
    <w:p w14:paraId="75D3FD07" w14:textId="77777777" w:rsidR="00E54BF9" w:rsidRPr="00A94B71" w:rsidRDefault="00E54BF9" w:rsidP="00A94B71">
      <w:pPr>
        <w:spacing w:after="160" w:line="360" w:lineRule="auto"/>
        <w:rPr>
          <w:rFonts w:ascii="Arial" w:eastAsiaTheme="minorHAnsi" w:hAnsi="Arial" w:cs="Arial"/>
          <w:kern w:val="2"/>
          <w:sz w:val="22"/>
          <w:szCs w:val="22"/>
          <w:lang w:eastAsia="en-US"/>
          <w14:ligatures w14:val="standardContextual"/>
        </w:rPr>
      </w:pPr>
    </w:p>
    <w:p w14:paraId="4AE22D9B" w14:textId="77777777" w:rsidR="00E54BF9" w:rsidRPr="00A94B71" w:rsidRDefault="00E54BF9" w:rsidP="00A94B71">
      <w:pPr>
        <w:spacing w:after="160" w:line="360" w:lineRule="auto"/>
        <w:rPr>
          <w:rFonts w:ascii="Arial" w:eastAsiaTheme="minorHAnsi" w:hAnsi="Arial" w:cs="Arial"/>
          <w:kern w:val="2"/>
          <w:sz w:val="22"/>
          <w:szCs w:val="22"/>
          <w:lang w:eastAsia="en-US"/>
          <w14:ligatures w14:val="standardContextual"/>
        </w:rPr>
      </w:pPr>
    </w:p>
    <w:p w14:paraId="2B338525" w14:textId="77777777" w:rsidR="00E54BF9" w:rsidRPr="00A94B71" w:rsidRDefault="00E54BF9" w:rsidP="00A94B71">
      <w:pPr>
        <w:spacing w:after="160" w:line="360" w:lineRule="auto"/>
        <w:rPr>
          <w:rFonts w:ascii="Arial" w:eastAsiaTheme="minorHAnsi" w:hAnsi="Arial" w:cs="Arial"/>
          <w:kern w:val="2"/>
          <w:sz w:val="22"/>
          <w:szCs w:val="22"/>
          <w:lang w:eastAsia="en-US"/>
          <w14:ligatures w14:val="standardContextual"/>
        </w:rPr>
      </w:pPr>
    </w:p>
    <w:p w14:paraId="56BA0FC2" w14:textId="77777777" w:rsidR="00E54BF9" w:rsidRPr="00A94B71" w:rsidRDefault="00E54BF9" w:rsidP="00A94B71">
      <w:pPr>
        <w:spacing w:after="160" w:line="360" w:lineRule="auto"/>
        <w:rPr>
          <w:rFonts w:ascii="Arial" w:eastAsiaTheme="minorHAnsi" w:hAnsi="Arial" w:cs="Arial"/>
          <w:kern w:val="2"/>
          <w:sz w:val="22"/>
          <w:szCs w:val="22"/>
          <w:lang w:eastAsia="en-US"/>
          <w14:ligatures w14:val="standardContextual"/>
        </w:rPr>
      </w:pPr>
    </w:p>
    <w:p w14:paraId="57484653" w14:textId="77777777" w:rsidR="00E54BF9" w:rsidRPr="00A94B71" w:rsidRDefault="00E54BF9" w:rsidP="00A94B71">
      <w:pPr>
        <w:spacing w:after="160" w:line="360" w:lineRule="auto"/>
        <w:rPr>
          <w:rFonts w:ascii="Arial" w:eastAsiaTheme="minorHAnsi" w:hAnsi="Arial" w:cs="Arial"/>
          <w:kern w:val="2"/>
          <w:sz w:val="22"/>
          <w:szCs w:val="22"/>
          <w:lang w:eastAsia="en-US"/>
          <w14:ligatures w14:val="standardContextual"/>
        </w:rPr>
      </w:pPr>
    </w:p>
    <w:p w14:paraId="6832EC3D" w14:textId="62E101D9" w:rsidR="00ED10BC" w:rsidRPr="00A94B71" w:rsidRDefault="00AF29C6" w:rsidP="00A94B71">
      <w:pPr>
        <w:pStyle w:val="Heading1"/>
        <w:spacing w:before="0" w:after="240" w:line="360" w:lineRule="auto"/>
        <w:rPr>
          <w:rFonts w:ascii="Arial" w:hAnsi="Arial" w:cs="Arial"/>
          <w:b/>
          <w:bCs/>
          <w:color w:val="000000" w:themeColor="text1"/>
          <w:sz w:val="22"/>
          <w:szCs w:val="22"/>
          <w:u w:val="single"/>
        </w:rPr>
      </w:pPr>
      <w:r w:rsidRPr="00A94B71">
        <w:rPr>
          <w:rFonts w:ascii="Arial" w:hAnsi="Arial" w:cs="Arial"/>
          <w:b/>
          <w:bCs/>
          <w:color w:val="000000" w:themeColor="text1"/>
          <w:sz w:val="22"/>
          <w:szCs w:val="22"/>
        </w:rPr>
        <w:lastRenderedPageBreak/>
        <w:t xml:space="preserve">                                                                   </w:t>
      </w:r>
      <w:r w:rsidR="00ED10BC" w:rsidRPr="00A94B71">
        <w:rPr>
          <w:rFonts w:ascii="Arial" w:hAnsi="Arial" w:cs="Arial"/>
          <w:b/>
          <w:bCs/>
          <w:color w:val="000000" w:themeColor="text1"/>
          <w:sz w:val="22"/>
          <w:szCs w:val="22"/>
          <w:u w:val="single"/>
        </w:rPr>
        <w:t>Reference list</w:t>
      </w:r>
    </w:p>
    <w:p w14:paraId="049DC40B" w14:textId="336224B0"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Ahmad, S. </w:t>
      </w:r>
      <w:r w:rsidRPr="00A94B71">
        <w:rPr>
          <w:rFonts w:ascii="Arial" w:hAnsi="Arial" w:cs="Arial"/>
          <w:i/>
          <w:iCs/>
          <w:sz w:val="22"/>
          <w:szCs w:val="22"/>
        </w:rPr>
        <w:t>et al.</w:t>
      </w:r>
      <w:r w:rsidRPr="00A94B71">
        <w:rPr>
          <w:rFonts w:ascii="Arial" w:hAnsi="Arial" w:cs="Arial"/>
          <w:sz w:val="22"/>
          <w:szCs w:val="22"/>
        </w:rPr>
        <w:t xml:space="preserve"> </w:t>
      </w:r>
      <w:r w:rsidRPr="00A94B71">
        <w:rPr>
          <w:rFonts w:ascii="Arial" w:hAnsi="Arial" w:cs="Arial"/>
          <w:b/>
          <w:bCs/>
          <w:sz w:val="22"/>
          <w:szCs w:val="22"/>
        </w:rPr>
        <w:t>(2019)</w:t>
      </w:r>
      <w:r w:rsidRPr="00A94B71">
        <w:rPr>
          <w:rFonts w:ascii="Arial" w:hAnsi="Arial" w:cs="Arial"/>
          <w:sz w:val="22"/>
          <w:szCs w:val="22"/>
        </w:rPr>
        <w:t xml:space="preserve"> </w:t>
      </w:r>
      <w:r w:rsidRPr="00A94B71">
        <w:rPr>
          <w:rFonts w:ascii="Arial" w:hAnsi="Arial" w:cs="Arial"/>
          <w:i/>
          <w:iCs/>
          <w:sz w:val="22"/>
          <w:szCs w:val="22"/>
        </w:rPr>
        <w:t>‘Qualitative v/s. Quantitative Research - A Summarized Review’</w:t>
      </w:r>
      <w:r w:rsidRPr="00A94B71">
        <w:rPr>
          <w:rFonts w:ascii="Arial" w:hAnsi="Arial" w:cs="Arial"/>
          <w:sz w:val="22"/>
          <w:szCs w:val="22"/>
        </w:rPr>
        <w:t>, Journal of Evidence Based Medicine and Healthcare, 6(43), pp. 2828–2832. Available at: https://doi.org/10.18410/jebmh/2019/587 {accessed online: 20/04/24}</w:t>
      </w:r>
    </w:p>
    <w:p w14:paraId="33769258" w14:textId="69054F61"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Alshenqeeti, H. </w:t>
      </w:r>
      <w:r w:rsidRPr="00A94B71">
        <w:rPr>
          <w:rFonts w:ascii="Arial" w:hAnsi="Arial" w:cs="Arial"/>
          <w:b/>
          <w:bCs/>
          <w:sz w:val="22"/>
          <w:szCs w:val="22"/>
        </w:rPr>
        <w:t>(2014)</w:t>
      </w:r>
      <w:r w:rsidRPr="00A94B71">
        <w:rPr>
          <w:rFonts w:ascii="Arial" w:hAnsi="Arial" w:cs="Arial"/>
          <w:sz w:val="22"/>
          <w:szCs w:val="22"/>
        </w:rPr>
        <w:t xml:space="preserve"> ‘</w:t>
      </w:r>
      <w:r w:rsidRPr="00A94B71">
        <w:rPr>
          <w:rFonts w:ascii="Arial" w:hAnsi="Arial" w:cs="Arial"/>
          <w:i/>
          <w:iCs/>
          <w:sz w:val="22"/>
          <w:szCs w:val="22"/>
        </w:rPr>
        <w:t xml:space="preserve">Interviewing as a Data Collection Method: </w:t>
      </w:r>
      <w:r w:rsidR="00E94B95" w:rsidRPr="00A94B71">
        <w:rPr>
          <w:rFonts w:ascii="Arial" w:hAnsi="Arial" w:cs="Arial"/>
          <w:i/>
          <w:iCs/>
          <w:sz w:val="22"/>
          <w:szCs w:val="22"/>
        </w:rPr>
        <w:t>A</w:t>
      </w:r>
      <w:r w:rsidRPr="00A94B71">
        <w:rPr>
          <w:rFonts w:ascii="Arial" w:hAnsi="Arial" w:cs="Arial"/>
          <w:i/>
          <w:iCs/>
          <w:sz w:val="22"/>
          <w:szCs w:val="22"/>
        </w:rPr>
        <w:t xml:space="preserve"> Critical Review’,</w:t>
      </w:r>
      <w:r w:rsidRPr="00A94B71">
        <w:rPr>
          <w:rFonts w:ascii="Arial" w:hAnsi="Arial" w:cs="Arial"/>
          <w:sz w:val="22"/>
          <w:szCs w:val="22"/>
        </w:rPr>
        <w:t xml:space="preserve"> English Linguistics Research, 3(1), pp. 39–45.</w:t>
      </w:r>
    </w:p>
    <w:p w14:paraId="66D90438" w14:textId="1960CEA2"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BERA. </w:t>
      </w:r>
      <w:r w:rsidRPr="00A94B71">
        <w:rPr>
          <w:rFonts w:ascii="Arial" w:hAnsi="Arial" w:cs="Arial"/>
          <w:b/>
          <w:bCs/>
          <w:sz w:val="22"/>
          <w:szCs w:val="22"/>
        </w:rPr>
        <w:t>(2018)</w:t>
      </w:r>
      <w:r w:rsidRPr="00A94B71">
        <w:rPr>
          <w:rFonts w:ascii="Arial" w:hAnsi="Arial" w:cs="Arial"/>
          <w:sz w:val="22"/>
          <w:szCs w:val="22"/>
        </w:rPr>
        <w:t xml:space="preserve"> </w:t>
      </w:r>
      <w:r w:rsidRPr="00A94B71">
        <w:rPr>
          <w:rFonts w:ascii="Arial" w:hAnsi="Arial" w:cs="Arial"/>
          <w:i/>
          <w:iCs/>
          <w:sz w:val="22"/>
          <w:szCs w:val="22"/>
        </w:rPr>
        <w:t>Ethical Guidelines for Educational Research, fourth edition (2018)</w:t>
      </w:r>
      <w:r w:rsidRPr="00A94B71">
        <w:rPr>
          <w:rFonts w:ascii="Arial" w:hAnsi="Arial" w:cs="Arial"/>
          <w:sz w:val="22"/>
          <w:szCs w:val="22"/>
        </w:rPr>
        <w:t xml:space="preserve">, </w:t>
      </w:r>
      <w:r w:rsidRPr="00A94B71">
        <w:rPr>
          <w:rFonts w:ascii="Arial" w:hAnsi="Arial" w:cs="Arial"/>
          <w:i/>
          <w:iCs/>
          <w:sz w:val="22"/>
          <w:szCs w:val="22"/>
        </w:rPr>
        <w:t>Bera.ac.uk</w:t>
      </w:r>
      <w:r w:rsidRPr="00A94B71">
        <w:rPr>
          <w:rFonts w:ascii="Arial" w:hAnsi="Arial" w:cs="Arial"/>
          <w:sz w:val="22"/>
          <w:szCs w:val="22"/>
        </w:rPr>
        <w:t xml:space="preserve">. British Educational Research Association. Available at: https://www.bera.ac.uk/publication/ethical-guidelines-for-educational-research-2018 {accessed online </w:t>
      </w:r>
      <w:r w:rsidR="00520312" w:rsidRPr="00A94B71">
        <w:rPr>
          <w:rFonts w:ascii="Arial" w:hAnsi="Arial" w:cs="Arial"/>
          <w:sz w:val="22"/>
          <w:szCs w:val="22"/>
        </w:rPr>
        <w:t>04/04/24}</w:t>
      </w:r>
    </w:p>
    <w:p w14:paraId="2E83D8C6" w14:textId="63224077"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Brownfield, K. and Wilkinson, I.A.G. </w:t>
      </w:r>
      <w:r w:rsidRPr="00A94B71">
        <w:rPr>
          <w:rFonts w:ascii="Arial" w:hAnsi="Arial" w:cs="Arial"/>
          <w:b/>
          <w:bCs/>
          <w:sz w:val="22"/>
          <w:szCs w:val="22"/>
        </w:rPr>
        <w:t>(2018)</w:t>
      </w:r>
      <w:r w:rsidRPr="00A94B71">
        <w:rPr>
          <w:rFonts w:ascii="Arial" w:hAnsi="Arial" w:cs="Arial"/>
          <w:sz w:val="22"/>
          <w:szCs w:val="22"/>
        </w:rPr>
        <w:t xml:space="preserve"> ‘</w:t>
      </w:r>
      <w:r w:rsidRPr="00A94B71">
        <w:rPr>
          <w:rFonts w:ascii="Arial" w:hAnsi="Arial" w:cs="Arial"/>
          <w:i/>
          <w:iCs/>
          <w:sz w:val="22"/>
          <w:szCs w:val="22"/>
        </w:rPr>
        <w:t>Examining the impact of scaffolding on literacy learning: A critical examination of research and guidelines to advance inquiry’</w:t>
      </w:r>
      <w:r w:rsidRPr="00A94B71">
        <w:rPr>
          <w:rFonts w:ascii="Arial" w:hAnsi="Arial" w:cs="Arial"/>
          <w:sz w:val="22"/>
          <w:szCs w:val="22"/>
        </w:rPr>
        <w:t>, International Journal of Educational Research, 90, pp. 177–190. Available at: https://doi.org/10.1016/j.ijer.2018.01.004</w:t>
      </w:r>
      <w:r w:rsidR="00520312" w:rsidRPr="00A94B71">
        <w:rPr>
          <w:rFonts w:ascii="Arial" w:hAnsi="Arial" w:cs="Arial"/>
          <w:sz w:val="22"/>
          <w:szCs w:val="22"/>
        </w:rPr>
        <w:t xml:space="preserve"> {accessed online 02/04/24}</w:t>
      </w:r>
    </w:p>
    <w:p w14:paraId="131FE425" w14:textId="340FFA4F"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Choy, L.T. </w:t>
      </w:r>
      <w:r w:rsidRPr="00A94B71">
        <w:rPr>
          <w:rFonts w:ascii="Arial" w:hAnsi="Arial" w:cs="Arial"/>
          <w:b/>
          <w:bCs/>
          <w:sz w:val="22"/>
          <w:szCs w:val="22"/>
        </w:rPr>
        <w:t>(2014)</w:t>
      </w:r>
      <w:r w:rsidRPr="00A94B71">
        <w:rPr>
          <w:rFonts w:ascii="Arial" w:hAnsi="Arial" w:cs="Arial"/>
          <w:sz w:val="22"/>
          <w:szCs w:val="22"/>
        </w:rPr>
        <w:t xml:space="preserve"> ‘The Strengths and Weaknesses of Research Methodology: Comparison and Complimentary between Qualitative and Quantitative Approaches’, </w:t>
      </w:r>
      <w:r w:rsidRPr="00A94B71">
        <w:rPr>
          <w:rFonts w:ascii="Arial" w:hAnsi="Arial" w:cs="Arial"/>
          <w:i/>
          <w:iCs/>
          <w:sz w:val="22"/>
          <w:szCs w:val="22"/>
        </w:rPr>
        <w:t>IOSR Journal of Humanities and Social Science</w:t>
      </w:r>
      <w:r w:rsidRPr="00A94B71">
        <w:rPr>
          <w:rFonts w:ascii="Arial" w:hAnsi="Arial" w:cs="Arial"/>
          <w:sz w:val="22"/>
          <w:szCs w:val="22"/>
        </w:rPr>
        <w:t>, 19(4), pp. 99–104.</w:t>
      </w:r>
      <w:r w:rsidR="00520312" w:rsidRPr="00A94B71">
        <w:rPr>
          <w:rFonts w:ascii="Arial" w:hAnsi="Arial" w:cs="Arial"/>
          <w:sz w:val="22"/>
          <w:szCs w:val="22"/>
        </w:rPr>
        <w:t xml:space="preserve"> </w:t>
      </w:r>
    </w:p>
    <w:p w14:paraId="49802C78" w14:textId="0A747DD0"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Clarke, V. and Braun, V. </w:t>
      </w:r>
      <w:r w:rsidRPr="00A94B71">
        <w:rPr>
          <w:rFonts w:ascii="Arial" w:hAnsi="Arial" w:cs="Arial"/>
          <w:b/>
          <w:bCs/>
          <w:sz w:val="22"/>
          <w:szCs w:val="22"/>
        </w:rPr>
        <w:t>(2016)</w:t>
      </w:r>
      <w:r w:rsidRPr="00A94B71">
        <w:rPr>
          <w:rFonts w:ascii="Arial" w:hAnsi="Arial" w:cs="Arial"/>
          <w:sz w:val="22"/>
          <w:szCs w:val="22"/>
        </w:rPr>
        <w:t xml:space="preserve"> </w:t>
      </w:r>
      <w:r w:rsidRPr="00A94B71">
        <w:rPr>
          <w:rFonts w:ascii="Arial" w:hAnsi="Arial" w:cs="Arial"/>
          <w:i/>
          <w:iCs/>
          <w:sz w:val="22"/>
          <w:szCs w:val="22"/>
        </w:rPr>
        <w:t xml:space="preserve">‘Thematic Analysis’, </w:t>
      </w:r>
      <w:r w:rsidRPr="00A94B71">
        <w:rPr>
          <w:rFonts w:ascii="Arial" w:hAnsi="Arial" w:cs="Arial"/>
          <w:sz w:val="22"/>
          <w:szCs w:val="22"/>
        </w:rPr>
        <w:t>The Journal of Positive Psychology, 12(3), pp. 297–298. Available at: https://doi.org/10.1080/17439760.2016.1262613</w:t>
      </w:r>
      <w:r w:rsidR="00520312" w:rsidRPr="00A94B71">
        <w:rPr>
          <w:rFonts w:ascii="Arial" w:hAnsi="Arial" w:cs="Arial"/>
          <w:sz w:val="22"/>
          <w:szCs w:val="22"/>
        </w:rPr>
        <w:t xml:space="preserve"> {accessed online 21/04/24}</w:t>
      </w:r>
    </w:p>
    <w:p w14:paraId="5536C6F1" w14:textId="6E70C984"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Cohen, L., Manion, L. and Morrison, K. </w:t>
      </w:r>
      <w:r w:rsidRPr="00A94B71">
        <w:rPr>
          <w:rFonts w:ascii="Arial" w:hAnsi="Arial" w:cs="Arial"/>
          <w:b/>
          <w:bCs/>
          <w:sz w:val="22"/>
          <w:szCs w:val="22"/>
        </w:rPr>
        <w:t>(2017)</w:t>
      </w:r>
      <w:r w:rsidRPr="00A94B71">
        <w:rPr>
          <w:rFonts w:ascii="Arial" w:hAnsi="Arial" w:cs="Arial"/>
          <w:sz w:val="22"/>
          <w:szCs w:val="22"/>
        </w:rPr>
        <w:t xml:space="preserve"> </w:t>
      </w:r>
      <w:r w:rsidRPr="00A94B71">
        <w:rPr>
          <w:rFonts w:ascii="Arial" w:hAnsi="Arial" w:cs="Arial"/>
          <w:i/>
          <w:iCs/>
          <w:sz w:val="22"/>
          <w:szCs w:val="22"/>
        </w:rPr>
        <w:t>Research Methods in Education</w:t>
      </w:r>
      <w:r w:rsidRPr="00A94B71">
        <w:rPr>
          <w:rFonts w:ascii="Arial" w:hAnsi="Arial" w:cs="Arial"/>
          <w:sz w:val="22"/>
          <w:szCs w:val="22"/>
        </w:rPr>
        <w:t xml:space="preserve">. 8th edn. Taylor &amp; Francis. Available at: https://ereader.perlego.com/1/book/1331848/15?page_number=33 </w:t>
      </w:r>
      <w:r w:rsidR="00520312" w:rsidRPr="00A94B71">
        <w:rPr>
          <w:rFonts w:ascii="Arial" w:hAnsi="Arial" w:cs="Arial"/>
          <w:sz w:val="22"/>
          <w:szCs w:val="22"/>
        </w:rPr>
        <w:t>{</w:t>
      </w:r>
      <w:r w:rsidRPr="00A94B71">
        <w:rPr>
          <w:rFonts w:ascii="Arial" w:hAnsi="Arial" w:cs="Arial"/>
          <w:sz w:val="22"/>
          <w:szCs w:val="22"/>
        </w:rPr>
        <w:t>Accessed</w:t>
      </w:r>
      <w:r w:rsidR="00520312" w:rsidRPr="00A94B71">
        <w:rPr>
          <w:rFonts w:ascii="Arial" w:hAnsi="Arial" w:cs="Arial"/>
          <w:sz w:val="22"/>
          <w:szCs w:val="22"/>
        </w:rPr>
        <w:t xml:space="preserve"> online</w:t>
      </w:r>
      <w:r w:rsidRPr="00A94B71">
        <w:rPr>
          <w:rFonts w:ascii="Arial" w:hAnsi="Arial" w:cs="Arial"/>
          <w:sz w:val="22"/>
          <w:szCs w:val="22"/>
        </w:rPr>
        <w:t xml:space="preserve"> 27</w:t>
      </w:r>
      <w:r w:rsidR="00520312" w:rsidRPr="00A94B71">
        <w:rPr>
          <w:rFonts w:ascii="Arial" w:hAnsi="Arial" w:cs="Arial"/>
          <w:sz w:val="22"/>
          <w:szCs w:val="22"/>
        </w:rPr>
        <w:t>/04/</w:t>
      </w:r>
      <w:r w:rsidRPr="00A94B71">
        <w:rPr>
          <w:rFonts w:ascii="Arial" w:hAnsi="Arial" w:cs="Arial"/>
          <w:sz w:val="22"/>
          <w:szCs w:val="22"/>
        </w:rPr>
        <w:t>24</w:t>
      </w:r>
      <w:r w:rsidR="00520312" w:rsidRPr="00A94B71">
        <w:rPr>
          <w:rFonts w:ascii="Arial" w:hAnsi="Arial" w:cs="Arial"/>
          <w:sz w:val="22"/>
          <w:szCs w:val="22"/>
        </w:rPr>
        <w:t>}</w:t>
      </w:r>
    </w:p>
    <w:p w14:paraId="317AF31A" w14:textId="0960DC68"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Colter, R. and Ulatowski, J. </w:t>
      </w:r>
      <w:r w:rsidRPr="00A94B71">
        <w:rPr>
          <w:rFonts w:ascii="Arial" w:hAnsi="Arial" w:cs="Arial"/>
          <w:b/>
          <w:bCs/>
          <w:sz w:val="22"/>
          <w:szCs w:val="22"/>
        </w:rPr>
        <w:t>(2017)</w:t>
      </w:r>
      <w:r w:rsidRPr="00A94B71">
        <w:rPr>
          <w:rFonts w:ascii="Arial" w:hAnsi="Arial" w:cs="Arial"/>
          <w:sz w:val="22"/>
          <w:szCs w:val="22"/>
        </w:rPr>
        <w:t xml:space="preserve"> </w:t>
      </w:r>
      <w:r w:rsidRPr="00A94B71">
        <w:rPr>
          <w:rFonts w:ascii="Arial" w:hAnsi="Arial" w:cs="Arial"/>
          <w:i/>
          <w:iCs/>
          <w:sz w:val="22"/>
          <w:szCs w:val="22"/>
        </w:rPr>
        <w:t>‘The unexamined student is not worth teaching: preparation, the zone of proximal development, and the Socratic Model of Scaffolded Learning’</w:t>
      </w:r>
      <w:r w:rsidRPr="00A94B71">
        <w:rPr>
          <w:rFonts w:ascii="Arial" w:hAnsi="Arial" w:cs="Arial"/>
          <w:sz w:val="22"/>
          <w:szCs w:val="22"/>
        </w:rPr>
        <w:t>, Educational Philosophy and Theory, 49(14), pp. 1367–1380. Available at: https://doi.org/10.1080/00131857.2017.1282340</w:t>
      </w:r>
      <w:r w:rsidR="00520312" w:rsidRPr="00A94B71">
        <w:rPr>
          <w:rFonts w:ascii="Arial" w:hAnsi="Arial" w:cs="Arial"/>
          <w:sz w:val="22"/>
          <w:szCs w:val="22"/>
        </w:rPr>
        <w:t xml:space="preserve"> {accessed online 29/03/24}</w:t>
      </w:r>
    </w:p>
    <w:p w14:paraId="54CD0755" w14:textId="1A63070A"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Damaskinidis, G. </w:t>
      </w:r>
      <w:r w:rsidRPr="00A94B71">
        <w:rPr>
          <w:rFonts w:ascii="Arial" w:hAnsi="Arial" w:cs="Arial"/>
          <w:b/>
          <w:bCs/>
          <w:sz w:val="22"/>
          <w:szCs w:val="22"/>
        </w:rPr>
        <w:t>(2017)</w:t>
      </w:r>
      <w:r w:rsidRPr="00A94B71">
        <w:rPr>
          <w:rFonts w:ascii="Arial" w:hAnsi="Arial" w:cs="Arial"/>
          <w:sz w:val="22"/>
          <w:szCs w:val="22"/>
        </w:rPr>
        <w:t xml:space="preserve"> </w:t>
      </w:r>
      <w:r w:rsidRPr="00A94B71">
        <w:rPr>
          <w:rFonts w:ascii="Arial" w:hAnsi="Arial" w:cs="Arial"/>
          <w:i/>
          <w:iCs/>
          <w:sz w:val="22"/>
          <w:szCs w:val="22"/>
        </w:rPr>
        <w:t>‘Qualitative Research and Subjective Impressions in Educational Contexts’,</w:t>
      </w:r>
      <w:r w:rsidRPr="00A94B71">
        <w:rPr>
          <w:rFonts w:ascii="Arial" w:hAnsi="Arial" w:cs="Arial"/>
          <w:sz w:val="22"/>
          <w:szCs w:val="22"/>
        </w:rPr>
        <w:t xml:space="preserve"> American Journal of Educational Research, 5(12), pp. 1228–1233. Available at: https://doi.org/10.12691/education-5-12-10</w:t>
      </w:r>
      <w:r w:rsidR="00520312" w:rsidRPr="00A94B71">
        <w:rPr>
          <w:rFonts w:ascii="Arial" w:hAnsi="Arial" w:cs="Arial"/>
          <w:sz w:val="22"/>
          <w:szCs w:val="22"/>
        </w:rPr>
        <w:t xml:space="preserve"> {accessed online 04/04/24}</w:t>
      </w:r>
    </w:p>
    <w:p w14:paraId="589F2E61" w14:textId="6E385BF8"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Dasgupta, M. </w:t>
      </w:r>
      <w:r w:rsidRPr="00A94B71">
        <w:rPr>
          <w:rFonts w:ascii="Arial" w:hAnsi="Arial" w:cs="Arial"/>
          <w:b/>
          <w:bCs/>
          <w:sz w:val="22"/>
          <w:szCs w:val="22"/>
        </w:rPr>
        <w:t>(2015)</w:t>
      </w:r>
      <w:r w:rsidRPr="00A94B71">
        <w:rPr>
          <w:rFonts w:ascii="Arial" w:hAnsi="Arial" w:cs="Arial"/>
          <w:sz w:val="22"/>
          <w:szCs w:val="22"/>
        </w:rPr>
        <w:t xml:space="preserve"> ‘</w:t>
      </w:r>
      <w:r w:rsidRPr="00A94B71">
        <w:rPr>
          <w:rFonts w:ascii="Arial" w:hAnsi="Arial" w:cs="Arial"/>
          <w:i/>
          <w:iCs/>
          <w:sz w:val="22"/>
          <w:szCs w:val="22"/>
        </w:rPr>
        <w:t>Exploring the Relevance of Case Study Research’,</w:t>
      </w:r>
      <w:r w:rsidRPr="00A94B71">
        <w:rPr>
          <w:rFonts w:ascii="Arial" w:hAnsi="Arial" w:cs="Arial"/>
          <w:sz w:val="22"/>
          <w:szCs w:val="22"/>
        </w:rPr>
        <w:t xml:space="preserve"> Vision: The Journal of Business Perspective, 19(2), pp. 147–160. Available at: https://doi.org/10.1177/0972262915575661</w:t>
      </w:r>
      <w:r w:rsidR="00520312" w:rsidRPr="00A94B71">
        <w:rPr>
          <w:rFonts w:ascii="Arial" w:hAnsi="Arial" w:cs="Arial"/>
          <w:sz w:val="22"/>
          <w:szCs w:val="22"/>
        </w:rPr>
        <w:t xml:space="preserve"> {accessed online 18/03/24}</w:t>
      </w:r>
    </w:p>
    <w:p w14:paraId="6DC32BA8" w14:textId="2AA197D8"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lastRenderedPageBreak/>
        <w:t xml:space="preserve">Dikko, M. </w:t>
      </w:r>
      <w:r w:rsidRPr="00A94B71">
        <w:rPr>
          <w:rFonts w:ascii="Arial" w:hAnsi="Arial" w:cs="Arial"/>
          <w:b/>
          <w:bCs/>
          <w:sz w:val="22"/>
          <w:szCs w:val="22"/>
        </w:rPr>
        <w:t>(2016)</w:t>
      </w:r>
      <w:r w:rsidRPr="00A94B71">
        <w:rPr>
          <w:rFonts w:ascii="Arial" w:hAnsi="Arial" w:cs="Arial"/>
          <w:sz w:val="22"/>
          <w:szCs w:val="22"/>
        </w:rPr>
        <w:t xml:space="preserve"> </w:t>
      </w:r>
      <w:r w:rsidRPr="00A94B71">
        <w:rPr>
          <w:rFonts w:ascii="Arial" w:hAnsi="Arial" w:cs="Arial"/>
          <w:i/>
          <w:iCs/>
          <w:sz w:val="22"/>
          <w:szCs w:val="22"/>
        </w:rPr>
        <w:t>‘Establishing Construct Validity and Reliability: Pilot Testing of a Qualitative Interview for Research in Takaful (Islamic Insurance)’</w:t>
      </w:r>
      <w:r w:rsidRPr="00A94B71">
        <w:rPr>
          <w:rFonts w:ascii="Arial" w:hAnsi="Arial" w:cs="Arial"/>
          <w:sz w:val="22"/>
          <w:szCs w:val="22"/>
        </w:rPr>
        <w:t>, The Qualitative Report, 21(3). Available at: https://doi.org/10.46743/2160-3715/2016.2243</w:t>
      </w:r>
      <w:r w:rsidR="00520312" w:rsidRPr="00A94B71">
        <w:rPr>
          <w:rFonts w:ascii="Arial" w:hAnsi="Arial" w:cs="Arial"/>
          <w:sz w:val="22"/>
          <w:szCs w:val="22"/>
        </w:rPr>
        <w:t xml:space="preserve"> {accessed online 22/03/24}</w:t>
      </w:r>
    </w:p>
    <w:p w14:paraId="736EC5DD" w14:textId="590B93CE"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Ebneyamini, S. and Moghadam, M.R.S. </w:t>
      </w:r>
      <w:r w:rsidRPr="00A94B71">
        <w:rPr>
          <w:rFonts w:ascii="Arial" w:hAnsi="Arial" w:cs="Arial"/>
          <w:b/>
          <w:bCs/>
          <w:sz w:val="22"/>
          <w:szCs w:val="22"/>
        </w:rPr>
        <w:t>(2018)</w:t>
      </w:r>
      <w:r w:rsidRPr="00A94B71">
        <w:rPr>
          <w:rFonts w:ascii="Arial" w:hAnsi="Arial" w:cs="Arial"/>
          <w:sz w:val="22"/>
          <w:szCs w:val="22"/>
        </w:rPr>
        <w:t xml:space="preserve"> ‘</w:t>
      </w:r>
      <w:r w:rsidRPr="00A94B71">
        <w:rPr>
          <w:rFonts w:ascii="Arial" w:hAnsi="Arial" w:cs="Arial"/>
          <w:i/>
          <w:iCs/>
          <w:sz w:val="22"/>
          <w:szCs w:val="22"/>
        </w:rPr>
        <w:t>Toward Developing a Framework for Conducting Case Study Research’</w:t>
      </w:r>
      <w:r w:rsidRPr="00A94B71">
        <w:rPr>
          <w:rFonts w:ascii="Arial" w:hAnsi="Arial" w:cs="Arial"/>
          <w:sz w:val="22"/>
          <w:szCs w:val="22"/>
        </w:rPr>
        <w:t>, International Journal of Qualitative Methods, 17(1), p. 160940691881795. Available at: https://doi.org/10.1177/1609406918817954</w:t>
      </w:r>
      <w:r w:rsidR="00520312" w:rsidRPr="00A94B71">
        <w:rPr>
          <w:rFonts w:ascii="Arial" w:hAnsi="Arial" w:cs="Arial"/>
          <w:sz w:val="22"/>
          <w:szCs w:val="22"/>
        </w:rPr>
        <w:t xml:space="preserve"> {accessed online 24/03/24}</w:t>
      </w:r>
    </w:p>
    <w:p w14:paraId="7BA99675" w14:textId="4DE0AC45"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EEF </w:t>
      </w:r>
      <w:r w:rsidRPr="00A94B71">
        <w:rPr>
          <w:rFonts w:ascii="Arial" w:hAnsi="Arial" w:cs="Arial"/>
          <w:b/>
          <w:bCs/>
          <w:sz w:val="22"/>
          <w:szCs w:val="22"/>
        </w:rPr>
        <w:t>(2019)</w:t>
      </w:r>
      <w:r w:rsidRPr="00A94B71">
        <w:rPr>
          <w:rFonts w:ascii="Arial" w:hAnsi="Arial" w:cs="Arial"/>
          <w:sz w:val="22"/>
          <w:szCs w:val="22"/>
        </w:rPr>
        <w:t xml:space="preserve"> </w:t>
      </w:r>
      <w:r w:rsidRPr="00A94B71">
        <w:rPr>
          <w:rFonts w:ascii="Arial" w:hAnsi="Arial" w:cs="Arial"/>
          <w:i/>
          <w:iCs/>
          <w:sz w:val="22"/>
          <w:szCs w:val="22"/>
        </w:rPr>
        <w:t xml:space="preserve">Improving Literacy in Secondary Schools: 7 </w:t>
      </w:r>
      <w:r w:rsidR="00E94B95" w:rsidRPr="00A94B71">
        <w:rPr>
          <w:rFonts w:ascii="Arial" w:hAnsi="Arial" w:cs="Arial"/>
          <w:i/>
          <w:iCs/>
          <w:sz w:val="22"/>
          <w:szCs w:val="22"/>
        </w:rPr>
        <w:t>recommendations</w:t>
      </w:r>
      <w:r w:rsidRPr="00A94B71">
        <w:rPr>
          <w:rFonts w:ascii="Arial" w:hAnsi="Arial" w:cs="Arial"/>
          <w:i/>
          <w:iCs/>
          <w:sz w:val="22"/>
          <w:szCs w:val="22"/>
        </w:rPr>
        <w:t xml:space="preserve"> in new EEF…</w:t>
      </w:r>
      <w:r w:rsidRPr="00A94B71">
        <w:rPr>
          <w:rFonts w:ascii="Arial" w:hAnsi="Arial" w:cs="Arial"/>
          <w:sz w:val="22"/>
          <w:szCs w:val="22"/>
        </w:rPr>
        <w:t xml:space="preserve">, </w:t>
      </w:r>
      <w:r w:rsidRPr="00A94B71">
        <w:rPr>
          <w:rFonts w:ascii="Arial" w:hAnsi="Arial" w:cs="Arial"/>
          <w:i/>
          <w:iCs/>
          <w:sz w:val="22"/>
          <w:szCs w:val="22"/>
        </w:rPr>
        <w:t>EEF</w:t>
      </w:r>
      <w:r w:rsidRPr="00A94B71">
        <w:rPr>
          <w:rFonts w:ascii="Arial" w:hAnsi="Arial" w:cs="Arial"/>
          <w:sz w:val="22"/>
          <w:szCs w:val="22"/>
        </w:rPr>
        <w:t xml:space="preserve">. Available at: https://educationendowmentfoundation.org.uk/news/improving-literacy-in-secondary-schools </w:t>
      </w:r>
      <w:r w:rsidR="00520312" w:rsidRPr="00A94B71">
        <w:rPr>
          <w:rFonts w:ascii="Arial" w:hAnsi="Arial" w:cs="Arial"/>
          <w:sz w:val="22"/>
          <w:szCs w:val="22"/>
        </w:rPr>
        <w:t xml:space="preserve">{accessed online </w:t>
      </w:r>
      <w:r w:rsidRPr="00A94B71">
        <w:rPr>
          <w:rFonts w:ascii="Arial" w:hAnsi="Arial" w:cs="Arial"/>
          <w:sz w:val="22"/>
          <w:szCs w:val="22"/>
        </w:rPr>
        <w:t>27</w:t>
      </w:r>
      <w:r w:rsidR="00520312" w:rsidRPr="00A94B71">
        <w:rPr>
          <w:rFonts w:ascii="Arial" w:hAnsi="Arial" w:cs="Arial"/>
          <w:sz w:val="22"/>
          <w:szCs w:val="22"/>
        </w:rPr>
        <w:t>/03/</w:t>
      </w:r>
      <w:r w:rsidRPr="00A94B71">
        <w:rPr>
          <w:rFonts w:ascii="Arial" w:hAnsi="Arial" w:cs="Arial"/>
          <w:sz w:val="22"/>
          <w:szCs w:val="22"/>
        </w:rPr>
        <w:t>24</w:t>
      </w:r>
      <w:r w:rsidR="00520312" w:rsidRPr="00A94B71">
        <w:rPr>
          <w:rFonts w:ascii="Arial" w:hAnsi="Arial" w:cs="Arial"/>
          <w:sz w:val="22"/>
          <w:szCs w:val="22"/>
        </w:rPr>
        <w:t>}</w:t>
      </w:r>
    </w:p>
    <w:p w14:paraId="33FE0B5A" w14:textId="56F2FFBE"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EEF </w:t>
      </w:r>
      <w:r w:rsidRPr="00A94B71">
        <w:rPr>
          <w:rFonts w:ascii="Arial" w:hAnsi="Arial" w:cs="Arial"/>
          <w:b/>
          <w:bCs/>
          <w:sz w:val="22"/>
          <w:szCs w:val="22"/>
        </w:rPr>
        <w:t>(2022)</w:t>
      </w:r>
      <w:r w:rsidRPr="00A94B71">
        <w:rPr>
          <w:rFonts w:ascii="Arial" w:hAnsi="Arial" w:cs="Arial"/>
          <w:sz w:val="22"/>
          <w:szCs w:val="22"/>
        </w:rPr>
        <w:t xml:space="preserve"> </w:t>
      </w:r>
      <w:r w:rsidRPr="00A94B71">
        <w:rPr>
          <w:rFonts w:ascii="Arial" w:hAnsi="Arial" w:cs="Arial"/>
          <w:i/>
          <w:iCs/>
          <w:sz w:val="22"/>
          <w:szCs w:val="22"/>
        </w:rPr>
        <w:t>5-a-day Approach</w:t>
      </w:r>
      <w:r w:rsidRPr="00A94B71">
        <w:rPr>
          <w:rFonts w:ascii="Arial" w:hAnsi="Arial" w:cs="Arial"/>
          <w:sz w:val="22"/>
          <w:szCs w:val="22"/>
        </w:rPr>
        <w:t xml:space="preserve"> [Image]. Available at: </w:t>
      </w:r>
      <w:r w:rsidR="00E94B95" w:rsidRPr="00A94B71">
        <w:rPr>
          <w:rFonts w:ascii="Arial" w:hAnsi="Arial" w:cs="Arial"/>
          <w:sz w:val="22"/>
          <w:szCs w:val="22"/>
        </w:rPr>
        <w:t>https://educationendowmentfoundation.org.uk/news/eef-blog-the-five-a-day-approach-how-the-eef-can-support#:~:text=The%20%E2%80%8B%20%E2%80%98%20Five-a-day%E2%80%99%20approach%20allows%20educators%20to,progress%20for%20pupils%20with%20SEND%20in%20mainstream%20settings {</w:t>
      </w:r>
      <w:r w:rsidRPr="00A94B71">
        <w:rPr>
          <w:rFonts w:ascii="Arial" w:hAnsi="Arial" w:cs="Arial"/>
          <w:sz w:val="22"/>
          <w:szCs w:val="22"/>
        </w:rPr>
        <w:t>Accessed: 19 April 2024</w:t>
      </w:r>
      <w:r w:rsidR="00520312" w:rsidRPr="00A94B71">
        <w:rPr>
          <w:rFonts w:ascii="Arial" w:hAnsi="Arial" w:cs="Arial"/>
          <w:sz w:val="22"/>
          <w:szCs w:val="22"/>
        </w:rPr>
        <w:t>}</w:t>
      </w:r>
    </w:p>
    <w:p w14:paraId="3406577C" w14:textId="21C86334"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Eisenhart, M. </w:t>
      </w:r>
      <w:r w:rsidRPr="00A94B71">
        <w:rPr>
          <w:rFonts w:ascii="Arial" w:hAnsi="Arial" w:cs="Arial"/>
          <w:b/>
          <w:bCs/>
          <w:sz w:val="22"/>
          <w:szCs w:val="22"/>
        </w:rPr>
        <w:t>(2006)</w:t>
      </w:r>
      <w:r w:rsidRPr="00A94B71">
        <w:rPr>
          <w:rFonts w:ascii="Arial" w:hAnsi="Arial" w:cs="Arial"/>
          <w:sz w:val="22"/>
          <w:szCs w:val="22"/>
        </w:rPr>
        <w:t xml:space="preserve"> ‘</w:t>
      </w:r>
      <w:r w:rsidRPr="00A94B71">
        <w:rPr>
          <w:rFonts w:ascii="Arial" w:hAnsi="Arial" w:cs="Arial"/>
          <w:i/>
          <w:iCs/>
          <w:sz w:val="22"/>
          <w:szCs w:val="22"/>
        </w:rPr>
        <w:t xml:space="preserve">Representing Qualitative </w:t>
      </w:r>
      <w:r w:rsidR="00E94B95" w:rsidRPr="00A94B71">
        <w:rPr>
          <w:rFonts w:ascii="Arial" w:hAnsi="Arial" w:cs="Arial"/>
          <w:i/>
          <w:iCs/>
          <w:sz w:val="22"/>
          <w:szCs w:val="22"/>
        </w:rPr>
        <w:t>Data’</w:t>
      </w:r>
      <w:r w:rsidRPr="00A94B71">
        <w:rPr>
          <w:rFonts w:ascii="Arial" w:hAnsi="Arial" w:cs="Arial"/>
          <w:i/>
          <w:iCs/>
          <w:sz w:val="22"/>
          <w:szCs w:val="22"/>
        </w:rPr>
        <w:t xml:space="preserve">, </w:t>
      </w:r>
      <w:r w:rsidRPr="00A94B71">
        <w:rPr>
          <w:rFonts w:ascii="Arial" w:hAnsi="Arial" w:cs="Arial"/>
          <w:sz w:val="22"/>
          <w:szCs w:val="22"/>
        </w:rPr>
        <w:t xml:space="preserve">in Handbook of Complementary Methods in Education Research. Mahwah, N.J., Washington, D.C.: Lawrence Erlbaum </w:t>
      </w:r>
      <w:r w:rsidR="00E94B95" w:rsidRPr="00A94B71">
        <w:rPr>
          <w:rFonts w:ascii="Arial" w:hAnsi="Arial" w:cs="Arial"/>
          <w:sz w:val="22"/>
          <w:szCs w:val="22"/>
        </w:rPr>
        <w:t>Associates;</w:t>
      </w:r>
      <w:r w:rsidRPr="00A94B71">
        <w:rPr>
          <w:rFonts w:ascii="Arial" w:hAnsi="Arial" w:cs="Arial"/>
          <w:sz w:val="22"/>
          <w:szCs w:val="22"/>
        </w:rPr>
        <w:t xml:space="preserve"> Published for the American Educational Research Association.</w:t>
      </w:r>
    </w:p>
    <w:p w14:paraId="7256F713" w14:textId="346C0481"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EWC </w:t>
      </w:r>
      <w:r w:rsidRPr="00A94B71">
        <w:rPr>
          <w:rFonts w:ascii="Arial" w:hAnsi="Arial" w:cs="Arial"/>
          <w:b/>
          <w:bCs/>
          <w:sz w:val="22"/>
          <w:szCs w:val="22"/>
        </w:rPr>
        <w:t>(2023)</w:t>
      </w:r>
      <w:r w:rsidRPr="00A94B71">
        <w:rPr>
          <w:rFonts w:ascii="Arial" w:hAnsi="Arial" w:cs="Arial"/>
          <w:sz w:val="22"/>
          <w:szCs w:val="22"/>
        </w:rPr>
        <w:t xml:space="preserve"> </w:t>
      </w:r>
      <w:r w:rsidRPr="00A94B71">
        <w:rPr>
          <w:rFonts w:ascii="Arial" w:hAnsi="Arial" w:cs="Arial"/>
          <w:i/>
          <w:iCs/>
          <w:sz w:val="22"/>
          <w:szCs w:val="22"/>
        </w:rPr>
        <w:t>Code of Professional Conduct and Practice for registrants with the Education Workforce Council (EWC)</w:t>
      </w:r>
      <w:r w:rsidRPr="00A94B71">
        <w:rPr>
          <w:rFonts w:ascii="Arial" w:hAnsi="Arial" w:cs="Arial"/>
          <w:sz w:val="22"/>
          <w:szCs w:val="22"/>
        </w:rPr>
        <w:t>. Available at: https://www.ewc.wales/site/index.php/en/documents-eng/fitness-to-practise/code-of-professional-conduct-and-practice/37-j16540-ewc-code-of-professional-conduct-e-web-1-1/file</w:t>
      </w:r>
      <w:r w:rsidR="00D653DE" w:rsidRPr="00A94B71">
        <w:rPr>
          <w:rFonts w:ascii="Arial" w:hAnsi="Arial" w:cs="Arial"/>
          <w:sz w:val="22"/>
          <w:szCs w:val="22"/>
        </w:rPr>
        <w:t xml:space="preserve"> {accessed online 28/03/24}</w:t>
      </w:r>
    </w:p>
    <w:p w14:paraId="0D519B9A" w14:textId="55A9AF66"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Fleming, M. </w:t>
      </w:r>
      <w:r w:rsidRPr="00A94B71">
        <w:rPr>
          <w:rFonts w:ascii="Arial" w:hAnsi="Arial" w:cs="Arial"/>
          <w:b/>
          <w:bCs/>
          <w:sz w:val="22"/>
          <w:szCs w:val="22"/>
        </w:rPr>
        <w:t xml:space="preserve">(2018) </w:t>
      </w:r>
      <w:r w:rsidRPr="00A94B71">
        <w:rPr>
          <w:rFonts w:ascii="Arial" w:hAnsi="Arial" w:cs="Arial"/>
          <w:i/>
          <w:iCs/>
          <w:sz w:val="22"/>
          <w:szCs w:val="22"/>
        </w:rPr>
        <w:t xml:space="preserve">The Art </w:t>
      </w:r>
      <w:r w:rsidR="00E94B95" w:rsidRPr="00A94B71">
        <w:rPr>
          <w:rFonts w:ascii="Arial" w:hAnsi="Arial" w:cs="Arial"/>
          <w:i/>
          <w:iCs/>
          <w:sz w:val="22"/>
          <w:szCs w:val="22"/>
        </w:rPr>
        <w:t>of</w:t>
      </w:r>
      <w:r w:rsidRPr="00A94B71">
        <w:rPr>
          <w:rFonts w:ascii="Arial" w:hAnsi="Arial" w:cs="Arial"/>
          <w:i/>
          <w:iCs/>
          <w:sz w:val="22"/>
          <w:szCs w:val="22"/>
        </w:rPr>
        <w:t xml:space="preserve"> Drama Teaching</w:t>
      </w:r>
      <w:r w:rsidRPr="00A94B71">
        <w:rPr>
          <w:rFonts w:ascii="Arial" w:hAnsi="Arial" w:cs="Arial"/>
          <w:sz w:val="22"/>
          <w:szCs w:val="22"/>
        </w:rPr>
        <w:t>. Routledge, p. x.</w:t>
      </w:r>
    </w:p>
    <w:p w14:paraId="0ECB14A0" w14:textId="465AECC2"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Goertzen, M.J. </w:t>
      </w:r>
      <w:r w:rsidRPr="00A94B71">
        <w:rPr>
          <w:rFonts w:ascii="Arial" w:hAnsi="Arial" w:cs="Arial"/>
          <w:b/>
          <w:bCs/>
          <w:sz w:val="22"/>
          <w:szCs w:val="22"/>
        </w:rPr>
        <w:t xml:space="preserve">(2017) </w:t>
      </w:r>
      <w:r w:rsidRPr="00A94B71">
        <w:rPr>
          <w:rFonts w:ascii="Arial" w:hAnsi="Arial" w:cs="Arial"/>
          <w:i/>
          <w:iCs/>
          <w:sz w:val="22"/>
          <w:szCs w:val="22"/>
        </w:rPr>
        <w:t>‘Introduction to Quantitative Research and Data’,</w:t>
      </w:r>
      <w:r w:rsidRPr="00A94B71">
        <w:rPr>
          <w:rFonts w:ascii="Arial" w:hAnsi="Arial" w:cs="Arial"/>
          <w:sz w:val="22"/>
          <w:szCs w:val="22"/>
        </w:rPr>
        <w:t xml:space="preserve"> Library Technology Reports, 53(4), pp. 12–18. Available at: https://journals.ala.org/index.php/ltr/article/view/6325/8274 </w:t>
      </w:r>
      <w:r w:rsidR="00D653DE" w:rsidRPr="00A94B71">
        <w:rPr>
          <w:rFonts w:ascii="Arial" w:hAnsi="Arial" w:cs="Arial"/>
          <w:sz w:val="22"/>
          <w:szCs w:val="22"/>
        </w:rPr>
        <w:t>{a</w:t>
      </w:r>
      <w:r w:rsidRPr="00A94B71">
        <w:rPr>
          <w:rFonts w:ascii="Arial" w:hAnsi="Arial" w:cs="Arial"/>
          <w:sz w:val="22"/>
          <w:szCs w:val="22"/>
        </w:rPr>
        <w:t>ccessed</w:t>
      </w:r>
      <w:r w:rsidR="00D653DE" w:rsidRPr="00A94B71">
        <w:rPr>
          <w:rFonts w:ascii="Arial" w:hAnsi="Arial" w:cs="Arial"/>
          <w:sz w:val="22"/>
          <w:szCs w:val="22"/>
        </w:rPr>
        <w:t xml:space="preserve"> online </w:t>
      </w:r>
      <w:r w:rsidRPr="00A94B71">
        <w:rPr>
          <w:rFonts w:ascii="Arial" w:hAnsi="Arial" w:cs="Arial"/>
          <w:sz w:val="22"/>
          <w:szCs w:val="22"/>
        </w:rPr>
        <w:t>27</w:t>
      </w:r>
      <w:r w:rsidR="00D653DE" w:rsidRPr="00A94B71">
        <w:rPr>
          <w:rFonts w:ascii="Arial" w:hAnsi="Arial" w:cs="Arial"/>
          <w:sz w:val="22"/>
          <w:szCs w:val="22"/>
        </w:rPr>
        <w:t>/04/</w:t>
      </w:r>
      <w:r w:rsidRPr="00A94B71">
        <w:rPr>
          <w:rFonts w:ascii="Arial" w:hAnsi="Arial" w:cs="Arial"/>
          <w:sz w:val="22"/>
          <w:szCs w:val="22"/>
        </w:rPr>
        <w:t>24</w:t>
      </w:r>
      <w:r w:rsidR="00D653DE" w:rsidRPr="00A94B71">
        <w:rPr>
          <w:rFonts w:ascii="Arial" w:hAnsi="Arial" w:cs="Arial"/>
          <w:sz w:val="22"/>
          <w:szCs w:val="22"/>
        </w:rPr>
        <w:t>}</w:t>
      </w:r>
    </w:p>
    <w:p w14:paraId="1FE30203" w14:textId="1D5888B5"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Jain, N. </w:t>
      </w:r>
      <w:r w:rsidRPr="00A94B71">
        <w:rPr>
          <w:rFonts w:ascii="Arial" w:hAnsi="Arial" w:cs="Arial"/>
          <w:b/>
          <w:bCs/>
          <w:sz w:val="22"/>
          <w:szCs w:val="22"/>
        </w:rPr>
        <w:t>(2021)</w:t>
      </w:r>
      <w:r w:rsidRPr="00A94B71">
        <w:rPr>
          <w:rFonts w:ascii="Arial" w:hAnsi="Arial" w:cs="Arial"/>
          <w:sz w:val="22"/>
          <w:szCs w:val="22"/>
        </w:rPr>
        <w:t xml:space="preserve"> ‘</w:t>
      </w:r>
      <w:r w:rsidRPr="00A94B71">
        <w:rPr>
          <w:rFonts w:ascii="Arial" w:hAnsi="Arial" w:cs="Arial"/>
          <w:i/>
          <w:iCs/>
          <w:sz w:val="22"/>
          <w:szCs w:val="22"/>
        </w:rPr>
        <w:t>Survey Versus Interviews: Comparing Data Collection Tools for Exploratory Research’,</w:t>
      </w:r>
      <w:r w:rsidRPr="00A94B71">
        <w:rPr>
          <w:rFonts w:ascii="Arial" w:hAnsi="Arial" w:cs="Arial"/>
          <w:sz w:val="22"/>
          <w:szCs w:val="22"/>
        </w:rPr>
        <w:t xml:space="preserve"> The Qualitative Report, 26(2), pp. 541–554. Available at: https://doi.org/10.46743/2160-3715/2021.4492</w:t>
      </w:r>
      <w:r w:rsidR="00D653DE" w:rsidRPr="00A94B71">
        <w:rPr>
          <w:rFonts w:ascii="Arial" w:hAnsi="Arial" w:cs="Arial"/>
          <w:sz w:val="22"/>
          <w:szCs w:val="22"/>
        </w:rPr>
        <w:t xml:space="preserve"> {accessed online 22/04/24}</w:t>
      </w:r>
    </w:p>
    <w:p w14:paraId="62D0F64B" w14:textId="1486EA38"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John-Steiner, V. and Mahn, H. </w:t>
      </w:r>
      <w:r w:rsidRPr="00A94B71">
        <w:rPr>
          <w:rFonts w:ascii="Arial" w:hAnsi="Arial" w:cs="Arial"/>
          <w:b/>
          <w:bCs/>
          <w:sz w:val="22"/>
          <w:szCs w:val="22"/>
        </w:rPr>
        <w:t>(1996)</w:t>
      </w:r>
      <w:r w:rsidRPr="00A94B71">
        <w:rPr>
          <w:rFonts w:ascii="Arial" w:hAnsi="Arial" w:cs="Arial"/>
          <w:sz w:val="22"/>
          <w:szCs w:val="22"/>
        </w:rPr>
        <w:t xml:space="preserve"> </w:t>
      </w:r>
      <w:r w:rsidRPr="00A94B71">
        <w:rPr>
          <w:rFonts w:ascii="Arial" w:hAnsi="Arial" w:cs="Arial"/>
          <w:i/>
          <w:iCs/>
          <w:sz w:val="22"/>
          <w:szCs w:val="22"/>
        </w:rPr>
        <w:t>‘Sociocultural approaches to learning and development: A Vygotskian framework’,</w:t>
      </w:r>
      <w:r w:rsidRPr="00A94B71">
        <w:rPr>
          <w:rFonts w:ascii="Arial" w:hAnsi="Arial" w:cs="Arial"/>
          <w:sz w:val="22"/>
          <w:szCs w:val="22"/>
        </w:rPr>
        <w:t xml:space="preserve"> Educational Psychologist, 31(3), pp. 191–206. Available at: https://doi.org/10.1207/s15326985ep3103&amp;4_4</w:t>
      </w:r>
      <w:r w:rsidR="00D653DE" w:rsidRPr="00A94B71">
        <w:rPr>
          <w:rFonts w:ascii="Arial" w:hAnsi="Arial" w:cs="Arial"/>
          <w:sz w:val="22"/>
          <w:szCs w:val="22"/>
        </w:rPr>
        <w:t xml:space="preserve"> {accessed online 5/04/24}</w:t>
      </w:r>
    </w:p>
    <w:p w14:paraId="058586D9" w14:textId="647E3A5E"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lastRenderedPageBreak/>
        <w:t xml:space="preserve">Johnson, J.L., Adkins, D. and Chauvin, S. </w:t>
      </w:r>
      <w:r w:rsidRPr="00A94B71">
        <w:rPr>
          <w:rFonts w:ascii="Arial" w:hAnsi="Arial" w:cs="Arial"/>
          <w:b/>
          <w:bCs/>
          <w:sz w:val="22"/>
          <w:szCs w:val="22"/>
        </w:rPr>
        <w:t xml:space="preserve">(2020) </w:t>
      </w:r>
      <w:r w:rsidRPr="00A94B71">
        <w:rPr>
          <w:rFonts w:ascii="Arial" w:hAnsi="Arial" w:cs="Arial"/>
          <w:i/>
          <w:iCs/>
          <w:sz w:val="22"/>
          <w:szCs w:val="22"/>
        </w:rPr>
        <w:t>‘A Review of the Quality Indicators of Rigor in Qualitative Research’</w:t>
      </w:r>
      <w:r w:rsidRPr="00A94B71">
        <w:rPr>
          <w:rFonts w:ascii="Arial" w:hAnsi="Arial" w:cs="Arial"/>
          <w:sz w:val="22"/>
          <w:szCs w:val="22"/>
        </w:rPr>
        <w:t>, American Journal of Pharmaceutical Education, 84(1), pp. 138–146. Available at: https://doi.org/10.5688/ajpe7120</w:t>
      </w:r>
      <w:r w:rsidR="00D653DE" w:rsidRPr="00A94B71">
        <w:rPr>
          <w:rFonts w:ascii="Arial" w:hAnsi="Arial" w:cs="Arial"/>
          <w:sz w:val="22"/>
          <w:szCs w:val="22"/>
        </w:rPr>
        <w:t xml:space="preserve"> {accessed online 26/04/24}</w:t>
      </w:r>
    </w:p>
    <w:p w14:paraId="6E92E003" w14:textId="6F1A7FA5"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Maguire, M. and Delahunt, B. </w:t>
      </w:r>
      <w:r w:rsidRPr="00A94B71">
        <w:rPr>
          <w:rFonts w:ascii="Arial" w:hAnsi="Arial" w:cs="Arial"/>
          <w:b/>
          <w:bCs/>
          <w:sz w:val="22"/>
          <w:szCs w:val="22"/>
        </w:rPr>
        <w:t>(2017)</w:t>
      </w:r>
      <w:r w:rsidRPr="00A94B71">
        <w:rPr>
          <w:rFonts w:ascii="Arial" w:hAnsi="Arial" w:cs="Arial"/>
          <w:sz w:val="22"/>
          <w:szCs w:val="22"/>
        </w:rPr>
        <w:t xml:space="preserve"> ‘</w:t>
      </w:r>
      <w:r w:rsidRPr="00A94B71">
        <w:rPr>
          <w:rFonts w:ascii="Arial" w:hAnsi="Arial" w:cs="Arial"/>
          <w:i/>
          <w:iCs/>
          <w:sz w:val="22"/>
          <w:szCs w:val="22"/>
        </w:rPr>
        <w:t>Doing a thematic analysis: A practical, step-by-step guide for learning and teaching scholars.’,</w:t>
      </w:r>
      <w:r w:rsidRPr="00A94B71">
        <w:rPr>
          <w:rFonts w:ascii="Arial" w:hAnsi="Arial" w:cs="Arial"/>
          <w:sz w:val="22"/>
          <w:szCs w:val="22"/>
        </w:rPr>
        <w:t xml:space="preserve"> AISHE-J: the All Ireland Journal of Teaching and Learning in Higher Education, 9(3). Available at: http://ojs.aishe.org/index.php/aishe-j/article/view/335</w:t>
      </w:r>
      <w:r w:rsidR="00D653DE" w:rsidRPr="00A94B71">
        <w:rPr>
          <w:rFonts w:ascii="Arial" w:hAnsi="Arial" w:cs="Arial"/>
          <w:sz w:val="22"/>
          <w:szCs w:val="22"/>
        </w:rPr>
        <w:t xml:space="preserve"> {accessed online 27/04/24}</w:t>
      </w:r>
    </w:p>
    <w:p w14:paraId="13A8C13D" w14:textId="792847C1"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Maksic, S. and Smiljana, J. </w:t>
      </w:r>
      <w:r w:rsidRPr="00A94B71">
        <w:rPr>
          <w:rFonts w:ascii="Arial" w:hAnsi="Arial" w:cs="Arial"/>
          <w:b/>
          <w:bCs/>
          <w:sz w:val="22"/>
          <w:szCs w:val="22"/>
        </w:rPr>
        <w:t>(2021)</w:t>
      </w:r>
      <w:r w:rsidRPr="00A94B71">
        <w:rPr>
          <w:rFonts w:ascii="Arial" w:hAnsi="Arial" w:cs="Arial"/>
          <w:sz w:val="22"/>
          <w:szCs w:val="22"/>
        </w:rPr>
        <w:t xml:space="preserve"> </w:t>
      </w:r>
      <w:r w:rsidRPr="00A94B71">
        <w:rPr>
          <w:rFonts w:ascii="Arial" w:hAnsi="Arial" w:cs="Arial"/>
          <w:i/>
          <w:iCs/>
          <w:sz w:val="22"/>
          <w:szCs w:val="22"/>
        </w:rPr>
        <w:t>‘SCAFFOLDING THE DEVELOPMENT OF CREATIVITY FROM THE STUDENTS’ PERSPECTIVE’</w:t>
      </w:r>
      <w:r w:rsidRPr="00A94B71">
        <w:rPr>
          <w:rFonts w:ascii="Arial" w:hAnsi="Arial" w:cs="Arial"/>
          <w:sz w:val="22"/>
          <w:szCs w:val="22"/>
        </w:rPr>
        <w:t>, Thinking Skills and Creativity, p. 100835. Available at: https://doi.org/10.1016/j.tsc.2021.100835</w:t>
      </w:r>
      <w:r w:rsidR="00D653DE" w:rsidRPr="00A94B71">
        <w:rPr>
          <w:rFonts w:ascii="Arial" w:hAnsi="Arial" w:cs="Arial"/>
          <w:sz w:val="22"/>
          <w:szCs w:val="22"/>
        </w:rPr>
        <w:t xml:space="preserve"> {accessed online 29/03/24}</w:t>
      </w:r>
    </w:p>
    <w:p w14:paraId="4C09F516" w14:textId="1F83ACD7"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Maskor, Z.M. and Baharudin, H. </w:t>
      </w:r>
      <w:r w:rsidRPr="00A94B71">
        <w:rPr>
          <w:rFonts w:ascii="Arial" w:hAnsi="Arial" w:cs="Arial"/>
          <w:b/>
          <w:bCs/>
          <w:sz w:val="22"/>
          <w:szCs w:val="22"/>
        </w:rPr>
        <w:t>(2016)</w:t>
      </w:r>
      <w:r w:rsidRPr="00A94B71">
        <w:rPr>
          <w:rFonts w:ascii="Arial" w:hAnsi="Arial" w:cs="Arial"/>
          <w:sz w:val="22"/>
          <w:szCs w:val="22"/>
        </w:rPr>
        <w:t xml:space="preserve"> ‘</w:t>
      </w:r>
      <w:r w:rsidRPr="00A94B71">
        <w:rPr>
          <w:rFonts w:ascii="Arial" w:hAnsi="Arial" w:cs="Arial"/>
          <w:i/>
          <w:iCs/>
          <w:sz w:val="22"/>
          <w:szCs w:val="22"/>
        </w:rPr>
        <w:t>Receptive Vocabulary Knowledge or Productive Vocabulary Knowledge in Writing Skill, Which One Important?’</w:t>
      </w:r>
      <w:r w:rsidRPr="00A94B71">
        <w:rPr>
          <w:rFonts w:ascii="Arial" w:hAnsi="Arial" w:cs="Arial"/>
          <w:sz w:val="22"/>
          <w:szCs w:val="22"/>
        </w:rPr>
        <w:t>, International Journal of Academic Research in Business and Social Sciences, 6(11). Available at: https://doi.org/10.6007/ijarbss/v6-i11/2395</w:t>
      </w:r>
      <w:r w:rsidR="00D653DE" w:rsidRPr="00A94B71">
        <w:rPr>
          <w:rFonts w:ascii="Arial" w:hAnsi="Arial" w:cs="Arial"/>
          <w:sz w:val="22"/>
          <w:szCs w:val="22"/>
        </w:rPr>
        <w:t xml:space="preserve"> {accessed online 24/03/24}</w:t>
      </w:r>
    </w:p>
    <w:p w14:paraId="350C221D" w14:textId="11A405E3"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Mazhar, S.A. </w:t>
      </w:r>
      <w:r w:rsidRPr="00A94B71">
        <w:rPr>
          <w:rFonts w:ascii="Arial" w:hAnsi="Arial" w:cs="Arial"/>
          <w:i/>
          <w:iCs/>
          <w:sz w:val="22"/>
          <w:szCs w:val="22"/>
        </w:rPr>
        <w:t>et al.</w:t>
      </w:r>
      <w:r w:rsidRPr="00A94B71">
        <w:rPr>
          <w:rFonts w:ascii="Arial" w:hAnsi="Arial" w:cs="Arial"/>
          <w:sz w:val="22"/>
          <w:szCs w:val="22"/>
        </w:rPr>
        <w:t xml:space="preserve"> </w:t>
      </w:r>
      <w:r w:rsidRPr="00A94B71">
        <w:rPr>
          <w:rFonts w:ascii="Arial" w:hAnsi="Arial" w:cs="Arial"/>
          <w:b/>
          <w:bCs/>
          <w:sz w:val="22"/>
          <w:szCs w:val="22"/>
        </w:rPr>
        <w:t>(2021)</w:t>
      </w:r>
      <w:r w:rsidRPr="00A94B71">
        <w:rPr>
          <w:rFonts w:ascii="Arial" w:hAnsi="Arial" w:cs="Arial"/>
          <w:sz w:val="22"/>
          <w:szCs w:val="22"/>
        </w:rPr>
        <w:t xml:space="preserve"> ‘</w:t>
      </w:r>
      <w:r w:rsidRPr="00A94B71">
        <w:rPr>
          <w:rFonts w:ascii="Arial" w:hAnsi="Arial" w:cs="Arial"/>
          <w:i/>
          <w:iCs/>
          <w:sz w:val="22"/>
          <w:szCs w:val="22"/>
        </w:rPr>
        <w:t>Methods of Data Collection: A Fundamental Tool of Research’</w:t>
      </w:r>
      <w:r w:rsidRPr="00A94B71">
        <w:rPr>
          <w:rFonts w:ascii="Arial" w:hAnsi="Arial" w:cs="Arial"/>
          <w:sz w:val="22"/>
          <w:szCs w:val="22"/>
        </w:rPr>
        <w:t>, Journal of Integrated Community Health, 10(01), pp. 6–10. Available at: https://doi.org/10.24321/2319.9113.202101</w:t>
      </w:r>
      <w:r w:rsidR="00D653DE" w:rsidRPr="00A94B71">
        <w:rPr>
          <w:rFonts w:ascii="Arial" w:hAnsi="Arial" w:cs="Arial"/>
          <w:sz w:val="22"/>
          <w:szCs w:val="22"/>
        </w:rPr>
        <w:t xml:space="preserve"> {accessed online </w:t>
      </w:r>
      <w:r w:rsidR="009206B2" w:rsidRPr="00A94B71">
        <w:rPr>
          <w:rFonts w:ascii="Arial" w:hAnsi="Arial" w:cs="Arial"/>
          <w:sz w:val="22"/>
          <w:szCs w:val="22"/>
        </w:rPr>
        <w:t>25/04/24}</w:t>
      </w:r>
    </w:p>
    <w:p w14:paraId="2D857333" w14:textId="77777777"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Merriam, S.B. </w:t>
      </w:r>
      <w:r w:rsidRPr="00A94B71">
        <w:rPr>
          <w:rFonts w:ascii="Arial" w:hAnsi="Arial" w:cs="Arial"/>
          <w:b/>
          <w:bCs/>
          <w:sz w:val="22"/>
          <w:szCs w:val="22"/>
        </w:rPr>
        <w:t xml:space="preserve">(1998) </w:t>
      </w:r>
      <w:r w:rsidRPr="00A94B71">
        <w:rPr>
          <w:rFonts w:ascii="Arial" w:hAnsi="Arial" w:cs="Arial"/>
          <w:i/>
          <w:iCs/>
          <w:sz w:val="22"/>
          <w:szCs w:val="22"/>
        </w:rPr>
        <w:t>Qualitative research and case study applications in education</w:t>
      </w:r>
      <w:r w:rsidRPr="00A94B71">
        <w:rPr>
          <w:rFonts w:ascii="Arial" w:hAnsi="Arial" w:cs="Arial"/>
          <w:sz w:val="22"/>
          <w:szCs w:val="22"/>
        </w:rPr>
        <w:t>. 2nd edn. San Francisco: Jossey-Bass Publishers.</w:t>
      </w:r>
    </w:p>
    <w:p w14:paraId="73A13BFF" w14:textId="487E5BA4"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Mezmir, E.A. </w:t>
      </w:r>
      <w:r w:rsidRPr="00A94B71">
        <w:rPr>
          <w:rFonts w:ascii="Arial" w:hAnsi="Arial" w:cs="Arial"/>
          <w:b/>
          <w:bCs/>
          <w:sz w:val="22"/>
          <w:szCs w:val="22"/>
        </w:rPr>
        <w:t>(2020)</w:t>
      </w:r>
      <w:r w:rsidRPr="00A94B71">
        <w:rPr>
          <w:rFonts w:ascii="Arial" w:hAnsi="Arial" w:cs="Arial"/>
          <w:sz w:val="22"/>
          <w:szCs w:val="22"/>
        </w:rPr>
        <w:t xml:space="preserve"> ‘Qualitative Data Analysis: An Overview of Data Reduction, Data Display and Interpretation’, </w:t>
      </w:r>
      <w:r w:rsidRPr="00A94B71">
        <w:rPr>
          <w:rFonts w:ascii="Arial" w:hAnsi="Arial" w:cs="Arial"/>
          <w:i/>
          <w:iCs/>
          <w:sz w:val="22"/>
          <w:szCs w:val="22"/>
        </w:rPr>
        <w:t>Research on Humanities and Social Sciences</w:t>
      </w:r>
      <w:r w:rsidRPr="00A94B71">
        <w:rPr>
          <w:rFonts w:ascii="Arial" w:hAnsi="Arial" w:cs="Arial"/>
          <w:sz w:val="22"/>
          <w:szCs w:val="22"/>
        </w:rPr>
        <w:t>, 10(21), pp. 15–27. Available at: https://core.ac.uk/download/pdf/356684456.pdf</w:t>
      </w:r>
      <w:r w:rsidR="009206B2" w:rsidRPr="00A94B71">
        <w:rPr>
          <w:rFonts w:ascii="Arial" w:hAnsi="Arial" w:cs="Arial"/>
          <w:sz w:val="22"/>
          <w:szCs w:val="22"/>
        </w:rPr>
        <w:t xml:space="preserve"> {accessed online 29/04/24}</w:t>
      </w:r>
    </w:p>
    <w:p w14:paraId="0B87A8FD" w14:textId="0709C2CC"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My Local School </w:t>
      </w:r>
      <w:r w:rsidRPr="00A94B71">
        <w:rPr>
          <w:rFonts w:ascii="Arial" w:hAnsi="Arial" w:cs="Arial"/>
          <w:b/>
          <w:bCs/>
          <w:sz w:val="22"/>
          <w:szCs w:val="22"/>
        </w:rPr>
        <w:t>(2023)</w:t>
      </w:r>
      <w:r w:rsidRPr="00A94B71">
        <w:rPr>
          <w:rFonts w:ascii="Arial" w:hAnsi="Arial" w:cs="Arial"/>
          <w:sz w:val="22"/>
          <w:szCs w:val="22"/>
        </w:rPr>
        <w:t xml:space="preserve"> </w:t>
      </w:r>
      <w:r w:rsidRPr="00A94B71">
        <w:rPr>
          <w:rFonts w:ascii="Arial" w:hAnsi="Arial" w:cs="Arial"/>
          <w:i/>
          <w:iCs/>
          <w:sz w:val="22"/>
          <w:szCs w:val="22"/>
          <w:highlight w:val="black"/>
        </w:rPr>
        <w:t>Bishopston</w:t>
      </w:r>
      <w:r w:rsidRPr="00A94B71">
        <w:rPr>
          <w:rFonts w:ascii="Arial" w:hAnsi="Arial" w:cs="Arial"/>
          <w:i/>
          <w:iCs/>
          <w:sz w:val="22"/>
          <w:szCs w:val="22"/>
        </w:rPr>
        <w:t xml:space="preserve"> Comprehensive</w:t>
      </w:r>
      <w:r w:rsidRPr="00A94B71">
        <w:rPr>
          <w:rFonts w:ascii="Arial" w:hAnsi="Arial" w:cs="Arial"/>
          <w:sz w:val="22"/>
          <w:szCs w:val="22"/>
        </w:rPr>
        <w:t xml:space="preserve">, </w:t>
      </w:r>
      <w:r w:rsidRPr="00A94B71">
        <w:rPr>
          <w:rFonts w:ascii="Arial" w:hAnsi="Arial" w:cs="Arial"/>
          <w:i/>
          <w:iCs/>
          <w:sz w:val="22"/>
          <w:szCs w:val="22"/>
        </w:rPr>
        <w:t>mylocalschool.gov.wales</w:t>
      </w:r>
      <w:r w:rsidRPr="00A94B71">
        <w:rPr>
          <w:rFonts w:ascii="Arial" w:hAnsi="Arial" w:cs="Arial"/>
          <w:sz w:val="22"/>
          <w:szCs w:val="22"/>
        </w:rPr>
        <w:t>. Available at: https://mylocalschool.gov.wales/School/</w:t>
      </w:r>
      <w:r w:rsidRPr="00A94B71">
        <w:rPr>
          <w:rFonts w:ascii="Arial" w:hAnsi="Arial" w:cs="Arial"/>
          <w:sz w:val="22"/>
          <w:szCs w:val="22"/>
          <w:highlight w:val="black"/>
        </w:rPr>
        <w:t>6704069</w:t>
      </w:r>
      <w:r w:rsidRPr="00A94B71">
        <w:rPr>
          <w:rFonts w:ascii="Arial" w:hAnsi="Arial" w:cs="Arial"/>
          <w:sz w:val="22"/>
          <w:szCs w:val="22"/>
        </w:rPr>
        <w:t>?lang=en</w:t>
      </w:r>
      <w:r w:rsidR="009206B2" w:rsidRPr="00A94B71">
        <w:rPr>
          <w:rFonts w:ascii="Arial" w:hAnsi="Arial" w:cs="Arial"/>
          <w:sz w:val="22"/>
          <w:szCs w:val="22"/>
        </w:rPr>
        <w:t xml:space="preserve"> {accessed online 01/05/24}</w:t>
      </w:r>
    </w:p>
    <w:p w14:paraId="6E6AB56B" w14:textId="07B92C5E"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Nayak, M.S.D.P. and Narayan, K.A. </w:t>
      </w:r>
      <w:r w:rsidRPr="00A94B71">
        <w:rPr>
          <w:rFonts w:ascii="Arial" w:hAnsi="Arial" w:cs="Arial"/>
          <w:b/>
          <w:bCs/>
          <w:sz w:val="22"/>
          <w:szCs w:val="22"/>
        </w:rPr>
        <w:t>(2019)</w:t>
      </w:r>
      <w:r w:rsidRPr="00A94B71">
        <w:rPr>
          <w:rFonts w:ascii="Arial" w:hAnsi="Arial" w:cs="Arial"/>
          <w:sz w:val="22"/>
          <w:szCs w:val="22"/>
        </w:rPr>
        <w:t xml:space="preserve"> </w:t>
      </w:r>
      <w:r w:rsidRPr="00A94B71">
        <w:rPr>
          <w:rFonts w:ascii="Arial" w:hAnsi="Arial" w:cs="Arial"/>
          <w:i/>
          <w:iCs/>
          <w:sz w:val="22"/>
          <w:szCs w:val="22"/>
        </w:rPr>
        <w:t>Strengths and Weakness of Online Surveys</w:t>
      </w:r>
      <w:r w:rsidRPr="00A94B71">
        <w:rPr>
          <w:rFonts w:ascii="Arial" w:hAnsi="Arial" w:cs="Arial"/>
          <w:sz w:val="22"/>
          <w:szCs w:val="22"/>
        </w:rPr>
        <w:t xml:space="preserve">, </w:t>
      </w:r>
      <w:r w:rsidRPr="00A94B71">
        <w:rPr>
          <w:rFonts w:ascii="Arial" w:hAnsi="Arial" w:cs="Arial"/>
          <w:i/>
          <w:iCs/>
          <w:sz w:val="22"/>
          <w:szCs w:val="22"/>
        </w:rPr>
        <w:t>ResearchGate</w:t>
      </w:r>
      <w:r w:rsidRPr="00A94B71">
        <w:rPr>
          <w:rFonts w:ascii="Arial" w:hAnsi="Arial" w:cs="Arial"/>
          <w:sz w:val="22"/>
          <w:szCs w:val="22"/>
        </w:rPr>
        <w:t>. Available at: https://doi.org/10.9790/0837-2405053138</w:t>
      </w:r>
      <w:r w:rsidR="009206B2" w:rsidRPr="00A94B71">
        <w:rPr>
          <w:rFonts w:ascii="Arial" w:hAnsi="Arial" w:cs="Arial"/>
          <w:sz w:val="22"/>
          <w:szCs w:val="22"/>
        </w:rPr>
        <w:t xml:space="preserve"> {accessed online 18/04/24}</w:t>
      </w:r>
    </w:p>
    <w:p w14:paraId="0EBEBCF7" w14:textId="77777777"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Patten, M.L. </w:t>
      </w:r>
      <w:r w:rsidRPr="00A94B71">
        <w:rPr>
          <w:rFonts w:ascii="Arial" w:hAnsi="Arial" w:cs="Arial"/>
          <w:b/>
          <w:bCs/>
          <w:sz w:val="22"/>
          <w:szCs w:val="22"/>
        </w:rPr>
        <w:t>(2016)</w:t>
      </w:r>
      <w:r w:rsidRPr="00A94B71">
        <w:rPr>
          <w:rFonts w:ascii="Arial" w:hAnsi="Arial" w:cs="Arial"/>
          <w:sz w:val="22"/>
          <w:szCs w:val="22"/>
        </w:rPr>
        <w:t xml:space="preserve"> </w:t>
      </w:r>
      <w:r w:rsidRPr="00A94B71">
        <w:rPr>
          <w:rFonts w:ascii="Arial" w:hAnsi="Arial" w:cs="Arial"/>
          <w:i/>
          <w:iCs/>
          <w:sz w:val="22"/>
          <w:szCs w:val="22"/>
        </w:rPr>
        <w:t>Questionnaire Research</w:t>
      </w:r>
      <w:r w:rsidRPr="00A94B71">
        <w:rPr>
          <w:rFonts w:ascii="Arial" w:hAnsi="Arial" w:cs="Arial"/>
          <w:sz w:val="22"/>
          <w:szCs w:val="22"/>
        </w:rPr>
        <w:t>. 4th edn. Routledge.</w:t>
      </w:r>
    </w:p>
    <w:p w14:paraId="46640335" w14:textId="5BBC441B"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Peel, K. </w:t>
      </w:r>
      <w:r w:rsidRPr="00A94B71">
        <w:rPr>
          <w:rFonts w:ascii="Arial" w:hAnsi="Arial" w:cs="Arial"/>
          <w:b/>
          <w:bCs/>
          <w:sz w:val="22"/>
          <w:szCs w:val="22"/>
        </w:rPr>
        <w:t>(2020)</w:t>
      </w:r>
      <w:r w:rsidRPr="00A94B71">
        <w:rPr>
          <w:rFonts w:ascii="Arial" w:hAnsi="Arial" w:cs="Arial"/>
          <w:sz w:val="22"/>
          <w:szCs w:val="22"/>
        </w:rPr>
        <w:t xml:space="preserve"> </w:t>
      </w:r>
      <w:r w:rsidRPr="00A94B71">
        <w:rPr>
          <w:rFonts w:ascii="Arial" w:hAnsi="Arial" w:cs="Arial"/>
          <w:i/>
          <w:iCs/>
          <w:sz w:val="22"/>
          <w:szCs w:val="22"/>
        </w:rPr>
        <w:t>‘A Beginner’s Guide to Applied Educational Research Using Thematic Analysis’,</w:t>
      </w:r>
      <w:r w:rsidRPr="00A94B71">
        <w:rPr>
          <w:rFonts w:ascii="Arial" w:hAnsi="Arial" w:cs="Arial"/>
          <w:sz w:val="22"/>
          <w:szCs w:val="22"/>
        </w:rPr>
        <w:t xml:space="preserve"> Practical Assessment, Research, and Evaluation, 25(1), pp. 1–15. Available at: https://doi.org/10.7275/ryr5-k983</w:t>
      </w:r>
      <w:r w:rsidR="009206B2" w:rsidRPr="00A94B71">
        <w:rPr>
          <w:rFonts w:ascii="Arial" w:hAnsi="Arial" w:cs="Arial"/>
          <w:sz w:val="22"/>
          <w:szCs w:val="22"/>
        </w:rPr>
        <w:t xml:space="preserve"> {accessed online 20/04/24}</w:t>
      </w:r>
    </w:p>
    <w:p w14:paraId="05DBD9EE" w14:textId="27A3F28D"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Ponce, O.A. and Pagán-Maldonado, N. </w:t>
      </w:r>
      <w:r w:rsidRPr="00A94B71">
        <w:rPr>
          <w:rFonts w:ascii="Arial" w:hAnsi="Arial" w:cs="Arial"/>
          <w:b/>
          <w:bCs/>
          <w:sz w:val="22"/>
          <w:szCs w:val="22"/>
        </w:rPr>
        <w:t>(2015)</w:t>
      </w:r>
      <w:r w:rsidRPr="00A94B71">
        <w:rPr>
          <w:rFonts w:ascii="Arial" w:hAnsi="Arial" w:cs="Arial"/>
          <w:sz w:val="22"/>
          <w:szCs w:val="22"/>
        </w:rPr>
        <w:t xml:space="preserve"> ‘</w:t>
      </w:r>
      <w:r w:rsidRPr="00A94B71">
        <w:rPr>
          <w:rFonts w:ascii="Arial" w:hAnsi="Arial" w:cs="Arial"/>
          <w:i/>
          <w:iCs/>
          <w:sz w:val="22"/>
          <w:szCs w:val="22"/>
        </w:rPr>
        <w:t>Mixed Methods Research in Education: Capturing the Complexity of the Profession’,</w:t>
      </w:r>
      <w:r w:rsidRPr="00A94B71">
        <w:rPr>
          <w:rFonts w:ascii="Arial" w:hAnsi="Arial" w:cs="Arial"/>
          <w:sz w:val="22"/>
          <w:szCs w:val="22"/>
        </w:rPr>
        <w:t xml:space="preserve"> IJEE, 1(1), pp. 111–135. Available at: https://doi.org/10.18562/ijee.2015.0005</w:t>
      </w:r>
      <w:r w:rsidR="009206B2" w:rsidRPr="00A94B71">
        <w:rPr>
          <w:rFonts w:ascii="Arial" w:hAnsi="Arial" w:cs="Arial"/>
          <w:sz w:val="22"/>
          <w:szCs w:val="22"/>
        </w:rPr>
        <w:t xml:space="preserve"> {</w:t>
      </w:r>
      <w:r w:rsidR="003C32F3" w:rsidRPr="00A94B71">
        <w:rPr>
          <w:rFonts w:ascii="Arial" w:hAnsi="Arial" w:cs="Arial"/>
          <w:sz w:val="22"/>
          <w:szCs w:val="22"/>
        </w:rPr>
        <w:t>accessed online 19/04/24}</w:t>
      </w:r>
    </w:p>
    <w:p w14:paraId="5E44327C" w14:textId="5F67FE39"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lastRenderedPageBreak/>
        <w:t xml:space="preserve">Puntambekar, S. </w:t>
      </w:r>
      <w:r w:rsidRPr="00A94B71">
        <w:rPr>
          <w:rFonts w:ascii="Arial" w:hAnsi="Arial" w:cs="Arial"/>
          <w:b/>
          <w:bCs/>
          <w:sz w:val="22"/>
          <w:szCs w:val="22"/>
        </w:rPr>
        <w:t>(2021)</w:t>
      </w:r>
      <w:r w:rsidRPr="00A94B71">
        <w:rPr>
          <w:rFonts w:ascii="Arial" w:hAnsi="Arial" w:cs="Arial"/>
          <w:sz w:val="22"/>
          <w:szCs w:val="22"/>
        </w:rPr>
        <w:t xml:space="preserve"> ‘</w:t>
      </w:r>
      <w:r w:rsidRPr="00A94B71">
        <w:rPr>
          <w:rFonts w:ascii="Arial" w:hAnsi="Arial" w:cs="Arial"/>
          <w:i/>
          <w:iCs/>
          <w:sz w:val="22"/>
          <w:szCs w:val="22"/>
        </w:rPr>
        <w:t>Distributed Scaffolding: Scaffolding Students in Classroom Environments’,</w:t>
      </w:r>
      <w:r w:rsidRPr="00A94B71">
        <w:rPr>
          <w:rFonts w:ascii="Arial" w:hAnsi="Arial" w:cs="Arial"/>
          <w:sz w:val="22"/>
          <w:szCs w:val="22"/>
        </w:rPr>
        <w:t xml:space="preserve"> Educational Psychology Review, 34(1). Available at: https://doi.org/10.1007/s10648-021-09636-3</w:t>
      </w:r>
      <w:r w:rsidR="003C32F3" w:rsidRPr="00A94B71">
        <w:rPr>
          <w:rFonts w:ascii="Arial" w:hAnsi="Arial" w:cs="Arial"/>
          <w:sz w:val="22"/>
          <w:szCs w:val="22"/>
        </w:rPr>
        <w:t xml:space="preserve"> {accessed online 26/03/24}</w:t>
      </w:r>
    </w:p>
    <w:p w14:paraId="7951B3A2" w14:textId="2F0BDD65"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Ranzau, S.D. and Horowitz, R. (</w:t>
      </w:r>
      <w:r w:rsidRPr="00A94B71">
        <w:rPr>
          <w:rFonts w:ascii="Arial" w:hAnsi="Arial" w:cs="Arial"/>
          <w:b/>
          <w:bCs/>
          <w:sz w:val="22"/>
          <w:szCs w:val="22"/>
        </w:rPr>
        <w:t>2017)</w:t>
      </w:r>
      <w:r w:rsidRPr="00A94B71">
        <w:rPr>
          <w:rFonts w:ascii="Arial" w:hAnsi="Arial" w:cs="Arial"/>
          <w:sz w:val="22"/>
          <w:szCs w:val="22"/>
        </w:rPr>
        <w:t xml:space="preserve"> ‘</w:t>
      </w:r>
      <w:r w:rsidRPr="00A94B71">
        <w:rPr>
          <w:rFonts w:ascii="Arial" w:hAnsi="Arial" w:cs="Arial"/>
          <w:i/>
          <w:iCs/>
          <w:sz w:val="22"/>
          <w:szCs w:val="22"/>
        </w:rPr>
        <w:t>Drama-Based Pedagogy: New Ways of Incorporating Drama into the Secondary Classroom’,</w:t>
      </w:r>
      <w:r w:rsidRPr="00A94B71">
        <w:rPr>
          <w:rFonts w:ascii="Arial" w:hAnsi="Arial" w:cs="Arial"/>
          <w:sz w:val="22"/>
          <w:szCs w:val="22"/>
        </w:rPr>
        <w:t xml:space="preserve"> Texas Association for Literacy Education Yearbook, 4, pp. 99–111. Available at: https://eric.ed.gov/?id=EJ1305026</w:t>
      </w:r>
      <w:r w:rsidR="003C32F3" w:rsidRPr="00A94B71">
        <w:rPr>
          <w:rFonts w:ascii="Arial" w:hAnsi="Arial" w:cs="Arial"/>
          <w:sz w:val="22"/>
          <w:szCs w:val="22"/>
        </w:rPr>
        <w:t xml:space="preserve"> {accessed online 3/04/24}</w:t>
      </w:r>
    </w:p>
    <w:p w14:paraId="4E653FF8" w14:textId="77777777"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Rosenshine, B. and Meister, C. </w:t>
      </w:r>
      <w:r w:rsidRPr="00A94B71">
        <w:rPr>
          <w:rFonts w:ascii="Arial" w:hAnsi="Arial" w:cs="Arial"/>
          <w:b/>
          <w:bCs/>
          <w:sz w:val="22"/>
          <w:szCs w:val="22"/>
        </w:rPr>
        <w:t>(1992)</w:t>
      </w:r>
      <w:r w:rsidRPr="00A94B71">
        <w:rPr>
          <w:rFonts w:ascii="Arial" w:hAnsi="Arial" w:cs="Arial"/>
          <w:sz w:val="22"/>
          <w:szCs w:val="22"/>
        </w:rPr>
        <w:t xml:space="preserve"> ‘The Use of Scaffolds for Teaching Higher-Level Cognitive Strategies.’, </w:t>
      </w:r>
      <w:r w:rsidRPr="00A94B71">
        <w:rPr>
          <w:rFonts w:ascii="Arial" w:hAnsi="Arial" w:cs="Arial"/>
          <w:i/>
          <w:iCs/>
          <w:sz w:val="22"/>
          <w:szCs w:val="22"/>
        </w:rPr>
        <w:t>Educational Leadership</w:t>
      </w:r>
      <w:r w:rsidRPr="00A94B71">
        <w:rPr>
          <w:rFonts w:ascii="Arial" w:hAnsi="Arial" w:cs="Arial"/>
          <w:sz w:val="22"/>
          <w:szCs w:val="22"/>
        </w:rPr>
        <w:t>, 49(7), pp. 26–33.</w:t>
      </w:r>
    </w:p>
    <w:p w14:paraId="1D53D926" w14:textId="3C901077"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Schoch, K. </w:t>
      </w:r>
      <w:r w:rsidRPr="00A94B71">
        <w:rPr>
          <w:rFonts w:ascii="Arial" w:hAnsi="Arial" w:cs="Arial"/>
          <w:b/>
          <w:bCs/>
          <w:sz w:val="22"/>
          <w:szCs w:val="22"/>
        </w:rPr>
        <w:t>(2019)</w:t>
      </w:r>
      <w:r w:rsidRPr="00A94B71">
        <w:rPr>
          <w:rFonts w:ascii="Arial" w:hAnsi="Arial" w:cs="Arial"/>
          <w:sz w:val="22"/>
          <w:szCs w:val="22"/>
        </w:rPr>
        <w:t xml:space="preserve"> ‘Case Study Research’, in </w:t>
      </w:r>
      <w:r w:rsidRPr="00A94B71">
        <w:rPr>
          <w:rFonts w:ascii="Arial" w:hAnsi="Arial" w:cs="Arial"/>
          <w:i/>
          <w:iCs/>
          <w:sz w:val="22"/>
          <w:szCs w:val="22"/>
        </w:rPr>
        <w:t xml:space="preserve">Research design and </w:t>
      </w:r>
      <w:r w:rsidR="00E94B95" w:rsidRPr="00A94B71">
        <w:rPr>
          <w:rFonts w:ascii="Arial" w:hAnsi="Arial" w:cs="Arial"/>
          <w:i/>
          <w:iCs/>
          <w:sz w:val="22"/>
          <w:szCs w:val="22"/>
        </w:rPr>
        <w:t>methods:</w:t>
      </w:r>
      <w:r w:rsidRPr="00A94B71">
        <w:rPr>
          <w:rFonts w:ascii="Arial" w:hAnsi="Arial" w:cs="Arial"/>
          <w:i/>
          <w:iCs/>
          <w:sz w:val="22"/>
          <w:szCs w:val="22"/>
        </w:rPr>
        <w:t xml:space="preserve"> an applied guide for the scholar-practitioner</w:t>
      </w:r>
      <w:r w:rsidRPr="00A94B71">
        <w:rPr>
          <w:rFonts w:ascii="Arial" w:hAnsi="Arial" w:cs="Arial"/>
          <w:sz w:val="22"/>
          <w:szCs w:val="22"/>
        </w:rPr>
        <w:t>. Los Angeles: SAGE.</w:t>
      </w:r>
    </w:p>
    <w:p w14:paraId="34BE484B" w14:textId="02725945"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Shvarts, A. and Bakker, A. </w:t>
      </w:r>
      <w:r w:rsidRPr="00A94B71">
        <w:rPr>
          <w:rFonts w:ascii="Arial" w:hAnsi="Arial" w:cs="Arial"/>
          <w:b/>
          <w:bCs/>
          <w:sz w:val="22"/>
          <w:szCs w:val="22"/>
        </w:rPr>
        <w:t>(2019)</w:t>
      </w:r>
      <w:r w:rsidRPr="00A94B71">
        <w:rPr>
          <w:rFonts w:ascii="Arial" w:hAnsi="Arial" w:cs="Arial"/>
          <w:sz w:val="22"/>
          <w:szCs w:val="22"/>
        </w:rPr>
        <w:t xml:space="preserve"> </w:t>
      </w:r>
      <w:r w:rsidRPr="00A94B71">
        <w:rPr>
          <w:rFonts w:ascii="Arial" w:hAnsi="Arial" w:cs="Arial"/>
          <w:i/>
          <w:iCs/>
          <w:sz w:val="22"/>
          <w:szCs w:val="22"/>
        </w:rPr>
        <w:t>‘The early history of the scaffolding metaphor: Bernstein, Luria, Vygotsky, and before’</w:t>
      </w:r>
      <w:r w:rsidRPr="00A94B71">
        <w:rPr>
          <w:rFonts w:ascii="Arial" w:hAnsi="Arial" w:cs="Arial"/>
          <w:sz w:val="22"/>
          <w:szCs w:val="22"/>
        </w:rPr>
        <w:t>, Mind, Culture, and Activity, 26(1), pp. 4–23. Available at: https://doi.org/10.1080/10749039.2019.1574306</w:t>
      </w:r>
      <w:r w:rsidR="00AF29C6" w:rsidRPr="00A94B71">
        <w:rPr>
          <w:rFonts w:ascii="Arial" w:hAnsi="Arial" w:cs="Arial"/>
          <w:sz w:val="22"/>
          <w:szCs w:val="22"/>
        </w:rPr>
        <w:t xml:space="preserve"> {accessed online 31/03/24}</w:t>
      </w:r>
    </w:p>
    <w:p w14:paraId="02E835A6" w14:textId="7442F56E"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Spycher, P. </w:t>
      </w:r>
      <w:r w:rsidRPr="00A94B71">
        <w:rPr>
          <w:rFonts w:ascii="Arial" w:hAnsi="Arial" w:cs="Arial"/>
          <w:b/>
          <w:bCs/>
          <w:sz w:val="22"/>
          <w:szCs w:val="22"/>
        </w:rPr>
        <w:t>(2021)</w:t>
      </w:r>
      <w:r w:rsidRPr="00A94B71">
        <w:rPr>
          <w:rFonts w:ascii="Arial" w:hAnsi="Arial" w:cs="Arial"/>
          <w:sz w:val="22"/>
          <w:szCs w:val="22"/>
        </w:rPr>
        <w:t xml:space="preserve"> </w:t>
      </w:r>
      <w:r w:rsidRPr="00A94B71">
        <w:rPr>
          <w:rFonts w:ascii="Arial" w:hAnsi="Arial" w:cs="Arial"/>
          <w:i/>
          <w:iCs/>
          <w:sz w:val="22"/>
          <w:szCs w:val="22"/>
        </w:rPr>
        <w:t>Scaffolding Writing With the ‘Teaching and Learning Cycle’ for Students in Grades 6-12</w:t>
      </w:r>
      <w:r w:rsidRPr="00A94B71">
        <w:rPr>
          <w:rFonts w:ascii="Arial" w:hAnsi="Arial" w:cs="Arial"/>
          <w:sz w:val="22"/>
          <w:szCs w:val="22"/>
        </w:rPr>
        <w:t>. Available at: https://csaa.wested.org/wp-content/uploads/2021/09/Teaching-and-Learning-Cycle-For-Students-Grades-6-12_0821.pdf</w:t>
      </w:r>
      <w:r w:rsidR="00AF29C6" w:rsidRPr="00A94B71">
        <w:rPr>
          <w:rFonts w:ascii="Arial" w:hAnsi="Arial" w:cs="Arial"/>
          <w:sz w:val="22"/>
          <w:szCs w:val="22"/>
        </w:rPr>
        <w:t xml:space="preserve"> {accessed online 27/03/24}</w:t>
      </w:r>
    </w:p>
    <w:p w14:paraId="215ED0F6" w14:textId="2E295D0A"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Stratton, S.J. </w:t>
      </w:r>
      <w:r w:rsidRPr="00A94B71">
        <w:rPr>
          <w:rFonts w:ascii="Arial" w:hAnsi="Arial" w:cs="Arial"/>
          <w:b/>
          <w:bCs/>
          <w:sz w:val="22"/>
          <w:szCs w:val="22"/>
        </w:rPr>
        <w:t>(2021)</w:t>
      </w:r>
      <w:r w:rsidRPr="00A94B71">
        <w:rPr>
          <w:rFonts w:ascii="Arial" w:hAnsi="Arial" w:cs="Arial"/>
          <w:sz w:val="22"/>
          <w:szCs w:val="22"/>
        </w:rPr>
        <w:t xml:space="preserve"> </w:t>
      </w:r>
      <w:r w:rsidRPr="00A94B71">
        <w:rPr>
          <w:rFonts w:ascii="Arial" w:hAnsi="Arial" w:cs="Arial"/>
          <w:i/>
          <w:iCs/>
          <w:sz w:val="22"/>
          <w:szCs w:val="22"/>
        </w:rPr>
        <w:t>‘Population research: Convenience Sampling Strategies’,</w:t>
      </w:r>
      <w:r w:rsidRPr="00A94B71">
        <w:rPr>
          <w:rFonts w:ascii="Arial" w:hAnsi="Arial" w:cs="Arial"/>
          <w:sz w:val="22"/>
          <w:szCs w:val="22"/>
        </w:rPr>
        <w:t xml:space="preserve"> Prehospital and Disaster Medicine, 36(4), pp. 373–374. Available at: https://www.cambridge.org/core/journals/prehospital-and-disaster-medicine/article/population-research-convenience-sampling-strategies/B0D519269C76DB5BFFBFB84ED7031267</w:t>
      </w:r>
      <w:r w:rsidR="003C32F3" w:rsidRPr="00A94B71">
        <w:rPr>
          <w:rFonts w:ascii="Arial" w:hAnsi="Arial" w:cs="Arial"/>
          <w:sz w:val="22"/>
          <w:szCs w:val="22"/>
        </w:rPr>
        <w:t xml:space="preserve"> {</w:t>
      </w:r>
      <w:r w:rsidR="00AF29C6" w:rsidRPr="00A94B71">
        <w:rPr>
          <w:rFonts w:ascii="Arial" w:hAnsi="Arial" w:cs="Arial"/>
          <w:sz w:val="22"/>
          <w:szCs w:val="22"/>
        </w:rPr>
        <w:t>accessed online 23/04/24}</w:t>
      </w:r>
    </w:p>
    <w:p w14:paraId="4D8334ED" w14:textId="0F882D60"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Taber, K. </w:t>
      </w:r>
      <w:r w:rsidRPr="00A94B71">
        <w:rPr>
          <w:rFonts w:ascii="Arial" w:hAnsi="Arial" w:cs="Arial"/>
          <w:b/>
          <w:bCs/>
          <w:sz w:val="22"/>
          <w:szCs w:val="22"/>
        </w:rPr>
        <w:t>(2018)</w:t>
      </w:r>
      <w:r w:rsidRPr="00A94B71">
        <w:rPr>
          <w:rFonts w:ascii="Arial" w:hAnsi="Arial" w:cs="Arial"/>
          <w:sz w:val="22"/>
          <w:szCs w:val="22"/>
        </w:rPr>
        <w:t xml:space="preserve"> </w:t>
      </w:r>
      <w:r w:rsidRPr="00A94B71">
        <w:rPr>
          <w:rFonts w:ascii="Arial" w:hAnsi="Arial" w:cs="Arial"/>
          <w:i/>
          <w:iCs/>
          <w:sz w:val="22"/>
          <w:szCs w:val="22"/>
        </w:rPr>
        <w:t>Scaffolding learning: Principles for Effective Teaching and the Design of Classroom Resources</w:t>
      </w:r>
      <w:r w:rsidRPr="00A94B71">
        <w:rPr>
          <w:rFonts w:ascii="Arial" w:hAnsi="Arial" w:cs="Arial"/>
          <w:sz w:val="22"/>
          <w:szCs w:val="22"/>
        </w:rPr>
        <w:t xml:space="preserve">, </w:t>
      </w:r>
      <w:r w:rsidRPr="00A94B71">
        <w:rPr>
          <w:rFonts w:ascii="Arial" w:hAnsi="Arial" w:cs="Arial"/>
          <w:i/>
          <w:iCs/>
          <w:sz w:val="22"/>
          <w:szCs w:val="22"/>
        </w:rPr>
        <w:t>ResearchGate</w:t>
      </w:r>
      <w:r w:rsidRPr="00A94B71">
        <w:rPr>
          <w:rFonts w:ascii="Arial" w:hAnsi="Arial" w:cs="Arial"/>
          <w:sz w:val="22"/>
          <w:szCs w:val="22"/>
        </w:rPr>
        <w:t>. Available at: https://www.researchgate.net/publication/327833000_Scaffolding_learning_Principles_for_effective_teaching_and_the_design_of_classroom_resources</w:t>
      </w:r>
      <w:r w:rsidR="003C32F3" w:rsidRPr="00A94B71">
        <w:rPr>
          <w:rFonts w:ascii="Arial" w:hAnsi="Arial" w:cs="Arial"/>
          <w:sz w:val="22"/>
          <w:szCs w:val="22"/>
        </w:rPr>
        <w:t xml:space="preserve"> {accessed online 17/03/24}</w:t>
      </w:r>
    </w:p>
    <w:p w14:paraId="3D92447C" w14:textId="025D8FA8"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Taherdoost, H. </w:t>
      </w:r>
      <w:r w:rsidRPr="00A94B71">
        <w:rPr>
          <w:rFonts w:ascii="Arial" w:hAnsi="Arial" w:cs="Arial"/>
          <w:b/>
          <w:bCs/>
          <w:sz w:val="22"/>
          <w:szCs w:val="22"/>
        </w:rPr>
        <w:t>(2019)</w:t>
      </w:r>
      <w:r w:rsidRPr="00A94B71">
        <w:rPr>
          <w:rFonts w:ascii="Arial" w:hAnsi="Arial" w:cs="Arial"/>
          <w:sz w:val="22"/>
          <w:szCs w:val="22"/>
        </w:rPr>
        <w:t xml:space="preserve"> </w:t>
      </w:r>
      <w:r w:rsidRPr="00A94B71">
        <w:rPr>
          <w:rFonts w:ascii="Arial" w:hAnsi="Arial" w:cs="Arial"/>
          <w:i/>
          <w:iCs/>
          <w:sz w:val="22"/>
          <w:szCs w:val="22"/>
        </w:rPr>
        <w:t>What Is the Best Response Scale for Survey and Questionnaire Design; Review of Different Lengths of Rating Scale / Attitude Scale / Likert Scale</w:t>
      </w:r>
      <w:r w:rsidRPr="00A94B71">
        <w:rPr>
          <w:rFonts w:ascii="Arial" w:hAnsi="Arial" w:cs="Arial"/>
          <w:sz w:val="22"/>
          <w:szCs w:val="22"/>
        </w:rPr>
        <w:t xml:space="preserve">, papers.ssrn.com. Rochester, NY. Available at: https://ssrn.com/abstract=3588604 </w:t>
      </w:r>
      <w:r w:rsidR="003C32F3" w:rsidRPr="00A94B71">
        <w:rPr>
          <w:rFonts w:ascii="Arial" w:hAnsi="Arial" w:cs="Arial"/>
          <w:sz w:val="22"/>
          <w:szCs w:val="22"/>
        </w:rPr>
        <w:t>{accessed online 23/04/24}</w:t>
      </w:r>
    </w:p>
    <w:p w14:paraId="2F5A2177" w14:textId="39A4EDCE"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Theofanidis, D. and Fountouki, A. </w:t>
      </w:r>
      <w:r w:rsidRPr="00A94B71">
        <w:rPr>
          <w:rFonts w:ascii="Arial" w:hAnsi="Arial" w:cs="Arial"/>
          <w:b/>
          <w:bCs/>
          <w:sz w:val="22"/>
          <w:szCs w:val="22"/>
        </w:rPr>
        <w:t>(2018)</w:t>
      </w:r>
      <w:r w:rsidRPr="00A94B71">
        <w:rPr>
          <w:rFonts w:ascii="Arial" w:hAnsi="Arial" w:cs="Arial"/>
          <w:sz w:val="22"/>
          <w:szCs w:val="22"/>
        </w:rPr>
        <w:t xml:space="preserve"> </w:t>
      </w:r>
      <w:r w:rsidRPr="00A94B71">
        <w:rPr>
          <w:rFonts w:ascii="Arial" w:hAnsi="Arial" w:cs="Arial"/>
          <w:i/>
          <w:iCs/>
          <w:sz w:val="22"/>
          <w:szCs w:val="22"/>
        </w:rPr>
        <w:t>‘Limitations and delimitations in the research process’,</w:t>
      </w:r>
      <w:r w:rsidRPr="00A94B71">
        <w:rPr>
          <w:rFonts w:ascii="Arial" w:hAnsi="Arial" w:cs="Arial"/>
          <w:sz w:val="22"/>
          <w:szCs w:val="22"/>
        </w:rPr>
        <w:t xml:space="preserve"> Perioperative Nursing, 7(3), pp. 155–162. Available at: https://doi.org/10.5281/zenodo.2552022</w:t>
      </w:r>
      <w:r w:rsidR="003C32F3" w:rsidRPr="00A94B71">
        <w:rPr>
          <w:rFonts w:ascii="Arial" w:hAnsi="Arial" w:cs="Arial"/>
          <w:sz w:val="22"/>
          <w:szCs w:val="22"/>
        </w:rPr>
        <w:t xml:space="preserve"> {accessed online 29/04/24}</w:t>
      </w:r>
    </w:p>
    <w:p w14:paraId="2FC29298" w14:textId="344A9F6A"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Thomas, P. </w:t>
      </w:r>
      <w:r w:rsidRPr="00A94B71">
        <w:rPr>
          <w:rFonts w:ascii="Arial" w:hAnsi="Arial" w:cs="Arial"/>
          <w:b/>
          <w:bCs/>
          <w:sz w:val="22"/>
          <w:szCs w:val="22"/>
        </w:rPr>
        <w:t>(2020)</w:t>
      </w:r>
      <w:r w:rsidRPr="00A94B71">
        <w:rPr>
          <w:rFonts w:ascii="Arial" w:hAnsi="Arial" w:cs="Arial"/>
          <w:i/>
          <w:iCs/>
          <w:sz w:val="22"/>
          <w:szCs w:val="22"/>
        </w:rPr>
        <w:t xml:space="preserve"> Assessing the Assessment: Writing at GCSE</w:t>
      </w:r>
      <w:r w:rsidRPr="00A94B71">
        <w:rPr>
          <w:rFonts w:ascii="Arial" w:hAnsi="Arial" w:cs="Arial"/>
          <w:sz w:val="22"/>
          <w:szCs w:val="22"/>
        </w:rPr>
        <w:t xml:space="preserve">. Available at: https://www.nate.org.uk/wp-content/uploads/2020/04/Assessing-the-Assessment-3-Writing-at-GCSE.pdf </w:t>
      </w:r>
      <w:r w:rsidR="003C32F3" w:rsidRPr="00A94B71">
        <w:rPr>
          <w:rFonts w:ascii="Arial" w:hAnsi="Arial" w:cs="Arial"/>
          <w:sz w:val="22"/>
          <w:szCs w:val="22"/>
        </w:rPr>
        <w:t>{a</w:t>
      </w:r>
      <w:r w:rsidRPr="00A94B71">
        <w:rPr>
          <w:rFonts w:ascii="Arial" w:hAnsi="Arial" w:cs="Arial"/>
          <w:sz w:val="22"/>
          <w:szCs w:val="22"/>
        </w:rPr>
        <w:t>ccessed</w:t>
      </w:r>
      <w:r w:rsidR="003C32F3" w:rsidRPr="00A94B71">
        <w:rPr>
          <w:rFonts w:ascii="Arial" w:hAnsi="Arial" w:cs="Arial"/>
          <w:sz w:val="22"/>
          <w:szCs w:val="22"/>
        </w:rPr>
        <w:t xml:space="preserve"> online</w:t>
      </w:r>
      <w:r w:rsidRPr="00A94B71">
        <w:rPr>
          <w:rFonts w:ascii="Arial" w:hAnsi="Arial" w:cs="Arial"/>
          <w:sz w:val="22"/>
          <w:szCs w:val="22"/>
        </w:rPr>
        <w:t xml:space="preserve"> 28</w:t>
      </w:r>
      <w:r w:rsidR="003C32F3" w:rsidRPr="00A94B71">
        <w:rPr>
          <w:rFonts w:ascii="Arial" w:hAnsi="Arial" w:cs="Arial"/>
          <w:sz w:val="22"/>
          <w:szCs w:val="22"/>
        </w:rPr>
        <w:t>/03/24}</w:t>
      </w:r>
    </w:p>
    <w:p w14:paraId="567EAC2E" w14:textId="6201166B"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lastRenderedPageBreak/>
        <w:t xml:space="preserve">Vygotsky, L.S. </w:t>
      </w:r>
      <w:r w:rsidRPr="00A94B71">
        <w:rPr>
          <w:rFonts w:ascii="Arial" w:hAnsi="Arial" w:cs="Arial"/>
          <w:b/>
          <w:bCs/>
          <w:sz w:val="22"/>
          <w:szCs w:val="22"/>
        </w:rPr>
        <w:t xml:space="preserve">(1978) </w:t>
      </w:r>
      <w:r w:rsidRPr="00A94B71">
        <w:rPr>
          <w:rFonts w:ascii="Arial" w:hAnsi="Arial" w:cs="Arial"/>
          <w:i/>
          <w:iCs/>
          <w:sz w:val="22"/>
          <w:szCs w:val="22"/>
        </w:rPr>
        <w:t xml:space="preserve">Mind in </w:t>
      </w:r>
      <w:r w:rsidR="00E94B95" w:rsidRPr="00A94B71">
        <w:rPr>
          <w:rFonts w:ascii="Arial" w:hAnsi="Arial" w:cs="Arial"/>
          <w:i/>
          <w:iCs/>
          <w:sz w:val="22"/>
          <w:szCs w:val="22"/>
        </w:rPr>
        <w:t>society:</w:t>
      </w:r>
      <w:r w:rsidRPr="00A94B71">
        <w:rPr>
          <w:rFonts w:ascii="Arial" w:hAnsi="Arial" w:cs="Arial"/>
          <w:i/>
          <w:iCs/>
          <w:sz w:val="22"/>
          <w:szCs w:val="22"/>
        </w:rPr>
        <w:t xml:space="preserve"> the development of higher psychological processes.</w:t>
      </w:r>
      <w:r w:rsidRPr="00A94B71">
        <w:rPr>
          <w:rFonts w:ascii="Arial" w:hAnsi="Arial" w:cs="Arial"/>
          <w:sz w:val="22"/>
          <w:szCs w:val="22"/>
        </w:rPr>
        <w:t xml:space="preserve"> Cambridge: Harvard University Press.</w:t>
      </w:r>
    </w:p>
    <w:p w14:paraId="54A04E2E" w14:textId="24B2756E"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Welsh Government </w:t>
      </w:r>
      <w:r w:rsidRPr="00A94B71">
        <w:rPr>
          <w:rFonts w:ascii="Arial" w:hAnsi="Arial" w:cs="Arial"/>
          <w:b/>
          <w:bCs/>
          <w:sz w:val="22"/>
          <w:szCs w:val="22"/>
        </w:rPr>
        <w:t>(2019)</w:t>
      </w:r>
      <w:r w:rsidRPr="00A94B71">
        <w:rPr>
          <w:rFonts w:ascii="Arial" w:hAnsi="Arial" w:cs="Arial"/>
          <w:sz w:val="22"/>
          <w:szCs w:val="22"/>
        </w:rPr>
        <w:t xml:space="preserve"> </w:t>
      </w:r>
      <w:r w:rsidRPr="00A94B71">
        <w:rPr>
          <w:rFonts w:ascii="Arial" w:hAnsi="Arial" w:cs="Arial"/>
          <w:i/>
          <w:iCs/>
          <w:sz w:val="22"/>
          <w:szCs w:val="22"/>
        </w:rPr>
        <w:t>Professional Standards for Teaching and Leadership</w:t>
      </w:r>
      <w:r w:rsidRPr="00A94B71">
        <w:rPr>
          <w:rFonts w:ascii="Arial" w:hAnsi="Arial" w:cs="Arial"/>
          <w:sz w:val="22"/>
          <w:szCs w:val="22"/>
        </w:rPr>
        <w:t xml:space="preserve">, </w:t>
      </w:r>
      <w:r w:rsidRPr="00A94B71">
        <w:rPr>
          <w:rFonts w:ascii="Arial" w:hAnsi="Arial" w:cs="Arial"/>
          <w:i/>
          <w:iCs/>
          <w:sz w:val="22"/>
          <w:szCs w:val="22"/>
        </w:rPr>
        <w:t>Hwb</w:t>
      </w:r>
      <w:r w:rsidRPr="00A94B71">
        <w:rPr>
          <w:rFonts w:ascii="Arial" w:hAnsi="Arial" w:cs="Arial"/>
          <w:sz w:val="22"/>
          <w:szCs w:val="22"/>
        </w:rPr>
        <w:t>. Available at: https://hwb.gov.wales/api/storage/19bc948b-8a3f-41e0-944a-7bf2cadf7d18/professional-standards-for-teaching-and-leadership-interactive-pdf-for-pc.pdf.</w:t>
      </w:r>
      <w:r w:rsidR="003C32F3" w:rsidRPr="00A94B71">
        <w:rPr>
          <w:rFonts w:ascii="Arial" w:hAnsi="Arial" w:cs="Arial"/>
          <w:sz w:val="22"/>
          <w:szCs w:val="22"/>
        </w:rPr>
        <w:t xml:space="preserve"> {accessed online 01/12/23}</w:t>
      </w:r>
    </w:p>
    <w:p w14:paraId="24E42303" w14:textId="7BC400F6"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Welsh Government. </w:t>
      </w:r>
      <w:r w:rsidRPr="00A94B71">
        <w:rPr>
          <w:rFonts w:ascii="Arial" w:hAnsi="Arial" w:cs="Arial"/>
          <w:b/>
          <w:bCs/>
          <w:sz w:val="22"/>
          <w:szCs w:val="22"/>
        </w:rPr>
        <w:t>(2023)</w:t>
      </w:r>
      <w:r w:rsidRPr="00A94B71">
        <w:rPr>
          <w:rFonts w:ascii="Arial" w:hAnsi="Arial" w:cs="Arial"/>
          <w:sz w:val="22"/>
          <w:szCs w:val="22"/>
        </w:rPr>
        <w:t xml:space="preserve"> </w:t>
      </w:r>
      <w:r w:rsidRPr="00A94B71">
        <w:rPr>
          <w:rFonts w:ascii="Arial" w:hAnsi="Arial" w:cs="Arial"/>
          <w:i/>
          <w:iCs/>
          <w:sz w:val="22"/>
          <w:szCs w:val="22"/>
        </w:rPr>
        <w:t>Our National Mission,</w:t>
      </w:r>
      <w:r w:rsidRPr="00A94B71">
        <w:rPr>
          <w:rFonts w:ascii="Arial" w:hAnsi="Arial" w:cs="Arial"/>
          <w:sz w:val="22"/>
          <w:szCs w:val="22"/>
        </w:rPr>
        <w:t xml:space="preserve"> GOV.WALES. Available at: https://www.gov.wales/our-national-mission. {accessed online 16/02/24} </w:t>
      </w:r>
    </w:p>
    <w:p w14:paraId="5F1FFDEF" w14:textId="000587EF"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WJEC </w:t>
      </w:r>
      <w:r w:rsidRPr="00A94B71">
        <w:rPr>
          <w:rFonts w:ascii="Arial" w:hAnsi="Arial" w:cs="Arial"/>
          <w:b/>
          <w:bCs/>
          <w:sz w:val="22"/>
          <w:szCs w:val="22"/>
        </w:rPr>
        <w:t>(2024)</w:t>
      </w:r>
      <w:r w:rsidRPr="00A94B71">
        <w:rPr>
          <w:rFonts w:ascii="Arial" w:hAnsi="Arial" w:cs="Arial"/>
          <w:sz w:val="22"/>
          <w:szCs w:val="22"/>
        </w:rPr>
        <w:t xml:space="preserve"> </w:t>
      </w:r>
      <w:r w:rsidRPr="00A94B71">
        <w:rPr>
          <w:rFonts w:ascii="Arial" w:hAnsi="Arial" w:cs="Arial"/>
          <w:i/>
          <w:iCs/>
          <w:sz w:val="22"/>
          <w:szCs w:val="22"/>
        </w:rPr>
        <w:t xml:space="preserve">GCSE WJEC GCSE </w:t>
      </w:r>
      <w:r w:rsidR="003C32F3" w:rsidRPr="00A94B71">
        <w:rPr>
          <w:rFonts w:ascii="Arial" w:hAnsi="Arial" w:cs="Arial"/>
          <w:i/>
          <w:iCs/>
          <w:sz w:val="22"/>
          <w:szCs w:val="22"/>
        </w:rPr>
        <w:t xml:space="preserve">In </w:t>
      </w:r>
      <w:r w:rsidRPr="00A94B71">
        <w:rPr>
          <w:rFonts w:ascii="Arial" w:hAnsi="Arial" w:cs="Arial"/>
          <w:i/>
          <w:iCs/>
          <w:sz w:val="22"/>
          <w:szCs w:val="22"/>
        </w:rPr>
        <w:t>DRAMA APPROVED BY QUALIFICATIONS WALES SPECIFICATION</w:t>
      </w:r>
      <w:r w:rsidR="003C32F3" w:rsidRPr="00A94B71">
        <w:rPr>
          <w:rFonts w:ascii="Arial" w:hAnsi="Arial" w:cs="Arial"/>
          <w:sz w:val="22"/>
          <w:szCs w:val="22"/>
        </w:rPr>
        <w:t xml:space="preserve">. </w:t>
      </w:r>
      <w:r w:rsidRPr="00A94B71">
        <w:rPr>
          <w:rFonts w:ascii="Arial" w:hAnsi="Arial" w:cs="Arial"/>
          <w:sz w:val="22"/>
          <w:szCs w:val="22"/>
        </w:rPr>
        <w:t xml:space="preserve">Available at: https://www.wjec.co.uk/media/pdjj3ank/wjec-gcse-drama-spec-from-2016-e-07-09-23.pdf </w:t>
      </w:r>
      <w:r w:rsidR="003C32F3" w:rsidRPr="00A94B71">
        <w:rPr>
          <w:rFonts w:ascii="Arial" w:hAnsi="Arial" w:cs="Arial"/>
          <w:sz w:val="22"/>
          <w:szCs w:val="22"/>
        </w:rPr>
        <w:t>{a</w:t>
      </w:r>
      <w:r w:rsidRPr="00A94B71">
        <w:rPr>
          <w:rFonts w:ascii="Arial" w:hAnsi="Arial" w:cs="Arial"/>
          <w:sz w:val="22"/>
          <w:szCs w:val="22"/>
        </w:rPr>
        <w:t>ccessed</w:t>
      </w:r>
      <w:r w:rsidR="003C32F3" w:rsidRPr="00A94B71">
        <w:rPr>
          <w:rFonts w:ascii="Arial" w:hAnsi="Arial" w:cs="Arial"/>
          <w:sz w:val="22"/>
          <w:szCs w:val="22"/>
        </w:rPr>
        <w:t xml:space="preserve"> online </w:t>
      </w:r>
      <w:r w:rsidRPr="00A94B71">
        <w:rPr>
          <w:rFonts w:ascii="Arial" w:hAnsi="Arial" w:cs="Arial"/>
          <w:sz w:val="22"/>
          <w:szCs w:val="22"/>
        </w:rPr>
        <w:t>28</w:t>
      </w:r>
      <w:r w:rsidR="003C32F3" w:rsidRPr="00A94B71">
        <w:rPr>
          <w:rFonts w:ascii="Arial" w:hAnsi="Arial" w:cs="Arial"/>
          <w:sz w:val="22"/>
          <w:szCs w:val="22"/>
        </w:rPr>
        <w:t>/03/</w:t>
      </w:r>
      <w:r w:rsidRPr="00A94B71">
        <w:rPr>
          <w:rFonts w:ascii="Arial" w:hAnsi="Arial" w:cs="Arial"/>
          <w:sz w:val="22"/>
          <w:szCs w:val="22"/>
        </w:rPr>
        <w:t>24</w:t>
      </w:r>
      <w:r w:rsidR="003C32F3" w:rsidRPr="00A94B71">
        <w:rPr>
          <w:rFonts w:ascii="Arial" w:hAnsi="Arial" w:cs="Arial"/>
          <w:sz w:val="22"/>
          <w:szCs w:val="22"/>
        </w:rPr>
        <w:t>}</w:t>
      </w:r>
    </w:p>
    <w:p w14:paraId="695D9D7A" w14:textId="77777777"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Wood, D., Bruner, J.S. and Ross, G. </w:t>
      </w:r>
      <w:r w:rsidRPr="00A94B71">
        <w:rPr>
          <w:rFonts w:ascii="Arial" w:hAnsi="Arial" w:cs="Arial"/>
          <w:b/>
          <w:bCs/>
          <w:sz w:val="22"/>
          <w:szCs w:val="22"/>
        </w:rPr>
        <w:t>(1976)</w:t>
      </w:r>
      <w:r w:rsidRPr="00A94B71">
        <w:rPr>
          <w:rFonts w:ascii="Arial" w:hAnsi="Arial" w:cs="Arial"/>
          <w:sz w:val="22"/>
          <w:szCs w:val="22"/>
        </w:rPr>
        <w:t xml:space="preserve"> </w:t>
      </w:r>
      <w:r w:rsidRPr="00A94B71">
        <w:rPr>
          <w:rFonts w:ascii="Arial" w:hAnsi="Arial" w:cs="Arial"/>
          <w:i/>
          <w:iCs/>
          <w:sz w:val="22"/>
          <w:szCs w:val="22"/>
        </w:rPr>
        <w:t>‘The Role of Tutoring in Problem Solving’</w:t>
      </w:r>
      <w:r w:rsidRPr="00A94B71">
        <w:rPr>
          <w:rFonts w:ascii="Arial" w:hAnsi="Arial" w:cs="Arial"/>
          <w:sz w:val="22"/>
          <w:szCs w:val="22"/>
        </w:rPr>
        <w:t>, Journal of Child Psychology and Psychiatry, 17(2), pp. 89–100.</w:t>
      </w:r>
    </w:p>
    <w:p w14:paraId="476F417D" w14:textId="77777777"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Xu, W. and Zammit, K. </w:t>
      </w:r>
      <w:r w:rsidRPr="00A94B71">
        <w:rPr>
          <w:rFonts w:ascii="Arial" w:hAnsi="Arial" w:cs="Arial"/>
          <w:b/>
          <w:bCs/>
          <w:sz w:val="22"/>
          <w:szCs w:val="22"/>
        </w:rPr>
        <w:t>(2020)</w:t>
      </w:r>
      <w:r w:rsidRPr="00A94B71">
        <w:rPr>
          <w:rFonts w:ascii="Arial" w:hAnsi="Arial" w:cs="Arial"/>
          <w:sz w:val="22"/>
          <w:szCs w:val="22"/>
        </w:rPr>
        <w:t xml:space="preserve"> ‘</w:t>
      </w:r>
      <w:r w:rsidRPr="00A94B71">
        <w:rPr>
          <w:rFonts w:ascii="Arial" w:hAnsi="Arial" w:cs="Arial"/>
          <w:i/>
          <w:iCs/>
          <w:sz w:val="22"/>
          <w:szCs w:val="22"/>
        </w:rPr>
        <w:t>Applying Thematic Analysis to Education: A Hybrid Approach to Interpreting Data in Practitioner Research’</w:t>
      </w:r>
      <w:r w:rsidRPr="00A94B71">
        <w:rPr>
          <w:rFonts w:ascii="Arial" w:hAnsi="Arial" w:cs="Arial"/>
          <w:sz w:val="22"/>
          <w:szCs w:val="22"/>
        </w:rPr>
        <w:t>, International Journal of Qualitative Methods, 19(2), pp. 1–9.</w:t>
      </w:r>
    </w:p>
    <w:p w14:paraId="12302F08" w14:textId="1F39D611"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Yazan, B. </w:t>
      </w:r>
      <w:r w:rsidRPr="00A94B71">
        <w:rPr>
          <w:rFonts w:ascii="Arial" w:hAnsi="Arial" w:cs="Arial"/>
          <w:b/>
          <w:bCs/>
          <w:sz w:val="22"/>
          <w:szCs w:val="22"/>
        </w:rPr>
        <w:t>(2015)</w:t>
      </w:r>
      <w:r w:rsidRPr="00A94B71">
        <w:rPr>
          <w:rFonts w:ascii="Arial" w:hAnsi="Arial" w:cs="Arial"/>
          <w:sz w:val="22"/>
          <w:szCs w:val="22"/>
        </w:rPr>
        <w:t xml:space="preserve"> ‘</w:t>
      </w:r>
      <w:r w:rsidRPr="00A94B71">
        <w:rPr>
          <w:rFonts w:ascii="Arial" w:hAnsi="Arial" w:cs="Arial"/>
          <w:i/>
          <w:iCs/>
          <w:sz w:val="22"/>
          <w:szCs w:val="22"/>
        </w:rPr>
        <w:t>Three Approaches to Case Study Methods in Education: Yin, Merriam, and Stake’,</w:t>
      </w:r>
      <w:r w:rsidRPr="00A94B71">
        <w:rPr>
          <w:rFonts w:ascii="Arial" w:hAnsi="Arial" w:cs="Arial"/>
          <w:sz w:val="22"/>
          <w:szCs w:val="22"/>
        </w:rPr>
        <w:t xml:space="preserve"> The Qualitative Report, 20(2), pp. 134–152. Available at: https://doi.org/10.46743/2160-3715/2015.2102</w:t>
      </w:r>
      <w:r w:rsidR="003C32F3" w:rsidRPr="00A94B71">
        <w:rPr>
          <w:rFonts w:ascii="Arial" w:hAnsi="Arial" w:cs="Arial"/>
          <w:sz w:val="22"/>
          <w:szCs w:val="22"/>
        </w:rPr>
        <w:t xml:space="preserve"> 29/04/24}</w:t>
      </w:r>
    </w:p>
    <w:p w14:paraId="5D88F87B" w14:textId="413401FC" w:rsidR="00ED10BC" w:rsidRPr="00A94B71" w:rsidRDefault="00ED10BC" w:rsidP="00A94B71">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Yin, R.K. </w:t>
      </w:r>
      <w:r w:rsidRPr="00A94B71">
        <w:rPr>
          <w:rFonts w:ascii="Arial" w:hAnsi="Arial" w:cs="Arial"/>
          <w:b/>
          <w:bCs/>
          <w:sz w:val="22"/>
          <w:szCs w:val="22"/>
        </w:rPr>
        <w:t xml:space="preserve">(2012) </w:t>
      </w:r>
      <w:r w:rsidRPr="00A94B71">
        <w:rPr>
          <w:rFonts w:ascii="Arial" w:hAnsi="Arial" w:cs="Arial"/>
          <w:i/>
          <w:iCs/>
          <w:sz w:val="22"/>
          <w:szCs w:val="22"/>
        </w:rPr>
        <w:t>‘Case Study Methods’</w:t>
      </w:r>
      <w:r w:rsidRPr="00A94B71">
        <w:rPr>
          <w:rFonts w:ascii="Arial" w:hAnsi="Arial" w:cs="Arial"/>
          <w:sz w:val="22"/>
          <w:szCs w:val="22"/>
        </w:rPr>
        <w:t xml:space="preserve">, in Handbook of Complementary Methods in Education Research. Routledge. Available at: https://www.taylorfrancis.com/chapters/edit/10.4324/9780203874769-8/case-study-methods-robert-yin-christopher-clarke-bridget-cotner-reginald-lee </w:t>
      </w:r>
      <w:r w:rsidR="003C32F3" w:rsidRPr="00A94B71">
        <w:rPr>
          <w:rFonts w:ascii="Arial" w:hAnsi="Arial" w:cs="Arial"/>
          <w:sz w:val="22"/>
          <w:szCs w:val="22"/>
        </w:rPr>
        <w:t>{</w:t>
      </w:r>
      <w:r w:rsidRPr="00A94B71">
        <w:rPr>
          <w:rFonts w:ascii="Arial" w:hAnsi="Arial" w:cs="Arial"/>
          <w:sz w:val="22"/>
          <w:szCs w:val="22"/>
        </w:rPr>
        <w:t>Accessed</w:t>
      </w:r>
      <w:r w:rsidR="003C32F3" w:rsidRPr="00A94B71">
        <w:rPr>
          <w:rFonts w:ascii="Arial" w:hAnsi="Arial" w:cs="Arial"/>
          <w:sz w:val="22"/>
          <w:szCs w:val="22"/>
        </w:rPr>
        <w:t xml:space="preserve"> online 28/04/23}</w:t>
      </w:r>
    </w:p>
    <w:p w14:paraId="27783839" w14:textId="23BE7E1F" w:rsidR="00C816EB" w:rsidRPr="00F710B2" w:rsidRDefault="00ED10BC" w:rsidP="00AF29C6">
      <w:pPr>
        <w:pStyle w:val="NormalWeb"/>
        <w:spacing w:before="0" w:beforeAutospacing="0" w:after="240" w:afterAutospacing="0" w:line="360" w:lineRule="auto"/>
        <w:rPr>
          <w:rFonts w:ascii="Arial" w:hAnsi="Arial" w:cs="Arial"/>
          <w:sz w:val="22"/>
          <w:szCs w:val="22"/>
        </w:rPr>
      </w:pPr>
      <w:r w:rsidRPr="00A94B71">
        <w:rPr>
          <w:rFonts w:ascii="Arial" w:hAnsi="Arial" w:cs="Arial"/>
          <w:sz w:val="22"/>
          <w:szCs w:val="22"/>
        </w:rPr>
        <w:t xml:space="preserve">Yin, R.K. </w:t>
      </w:r>
      <w:r w:rsidRPr="00A94B71">
        <w:rPr>
          <w:rFonts w:ascii="Arial" w:hAnsi="Arial" w:cs="Arial"/>
          <w:b/>
          <w:bCs/>
          <w:sz w:val="22"/>
          <w:szCs w:val="22"/>
        </w:rPr>
        <w:t>(2018)</w:t>
      </w:r>
      <w:r w:rsidRPr="00A94B71">
        <w:rPr>
          <w:rFonts w:ascii="Arial" w:hAnsi="Arial" w:cs="Arial"/>
          <w:sz w:val="22"/>
          <w:szCs w:val="22"/>
        </w:rPr>
        <w:t xml:space="preserve"> </w:t>
      </w:r>
      <w:r w:rsidRPr="00A94B71">
        <w:rPr>
          <w:rFonts w:ascii="Arial" w:hAnsi="Arial" w:cs="Arial"/>
          <w:i/>
          <w:iCs/>
          <w:sz w:val="22"/>
          <w:szCs w:val="22"/>
        </w:rPr>
        <w:t>Case Study Research and Applications: Design and Methods</w:t>
      </w:r>
      <w:r w:rsidRPr="00A94B71">
        <w:rPr>
          <w:rFonts w:ascii="Arial" w:hAnsi="Arial" w:cs="Arial"/>
          <w:sz w:val="22"/>
          <w:szCs w:val="22"/>
        </w:rPr>
        <w:t>. 6th edn. Thousand Oaks, California: Sage Publications.</w:t>
      </w:r>
    </w:p>
    <w:sectPr w:rsidR="00C816EB" w:rsidRPr="00F710B2" w:rsidSect="00417521">
      <w:pgSz w:w="11906" w:h="16838"/>
      <w:pgMar w:top="851" w:right="851" w:bottom="851" w:left="85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604"/>
    <w:rsid w:val="00013A90"/>
    <w:rsid w:val="000358F9"/>
    <w:rsid w:val="0005762A"/>
    <w:rsid w:val="001638DD"/>
    <w:rsid w:val="0027134C"/>
    <w:rsid w:val="00293E0A"/>
    <w:rsid w:val="00295C9D"/>
    <w:rsid w:val="002E22A4"/>
    <w:rsid w:val="00376045"/>
    <w:rsid w:val="003C32F3"/>
    <w:rsid w:val="00417521"/>
    <w:rsid w:val="0042515C"/>
    <w:rsid w:val="004A0604"/>
    <w:rsid w:val="004C2183"/>
    <w:rsid w:val="00520312"/>
    <w:rsid w:val="00541814"/>
    <w:rsid w:val="0063500D"/>
    <w:rsid w:val="0078105B"/>
    <w:rsid w:val="008D2FFC"/>
    <w:rsid w:val="009206B2"/>
    <w:rsid w:val="00953996"/>
    <w:rsid w:val="009D0E76"/>
    <w:rsid w:val="00A94B71"/>
    <w:rsid w:val="00AB366F"/>
    <w:rsid w:val="00AF29C6"/>
    <w:rsid w:val="00B059F4"/>
    <w:rsid w:val="00B33F71"/>
    <w:rsid w:val="00B5247F"/>
    <w:rsid w:val="00BC474F"/>
    <w:rsid w:val="00C54BD1"/>
    <w:rsid w:val="00C816EB"/>
    <w:rsid w:val="00CE376C"/>
    <w:rsid w:val="00D44F4E"/>
    <w:rsid w:val="00D6473C"/>
    <w:rsid w:val="00D653DE"/>
    <w:rsid w:val="00E54BF9"/>
    <w:rsid w:val="00E94B95"/>
    <w:rsid w:val="00ED10BC"/>
    <w:rsid w:val="00ED2464"/>
    <w:rsid w:val="00F710B2"/>
    <w:rsid w:val="00FB19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955A2"/>
  <w15:docId w15:val="{1883425F-5510-BE44-AFDD-395643F4E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0604"/>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4A06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06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06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06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06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060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060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060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060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06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06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06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06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06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06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06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06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0604"/>
    <w:rPr>
      <w:rFonts w:eastAsiaTheme="majorEastAsia" w:cstheme="majorBidi"/>
      <w:color w:val="272727" w:themeColor="text1" w:themeTint="D8"/>
    </w:rPr>
  </w:style>
  <w:style w:type="paragraph" w:styleId="Title">
    <w:name w:val="Title"/>
    <w:basedOn w:val="Normal"/>
    <w:next w:val="Normal"/>
    <w:link w:val="TitleChar"/>
    <w:uiPriority w:val="10"/>
    <w:qFormat/>
    <w:rsid w:val="004A060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06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06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06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0604"/>
    <w:pPr>
      <w:spacing w:before="160"/>
      <w:jc w:val="center"/>
    </w:pPr>
    <w:rPr>
      <w:i/>
      <w:iCs/>
      <w:color w:val="404040" w:themeColor="text1" w:themeTint="BF"/>
    </w:rPr>
  </w:style>
  <w:style w:type="character" w:customStyle="1" w:styleId="QuoteChar">
    <w:name w:val="Quote Char"/>
    <w:basedOn w:val="DefaultParagraphFont"/>
    <w:link w:val="Quote"/>
    <w:uiPriority w:val="29"/>
    <w:rsid w:val="004A0604"/>
    <w:rPr>
      <w:i/>
      <w:iCs/>
      <w:color w:val="404040" w:themeColor="text1" w:themeTint="BF"/>
    </w:rPr>
  </w:style>
  <w:style w:type="paragraph" w:styleId="ListParagraph">
    <w:name w:val="List Paragraph"/>
    <w:basedOn w:val="Normal"/>
    <w:uiPriority w:val="34"/>
    <w:qFormat/>
    <w:rsid w:val="004A0604"/>
    <w:pPr>
      <w:ind w:left="720"/>
      <w:contextualSpacing/>
    </w:pPr>
  </w:style>
  <w:style w:type="character" w:styleId="IntenseEmphasis">
    <w:name w:val="Intense Emphasis"/>
    <w:basedOn w:val="DefaultParagraphFont"/>
    <w:uiPriority w:val="21"/>
    <w:qFormat/>
    <w:rsid w:val="004A0604"/>
    <w:rPr>
      <w:i/>
      <w:iCs/>
      <w:color w:val="0F4761" w:themeColor="accent1" w:themeShade="BF"/>
    </w:rPr>
  </w:style>
  <w:style w:type="paragraph" w:styleId="IntenseQuote">
    <w:name w:val="Intense Quote"/>
    <w:basedOn w:val="Normal"/>
    <w:next w:val="Normal"/>
    <w:link w:val="IntenseQuoteChar"/>
    <w:uiPriority w:val="30"/>
    <w:qFormat/>
    <w:rsid w:val="004A06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0604"/>
    <w:rPr>
      <w:i/>
      <w:iCs/>
      <w:color w:val="0F4761" w:themeColor="accent1" w:themeShade="BF"/>
    </w:rPr>
  </w:style>
  <w:style w:type="character" w:styleId="IntenseReference">
    <w:name w:val="Intense Reference"/>
    <w:basedOn w:val="DefaultParagraphFont"/>
    <w:uiPriority w:val="32"/>
    <w:qFormat/>
    <w:rsid w:val="004A0604"/>
    <w:rPr>
      <w:b/>
      <w:bCs/>
      <w:smallCaps/>
      <w:color w:val="0F4761" w:themeColor="accent1" w:themeShade="BF"/>
      <w:spacing w:val="5"/>
    </w:rPr>
  </w:style>
  <w:style w:type="paragraph" w:customStyle="1" w:styleId="BodyA">
    <w:name w:val="Body A"/>
    <w:rsid w:val="004A0604"/>
    <w:pPr>
      <w:pBdr>
        <w:top w:val="nil"/>
        <w:left w:val="nil"/>
        <w:bottom w:val="nil"/>
        <w:right w:val="nil"/>
        <w:between w:val="nil"/>
        <w:bar w:val="nil"/>
      </w:pBdr>
      <w:spacing w:line="259" w:lineRule="auto"/>
    </w:pPr>
    <w:rPr>
      <w:rFonts w:ascii="Calibri" w:eastAsia="Arial Unicode MS" w:hAnsi="Calibri" w:cs="Arial Unicode MS"/>
      <w:color w:val="000000"/>
      <w:kern w:val="0"/>
      <w:sz w:val="22"/>
      <w:szCs w:val="22"/>
      <w:u w:color="000000"/>
      <w:bdr w:val="nil"/>
      <w:lang w:val="en-US" w:eastAsia="en-GB"/>
      <w14:textOutline w14:w="12700" w14:cap="flat" w14:cmpd="sng" w14:algn="ctr">
        <w14:noFill/>
        <w14:prstDash w14:val="solid"/>
        <w14:miter w14:lim="400000"/>
      </w14:textOutline>
      <w14:ligatures w14:val="none"/>
    </w:rPr>
  </w:style>
  <w:style w:type="paragraph" w:styleId="NormalWeb">
    <w:name w:val="Normal (Web)"/>
    <w:basedOn w:val="Normal"/>
    <w:uiPriority w:val="99"/>
    <w:unhideWhenUsed/>
    <w:rsid w:val="00FB1908"/>
    <w:pPr>
      <w:spacing w:before="100" w:beforeAutospacing="1" w:after="100" w:afterAutospacing="1"/>
    </w:pPr>
  </w:style>
  <w:style w:type="character" w:styleId="Hyperlink">
    <w:name w:val="Hyperlink"/>
    <w:basedOn w:val="DefaultParagraphFont"/>
    <w:uiPriority w:val="99"/>
    <w:unhideWhenUsed/>
    <w:rsid w:val="00ED10BC"/>
    <w:rPr>
      <w:color w:val="467886" w:themeColor="hyperlink"/>
      <w:u w:val="single"/>
    </w:rPr>
  </w:style>
  <w:style w:type="character" w:styleId="UnresolvedMention">
    <w:name w:val="Unresolved Mention"/>
    <w:basedOn w:val="DefaultParagraphFont"/>
    <w:uiPriority w:val="99"/>
    <w:semiHidden/>
    <w:unhideWhenUsed/>
    <w:rsid w:val="00ED10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104381">
      <w:bodyDiv w:val="1"/>
      <w:marLeft w:val="0"/>
      <w:marRight w:val="0"/>
      <w:marTop w:val="0"/>
      <w:marBottom w:val="0"/>
      <w:divBdr>
        <w:top w:val="none" w:sz="0" w:space="0" w:color="auto"/>
        <w:left w:val="none" w:sz="0" w:space="0" w:color="auto"/>
        <w:bottom w:val="none" w:sz="0" w:space="0" w:color="auto"/>
        <w:right w:val="none" w:sz="0" w:space="0" w:color="auto"/>
      </w:divBdr>
      <w:divsChild>
        <w:div w:id="1220358858">
          <w:marLeft w:val="0"/>
          <w:marRight w:val="0"/>
          <w:marTop w:val="0"/>
          <w:marBottom w:val="0"/>
          <w:divBdr>
            <w:top w:val="none" w:sz="0" w:space="0" w:color="auto"/>
            <w:left w:val="none" w:sz="0" w:space="0" w:color="auto"/>
            <w:bottom w:val="none" w:sz="0" w:space="0" w:color="auto"/>
            <w:right w:val="none" w:sz="0" w:space="0" w:color="auto"/>
          </w:divBdr>
        </w:div>
      </w:divsChild>
    </w:div>
    <w:div w:id="608705009">
      <w:bodyDiv w:val="1"/>
      <w:marLeft w:val="0"/>
      <w:marRight w:val="0"/>
      <w:marTop w:val="0"/>
      <w:marBottom w:val="0"/>
      <w:divBdr>
        <w:top w:val="none" w:sz="0" w:space="0" w:color="auto"/>
        <w:left w:val="none" w:sz="0" w:space="0" w:color="auto"/>
        <w:bottom w:val="none" w:sz="0" w:space="0" w:color="auto"/>
        <w:right w:val="none" w:sz="0" w:space="0" w:color="auto"/>
      </w:divBdr>
      <w:divsChild>
        <w:div w:id="109058244">
          <w:marLeft w:val="0"/>
          <w:marRight w:val="0"/>
          <w:marTop w:val="0"/>
          <w:marBottom w:val="0"/>
          <w:divBdr>
            <w:top w:val="none" w:sz="0" w:space="0" w:color="auto"/>
            <w:left w:val="none" w:sz="0" w:space="0" w:color="auto"/>
            <w:bottom w:val="none" w:sz="0" w:space="0" w:color="auto"/>
            <w:right w:val="none" w:sz="0" w:space="0" w:color="auto"/>
          </w:divBdr>
        </w:div>
      </w:divsChild>
    </w:div>
    <w:div w:id="942112453">
      <w:bodyDiv w:val="1"/>
      <w:marLeft w:val="0"/>
      <w:marRight w:val="0"/>
      <w:marTop w:val="0"/>
      <w:marBottom w:val="0"/>
      <w:divBdr>
        <w:top w:val="none" w:sz="0" w:space="0" w:color="auto"/>
        <w:left w:val="none" w:sz="0" w:space="0" w:color="auto"/>
        <w:bottom w:val="none" w:sz="0" w:space="0" w:color="auto"/>
        <w:right w:val="none" w:sz="0" w:space="0" w:color="auto"/>
      </w:divBdr>
      <w:divsChild>
        <w:div w:id="43359841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185</TotalTime>
  <Pages>19</Pages>
  <Words>7038</Words>
  <Characters>40121</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Awen Jones</dc:creator>
  <cp:keywords/>
  <dc:description/>
  <cp:lastModifiedBy>Awen Jones</cp:lastModifiedBy>
  <cp:revision>10</cp:revision>
  <dcterms:created xsi:type="dcterms:W3CDTF">2024-05-03T17:40:00Z</dcterms:created>
  <dcterms:modified xsi:type="dcterms:W3CDTF">2024-05-06T09:30:00Z</dcterms:modified>
</cp:coreProperties>
</file>