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9393" w14:textId="183F6E1C" w:rsidR="007262CE" w:rsidRPr="007262CE" w:rsidRDefault="00EA4E60" w:rsidP="007262CE">
      <w:pPr>
        <w:rPr>
          <w:b/>
          <w:bCs/>
        </w:rPr>
      </w:pPr>
      <w:r>
        <w:rPr>
          <w:b/>
          <w:bCs/>
        </w:rPr>
        <w:br/>
      </w:r>
      <w:r w:rsidRPr="007262CE">
        <w:rPr>
          <w:b/>
          <w:bCs/>
        </w:rPr>
        <w:t>Summary of Learning and Professional Development</w:t>
      </w:r>
      <w:r>
        <w:rPr>
          <w:b/>
          <w:bCs/>
        </w:rPr>
        <w:br/>
        <w:t xml:space="preserve">Page 1 – Index Page </w:t>
      </w:r>
      <w:r>
        <w:rPr>
          <w:b/>
          <w:bCs/>
        </w:rPr>
        <w:br/>
      </w:r>
      <w:proofErr w:type="spellStart"/>
      <w:r>
        <w:rPr>
          <w:b/>
          <w:bCs/>
        </w:rPr>
        <w:t>Page</w:t>
      </w:r>
      <w:proofErr w:type="spellEnd"/>
      <w:r>
        <w:rPr>
          <w:b/>
          <w:bCs/>
        </w:rPr>
        <w:t xml:space="preserve"> 2 – 4 – Summary of my own learning </w:t>
      </w:r>
      <w:r>
        <w:rPr>
          <w:b/>
          <w:bCs/>
        </w:rPr>
        <w:br/>
        <w:t>Page 5 – Reference List</w:t>
      </w:r>
      <w:r>
        <w:rPr>
          <w:b/>
          <w:bCs/>
        </w:rPr>
        <w:br/>
        <w:t xml:space="preserve">Page 6 – Appendix </w:t>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lastRenderedPageBreak/>
        <w:br/>
      </w:r>
      <w:r w:rsidR="007262CE" w:rsidRPr="007262CE">
        <w:rPr>
          <w:b/>
          <w:bCs/>
        </w:rPr>
        <w:t>Summary of Learning and Professional Development</w:t>
      </w:r>
    </w:p>
    <w:p w14:paraId="485B598D" w14:textId="77777777" w:rsidR="007262CE" w:rsidRPr="007262CE" w:rsidRDefault="007262CE" w:rsidP="007262CE">
      <w:r w:rsidRPr="007262CE">
        <w:t xml:space="preserve">This summary reflects on the learning and professional development gained through the successful completion of 400 hours on placement with the Post-16 Youth Service, Carmarthenshire County Council, based at Dr Mz’s drop-in service. The placement provided an opportunity to engage in statutory youth work practice, apply theoretical knowledge to real-world contexts, and critically reflect on my skills, confidence and professional identity. This learning is underpinned by youth work theory, the Youth Work National Occupational Standards (NOS) and examples drawn from my reflective </w:t>
      </w:r>
      <w:proofErr w:type="gramStart"/>
      <w:r w:rsidRPr="007262CE">
        <w:t>journals, and</w:t>
      </w:r>
      <w:proofErr w:type="gramEnd"/>
      <w:r w:rsidRPr="007262CE">
        <w:t xml:space="preserve"> is directly linked to my ongoing Professional Development Plan (PDP).</w:t>
      </w:r>
    </w:p>
    <w:p w14:paraId="73874678" w14:textId="5FA9D553" w:rsidR="007262CE" w:rsidRPr="007262CE" w:rsidRDefault="007262CE" w:rsidP="007262CE">
      <w:r w:rsidRPr="007262CE">
        <w:t>A significant area of learning was developing an understanding of statutory youth work</w:t>
      </w:r>
      <w:r w:rsidRPr="007262CE">
        <w:rPr>
          <w:b/>
          <w:bCs/>
        </w:rPr>
        <w:t xml:space="preserve"> </w:t>
      </w:r>
      <w:r w:rsidRPr="007262CE">
        <w:t>practice within a local authority context. Working within Carmarthenshire County Council highlighted the importance of accountability, safeguarding procedures, structured supervision and adherence to policy</w:t>
      </w:r>
      <w:r w:rsidR="00EA4E60">
        <w:t xml:space="preserve"> </w:t>
      </w:r>
      <w:r w:rsidR="00EA4E60">
        <w:t xml:space="preserve">(CLD Standards Council Scotland, 2019, P. </w:t>
      </w:r>
      <w:r w:rsidR="00EA4E60">
        <w:t>11</w:t>
      </w:r>
      <w:r w:rsidR="00EA4E60">
        <w:t>) (CLDSCS)</w:t>
      </w:r>
      <w:r w:rsidRPr="007262CE">
        <w:t>. Practice consistently aligned with the Youth Work National Occupational Standards, particularly those relating to ethical practice, safeguarding and reflective development (National Youth Agency, 2012). Reflective journal entries documented how observing experienced practitioners strengthened my understanding of professional boundaries and decision-making. This learning has informed my PDP by identifying the need to continue developing confidence within structured, policy-led environments</w:t>
      </w:r>
      <w:r w:rsidR="00EA4E60">
        <w:t xml:space="preserve"> </w:t>
      </w:r>
      <w:r w:rsidR="00EA4E60">
        <w:t>(CLDSCS, 2019, P.</w:t>
      </w:r>
      <w:r w:rsidR="00EA4E60">
        <w:t>104</w:t>
      </w:r>
      <w:r w:rsidR="00EA4E60">
        <w:t>) (CLDYW</w:t>
      </w:r>
      <w:r w:rsidR="00EA4E60">
        <w:t>24</w:t>
      </w:r>
      <w:r w:rsidR="00EA4E60">
        <w:t>)</w:t>
      </w:r>
    </w:p>
    <w:p w14:paraId="27A7580A" w14:textId="3A2BDBF2" w:rsidR="007262CE" w:rsidRPr="007262CE" w:rsidRDefault="007262CE" w:rsidP="007262CE">
      <w:r w:rsidRPr="007262CE">
        <w:t xml:space="preserve">Relationship-building emerged as a core learning outcome. Engaging young people within a voluntary drop-in setting required effective communication, empathy and consistency. Youth work literature emphasises that relationships are central to participation and empowerment (Ord, 2012). Through regular engagement and active listening, I observed how trust enabled young people to participate more openly in creative and discussion-based sessions. Reflective journals highlighted that young people were more willing to share personal experiences once trust had been established. This learning aligns with </w:t>
      </w:r>
      <w:r w:rsidR="00EA4E60">
        <w:t>National Occupational Standards</w:t>
      </w:r>
      <w:r w:rsidRPr="007262CE">
        <w:t xml:space="preserve"> expectations around building purposeful relationships and will inform my future practice by prioritising relational work over outcome-driven approaches</w:t>
      </w:r>
      <w:r w:rsidR="00EA4E60">
        <w:t xml:space="preserve"> </w:t>
      </w:r>
      <w:r w:rsidR="00EA4E60">
        <w:t>(CLDSCS, 2019, P.</w:t>
      </w:r>
      <w:r w:rsidR="00EA4E60">
        <w:t>83</w:t>
      </w:r>
      <w:r w:rsidR="00EA4E60">
        <w:t>) (CLDYW2</w:t>
      </w:r>
      <w:r w:rsidR="00EA4E60">
        <w:t>0</w:t>
      </w:r>
      <w:r w:rsidR="00EA4E60">
        <w:t>)</w:t>
      </w:r>
    </w:p>
    <w:p w14:paraId="59E94794" w14:textId="77777777" w:rsidR="007262CE" w:rsidRPr="007262CE" w:rsidRDefault="007262CE" w:rsidP="007262CE">
      <w:r w:rsidRPr="007262CE">
        <w:t>The placement strengthened my ability to apply theory to practice, particularly in group work settings. Social Learning Theory was evident during the songwriting project, where young people learned through observation, peer modelling and reinforcement (Bandura, 1977). Reflective journal entries noted how group behaviour shifted when positive behaviours were acknowledged by staff. This learning has increased my awareness of the importance of role modelling in youth work and supports my PDP goal of developing confidence in facilitating group activities.</w:t>
      </w:r>
    </w:p>
    <w:p w14:paraId="656BF1B3" w14:textId="77777777" w:rsidR="007262CE" w:rsidRPr="007262CE" w:rsidRDefault="007262CE" w:rsidP="007262CE">
      <w:r w:rsidRPr="007262CE">
        <w:lastRenderedPageBreak/>
        <w:t>Maslow’s Hierarchy of Needs provided a useful framework for understanding young people’s engagement. The drop-in service prioritised emotional safety, belonging and acceptance, enabling young people to participate meaningfully in activities (Maslow, 1943). Reflective journals demonstrated how young people disengaged when emotional needs were unmet, reinforcing the importance of safe spaces. This learning supports NOS principles related to inclusion and wellbeing and will inform my future practice by ensuring that emotional safety is prioritised before programme delivery.</w:t>
      </w:r>
    </w:p>
    <w:p w14:paraId="7924404F" w14:textId="77777777" w:rsidR="007262CE" w:rsidRPr="007262CE" w:rsidRDefault="007262CE" w:rsidP="007262CE">
      <w:r w:rsidRPr="007262CE">
        <w:t>The Five Ways of Wellbeing framework further contributed to my learning by highlighting the holistic nature of youth work (World Health Organization, 2004). Activities encouraged young people to connect, keep learning and take notice of their emotions. Reflective journals evidenced how creative activities supported emotional expression and wellbeing, particularly during healthy relationships sessions. This learning aligns with the NOS focus on promoting wellbeing and informs my PDP goal of integrating wellbeing frameworks into future practice (Department of Health, 2010).</w:t>
      </w:r>
    </w:p>
    <w:p w14:paraId="7EC40032" w14:textId="77777777" w:rsidR="007262CE" w:rsidRPr="007262CE" w:rsidRDefault="007262CE" w:rsidP="007262CE">
      <w:r w:rsidRPr="007262CE">
        <w:t>Understanding young people within their wider contexts was another key learning outcome. Ecological Systems Theory enabled me to recognise how young people’s behaviour is influenced by family, education, community and policy systems (Bronfenbrenner, 1979). Reflective journal entries highlighted moments where young people’s external pressures affected engagement. Observing statutory youth work practice reinforced the importance of advocacy and contextual awareness, supporting NOS expectations around holistic assessment and community awareness.</w:t>
      </w:r>
    </w:p>
    <w:p w14:paraId="404874C7" w14:textId="77777777" w:rsidR="007262CE" w:rsidRPr="007262CE" w:rsidRDefault="007262CE" w:rsidP="007262CE">
      <w:r w:rsidRPr="007262CE">
        <w:t xml:space="preserve">Group work was a particularly valuable area of development. During the songwriting project, group dynamics became challenging when one young person dominated the session. Applying Group Work Theory, particularly Tuckman’s stages of group development, helped me understand how power and leadership roles emerge (Tuckman, 1965). Reflective journals documented how redirecting the young person into one-to-one work improved inclusivity. This experience enhanced my problem-solving skills and </w:t>
      </w:r>
      <w:proofErr w:type="gramStart"/>
      <w:r w:rsidRPr="007262CE">
        <w:t>aligns</w:t>
      </w:r>
      <w:proofErr w:type="gramEnd"/>
      <w:r w:rsidRPr="007262CE">
        <w:t xml:space="preserve"> with NOS expectations around managing group dynamics ethically.</w:t>
      </w:r>
    </w:p>
    <w:p w14:paraId="36B4BE73" w14:textId="77777777" w:rsidR="007262CE" w:rsidRPr="007262CE" w:rsidRDefault="007262CE" w:rsidP="007262CE">
      <w:r w:rsidRPr="007262CE">
        <w:t>A significant area of personal learning involved confidence and professional challenge. Through reflective practice, I recognised that I felt less confident challenging situations while on placement. Using Gibbs’ Reflective Cycle, I explored how this stemmed from being in an unfamiliar environment and perceiving myself primarily as a learner (Gibbs, 1988). This awareness of the limits of my confidence demonstrates Level 5 reflective depth and has informed my PDP goal of developing assertive communication skills through supervision and experience.</w:t>
      </w:r>
    </w:p>
    <w:p w14:paraId="4EFB188B" w14:textId="77777777" w:rsidR="007262CE" w:rsidRPr="007262CE" w:rsidRDefault="007262CE" w:rsidP="007262CE">
      <w:r w:rsidRPr="007262CE">
        <w:t xml:space="preserve">Stepping outside my comfort zone was one of the most valuable aspects of the placement. Completing placement in a setting where I do not normally work increased </w:t>
      </w:r>
      <w:r w:rsidRPr="007262CE">
        <w:lastRenderedPageBreak/>
        <w:t>my adaptability, resilience and understanding of different organisational cultures. Reflective journals evidenced gradual improvements in confidence and professional engagement. This learning aligns with NOS expectations around continuous professional development and has reinforced my commitment to reflective supervision.</w:t>
      </w:r>
    </w:p>
    <w:p w14:paraId="11E97360" w14:textId="77777777" w:rsidR="007262CE" w:rsidRPr="007262CE" w:rsidRDefault="007262CE" w:rsidP="007262CE">
      <w:r w:rsidRPr="007262CE">
        <w:t>In conclusion, the placement at Dr Mz’s drop-in service has contributed significantly to my professional development. It enhanced my ability to apply theory to practice, strengthened my understanding of statutory youth work, and supported the development of reflective and transferable skills. The learning gained through this placement will inform my future practice, enabling me to work ethically, confidently and effectively with young people, in line with youth work values, professional standards and my ongoing Professional Development Plan.</w:t>
      </w:r>
    </w:p>
    <w:p w14:paraId="028513A4" w14:textId="4DDDAEF6" w:rsidR="00EA4E60" w:rsidRPr="00533DA5" w:rsidRDefault="00EA4E60" w:rsidP="00EA4E60">
      <w:pPr>
        <w:spacing w:line="360" w:lineRule="auto"/>
        <w:rPr>
          <w:rFonts w:ascii="Arial" w:hAnsi="Arial" w:cs="Arial"/>
          <w:b/>
          <w:bCs/>
        </w:rPr>
      </w:pPr>
      <w:r>
        <w:br/>
      </w:r>
      <w:r>
        <w:br/>
      </w:r>
      <w:r>
        <w:br/>
      </w:r>
      <w:r>
        <w:br/>
      </w:r>
      <w:r>
        <w:br/>
      </w:r>
      <w:r>
        <w:br/>
      </w:r>
      <w:r>
        <w:br/>
      </w:r>
      <w:r>
        <w:br/>
      </w:r>
      <w:r>
        <w:br/>
      </w:r>
      <w:r>
        <w:br/>
      </w:r>
      <w:r>
        <w:br/>
      </w:r>
      <w:r>
        <w:br/>
      </w:r>
      <w:r>
        <w:br/>
      </w:r>
      <w:r>
        <w:br/>
      </w:r>
      <w:r>
        <w:br/>
      </w:r>
      <w:r>
        <w:br/>
      </w:r>
      <w:r>
        <w:br/>
      </w:r>
      <w:r>
        <w:br/>
      </w:r>
      <w:r>
        <w:br/>
      </w:r>
      <w:r>
        <w:br/>
      </w:r>
      <w:r>
        <w:br/>
      </w:r>
      <w:r>
        <w:lastRenderedPageBreak/>
        <w:br/>
      </w:r>
      <w:r w:rsidRPr="00533DA5">
        <w:rPr>
          <w:rFonts w:ascii="Arial" w:hAnsi="Arial" w:cs="Arial"/>
          <w:b/>
          <w:bCs/>
        </w:rPr>
        <w:t>Reference</w:t>
      </w:r>
      <w:r>
        <w:rPr>
          <w:rFonts w:ascii="Arial" w:hAnsi="Arial" w:cs="Arial"/>
          <w:b/>
          <w:bCs/>
        </w:rPr>
        <w:t xml:space="preserve"> list</w:t>
      </w:r>
    </w:p>
    <w:p w14:paraId="464F382B" w14:textId="77777777" w:rsidR="00EA4E60" w:rsidRPr="00533DA5" w:rsidRDefault="00EA4E60" w:rsidP="00EA4E60">
      <w:pPr>
        <w:spacing w:line="360" w:lineRule="auto"/>
        <w:rPr>
          <w:rFonts w:ascii="Arial" w:hAnsi="Arial" w:cs="Arial"/>
        </w:rPr>
      </w:pPr>
      <w:r w:rsidRPr="00533DA5">
        <w:rPr>
          <w:rFonts w:ascii="Arial" w:hAnsi="Arial" w:cs="Arial"/>
        </w:rPr>
        <w:t xml:space="preserve">Bandura, A. (1977) </w:t>
      </w:r>
      <w:r w:rsidRPr="00533DA5">
        <w:rPr>
          <w:rFonts w:ascii="Arial" w:hAnsi="Arial" w:cs="Arial"/>
          <w:i/>
          <w:iCs/>
        </w:rPr>
        <w:t>Social learning theory</w:t>
      </w:r>
      <w:r w:rsidRPr="00533DA5">
        <w:rPr>
          <w:rFonts w:ascii="Arial" w:hAnsi="Arial" w:cs="Arial"/>
        </w:rPr>
        <w:t>. Englewood Cliffs, NJ: Prentice Hall.</w:t>
      </w:r>
    </w:p>
    <w:p w14:paraId="682AAF4D" w14:textId="77777777" w:rsidR="00EA4E60" w:rsidRPr="00533DA5" w:rsidRDefault="00EA4E60" w:rsidP="00EA4E60">
      <w:pPr>
        <w:spacing w:line="360" w:lineRule="auto"/>
        <w:rPr>
          <w:rFonts w:ascii="Arial" w:hAnsi="Arial" w:cs="Arial"/>
        </w:rPr>
      </w:pPr>
      <w:r w:rsidRPr="00533DA5">
        <w:rPr>
          <w:rFonts w:ascii="Arial" w:hAnsi="Arial" w:cs="Arial"/>
        </w:rPr>
        <w:t xml:space="preserve">Bronfenbrenner, U. (1979) </w:t>
      </w:r>
      <w:r w:rsidRPr="00533DA5">
        <w:rPr>
          <w:rFonts w:ascii="Arial" w:hAnsi="Arial" w:cs="Arial"/>
          <w:i/>
          <w:iCs/>
        </w:rPr>
        <w:t>The ecology of human development: Experiments by nature and design</w:t>
      </w:r>
      <w:r w:rsidRPr="00533DA5">
        <w:rPr>
          <w:rFonts w:ascii="Arial" w:hAnsi="Arial" w:cs="Arial"/>
        </w:rPr>
        <w:t>. Cambridge, MA: Harvard University Press.</w:t>
      </w:r>
    </w:p>
    <w:p w14:paraId="4893FA1C" w14:textId="77777777" w:rsidR="00EA4E60" w:rsidRPr="00533DA5" w:rsidRDefault="00EA4E60" w:rsidP="00EA4E60">
      <w:pPr>
        <w:spacing w:line="360" w:lineRule="auto"/>
        <w:rPr>
          <w:rFonts w:ascii="Arial" w:hAnsi="Arial" w:cs="Arial"/>
        </w:rPr>
      </w:pPr>
      <w:r w:rsidRPr="00533DA5">
        <w:rPr>
          <w:rFonts w:ascii="Arial" w:hAnsi="Arial" w:cs="Arial"/>
        </w:rPr>
        <w:t xml:space="preserve">Department of Health (2010) </w:t>
      </w:r>
      <w:r w:rsidRPr="00533DA5">
        <w:rPr>
          <w:rFonts w:ascii="Arial" w:hAnsi="Arial" w:cs="Arial"/>
          <w:i/>
          <w:iCs/>
        </w:rPr>
        <w:t>Healthy lives, healthy people: Our strategy for public health in England</w:t>
      </w:r>
      <w:r w:rsidRPr="00533DA5">
        <w:rPr>
          <w:rFonts w:ascii="Arial" w:hAnsi="Arial" w:cs="Arial"/>
        </w:rPr>
        <w:t>. London: Department of Health.</w:t>
      </w:r>
      <w:r w:rsidRPr="00533DA5">
        <w:rPr>
          <w:rFonts w:ascii="Arial" w:hAnsi="Arial" w:cs="Arial"/>
        </w:rPr>
        <w:br/>
      </w:r>
      <w:r w:rsidRPr="00533DA5">
        <w:rPr>
          <w:rFonts w:ascii="Arial" w:hAnsi="Arial" w:cs="Arial"/>
        </w:rPr>
        <w:br/>
        <w:t xml:space="preserve">CLD Standards Council Scotland. (2019) </w:t>
      </w:r>
      <w:r w:rsidRPr="00533DA5">
        <w:rPr>
          <w:rFonts w:ascii="Arial" w:hAnsi="Arial" w:cs="Arial"/>
          <w:i/>
          <w:iCs/>
        </w:rPr>
        <w:t>National Occupational Standards</w:t>
      </w:r>
      <w:r w:rsidRPr="00533DA5">
        <w:rPr>
          <w:rFonts w:ascii="Arial" w:hAnsi="Arial" w:cs="Arial"/>
        </w:rPr>
        <w:t xml:space="preserve">. Available at: </w:t>
      </w:r>
      <w:hyperlink r:id="rId7" w:history="1">
        <w:r w:rsidRPr="00533DA5">
          <w:rPr>
            <w:rStyle w:val="Hyperlink"/>
            <w:rFonts w:ascii="Arial" w:hAnsi="Arial" w:cs="Arial"/>
          </w:rPr>
          <w:t>CombinedYouthWorkNOS.pdf</w:t>
        </w:r>
      </w:hyperlink>
      <w:r w:rsidRPr="00533DA5">
        <w:rPr>
          <w:rFonts w:ascii="Arial" w:hAnsi="Arial" w:cs="Arial"/>
        </w:rPr>
        <w:t xml:space="preserve"> (Accessed on 12 January 2026).</w:t>
      </w:r>
    </w:p>
    <w:p w14:paraId="6FEED58B" w14:textId="77777777" w:rsidR="00EA4E60" w:rsidRPr="00533DA5" w:rsidRDefault="00EA4E60" w:rsidP="00EA4E60">
      <w:pPr>
        <w:spacing w:line="360" w:lineRule="auto"/>
        <w:rPr>
          <w:rFonts w:ascii="Arial" w:hAnsi="Arial" w:cs="Arial"/>
        </w:rPr>
      </w:pPr>
      <w:r w:rsidRPr="00533DA5">
        <w:rPr>
          <w:rFonts w:ascii="Arial" w:hAnsi="Arial" w:cs="Arial"/>
        </w:rPr>
        <w:t xml:space="preserve">Gibbs, G. (1988) </w:t>
      </w:r>
      <w:r w:rsidRPr="00533DA5">
        <w:rPr>
          <w:rFonts w:ascii="Arial" w:hAnsi="Arial" w:cs="Arial"/>
          <w:i/>
          <w:iCs/>
        </w:rPr>
        <w:t>Learning by doing: A guide to teaching and learning methods</w:t>
      </w:r>
      <w:r w:rsidRPr="00533DA5">
        <w:rPr>
          <w:rFonts w:ascii="Arial" w:hAnsi="Arial" w:cs="Arial"/>
        </w:rPr>
        <w:t>. Oxford: Oxford Polytechnic.</w:t>
      </w:r>
    </w:p>
    <w:p w14:paraId="38831960" w14:textId="77777777" w:rsidR="00EA4E60" w:rsidRPr="00533DA5" w:rsidRDefault="00EA4E60" w:rsidP="00EA4E60">
      <w:pPr>
        <w:spacing w:line="360" w:lineRule="auto"/>
        <w:rPr>
          <w:rFonts w:ascii="Arial" w:hAnsi="Arial" w:cs="Arial"/>
        </w:rPr>
      </w:pPr>
      <w:r w:rsidRPr="00533DA5">
        <w:rPr>
          <w:rFonts w:ascii="Arial" w:hAnsi="Arial" w:cs="Arial"/>
        </w:rPr>
        <w:t xml:space="preserve">Maslow, A.H. (1943) ‘A theory of human motivation’, </w:t>
      </w:r>
      <w:r w:rsidRPr="00533DA5">
        <w:rPr>
          <w:rFonts w:ascii="Arial" w:hAnsi="Arial" w:cs="Arial"/>
          <w:i/>
          <w:iCs/>
        </w:rPr>
        <w:t>Psychological Review</w:t>
      </w:r>
      <w:r w:rsidRPr="00533DA5">
        <w:rPr>
          <w:rFonts w:ascii="Arial" w:hAnsi="Arial" w:cs="Arial"/>
        </w:rPr>
        <w:t>, 50(4), pp. 370–396. (Accessed 12 January 2026).</w:t>
      </w:r>
    </w:p>
    <w:p w14:paraId="187156A9" w14:textId="77777777" w:rsidR="00EA4E60" w:rsidRPr="00533DA5" w:rsidRDefault="00EA4E60" w:rsidP="00EA4E60">
      <w:pPr>
        <w:spacing w:line="360" w:lineRule="auto"/>
        <w:rPr>
          <w:rFonts w:ascii="Arial" w:hAnsi="Arial" w:cs="Arial"/>
        </w:rPr>
      </w:pPr>
      <w:r w:rsidRPr="00533DA5">
        <w:rPr>
          <w:rFonts w:ascii="Arial" w:hAnsi="Arial" w:cs="Arial"/>
        </w:rPr>
        <w:t xml:space="preserve">National Youth Agency (2012) </w:t>
      </w:r>
      <w:r w:rsidRPr="00533DA5">
        <w:rPr>
          <w:rFonts w:ascii="Arial" w:hAnsi="Arial" w:cs="Arial"/>
          <w:i/>
          <w:iCs/>
        </w:rPr>
        <w:t>National occupational standards for youth work</w:t>
      </w:r>
      <w:r w:rsidRPr="00533DA5">
        <w:rPr>
          <w:rFonts w:ascii="Arial" w:hAnsi="Arial" w:cs="Arial"/>
        </w:rPr>
        <w:t>. Leicester: National Youth Agency.</w:t>
      </w:r>
    </w:p>
    <w:p w14:paraId="4F16629E" w14:textId="77777777" w:rsidR="00EA4E60" w:rsidRPr="00533DA5" w:rsidRDefault="00EA4E60" w:rsidP="00EA4E60">
      <w:pPr>
        <w:spacing w:line="360" w:lineRule="auto"/>
        <w:rPr>
          <w:rFonts w:ascii="Arial" w:hAnsi="Arial" w:cs="Arial"/>
        </w:rPr>
      </w:pPr>
      <w:r w:rsidRPr="00533DA5">
        <w:rPr>
          <w:rFonts w:ascii="Arial" w:hAnsi="Arial" w:cs="Arial"/>
        </w:rPr>
        <w:t xml:space="preserve">Ord, J. (2012) </w:t>
      </w:r>
      <w:r w:rsidRPr="00533DA5">
        <w:rPr>
          <w:rFonts w:ascii="Arial" w:hAnsi="Arial" w:cs="Arial"/>
          <w:i/>
          <w:iCs/>
        </w:rPr>
        <w:t>Youth work process, product and practice: Creating an authentic curriculum in work with young people</w:t>
      </w:r>
      <w:r w:rsidRPr="00533DA5">
        <w:rPr>
          <w:rFonts w:ascii="Arial" w:hAnsi="Arial" w:cs="Arial"/>
        </w:rPr>
        <w:t>. Abingdon: Routledge.</w:t>
      </w:r>
    </w:p>
    <w:p w14:paraId="28D21D58" w14:textId="77777777" w:rsidR="00EA4E60" w:rsidRPr="00533DA5" w:rsidRDefault="00EA4E60" w:rsidP="00EA4E60">
      <w:pPr>
        <w:spacing w:line="360" w:lineRule="auto"/>
        <w:rPr>
          <w:rFonts w:ascii="Arial" w:hAnsi="Arial" w:cs="Arial"/>
        </w:rPr>
      </w:pPr>
      <w:r w:rsidRPr="00533DA5">
        <w:rPr>
          <w:rFonts w:ascii="Arial" w:hAnsi="Arial" w:cs="Arial"/>
        </w:rPr>
        <w:t xml:space="preserve">Tuckman, B.W. (1965) ‘Developmental sequence in small groups’, </w:t>
      </w:r>
      <w:r w:rsidRPr="00533DA5">
        <w:rPr>
          <w:rFonts w:ascii="Arial" w:hAnsi="Arial" w:cs="Arial"/>
          <w:i/>
          <w:iCs/>
        </w:rPr>
        <w:t>Psychological Bulletin</w:t>
      </w:r>
      <w:r w:rsidRPr="00533DA5">
        <w:rPr>
          <w:rFonts w:ascii="Arial" w:hAnsi="Arial" w:cs="Arial"/>
        </w:rPr>
        <w:t>, 63(6), pp. 384–399. (Accessed 20 January 2026).</w:t>
      </w:r>
    </w:p>
    <w:p w14:paraId="1FBC798F" w14:textId="77777777" w:rsidR="00EA4E60" w:rsidRPr="00533DA5" w:rsidRDefault="00EA4E60" w:rsidP="00EA4E60">
      <w:pPr>
        <w:spacing w:line="360" w:lineRule="auto"/>
        <w:rPr>
          <w:rFonts w:ascii="Arial" w:hAnsi="Arial" w:cs="Arial"/>
        </w:rPr>
      </w:pPr>
      <w:r w:rsidRPr="00533DA5">
        <w:rPr>
          <w:rFonts w:ascii="Arial" w:hAnsi="Arial" w:cs="Arial"/>
        </w:rPr>
        <w:t xml:space="preserve">Welsh Government (2019) </w:t>
      </w:r>
      <w:r w:rsidRPr="00533DA5">
        <w:rPr>
          <w:rFonts w:ascii="Arial" w:hAnsi="Arial" w:cs="Arial"/>
          <w:i/>
          <w:iCs/>
        </w:rPr>
        <w:t>Youth work strategy for Wales 2019</w:t>
      </w:r>
      <w:r w:rsidRPr="00533DA5">
        <w:rPr>
          <w:rFonts w:ascii="Arial" w:hAnsi="Arial" w:cs="Arial"/>
        </w:rPr>
        <w:t>. Cardiff: Welsh Government.</w:t>
      </w:r>
    </w:p>
    <w:p w14:paraId="1C902C75" w14:textId="77777777" w:rsidR="00EA4E60" w:rsidRPr="00533DA5" w:rsidRDefault="00EA4E60" w:rsidP="00EA4E60">
      <w:pPr>
        <w:spacing w:line="360" w:lineRule="auto"/>
        <w:rPr>
          <w:rFonts w:ascii="Arial" w:hAnsi="Arial" w:cs="Arial"/>
        </w:rPr>
      </w:pPr>
      <w:r w:rsidRPr="00533DA5">
        <w:rPr>
          <w:rFonts w:ascii="Arial" w:hAnsi="Arial" w:cs="Arial"/>
        </w:rPr>
        <w:t xml:space="preserve">World Health Organization (2004) </w:t>
      </w:r>
      <w:r w:rsidRPr="00533DA5">
        <w:rPr>
          <w:rFonts w:ascii="Arial" w:hAnsi="Arial" w:cs="Arial"/>
          <w:i/>
          <w:iCs/>
        </w:rPr>
        <w:t>Promoting mental health: Concepts, emerging evidence, practice</w:t>
      </w:r>
      <w:r w:rsidRPr="00533DA5">
        <w:rPr>
          <w:rFonts w:ascii="Arial" w:hAnsi="Arial" w:cs="Arial"/>
        </w:rPr>
        <w:t xml:space="preserve">. Geneva: World Health Organization. </w:t>
      </w:r>
    </w:p>
    <w:p w14:paraId="500B4663" w14:textId="6B76F1AC" w:rsidR="007262CE" w:rsidRPr="007262CE" w:rsidRDefault="00EA4E60" w:rsidP="007262CE">
      <w:r>
        <w:br/>
      </w:r>
      <w:r>
        <w:br/>
      </w:r>
      <w:r>
        <w:br/>
      </w:r>
      <w:r>
        <w:br/>
      </w:r>
      <w:r>
        <w:br/>
      </w:r>
      <w:r>
        <w:br/>
      </w:r>
      <w:r w:rsidRPr="00EA4E60">
        <w:rPr>
          <w:b/>
          <w:bCs/>
        </w:rPr>
        <w:lastRenderedPageBreak/>
        <w:t xml:space="preserve">Appendix </w:t>
      </w:r>
      <w:r>
        <w:br/>
      </w:r>
      <w:r>
        <w:br/>
      </w:r>
      <w:r w:rsidRPr="00EA4E60">
        <w:rPr>
          <w:b/>
          <w:bCs/>
        </w:rPr>
        <w:t>AI Declaration</w:t>
      </w:r>
      <w:r>
        <w:br/>
        <w:t>I have not used AI within my work</w:t>
      </w:r>
    </w:p>
    <w:sectPr w:rsidR="007262CE" w:rsidRPr="007262C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CC86D" w14:textId="77777777" w:rsidR="00CB0979" w:rsidRDefault="00CB0979" w:rsidP="00EA4E60">
      <w:pPr>
        <w:spacing w:after="0" w:line="240" w:lineRule="auto"/>
      </w:pPr>
      <w:r>
        <w:separator/>
      </w:r>
    </w:p>
  </w:endnote>
  <w:endnote w:type="continuationSeparator" w:id="0">
    <w:p w14:paraId="3A0F0C91" w14:textId="77777777" w:rsidR="00CB0979" w:rsidRDefault="00CB0979" w:rsidP="00EA4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234331"/>
      <w:docPartObj>
        <w:docPartGallery w:val="Page Numbers (Bottom of Page)"/>
        <w:docPartUnique/>
      </w:docPartObj>
    </w:sdtPr>
    <w:sdtContent>
      <w:p w14:paraId="2A58E258" w14:textId="4A11169C" w:rsidR="00EA4E60" w:rsidRDefault="00EA4E60">
        <w:pPr>
          <w:pStyle w:val="Footer"/>
          <w:jc w:val="center"/>
        </w:pPr>
        <w:r>
          <w:fldChar w:fldCharType="begin"/>
        </w:r>
        <w:r>
          <w:instrText>PAGE   \* MERGEFORMAT</w:instrText>
        </w:r>
        <w:r>
          <w:fldChar w:fldCharType="separate"/>
        </w:r>
        <w:r>
          <w:t>2</w:t>
        </w:r>
        <w:r>
          <w:fldChar w:fldCharType="end"/>
        </w:r>
      </w:p>
    </w:sdtContent>
  </w:sdt>
  <w:p w14:paraId="00F352BB" w14:textId="77777777" w:rsidR="00EA4E60" w:rsidRDefault="00EA4E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EE58D" w14:textId="77777777" w:rsidR="00CB0979" w:rsidRDefault="00CB0979" w:rsidP="00EA4E60">
      <w:pPr>
        <w:spacing w:after="0" w:line="240" w:lineRule="auto"/>
      </w:pPr>
      <w:r>
        <w:separator/>
      </w:r>
    </w:p>
  </w:footnote>
  <w:footnote w:type="continuationSeparator" w:id="0">
    <w:p w14:paraId="4315662E" w14:textId="77777777" w:rsidR="00CB0979" w:rsidRDefault="00CB0979" w:rsidP="00EA4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6520" w14:textId="51CD0B42" w:rsidR="00EA4E60" w:rsidRDefault="00EA4E60">
    <w:pPr>
      <w:pStyle w:val="Header"/>
    </w:pPr>
    <w:sdt>
      <w:sdtPr>
        <w:rPr>
          <w:rFonts w:asciiTheme="majorHAnsi" w:eastAsiaTheme="majorEastAsia" w:hAnsiTheme="majorHAnsi" w:cstheme="majorBidi"/>
          <w:color w:val="156082" w:themeColor="accent1"/>
        </w:rPr>
        <w:alias w:val="Title"/>
        <w:id w:val="78404852"/>
        <w:placeholder>
          <w:docPart w:val="6185B42ABFD846A8AD544D8009672C2F"/>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156082" w:themeColor="accent1"/>
          </w:rPr>
          <w:t>ECYW5010</w:t>
        </w:r>
      </w:sdtContent>
    </w:sdt>
    <w:r>
      <w:rPr>
        <w:rFonts w:asciiTheme="majorHAnsi" w:eastAsiaTheme="majorEastAsia" w:hAnsiTheme="majorHAnsi" w:cstheme="majorBidi"/>
        <w:color w:val="156082" w:themeColor="accent1"/>
      </w:rPr>
      <w:ptab w:relativeTo="margin" w:alignment="right" w:leader="none"/>
    </w:r>
    <w:sdt>
      <w:sdtPr>
        <w:rPr>
          <w:rFonts w:asciiTheme="majorHAnsi" w:eastAsiaTheme="majorEastAsia" w:hAnsiTheme="majorHAnsi" w:cstheme="majorBidi"/>
          <w:color w:val="156082" w:themeColor="accent1"/>
        </w:rPr>
        <w:alias w:val="Date"/>
        <w:id w:val="78404859"/>
        <w:placeholder>
          <w:docPart w:val="B8276715A1F44A119BC124854CA18091"/>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Pr>
            <w:rFonts w:asciiTheme="majorHAnsi" w:eastAsiaTheme="majorEastAsia" w:hAnsiTheme="majorHAnsi" w:cstheme="majorBidi"/>
            <w:color w:val="156082" w:themeColor="accent1"/>
          </w:rPr>
          <w:t>2406512</w:t>
        </w:r>
      </w:sdtContent>
    </w:sdt>
  </w:p>
  <w:p w14:paraId="0FEB3F73" w14:textId="77777777" w:rsidR="00EA4E60" w:rsidRDefault="00EA4E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2CE"/>
    <w:rsid w:val="00437FF6"/>
    <w:rsid w:val="004F7E16"/>
    <w:rsid w:val="007262CE"/>
    <w:rsid w:val="00CB0979"/>
    <w:rsid w:val="00EA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6459"/>
  <w15:chartTrackingRefBased/>
  <w15:docId w15:val="{7F703966-39B9-4863-BB3F-D83BC474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6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6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2CE"/>
    <w:rPr>
      <w:rFonts w:eastAsiaTheme="majorEastAsia" w:cstheme="majorBidi"/>
      <w:color w:val="272727" w:themeColor="text1" w:themeTint="D8"/>
    </w:rPr>
  </w:style>
  <w:style w:type="paragraph" w:styleId="Title">
    <w:name w:val="Title"/>
    <w:basedOn w:val="Normal"/>
    <w:next w:val="Normal"/>
    <w:link w:val="TitleChar"/>
    <w:uiPriority w:val="10"/>
    <w:qFormat/>
    <w:rsid w:val="00726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2CE"/>
    <w:pPr>
      <w:spacing w:before="160"/>
      <w:jc w:val="center"/>
    </w:pPr>
    <w:rPr>
      <w:i/>
      <w:iCs/>
      <w:color w:val="404040" w:themeColor="text1" w:themeTint="BF"/>
    </w:rPr>
  </w:style>
  <w:style w:type="character" w:customStyle="1" w:styleId="QuoteChar">
    <w:name w:val="Quote Char"/>
    <w:basedOn w:val="DefaultParagraphFont"/>
    <w:link w:val="Quote"/>
    <w:uiPriority w:val="29"/>
    <w:rsid w:val="007262CE"/>
    <w:rPr>
      <w:i/>
      <w:iCs/>
      <w:color w:val="404040" w:themeColor="text1" w:themeTint="BF"/>
    </w:rPr>
  </w:style>
  <w:style w:type="paragraph" w:styleId="ListParagraph">
    <w:name w:val="List Paragraph"/>
    <w:basedOn w:val="Normal"/>
    <w:uiPriority w:val="34"/>
    <w:qFormat/>
    <w:rsid w:val="007262CE"/>
    <w:pPr>
      <w:ind w:left="720"/>
      <w:contextualSpacing/>
    </w:pPr>
  </w:style>
  <w:style w:type="character" w:styleId="IntenseEmphasis">
    <w:name w:val="Intense Emphasis"/>
    <w:basedOn w:val="DefaultParagraphFont"/>
    <w:uiPriority w:val="21"/>
    <w:qFormat/>
    <w:rsid w:val="007262CE"/>
    <w:rPr>
      <w:i/>
      <w:iCs/>
      <w:color w:val="0F4761" w:themeColor="accent1" w:themeShade="BF"/>
    </w:rPr>
  </w:style>
  <w:style w:type="paragraph" w:styleId="IntenseQuote">
    <w:name w:val="Intense Quote"/>
    <w:basedOn w:val="Normal"/>
    <w:next w:val="Normal"/>
    <w:link w:val="IntenseQuoteChar"/>
    <w:uiPriority w:val="30"/>
    <w:qFormat/>
    <w:rsid w:val="00726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2CE"/>
    <w:rPr>
      <w:i/>
      <w:iCs/>
      <w:color w:val="0F4761" w:themeColor="accent1" w:themeShade="BF"/>
    </w:rPr>
  </w:style>
  <w:style w:type="character" w:styleId="IntenseReference">
    <w:name w:val="Intense Reference"/>
    <w:basedOn w:val="DefaultParagraphFont"/>
    <w:uiPriority w:val="32"/>
    <w:qFormat/>
    <w:rsid w:val="007262CE"/>
    <w:rPr>
      <w:b/>
      <w:bCs/>
      <w:smallCaps/>
      <w:color w:val="0F4761" w:themeColor="accent1" w:themeShade="BF"/>
      <w:spacing w:val="5"/>
    </w:rPr>
  </w:style>
  <w:style w:type="paragraph" w:styleId="Header">
    <w:name w:val="header"/>
    <w:basedOn w:val="Normal"/>
    <w:link w:val="HeaderChar"/>
    <w:uiPriority w:val="99"/>
    <w:unhideWhenUsed/>
    <w:rsid w:val="00EA4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E60"/>
  </w:style>
  <w:style w:type="paragraph" w:styleId="Footer">
    <w:name w:val="footer"/>
    <w:basedOn w:val="Normal"/>
    <w:link w:val="FooterChar"/>
    <w:uiPriority w:val="99"/>
    <w:unhideWhenUsed/>
    <w:rsid w:val="00EA4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E60"/>
  </w:style>
  <w:style w:type="character" w:styleId="Hyperlink">
    <w:name w:val="Hyperlink"/>
    <w:basedOn w:val="DefaultParagraphFont"/>
    <w:uiPriority w:val="99"/>
    <w:unhideWhenUsed/>
    <w:rsid w:val="00EA4E6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ldstandardscouncil.org.uk/wp-content/uploads/CombinedYouthWorkNO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85B42ABFD846A8AD544D8009672C2F"/>
        <w:category>
          <w:name w:val="General"/>
          <w:gallery w:val="placeholder"/>
        </w:category>
        <w:types>
          <w:type w:val="bbPlcHdr"/>
        </w:types>
        <w:behaviors>
          <w:behavior w:val="content"/>
        </w:behaviors>
        <w:guid w:val="{989F1807-D861-4B5E-AA7C-3D798CB814CB}"/>
      </w:docPartPr>
      <w:docPartBody>
        <w:p w:rsidR="00000000" w:rsidRDefault="009F749A" w:rsidP="009F749A">
          <w:pPr>
            <w:pStyle w:val="6185B42ABFD846A8AD544D8009672C2F"/>
          </w:pPr>
          <w:r>
            <w:rPr>
              <w:rFonts w:asciiTheme="majorHAnsi" w:eastAsiaTheme="majorEastAsia" w:hAnsiTheme="majorHAnsi" w:cstheme="majorBidi"/>
              <w:color w:val="156082" w:themeColor="accent1"/>
              <w:sz w:val="27"/>
              <w:szCs w:val="27"/>
            </w:rPr>
            <w:t>[Document title]</w:t>
          </w:r>
        </w:p>
      </w:docPartBody>
    </w:docPart>
    <w:docPart>
      <w:docPartPr>
        <w:name w:val="B8276715A1F44A119BC124854CA18091"/>
        <w:category>
          <w:name w:val="General"/>
          <w:gallery w:val="placeholder"/>
        </w:category>
        <w:types>
          <w:type w:val="bbPlcHdr"/>
        </w:types>
        <w:behaviors>
          <w:behavior w:val="content"/>
        </w:behaviors>
        <w:guid w:val="{18D184F9-50C5-417A-A237-6B206A14E5FE}"/>
      </w:docPartPr>
      <w:docPartBody>
        <w:p w:rsidR="00000000" w:rsidRDefault="009F749A" w:rsidP="009F749A">
          <w:pPr>
            <w:pStyle w:val="B8276715A1F44A119BC124854CA18091"/>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49A"/>
    <w:rsid w:val="00144115"/>
    <w:rsid w:val="00437FF6"/>
    <w:rsid w:val="009F7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85B42ABFD846A8AD544D8009672C2F">
    <w:name w:val="6185B42ABFD846A8AD544D8009672C2F"/>
    <w:rsid w:val="009F749A"/>
  </w:style>
  <w:style w:type="paragraph" w:customStyle="1" w:styleId="B8276715A1F44A119BC124854CA18091">
    <w:name w:val="B8276715A1F44A119BC124854CA18091"/>
    <w:rsid w:val="009F74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2406512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1272</Words>
  <Characters>7256</Characters>
  <Application>Microsoft Office Word</Application>
  <DocSecurity>0</DocSecurity>
  <Lines>60</Lines>
  <Paragraphs>17</Paragraphs>
  <ScaleCrop>false</ScaleCrop>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ECYW5010</dc:title>
  <dc:subject/>
  <dc:creator>Chelsey Jones Duffy (2406512)</dc:creator>
  <cp:keywords/>
  <dc:description/>
  <cp:lastModifiedBy>Chelsey Jones Duffy (2406512)</cp:lastModifiedBy>
  <cp:revision>2</cp:revision>
  <dcterms:created xsi:type="dcterms:W3CDTF">2026-02-18T09:45:00Z</dcterms:created>
  <dcterms:modified xsi:type="dcterms:W3CDTF">2026-02-18T09:45:00Z</dcterms:modified>
</cp:coreProperties>
</file>