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55F38FD" wp14:paraId="19E5978C" wp14:textId="0EE08EA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</w:pPr>
      <w:r w:rsidR="5E297DF2">
        <w:drawing>
          <wp:inline xmlns:wp14="http://schemas.microsoft.com/office/word/2010/wordprocessingDrawing" wp14:editId="3864EF59" wp14:anchorId="605309A4">
            <wp:extent cx="6257925" cy="3143685"/>
            <wp:effectExtent l="0" t="0" r="0" b="0"/>
            <wp:docPr id="21182420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18242081" name="Picture 2118242081"/>
                    <pic:cNvPicPr/>
                  </pic:nvPicPr>
                  <pic:blipFill>
                    <a:blip xmlns:r="http://schemas.openxmlformats.org/officeDocument/2006/relationships" r:embed="rId13349330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257925" cy="3143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55F38FD" wp14:paraId="67DEA9AD" wp14:textId="4DB225E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</w:pPr>
    </w:p>
    <w:p xmlns:wp14="http://schemas.microsoft.com/office/word/2010/wordml" w:rsidP="555F38FD" wp14:paraId="75A86A7D" wp14:textId="50587A3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</w:pPr>
    </w:p>
    <w:p xmlns:wp14="http://schemas.microsoft.com/office/word/2010/wordml" w:rsidP="555F38FD" wp14:paraId="136B17FA" wp14:textId="604570D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  <w:t xml:space="preserve">Addressing Contemporary HR Challenges at Unilever PLC: Technological Advancement, Talent Acquisition and Retention, and Diversity,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  <w:t>Equity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  <w:t xml:space="preserve"> and Inclusion (DEI</w:t>
      </w:r>
      <w:r w:rsidRPr="555F38FD" w:rsidR="6D22F6B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  <w:t>)</w:t>
      </w:r>
    </w:p>
    <w:p xmlns:wp14="http://schemas.microsoft.com/office/word/2010/wordml" w:rsidP="555F38FD" wp14:paraId="3432A0AE" wp14:textId="28715CC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4"/>
          <w:szCs w:val="24"/>
          <w:lang w:val="en-US"/>
        </w:rPr>
      </w:pPr>
    </w:p>
    <w:p xmlns:wp14="http://schemas.microsoft.com/office/word/2010/wordml" w:rsidP="555F38FD" wp14:paraId="5EAE954C" wp14:textId="381C197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</w:p>
    <w:p xmlns:wp14="http://schemas.microsoft.com/office/word/2010/wordml" w:rsidP="555F38FD" wp14:paraId="794558D8" wp14:textId="7D22AAA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Your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Name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682C5D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Elena Diana Trandafir</w:t>
      </w:r>
    </w:p>
    <w:p xmlns:wp14="http://schemas.microsoft.com/office/word/2010/wordml" w:rsidP="555F38FD" wp14:paraId="07259272" wp14:textId="7009539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01B03484" wp14:textId="5D3C91B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Student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Number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4424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2427629</w:t>
      </w:r>
    </w:p>
    <w:p xmlns:wp14="http://schemas.microsoft.com/office/word/2010/wordml" w:rsidP="555F38FD" wp14:paraId="2D3EBAC8" wp14:textId="51783AF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1BE4F650" wp14:textId="7B38827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Module Code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Title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LCLM5002</w:t>
      </w:r>
    </w:p>
    <w:p xmlns:wp14="http://schemas.microsoft.com/office/word/2010/wordml" w:rsidP="555F38FD" wp14:paraId="7ACB848D" wp14:textId="04AD414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6F89B2C9" wp14:textId="3C0C1D4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Developing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Managing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Individuals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24D4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Teams</w:t>
      </w:r>
    </w:p>
    <w:p xmlns:wp14="http://schemas.microsoft.com/office/word/2010/wordml" w:rsidP="555F38FD" wp14:paraId="26168524" wp14:textId="44BF497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672D4CB2" wp14:textId="66D7C83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Lecturer’s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Name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6E0EE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Amer</w:t>
      </w:r>
      <w:r w:rsidRPr="555F38FD" w:rsidR="6E0EE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Kare</w:t>
      </w:r>
      <w:r w:rsidRPr="555F38FD" w:rsidR="7493BB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</w:t>
      </w:r>
    </w:p>
    <w:p xmlns:wp14="http://schemas.microsoft.com/office/word/2010/wordml" w:rsidP="555F38FD" wp14:paraId="2FB69776" wp14:textId="540A915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792979CB" wp14:textId="6D6B48B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07E2CF8B" wp14:textId="3709F99B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2B4971A6" wp14:textId="00748F3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TABLE OF CONTENTS</w:t>
      </w:r>
    </w:p>
    <w:p xmlns:wp14="http://schemas.microsoft.com/office/word/2010/wordml" w:rsidP="555F38FD" wp14:paraId="4C445BE9" wp14:textId="1BC5B2F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Introduction ............................................................................................................................ </w:t>
      </w:r>
      <w:r w:rsidRPr="555F38FD" w:rsidR="653F1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2</w:t>
      </w:r>
    </w:p>
    <w:p xmlns:wp14="http://schemas.microsoft.com/office/word/2010/wordml" w:rsidP="555F38FD" wp14:paraId="5E9A304B" wp14:textId="3AFDF6C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Explanation of the Specific Factors Related to Meeting Technological Advancement, Talent Acquisition and Retention, and Diversity,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Inclusion (DEI) ...........</w:t>
      </w:r>
      <w:r w:rsidRPr="555F38FD" w:rsidR="5935E7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....................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 2</w:t>
      </w:r>
    </w:p>
    <w:p xmlns:wp14="http://schemas.microsoft.com/office/word/2010/wordml" w:rsidP="555F38FD" wp14:paraId="658A7254" wp14:textId="17B559C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2.1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....................................................................................... 2</w:t>
      </w:r>
    </w:p>
    <w:p xmlns:wp14="http://schemas.microsoft.com/office/word/2010/wordml" w:rsidP="555F38FD" wp14:paraId="3FB92475" wp14:textId="2F02D35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2.2 Talent Acquisition and Retention ..............................................................................</w:t>
      </w:r>
      <w:r w:rsidRPr="555F38FD" w:rsidR="03D07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.. </w:t>
      </w:r>
      <w:r w:rsidRPr="555F38FD" w:rsidR="59BE8B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3</w:t>
      </w:r>
    </w:p>
    <w:p xmlns:wp14="http://schemas.microsoft.com/office/word/2010/wordml" w:rsidP="555F38FD" wp14:paraId="617C61C2" wp14:textId="627849F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2.3 Diversity,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Inclusion (DEI)........................................................................... </w:t>
      </w:r>
      <w:r w:rsidRPr="555F38FD" w:rsidR="5E9C4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</w:p>
    <w:p xmlns:wp14="http://schemas.microsoft.com/office/word/2010/wordml" w:rsidP="555F38FD" wp14:paraId="1F3DCB4A" wp14:textId="61E2107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Evaluation of Contemporary HR Practices to Address Each Factor ..........................</w:t>
      </w:r>
      <w:r w:rsidRPr="555F38FD" w:rsidR="753FC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...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.. </w:t>
      </w:r>
      <w:r w:rsidRPr="555F38FD" w:rsidR="3A3DD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3</w:t>
      </w:r>
    </w:p>
    <w:p xmlns:wp14="http://schemas.microsoft.com/office/word/2010/wordml" w:rsidP="555F38FD" wp14:paraId="29DF816A" wp14:textId="05C1A40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3.1 HR Practices for Meeting Technological Advancement .......................................</w:t>
      </w:r>
      <w:r w:rsidRPr="555F38FD" w:rsidR="4C13D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  <w:r w:rsidRPr="555F38FD" w:rsidR="534FCC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.. </w:t>
      </w:r>
      <w:r w:rsidRPr="555F38FD" w:rsidR="4B76B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3</w:t>
      </w:r>
    </w:p>
    <w:p xmlns:wp14="http://schemas.microsoft.com/office/word/2010/wordml" w:rsidP="555F38FD" wp14:paraId="772BE471" wp14:textId="1EEF403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3.2 HR Practices for Talent Acquisition and Retention ...............................................</w:t>
      </w:r>
      <w:r w:rsidRPr="555F38FD" w:rsidR="37571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..</w:t>
      </w:r>
      <w:r w:rsidRPr="555F38FD" w:rsidR="4F052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11805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4</w:t>
      </w:r>
    </w:p>
    <w:p xmlns:wp14="http://schemas.microsoft.com/office/word/2010/wordml" w:rsidP="555F38FD" wp14:paraId="4537C9F3" wp14:textId="4796989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3.3 HR Practices for Diversity,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and Inclusion (DEI) ......................................</w:t>
      </w:r>
      <w:r w:rsidRPr="555F38FD" w:rsidR="15EE9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......</w:t>
      </w:r>
      <w:r w:rsidRPr="555F38FD" w:rsidR="457C68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5F38FD" w:rsidR="4C75BC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</w:p>
    <w:p xmlns:wp14="http://schemas.microsoft.com/office/word/2010/wordml" w:rsidP="555F38FD" wp14:paraId="2331AC5C" wp14:textId="57357CA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555F38FD" w:rsidR="2940A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4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Critical Evaluation of How Departmental Managers Can Ensure These Contemporary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Practices Are Being Implemented as a Matter of</w:t>
      </w:r>
      <w:r w:rsidRPr="555F38FD" w:rsidR="00B7B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Urgency  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.......</w:t>
      </w:r>
      <w:r w:rsidRPr="555F38FD" w:rsidR="3592AB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............................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....</w:t>
      </w:r>
      <w:r w:rsidRPr="555F38FD" w:rsidR="52860A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...</w:t>
      </w:r>
      <w:r w:rsidRPr="555F38FD" w:rsidR="58B83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. </w:t>
      </w:r>
      <w:r w:rsidRPr="555F38FD" w:rsidR="515D8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</w:p>
    <w:p xmlns:wp14="http://schemas.microsoft.com/office/word/2010/wordml" w:rsidP="555F38FD" wp14:paraId="2564F295" wp14:textId="17D83BB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4DAE25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5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Conclusion and Recommendations ................................................................................ </w:t>
      </w:r>
      <w:r w:rsidRPr="555F38FD" w:rsidR="33F22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5</w:t>
      </w:r>
    </w:p>
    <w:p xmlns:wp14="http://schemas.microsoft.com/office/word/2010/wordml" w:rsidP="555F38FD" wp14:paraId="56E5839A" wp14:textId="728549B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Reference List ...............................................................................................................</w:t>
      </w:r>
      <w:r w:rsidRPr="555F38FD" w:rsidR="65354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...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... </w:t>
      </w:r>
      <w:r w:rsidRPr="555F38FD" w:rsidR="72EEE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6</w:t>
      </w:r>
    </w:p>
    <w:p xmlns:wp14="http://schemas.microsoft.com/office/word/2010/wordml" w:rsidP="555F38FD" wp14:paraId="45AEC2A9" wp14:textId="1E47659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0805AE24" wp14:textId="3DEF46A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2025858D" wp14:textId="7C22065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="4E2F116E">
        <w:drawing>
          <wp:inline xmlns:wp14="http://schemas.microsoft.com/office/word/2010/wordprocessingDrawing" wp14:editId="306FC324" wp14:anchorId="6912051A">
            <wp:extent cx="5724525" cy="2886075"/>
            <wp:effectExtent l="0" t="0" r="0" b="0"/>
            <wp:docPr id="207328685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3286857" name="Picture 2073286857"/>
                    <pic:cNvPicPr/>
                  </pic:nvPicPr>
                  <pic:blipFill>
                    <a:blip xmlns:r="http://schemas.openxmlformats.org/officeDocument/2006/relationships" r:embed="rId11601554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55F38FD" wp14:paraId="2FF1D464" wp14:textId="404A149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1.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Introduction</w:t>
      </w:r>
    </w:p>
    <w:p xmlns:wp14="http://schemas.microsoft.com/office/word/2010/wordml" w:rsidP="555F38FD" wp14:paraId="345EB362" wp14:textId="5A10A3CA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Unilever PLC,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one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world’s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largest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consumer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goods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companies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headquarters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London,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operates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dynamic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UK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global market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characterised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rapid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evolving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expectations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As an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practitioner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report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addresses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interconnected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challenges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meeting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Diversity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Inclusion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(DEI). It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explains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specific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involved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evaluates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contemporary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designed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tackle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critically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assesses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how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drive urgent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recent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initiatives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scholarly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sources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report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provides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targeted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recommendations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strengthen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organisation’s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people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maintain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competitive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advantage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4F297D77" wp14:textId="336FB3B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2.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Explanation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Specific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</w:p>
    <w:p xmlns:wp14="http://schemas.microsoft.com/office/word/2010/wordml" w:rsidP="555F38FD" wp14:paraId="64EF4741" wp14:textId="01FE7E6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6931B86F" wp14:textId="419BFED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2.1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Advancement</w:t>
      </w:r>
    </w:p>
    <w:p xmlns:wp14="http://schemas.microsoft.com/office/word/2010/wordml" w:rsidP="555F38FD" wp14:paraId="4027785D" wp14:textId="149104B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major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challenge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Unilever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company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accelerates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transformation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across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manufacturing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marketing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operations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2024,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trained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over 23,000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usage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enhance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decision-making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productivity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(Unilever, 2025a). The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integration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AI,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robotics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IoT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automation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Lighthouse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recognised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World Economic Forum)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delivers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efficiency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gains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but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creates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specific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pressures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Key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include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significant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gaps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data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analytics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literacy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tools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particularly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among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frontline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long-serving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Resistance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remains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common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new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are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perceived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threats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traditional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roles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Furthermore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integrating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without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disrupting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operations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a global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exceeding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155,000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people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requires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careful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management.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Unilever’s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five-year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IT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roadmap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highlights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updated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systems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shift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(Berkeley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Partnership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2025).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Competitors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adopting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smart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achieve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substantial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cost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reductions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faster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innovation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increasing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urgency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keep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pace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maintaining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product quality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engagement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Khatoon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, 2025).</w:t>
      </w:r>
    </w:p>
    <w:p xmlns:wp14="http://schemas.microsoft.com/office/word/2010/wordml" w:rsidP="555F38FD" wp14:paraId="286510C7" wp14:textId="6EF55CC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19389113" wp14:textId="43C1303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2.2 Talent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Retention</w:t>
      </w:r>
    </w:p>
    <w:p xmlns:wp14="http://schemas.microsoft.com/office/word/2010/wordml" w:rsidP="555F38FD" wp14:paraId="37396B7E" wp14:textId="3519086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constitute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another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pressing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issue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amid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UK’s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competitive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labour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market,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marked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shortages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digital, STEM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supply-chain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Post-pandemic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shifts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raised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expectations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flexible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continuous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purpose-driven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roles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Deloitte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2026). At Unilever,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attracting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digitally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fluent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challenging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due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aggressive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poaching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firms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threatened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burnout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high-pressure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supply-chain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positions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desire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career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The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company’s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platforms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flexible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arrangements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provide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some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relief,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yet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broader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pipelines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remain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stretched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risking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loss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critical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institutional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knowledge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Future-proofing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through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become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essential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evidenced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targeted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programmes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combine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upskilling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(Unilever, 2025b).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Without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increased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turnover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costs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reduced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organisational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capability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a market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scarce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7EE4B06C" wp14:textId="309BA75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163D723A" wp14:textId="72B85BA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2.3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Diversity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Inclusion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(DEI)</w:t>
      </w:r>
    </w:p>
    <w:p xmlns:wp14="http://schemas.microsoft.com/office/word/2010/wordml" w:rsidP="555F38FD" wp14:paraId="4D30F0FD" wp14:textId="20F58CB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Diversity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Inclusion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(DEI)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represents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both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legal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obligation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under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UK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Equality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Act 2010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strategic business imperative. Unilever must reflect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diversity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global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consumer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base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drive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innovation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maintain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brand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reputation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Specific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include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under-representation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ethnic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minorities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people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disadvantaged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backgrounds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senior leadership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roles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gender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imbalances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certain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functions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greater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accessibility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disabled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neurodiverse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individuals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progress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made –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example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achieving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55%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women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management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positions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globally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– persistent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gaps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racial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ethnic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social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inclusive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recruitment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remain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evident (Unilever, 2024). Diverse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teams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are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shown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generate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higher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revenue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better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problem-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solving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;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however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failure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reputational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damage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legal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risks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lower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engagement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reduced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innovation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capacity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McKinsey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cited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Unilever EDI Report, 2024).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factors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are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deeply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interconnected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create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new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demands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influence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strong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ensure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equitable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opportunities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foster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an inclusive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culture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necessary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successful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transformation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59547DE6" wp14:textId="3DBC94B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3.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Evaluation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Contemporary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</w:p>
    <w:p xmlns:wp14="http://schemas.microsoft.com/office/word/2010/wordml" w:rsidP="555F38FD" wp14:paraId="39021AB9" wp14:textId="34D8C6B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16F2C81E" wp14:textId="34834F7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3.1 HR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for Meeting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Advancement</w:t>
      </w:r>
    </w:p>
    <w:p xmlns:wp14="http://schemas.microsoft.com/office/word/2010/wordml" w:rsidP="555F38FD" wp14:paraId="262F766E" wp14:textId="60C1D00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addresses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through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comprehensive AI-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driven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platforms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innovative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“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Employee-generated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”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initiative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empowers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experts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create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share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content.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approach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accelerated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adoption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across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functions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significantly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reducing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reliance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external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providers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cultivating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culture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continuous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Technologies, 2026; Unilever, 2025c).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Blended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programmes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combine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soft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help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mitigate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risks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polarisation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disengagement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Akter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et al., 2024). Recent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examples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include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tailored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workshops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drop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-in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clinics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champions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leadership modelling of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usage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resulting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over 75%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office-based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certain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divisions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becoming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regular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tool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users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The practice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evaluated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highly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scalable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cost-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particularly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partnerships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multi-year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collaboration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Google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Cloud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infrastructure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However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success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depends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ongoing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evaluation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return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investment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ensuring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human-centred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design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avoid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exacerbating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inequalities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6E92EB5C" wp14:textId="24355A9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42132F5C" wp14:textId="3268CAC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3.2 HR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for Talent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Retention</w:t>
      </w:r>
    </w:p>
    <w:p xmlns:wp14="http://schemas.microsoft.com/office/word/2010/wordml" w:rsidP="555F38FD" wp14:paraId="0C5D82B5" wp14:textId="2069E12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For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data-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driven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branding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recruitment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tools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alongside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personalised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career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pathways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The company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leverages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strong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purpose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-led brand –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focused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sustainable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living –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through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targeted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social media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campaigns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gamified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assessment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processes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appeal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Gen Z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digitally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native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candidates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Careers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2025).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platforms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between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projects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locations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globally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enhancing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offering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varied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career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opportunities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reducing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turnover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Scholarly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research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effectiveness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hybrid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human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recruitment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models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improve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candidate quality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30%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minimising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bias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properly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monitored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(Dima, 2024).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roles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combining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initiatives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shown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positive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results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engagement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productivity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Limitations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include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potential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algorithmic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bias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tools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if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data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lacks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diversity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Naoum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2026).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Overall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Unilever’s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integrated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approach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contemporary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but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requires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continuous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auditing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alignment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expectations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flexibility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growth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5E6138CB" wp14:textId="7187A88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2F69F747" wp14:textId="65CBE94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3.3 HR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Diversity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Inclusion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(DEI)</w:t>
      </w:r>
    </w:p>
    <w:p xmlns:wp14="http://schemas.microsoft.com/office/word/2010/wordml" w:rsidP="555F38FD" wp14:paraId="13F98F54" wp14:textId="3E91F17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DEI,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inclusive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recruitment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frameworks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including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blind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CV screening,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balanced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candidate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slates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diverse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interview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panels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mandatory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unconscious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bias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leaders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The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Racial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Ethnic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Taskforce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ambassador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networks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ensures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global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are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adapted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locally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maintaining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accountability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(Unilever, 2024).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Embedding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metrics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processes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linking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leadership performance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demonstrably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improved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representation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under-represented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groups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Trahan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2023).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Additional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strengths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include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efforts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make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accessible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neurodiversity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through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awareness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reasonable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adjustments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are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credible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backed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data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surveys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UniVoice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However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risks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performative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persist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if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initiatives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lack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genuine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resource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commitment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measurable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outcomes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properly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integrated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enhance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innovation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employee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belonging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making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cornerstone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Unilever’s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contemporary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approach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42D718F7" wp14:textId="1DFF785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74A14FAF" wp14:textId="6748C926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4.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Critical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Evaluation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How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Ensure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Implementation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as a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Matter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Urgency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</w:p>
    <w:p xmlns:wp14="http://schemas.microsoft.com/office/word/2010/wordml" w:rsidP="555F38FD" wp14:paraId="6E760AE5" wp14:textId="7A78477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serve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critical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bridge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between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day-to-day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operations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making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their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role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essential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urgent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drive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momentum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require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targeted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management,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literacy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inclusive leadership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actively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co-own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upskilling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targets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metrics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dashboards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2025).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Accountability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mechanisms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incorporating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progress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performance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reviews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create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clear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incentives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prioritisation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(Unilever, 2024). Regular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pulse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surveys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real-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time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analytics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further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early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identification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correction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gaps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5A062F25" wp14:textId="3EC669E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Visible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leadership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strengthens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urgency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: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personally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participate in AI training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sessions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champion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diverse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hiring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panels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model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desired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behaviours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build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psychological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safety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across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teams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Empathetic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communication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helps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address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resistance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framing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as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opportunities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higher-value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rather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job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threats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Khatoon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2025).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However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critical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limitations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exist.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Without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adequate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resourcing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dedicated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experience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role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overload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superficial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rather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meaningful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adoption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Fogarassy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2017).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Unilever’s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decentralised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structure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risk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inconsistent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application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across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different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UK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functions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remains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significant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if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central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governance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weak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566BE575" wp14:textId="54B633D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Another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challenge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“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urgency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paradox,”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short-term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operational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pressures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overshadow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long-term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goals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mitigate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embedding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related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KPIs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scorecards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quarterly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reviews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align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priorities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effectively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Senior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sponsorship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equally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vital;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without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visible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commitment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leadership,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motivated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struggle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sustain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momentum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Overall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while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possess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proximity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influence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needed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successful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urgent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their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effectiveness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depends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heavily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organisational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structures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sufficient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resources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balanced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approach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integrates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objectives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When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elements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align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Unilever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translate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contemporary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tangible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competitive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advantages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77A7204C" wp14:textId="74B6014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38A39624" wp14:textId="39E4212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5.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Conclusion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Recommendations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</w:p>
    <w:p xmlns:wp14="http://schemas.microsoft.com/office/word/2010/wordml" w:rsidP="555F38FD" wp14:paraId="0CF0AF88" wp14:textId="54727CB1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conclusion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technological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advancement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form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interconnected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challenges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that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Unilever must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address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proactively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sustain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UK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global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markets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.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Contemporary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practices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–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ranging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enabled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data-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driven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accountable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frameworks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–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provide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robust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solutions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provided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are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genuine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urgency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supported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strong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governance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4755CA24" wp14:textId="01746EF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0312A302" wp14:textId="178E0797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Recommendations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:</w:t>
      </w:r>
    </w:p>
    <w:p xmlns:wp14="http://schemas.microsoft.com/office/word/2010/wordml" w:rsidP="555F38FD" wp14:paraId="5FB8ECC5" wp14:textId="6134D888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Establish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cross-functional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“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Future-Ready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”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taskforce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reporting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directly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UK Executive Board,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clear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quarterly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progress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dashboards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32C773E0" wp14:textId="2CF2860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Mandate comprehensive digital leadership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unconscious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bias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training for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departmental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within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next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six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months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22C4368E" wp14:textId="5521EF3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Integrate DEI,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skills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development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retention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KPIs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every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performance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objectives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meaningful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weighting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62107656" wp14:textId="3C6FAE30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Accelerate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pilot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rollout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enhanced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powered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internal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mobility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platforms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across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UK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operations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2026.</w:t>
      </w:r>
    </w:p>
    <w:p xmlns:wp14="http://schemas.microsoft.com/office/word/2010/wordml" w:rsidP="555F38FD" wp14:paraId="6E809973" wp14:textId="4713390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Commission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an independent audit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recruitment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algorithms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identify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eliminate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potential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biases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with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transparent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publication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findings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020D3E97" wp14:textId="296E47B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Implementing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these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recommendations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will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position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Unilever as 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leader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people-centric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inclusive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transformation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69809C07" wp14:textId="50FBC81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Word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count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: 1,995 (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excluding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Title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Page, Table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Contents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Reference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List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)</w:t>
      </w:r>
    </w:p>
    <w:p xmlns:wp14="http://schemas.microsoft.com/office/word/2010/wordml" w:rsidP="555F38FD" wp14:paraId="75B3BB75" wp14:textId="4E690ABB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29FF79BA" wp14:textId="611D3354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="7AF01F64">
        <w:drawing>
          <wp:inline xmlns:wp14="http://schemas.microsoft.com/office/word/2010/wordprocessingDrawing" wp14:editId="082D68BD" wp14:anchorId="2D2CA090">
            <wp:extent cx="3876675" cy="2533650"/>
            <wp:effectExtent l="0" t="0" r="0" b="0"/>
            <wp:docPr id="157708111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7081112" name="Picture 1577081112"/>
                    <pic:cNvPicPr/>
                  </pic:nvPicPr>
                  <pic:blipFill>
                    <a:blip xmlns:r="http://schemas.openxmlformats.org/officeDocument/2006/relationships" r:embed="rId20847484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876675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55F38FD" wp14:paraId="58E85154" wp14:textId="10448ED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</w:p>
    <w:p xmlns:wp14="http://schemas.microsoft.com/office/word/2010/wordml" w:rsidP="555F38FD" wp14:paraId="43DF545D" wp14:textId="7D4BA6B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80340D" w:themeColor="accent2" w:themeTint="FF" w:themeShade="80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Reference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List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 xml:space="preserve"> (Harvard 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style</w:t>
      </w:r>
      <w:r w:rsidRPr="555F38FD" w:rsidR="7D1177D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75317" w:themeColor="accent6" w:themeTint="FF" w:themeShade="80"/>
          <w:sz w:val="22"/>
          <w:szCs w:val="22"/>
          <w:lang w:val="ro-RO"/>
        </w:rPr>
        <w:t>)</w:t>
      </w:r>
    </w:p>
    <w:p xmlns:wp14="http://schemas.microsoft.com/office/word/2010/wordml" w:rsidP="555F38FD" wp14:paraId="4C27FD5C" wp14:textId="1451DE4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Akter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, S. et al. (2024) ‘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Mastering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transformation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workforce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management’,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Production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Planning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&amp; Control.</w:t>
      </w:r>
    </w:p>
    <w:p xmlns:wp14="http://schemas.microsoft.com/office/word/2010/wordml" w:rsidP="555F38FD" wp14:paraId="053C861F" wp14:textId="63A12493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Berkeley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Partnership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(2025) Unilever – HR IT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roadmap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2D051EA2" wp14:textId="107946CE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Deloitte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(2026) 2026 Global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Human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Capital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Trends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60A1CB9A" wp14:textId="1187F5A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Dima, J. (2024) ‘The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effects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artificial intelligence on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human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resource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management’.</w:t>
      </w:r>
    </w:p>
    <w:p xmlns:wp14="http://schemas.microsoft.com/office/word/2010/wordml" w:rsidP="555F38FD" wp14:paraId="7FEEC8DF" wp14:textId="3236ADA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Fogarassy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, C. (2017) ‘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Critical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issues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human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resource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planning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’, SAGE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Journals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42D892F9" wp14:textId="4EF7C74C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Khatoon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, U.T. (2025) ‘Technology-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Driven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Change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in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Human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Resource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Management’, MDPI.</w:t>
      </w:r>
    </w:p>
    <w:p xmlns:wp14="http://schemas.microsoft.com/office/word/2010/wordml" w:rsidP="555F38FD" wp14:paraId="01C0666E" wp14:textId="3A4787BF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Kure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(2025) ‘Line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managers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’ role in digital HR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adoption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’.</w:t>
      </w:r>
    </w:p>
    <w:p xmlns:wp14="http://schemas.microsoft.com/office/word/2010/wordml" w:rsidP="555F38FD" wp14:paraId="6895673C" wp14:textId="36CA628D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Technologies (2026) ‘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learning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business impact: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lessons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from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Unilever’.</w:t>
      </w:r>
    </w:p>
    <w:p xmlns:wp14="http://schemas.microsoft.com/office/word/2010/wordml" w:rsidP="555F38FD" wp14:paraId="2FB3A95D" wp14:textId="330958F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Naoum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R.F. (2026) ‘A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systematic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review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of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AI’s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dual impact on DEI’.</w:t>
      </w:r>
    </w:p>
    <w:p xmlns:wp14="http://schemas.microsoft.com/office/word/2010/wordml" w:rsidP="555F38FD" wp14:paraId="7008FF03" wp14:textId="2C8E2702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Trahan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, M.R. (2023) ‘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Integrating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DEI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strategies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into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acquisition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’.</w:t>
      </w:r>
    </w:p>
    <w:p xmlns:wp14="http://schemas.microsoft.com/office/word/2010/wordml" w:rsidP="555F38FD" wp14:paraId="019DC33B" wp14:textId="0EB06439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Unilever (2024)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Equity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for Impact – EDI Report.</w:t>
      </w:r>
    </w:p>
    <w:p xmlns:wp14="http://schemas.microsoft.com/office/word/2010/wordml" w:rsidP="555F38FD" wp14:paraId="1961AF6A" wp14:textId="4CD9C365">
      <w:pPr>
        <w:shd w:val="clear" w:color="auto" w:fill="FFFFFF" w:themeFill="background1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</w:pP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Unilever (2025a, 2025b, 2025c)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Various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company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reports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news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on digital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transformation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, talent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and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 xml:space="preserve"> AI 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initiatives</w:t>
      </w:r>
      <w:r w:rsidRPr="555F38FD" w:rsidR="7D1177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ro-RO"/>
        </w:rPr>
        <w:t>.</w:t>
      </w:r>
    </w:p>
    <w:p xmlns:wp14="http://schemas.microsoft.com/office/word/2010/wordml" w:rsidP="555F38FD" wp14:paraId="222AC4F6" wp14:textId="43176FF8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GWJd45rF+aqQQ1" int2:id="F7wgUyT6">
      <int2:state int2:type="spell" int2:value="Rejected"/>
    </int2:textHash>
    <int2:textHash int2:hashCode="q/csBcjDEn7J+2" int2:id="Yx7fJUyg">
      <int2:state int2:type="spell" int2:value="Rejected"/>
    </int2:textHash>
    <int2:textHash int2:hashCode="gbeB051i6dDicu" int2:id="NuVpZ2U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166EAC"/>
    <w:rsid w:val="00B7B10D"/>
    <w:rsid w:val="031CA7A6"/>
    <w:rsid w:val="03D07754"/>
    <w:rsid w:val="0547F0CC"/>
    <w:rsid w:val="055A72D1"/>
    <w:rsid w:val="0DEF73DE"/>
    <w:rsid w:val="0E214F64"/>
    <w:rsid w:val="113BBE0B"/>
    <w:rsid w:val="1180518E"/>
    <w:rsid w:val="127B75C3"/>
    <w:rsid w:val="14C18016"/>
    <w:rsid w:val="153FF4C7"/>
    <w:rsid w:val="15EE9C50"/>
    <w:rsid w:val="17BB316F"/>
    <w:rsid w:val="1D26A4F6"/>
    <w:rsid w:val="1D974F2C"/>
    <w:rsid w:val="1E166EAC"/>
    <w:rsid w:val="2147C663"/>
    <w:rsid w:val="22678F45"/>
    <w:rsid w:val="263EA3B6"/>
    <w:rsid w:val="27AFEC68"/>
    <w:rsid w:val="2940A8F4"/>
    <w:rsid w:val="2B15E0C8"/>
    <w:rsid w:val="2C047A32"/>
    <w:rsid w:val="2C3729B9"/>
    <w:rsid w:val="2D986CBB"/>
    <w:rsid w:val="2F8234E1"/>
    <w:rsid w:val="33F22DF3"/>
    <w:rsid w:val="3592AB30"/>
    <w:rsid w:val="375712EF"/>
    <w:rsid w:val="37722A3C"/>
    <w:rsid w:val="3992D273"/>
    <w:rsid w:val="3A3DD296"/>
    <w:rsid w:val="3CAB09A6"/>
    <w:rsid w:val="3CDF11BB"/>
    <w:rsid w:val="3D809F11"/>
    <w:rsid w:val="3DD26D8C"/>
    <w:rsid w:val="3FDF44EF"/>
    <w:rsid w:val="431712F2"/>
    <w:rsid w:val="4424AC68"/>
    <w:rsid w:val="44615095"/>
    <w:rsid w:val="457C68D9"/>
    <w:rsid w:val="459CE3DD"/>
    <w:rsid w:val="45FD2E4E"/>
    <w:rsid w:val="4A916505"/>
    <w:rsid w:val="4B76B58F"/>
    <w:rsid w:val="4C13DBB8"/>
    <w:rsid w:val="4C6390B2"/>
    <w:rsid w:val="4C75BC19"/>
    <w:rsid w:val="4DAE25F9"/>
    <w:rsid w:val="4E2F116E"/>
    <w:rsid w:val="4F05238C"/>
    <w:rsid w:val="515D84E8"/>
    <w:rsid w:val="523C7A1F"/>
    <w:rsid w:val="52860A19"/>
    <w:rsid w:val="534FCC2C"/>
    <w:rsid w:val="544BD44B"/>
    <w:rsid w:val="555F38FD"/>
    <w:rsid w:val="5577ED96"/>
    <w:rsid w:val="560BE87D"/>
    <w:rsid w:val="56AC9AE7"/>
    <w:rsid w:val="5862A3D7"/>
    <w:rsid w:val="58B83F04"/>
    <w:rsid w:val="5935E718"/>
    <w:rsid w:val="59BE8B8E"/>
    <w:rsid w:val="5B2C3DED"/>
    <w:rsid w:val="5BB57361"/>
    <w:rsid w:val="5DEACA75"/>
    <w:rsid w:val="5E297DF2"/>
    <w:rsid w:val="5E9C4896"/>
    <w:rsid w:val="61A79AE3"/>
    <w:rsid w:val="628E6544"/>
    <w:rsid w:val="6396B032"/>
    <w:rsid w:val="65354046"/>
    <w:rsid w:val="653F185A"/>
    <w:rsid w:val="658A86C5"/>
    <w:rsid w:val="667A3334"/>
    <w:rsid w:val="67D40851"/>
    <w:rsid w:val="682C5D05"/>
    <w:rsid w:val="6A96485B"/>
    <w:rsid w:val="6C3F4C37"/>
    <w:rsid w:val="6D22F6B5"/>
    <w:rsid w:val="6DCE0D3B"/>
    <w:rsid w:val="6E0EE4D2"/>
    <w:rsid w:val="6F2E3037"/>
    <w:rsid w:val="6FD94A2F"/>
    <w:rsid w:val="7111BB29"/>
    <w:rsid w:val="724D4881"/>
    <w:rsid w:val="72A558CB"/>
    <w:rsid w:val="72EEEF93"/>
    <w:rsid w:val="74703A63"/>
    <w:rsid w:val="7493BBAB"/>
    <w:rsid w:val="753FCE80"/>
    <w:rsid w:val="7A3E0332"/>
    <w:rsid w:val="7A57C3A0"/>
    <w:rsid w:val="7A60CB5C"/>
    <w:rsid w:val="7AF01F64"/>
    <w:rsid w:val="7D1177D7"/>
    <w:rsid w:val="7D20B562"/>
    <w:rsid w:val="7E76A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3C164"/>
  <w15:chartTrackingRefBased/>
  <w15:docId w15:val="{B249D1CA-8168-4124-859D-6B12E26504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334933022" /><Relationship Type="http://schemas.openxmlformats.org/officeDocument/2006/relationships/image" Target="/media/image.jpg" Id="rId1160155443" /><Relationship Type="http://schemas.openxmlformats.org/officeDocument/2006/relationships/image" Target="/media/image2.png" Id="rId2084748487" /><Relationship Type="http://schemas.microsoft.com/office/2020/10/relationships/intelligence" Target="intelligence2.xml" Id="R96f76a327a8d4d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2026-04-19T07:53:19.4184071Z</dcterms:created>
  <dcterms:modified xsi:type="dcterms:W3CDTF">2026-04-19T08:50:06.7707482Z</dcterms:modified>
  <dc:creator>Elena Diana Trandafir (2427629)</dc:creator>
  <lastModifiedBy>Elena Diana Trandafir (2427629)</lastModifiedBy>
</coreProperties>
</file>