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D6106" w14:textId="07AC21D2" w:rsidR="006C6F82" w:rsidRDefault="00924F78" w:rsidP="00BA2244">
      <w:pPr>
        <w:spacing w:after="0"/>
        <w:rPr>
          <w:rFonts w:cstheme="minorHAnsi"/>
          <w:b/>
          <w:sz w:val="24"/>
          <w:szCs w:val="24"/>
          <w:u w:val="single"/>
        </w:rPr>
      </w:pPr>
      <w:r w:rsidRPr="00980C89">
        <w:rPr>
          <w:rFonts w:cstheme="minorHAnsi"/>
          <w:b/>
          <w:sz w:val="24"/>
          <w:szCs w:val="24"/>
          <w:u w:val="single"/>
        </w:rPr>
        <w:t>HOW AND WHY HAS ALEXANDER BEEN USED AS A FIGURE IN LATIN TEXTS WHICH TREAT RULING AND POWER?</w:t>
      </w:r>
    </w:p>
    <w:p w14:paraId="719A3427" w14:textId="77777777" w:rsidR="00BA2244" w:rsidRPr="00980C89" w:rsidRDefault="00BA2244" w:rsidP="00BA2244">
      <w:pPr>
        <w:spacing w:after="0"/>
        <w:rPr>
          <w:rFonts w:cstheme="minorHAnsi"/>
          <w:b/>
          <w:sz w:val="24"/>
          <w:szCs w:val="24"/>
          <w:u w:val="single"/>
        </w:rPr>
      </w:pPr>
    </w:p>
    <w:p w14:paraId="2544C2A9" w14:textId="322209F6" w:rsidR="00DE7B5D" w:rsidRDefault="00924F78" w:rsidP="00BA2244">
      <w:pPr>
        <w:spacing w:after="0"/>
        <w:rPr>
          <w:rFonts w:cstheme="minorHAnsi"/>
          <w:sz w:val="24"/>
          <w:szCs w:val="24"/>
        </w:rPr>
      </w:pPr>
      <w:r w:rsidRPr="00980C89">
        <w:rPr>
          <w:rFonts w:cstheme="minorHAnsi"/>
          <w:sz w:val="24"/>
          <w:szCs w:val="24"/>
        </w:rPr>
        <w:t xml:space="preserve">In his explosively controversial book on Alexander the Great, Tarn was initially disparaging about Quintus </w:t>
      </w:r>
      <w:proofErr w:type="spellStart"/>
      <w:r w:rsidRPr="00980C89">
        <w:rPr>
          <w:rFonts w:cstheme="minorHAnsi"/>
          <w:sz w:val="24"/>
          <w:szCs w:val="24"/>
        </w:rPr>
        <w:t>Curtius</w:t>
      </w:r>
      <w:proofErr w:type="spellEnd"/>
      <w:r w:rsidRPr="00980C89">
        <w:rPr>
          <w:rFonts w:cstheme="minorHAnsi"/>
          <w:sz w:val="24"/>
          <w:szCs w:val="24"/>
        </w:rPr>
        <w:t xml:space="preserve"> Rufus’ </w:t>
      </w:r>
      <w:r w:rsidRPr="00980C89">
        <w:rPr>
          <w:rFonts w:cstheme="minorHAnsi"/>
          <w:i/>
          <w:sz w:val="24"/>
          <w:szCs w:val="24"/>
        </w:rPr>
        <w:t xml:space="preserve">De </w:t>
      </w:r>
      <w:proofErr w:type="spellStart"/>
      <w:r w:rsidRPr="00980C89">
        <w:rPr>
          <w:rFonts w:cstheme="minorHAnsi"/>
          <w:i/>
          <w:sz w:val="24"/>
          <w:szCs w:val="24"/>
        </w:rPr>
        <w:t>gestis</w:t>
      </w:r>
      <w:proofErr w:type="spellEnd"/>
      <w:r w:rsidRPr="00980C89">
        <w:rPr>
          <w:rFonts w:cstheme="minorHAnsi"/>
          <w:i/>
          <w:sz w:val="24"/>
          <w:szCs w:val="24"/>
        </w:rPr>
        <w:t xml:space="preserve"> </w:t>
      </w:r>
      <w:proofErr w:type="spellStart"/>
      <w:r w:rsidRPr="00980C89">
        <w:rPr>
          <w:rFonts w:cstheme="minorHAnsi"/>
          <w:i/>
          <w:sz w:val="24"/>
          <w:szCs w:val="24"/>
        </w:rPr>
        <w:t>Alexandrii</w:t>
      </w:r>
      <w:proofErr w:type="spellEnd"/>
      <w:r w:rsidRPr="00980C89">
        <w:rPr>
          <w:rFonts w:cstheme="minorHAnsi"/>
          <w:i/>
          <w:sz w:val="24"/>
          <w:szCs w:val="24"/>
        </w:rPr>
        <w:t xml:space="preserve"> </w:t>
      </w:r>
      <w:proofErr w:type="spellStart"/>
      <w:r w:rsidRPr="00980C89">
        <w:rPr>
          <w:rFonts w:cstheme="minorHAnsi"/>
          <w:i/>
          <w:sz w:val="24"/>
          <w:szCs w:val="24"/>
        </w:rPr>
        <w:t>Magni</w:t>
      </w:r>
      <w:proofErr w:type="spellEnd"/>
      <w:r w:rsidR="00C92118">
        <w:rPr>
          <w:rFonts w:cstheme="minorHAnsi"/>
          <w:sz w:val="24"/>
          <w:szCs w:val="24"/>
        </w:rPr>
        <w:t>:</w:t>
      </w:r>
    </w:p>
    <w:p w14:paraId="29409262" w14:textId="77777777" w:rsidR="00DE7B5D" w:rsidRDefault="00DE7B5D" w:rsidP="00BA2244">
      <w:pPr>
        <w:spacing w:after="0"/>
        <w:rPr>
          <w:rFonts w:cstheme="minorHAnsi"/>
          <w:sz w:val="24"/>
          <w:szCs w:val="24"/>
        </w:rPr>
      </w:pPr>
    </w:p>
    <w:p w14:paraId="63F89B93" w14:textId="2D3C94DE" w:rsidR="00DE7B5D" w:rsidRDefault="00924F78" w:rsidP="00DE7B5D">
      <w:pPr>
        <w:spacing w:after="0"/>
        <w:ind w:left="720"/>
        <w:rPr>
          <w:rFonts w:cstheme="minorHAnsi"/>
          <w:sz w:val="24"/>
          <w:szCs w:val="24"/>
        </w:rPr>
      </w:pPr>
      <w:r w:rsidRPr="00980C89">
        <w:rPr>
          <w:rFonts w:cstheme="minorHAnsi"/>
          <w:sz w:val="24"/>
          <w:szCs w:val="24"/>
        </w:rPr>
        <w:t>He presents a mass of problems, and the first is why his book was ever written.  The reason for the existence of all the other extant works on Alexander is known; the reason for this one cannot even be guessed</w:t>
      </w:r>
      <w:r w:rsidR="00880C40" w:rsidRPr="00980C89">
        <w:rPr>
          <w:rFonts w:cstheme="minorHAnsi"/>
          <w:sz w:val="24"/>
          <w:szCs w:val="24"/>
        </w:rPr>
        <w:t>.</w:t>
      </w:r>
      <w:r>
        <w:rPr>
          <w:rStyle w:val="FootnoteReference"/>
          <w:rFonts w:cstheme="minorHAnsi"/>
          <w:sz w:val="24"/>
          <w:szCs w:val="24"/>
        </w:rPr>
        <w:footnoteReference w:id="1"/>
      </w:r>
      <w:r w:rsidR="00880C40" w:rsidRPr="00980C89">
        <w:rPr>
          <w:rFonts w:cstheme="minorHAnsi"/>
          <w:sz w:val="24"/>
          <w:szCs w:val="24"/>
        </w:rPr>
        <w:t xml:space="preserve"> </w:t>
      </w:r>
      <w:r w:rsidR="00603C3A">
        <w:rPr>
          <w:rFonts w:cstheme="minorHAnsi"/>
          <w:sz w:val="24"/>
          <w:szCs w:val="24"/>
        </w:rPr>
        <w:t xml:space="preserve"> </w:t>
      </w:r>
    </w:p>
    <w:p w14:paraId="0827C545" w14:textId="77777777" w:rsidR="00DE7B5D" w:rsidRDefault="00DE7B5D" w:rsidP="00DE7B5D">
      <w:pPr>
        <w:spacing w:after="0"/>
        <w:ind w:left="720"/>
        <w:rPr>
          <w:rFonts w:cstheme="minorHAnsi"/>
          <w:sz w:val="24"/>
          <w:szCs w:val="24"/>
        </w:rPr>
      </w:pPr>
    </w:p>
    <w:p w14:paraId="4BA0142C" w14:textId="5FC76476" w:rsidR="006C6F82" w:rsidRDefault="00924F78" w:rsidP="00BA2244">
      <w:pPr>
        <w:spacing w:after="0"/>
        <w:rPr>
          <w:rFonts w:cstheme="minorHAnsi"/>
          <w:sz w:val="24"/>
          <w:szCs w:val="24"/>
        </w:rPr>
      </w:pPr>
      <w:r w:rsidRPr="00980C89">
        <w:rPr>
          <w:rFonts w:cstheme="minorHAnsi"/>
          <w:sz w:val="24"/>
          <w:szCs w:val="24"/>
        </w:rPr>
        <w:t>Softening his opening demolition, Tarn admits that despite its failings, it represents "an attempt at a serious history" even though it "is undoubtedly coloured by the peculiar personality of the author</w:t>
      </w:r>
      <w:r w:rsidR="00880C40"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2"/>
      </w:r>
      <w:r w:rsidRPr="00980C89">
        <w:rPr>
          <w:rFonts w:cstheme="minorHAnsi"/>
          <w:sz w:val="24"/>
          <w:szCs w:val="24"/>
        </w:rPr>
        <w:t xml:space="preserve"> </w:t>
      </w:r>
      <w:r w:rsidR="00880C40" w:rsidRPr="00980C89">
        <w:rPr>
          <w:rFonts w:cstheme="minorHAnsi"/>
          <w:sz w:val="24"/>
          <w:szCs w:val="24"/>
        </w:rPr>
        <w:t xml:space="preserve"> </w:t>
      </w:r>
      <w:r w:rsidRPr="00980C89">
        <w:rPr>
          <w:rFonts w:cstheme="minorHAnsi"/>
          <w:sz w:val="24"/>
          <w:szCs w:val="24"/>
        </w:rPr>
        <w:t xml:space="preserve">Echoing the title of </w:t>
      </w:r>
      <w:proofErr w:type="spellStart"/>
      <w:r w:rsidRPr="00980C89">
        <w:rPr>
          <w:rFonts w:cstheme="minorHAnsi"/>
          <w:sz w:val="24"/>
          <w:szCs w:val="24"/>
        </w:rPr>
        <w:t>Baynham’s</w:t>
      </w:r>
      <w:proofErr w:type="spellEnd"/>
      <w:r w:rsidRPr="00980C89">
        <w:rPr>
          <w:rFonts w:cstheme="minorHAnsi"/>
          <w:sz w:val="24"/>
          <w:szCs w:val="24"/>
        </w:rPr>
        <w:t xml:space="preserve"> </w:t>
      </w:r>
      <w:r w:rsidR="00DE7B5D">
        <w:rPr>
          <w:rFonts w:cstheme="minorHAnsi"/>
          <w:sz w:val="24"/>
          <w:szCs w:val="24"/>
        </w:rPr>
        <w:t>‘</w:t>
      </w:r>
      <w:r w:rsidRPr="00980C89">
        <w:rPr>
          <w:rFonts w:cstheme="minorHAnsi"/>
          <w:i/>
          <w:iCs/>
          <w:sz w:val="24"/>
          <w:szCs w:val="24"/>
        </w:rPr>
        <w:t xml:space="preserve">Alexander the Great.  The Unique History of </w:t>
      </w:r>
      <w:proofErr w:type="spellStart"/>
      <w:r w:rsidRPr="00980C89">
        <w:rPr>
          <w:rFonts w:cstheme="minorHAnsi"/>
          <w:i/>
          <w:iCs/>
          <w:sz w:val="24"/>
          <w:szCs w:val="24"/>
        </w:rPr>
        <w:t>Quintius</w:t>
      </w:r>
      <w:proofErr w:type="spellEnd"/>
      <w:r w:rsidRPr="00980C89">
        <w:rPr>
          <w:rFonts w:cstheme="minorHAnsi"/>
          <w:i/>
          <w:iCs/>
          <w:sz w:val="24"/>
          <w:szCs w:val="24"/>
        </w:rPr>
        <w:t xml:space="preserve"> </w:t>
      </w:r>
      <w:proofErr w:type="spellStart"/>
      <w:r w:rsidRPr="00980C89">
        <w:rPr>
          <w:rFonts w:cstheme="minorHAnsi"/>
          <w:i/>
          <w:iCs/>
          <w:sz w:val="24"/>
          <w:szCs w:val="24"/>
        </w:rPr>
        <w:t>Curtius</w:t>
      </w:r>
      <w:proofErr w:type="spellEnd"/>
      <w:r w:rsidR="00DE7B5D">
        <w:rPr>
          <w:rFonts w:cstheme="minorHAnsi"/>
          <w:sz w:val="24"/>
          <w:szCs w:val="24"/>
        </w:rPr>
        <w:t>’</w:t>
      </w:r>
      <w:r w:rsidRPr="00980C89">
        <w:rPr>
          <w:rFonts w:cstheme="minorHAnsi"/>
          <w:sz w:val="24"/>
          <w:szCs w:val="24"/>
        </w:rPr>
        <w:t xml:space="preserve">, </w:t>
      </w:r>
      <w:proofErr w:type="spellStart"/>
      <w:r w:rsidRPr="00980C89">
        <w:rPr>
          <w:rFonts w:cstheme="minorHAnsi"/>
          <w:sz w:val="24"/>
          <w:szCs w:val="24"/>
        </w:rPr>
        <w:t>Curtius</w:t>
      </w:r>
      <w:proofErr w:type="spellEnd"/>
      <w:r w:rsidRPr="00980C89">
        <w:rPr>
          <w:rFonts w:cstheme="minorHAnsi"/>
          <w:sz w:val="24"/>
          <w:szCs w:val="24"/>
        </w:rPr>
        <w:t xml:space="preserve"> is indeed unique in that his work remains the only full-length Latin history of Alexander the Great.</w:t>
      </w:r>
      <w:r>
        <w:rPr>
          <w:rStyle w:val="FootnoteReference"/>
          <w:rFonts w:cstheme="minorHAnsi"/>
          <w:sz w:val="24"/>
          <w:szCs w:val="24"/>
        </w:rPr>
        <w:footnoteReference w:id="3"/>
      </w:r>
      <w:r w:rsidRPr="00980C89">
        <w:rPr>
          <w:rFonts w:cstheme="minorHAnsi"/>
          <w:sz w:val="24"/>
          <w:szCs w:val="24"/>
        </w:rPr>
        <w:t xml:space="preserve"> </w:t>
      </w:r>
      <w:r w:rsidR="00880C40" w:rsidRPr="00980C89">
        <w:rPr>
          <w:rFonts w:cstheme="minorHAnsi"/>
          <w:sz w:val="24"/>
          <w:szCs w:val="24"/>
        </w:rPr>
        <w:t xml:space="preserve"> </w:t>
      </w:r>
      <w:r w:rsidRPr="00980C89">
        <w:rPr>
          <w:rFonts w:cstheme="minorHAnsi"/>
          <w:sz w:val="24"/>
          <w:szCs w:val="24"/>
        </w:rPr>
        <w:t xml:space="preserve">Of the other vulgate authors, Diodorus and Plutarch wrote in Greek.  Later works such as Walter Of Chatillon's </w:t>
      </w:r>
      <w:proofErr w:type="spellStart"/>
      <w:r w:rsidRPr="002E7C50">
        <w:rPr>
          <w:rFonts w:cstheme="minorHAnsi"/>
          <w:i/>
          <w:iCs/>
          <w:sz w:val="24"/>
          <w:szCs w:val="24"/>
        </w:rPr>
        <w:t>A</w:t>
      </w:r>
      <w:r w:rsidR="002E7C50">
        <w:rPr>
          <w:rFonts w:cstheme="minorHAnsi"/>
          <w:i/>
          <w:iCs/>
          <w:sz w:val="24"/>
          <w:szCs w:val="24"/>
        </w:rPr>
        <w:t>lexandreis</w:t>
      </w:r>
      <w:proofErr w:type="spellEnd"/>
      <w:r w:rsidRPr="00980C89">
        <w:rPr>
          <w:rFonts w:cstheme="minorHAnsi"/>
          <w:sz w:val="24"/>
          <w:szCs w:val="24"/>
        </w:rPr>
        <w:t xml:space="preserve"> were poetic rewrites more concerned with the aesthetics of language than producing a historical work.  The </w:t>
      </w:r>
      <w:r w:rsidRPr="00980C89">
        <w:rPr>
          <w:rFonts w:cstheme="minorHAnsi"/>
          <w:i/>
          <w:sz w:val="24"/>
          <w:szCs w:val="24"/>
        </w:rPr>
        <w:t>Historia de preliis</w:t>
      </w:r>
      <w:r w:rsidRPr="00980C89">
        <w:rPr>
          <w:rFonts w:cstheme="minorHAnsi"/>
          <w:sz w:val="24"/>
          <w:szCs w:val="24"/>
        </w:rPr>
        <w:t>, although translated into Latin, was originally a Greek text.</w:t>
      </w:r>
      <w:r w:rsidR="00584A54">
        <w:rPr>
          <w:rFonts w:cstheme="minorHAnsi"/>
          <w:sz w:val="24"/>
          <w:szCs w:val="24"/>
        </w:rPr>
        <w:t xml:space="preserve"> </w:t>
      </w:r>
      <w:r w:rsidRPr="00980C89">
        <w:rPr>
          <w:rFonts w:cstheme="minorHAnsi"/>
          <w:sz w:val="24"/>
          <w:szCs w:val="24"/>
        </w:rPr>
        <w:t xml:space="preserve"> I, therefore, intend to confine my analysis of the posed question exclusively to the </w:t>
      </w:r>
      <w:r w:rsidRPr="00980C89">
        <w:rPr>
          <w:rFonts w:cstheme="minorHAnsi"/>
          <w:i/>
          <w:sz w:val="24"/>
          <w:szCs w:val="24"/>
        </w:rPr>
        <w:t>De gestis Alexandrii Magni</w:t>
      </w:r>
      <w:r w:rsidRPr="00980C89">
        <w:rPr>
          <w:rFonts w:cstheme="minorHAnsi"/>
          <w:sz w:val="24"/>
          <w:szCs w:val="24"/>
        </w:rPr>
        <w:t>.</w:t>
      </w:r>
    </w:p>
    <w:p w14:paraId="31469046" w14:textId="77777777" w:rsidR="00BA2244" w:rsidRPr="00980C89" w:rsidRDefault="00BA2244" w:rsidP="00BA2244">
      <w:pPr>
        <w:spacing w:after="0"/>
        <w:rPr>
          <w:rFonts w:cstheme="minorHAnsi"/>
          <w:sz w:val="24"/>
          <w:szCs w:val="24"/>
        </w:rPr>
      </w:pPr>
    </w:p>
    <w:p w14:paraId="5732B287" w14:textId="5AFE59E1" w:rsidR="006C6F82" w:rsidRDefault="00924F78" w:rsidP="00BA2244">
      <w:pPr>
        <w:spacing w:after="0"/>
        <w:rPr>
          <w:rFonts w:cstheme="minorHAnsi"/>
          <w:sz w:val="24"/>
          <w:szCs w:val="24"/>
        </w:rPr>
      </w:pPr>
      <w:r w:rsidRPr="00980C89">
        <w:rPr>
          <w:rFonts w:cstheme="minorHAnsi"/>
          <w:sz w:val="24"/>
          <w:szCs w:val="24"/>
        </w:rPr>
        <w:t xml:space="preserve">Baynham describes the </w:t>
      </w:r>
      <w:r w:rsidRPr="00980C89">
        <w:rPr>
          <w:rFonts w:cstheme="minorHAnsi"/>
          <w:i/>
          <w:sz w:val="24"/>
          <w:szCs w:val="24"/>
        </w:rPr>
        <w:t>Historiae Alexandri Magni Macedonis</w:t>
      </w:r>
      <w:r w:rsidRPr="00980C89">
        <w:rPr>
          <w:rFonts w:cstheme="minorHAnsi"/>
          <w:sz w:val="24"/>
          <w:szCs w:val="24"/>
        </w:rPr>
        <w:t xml:space="preserve"> </w:t>
      </w:r>
      <w:r w:rsidRPr="00980C89">
        <w:rPr>
          <w:rFonts w:cstheme="minorHAnsi"/>
          <w:i/>
          <w:sz w:val="24"/>
          <w:szCs w:val="24"/>
        </w:rPr>
        <w:t>as “</w:t>
      </w:r>
      <w:r w:rsidRPr="00980C89">
        <w:rPr>
          <w:rFonts w:cstheme="minorHAnsi"/>
          <w:sz w:val="24"/>
          <w:szCs w:val="24"/>
        </w:rPr>
        <w:t>essentially a study of power</w:t>
      </w:r>
      <w:r w:rsidR="00880C40"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4"/>
      </w:r>
      <w:r w:rsidR="00525EC0" w:rsidRPr="00980C89">
        <w:rPr>
          <w:rFonts w:cstheme="minorHAnsi"/>
          <w:sz w:val="24"/>
          <w:szCs w:val="24"/>
        </w:rPr>
        <w:t xml:space="preserve">  </w:t>
      </w:r>
      <w:r w:rsidRPr="00980C89">
        <w:rPr>
          <w:rFonts w:cstheme="minorHAnsi"/>
          <w:sz w:val="24"/>
          <w:szCs w:val="24"/>
        </w:rPr>
        <w:t xml:space="preserve">She dismisses the accusation, so often levelled at Curtius, that he was addicted to a rhetorical style aimed at appealing to the mass market. </w:t>
      </w:r>
      <w:r w:rsidR="00525EC0" w:rsidRPr="00980C89">
        <w:rPr>
          <w:rFonts w:cstheme="minorHAnsi"/>
          <w:sz w:val="24"/>
          <w:szCs w:val="24"/>
        </w:rPr>
        <w:t xml:space="preserve"> </w:t>
      </w:r>
      <w:r w:rsidRPr="00980C89">
        <w:rPr>
          <w:rFonts w:cstheme="minorHAnsi"/>
          <w:sz w:val="24"/>
          <w:szCs w:val="24"/>
        </w:rPr>
        <w:t xml:space="preserve">On the face of it, Curtius' history is a blow by blow description of his military campaigns interspersed with the resolution of various plots against him.  However, the narrative is more subtle because throughout it seeks to develop various themes in the readers' mind.  How Alexander has been treated in Latin texts can be separated into a number of themes.  Considerable emphasis has been based upon the principles of </w:t>
      </w:r>
      <w:r w:rsidRPr="00980C89">
        <w:rPr>
          <w:rFonts w:cstheme="minorHAnsi"/>
          <w:i/>
          <w:sz w:val="24"/>
          <w:szCs w:val="24"/>
        </w:rPr>
        <w:t xml:space="preserve">fortuna </w:t>
      </w:r>
      <w:r w:rsidRPr="00980C89">
        <w:rPr>
          <w:rFonts w:cstheme="minorHAnsi"/>
          <w:sz w:val="24"/>
          <w:szCs w:val="24"/>
        </w:rPr>
        <w:t xml:space="preserve">and </w:t>
      </w:r>
      <w:r w:rsidRPr="00980C89">
        <w:rPr>
          <w:rFonts w:cstheme="minorHAnsi"/>
          <w:i/>
          <w:sz w:val="24"/>
          <w:szCs w:val="24"/>
        </w:rPr>
        <w:t>regnum</w:t>
      </w:r>
      <w:r w:rsidRPr="00980C89">
        <w:rPr>
          <w:rFonts w:cstheme="minorHAnsi"/>
          <w:sz w:val="24"/>
          <w:szCs w:val="24"/>
        </w:rPr>
        <w:t xml:space="preserve"> and the sustained nature of the former in opposition to the steady decline of the latter throughout Alexander's brief lifetime.  The further east Alexander progressed, the further he migrated from being "primus inter pares" to an absolute ruler</w:t>
      </w:r>
      <w:r w:rsidR="00525EC0" w:rsidRPr="00980C89">
        <w:rPr>
          <w:rFonts w:cstheme="minorHAnsi"/>
          <w:sz w:val="24"/>
          <w:szCs w:val="24"/>
        </w:rPr>
        <w:t>.</w:t>
      </w:r>
      <w:r>
        <w:rPr>
          <w:rStyle w:val="FootnoteReference"/>
          <w:rFonts w:cstheme="minorHAnsi"/>
          <w:sz w:val="24"/>
          <w:szCs w:val="24"/>
        </w:rPr>
        <w:footnoteReference w:id="5"/>
      </w:r>
      <w:r w:rsidRPr="00980C89">
        <w:rPr>
          <w:rFonts w:cstheme="minorHAnsi"/>
          <w:sz w:val="24"/>
          <w:szCs w:val="24"/>
        </w:rPr>
        <w:t xml:space="preserve"> </w:t>
      </w:r>
    </w:p>
    <w:p w14:paraId="222FF3DF" w14:textId="77777777" w:rsidR="00BA2244" w:rsidRPr="00980C89" w:rsidRDefault="00BA2244" w:rsidP="00BA2244">
      <w:pPr>
        <w:spacing w:after="0"/>
        <w:rPr>
          <w:rFonts w:cstheme="minorHAnsi"/>
          <w:sz w:val="24"/>
          <w:szCs w:val="24"/>
        </w:rPr>
      </w:pPr>
    </w:p>
    <w:p w14:paraId="5AB2C77D" w14:textId="77777777" w:rsidR="00C92118" w:rsidRDefault="00924F78" w:rsidP="00BA2244">
      <w:pPr>
        <w:spacing w:after="0"/>
        <w:rPr>
          <w:rFonts w:cstheme="minorHAnsi"/>
          <w:sz w:val="24"/>
          <w:szCs w:val="24"/>
        </w:rPr>
      </w:pPr>
      <w:r w:rsidRPr="00980C89">
        <w:rPr>
          <w:rFonts w:cstheme="minorHAnsi"/>
          <w:sz w:val="24"/>
          <w:szCs w:val="24"/>
        </w:rPr>
        <w:t xml:space="preserve">Baynham sees Curtius' work as carefully structured into two distinct pentads.  The first is centred on the rivalry between Darius and Alexander, the outcome of which is entwined with their respective levels of </w:t>
      </w:r>
      <w:r w:rsidRPr="00980C89">
        <w:rPr>
          <w:rFonts w:cstheme="minorHAnsi"/>
          <w:i/>
          <w:sz w:val="24"/>
          <w:szCs w:val="24"/>
        </w:rPr>
        <w:t>fortuna</w:t>
      </w:r>
      <w:r w:rsidR="00525EC0" w:rsidRPr="00980C89">
        <w:rPr>
          <w:rFonts w:cstheme="minorHAnsi"/>
          <w:i/>
          <w:sz w:val="24"/>
          <w:szCs w:val="24"/>
        </w:rPr>
        <w:t>.</w:t>
      </w:r>
      <w:r>
        <w:rPr>
          <w:rStyle w:val="FootnoteReference"/>
          <w:rFonts w:cstheme="minorHAnsi"/>
          <w:i/>
          <w:sz w:val="24"/>
          <w:szCs w:val="24"/>
        </w:rPr>
        <w:footnoteReference w:id="6"/>
      </w:r>
      <w:r w:rsidR="00525EC0" w:rsidRPr="00980C89">
        <w:rPr>
          <w:rFonts w:cstheme="minorHAnsi"/>
          <w:i/>
          <w:sz w:val="24"/>
          <w:szCs w:val="24"/>
        </w:rPr>
        <w:t xml:space="preserve"> </w:t>
      </w:r>
      <w:r w:rsidRPr="00980C89">
        <w:rPr>
          <w:rFonts w:cstheme="minorHAnsi"/>
          <w:i/>
          <w:sz w:val="24"/>
          <w:szCs w:val="24"/>
        </w:rPr>
        <w:t xml:space="preserve"> </w:t>
      </w:r>
      <w:r w:rsidRPr="00980C89">
        <w:rPr>
          <w:rFonts w:cstheme="minorHAnsi"/>
          <w:sz w:val="24"/>
          <w:szCs w:val="24"/>
        </w:rPr>
        <w:t xml:space="preserve">The second pentad is focused on the conflict between </w:t>
      </w:r>
      <w:r w:rsidRPr="00980C89">
        <w:rPr>
          <w:rFonts w:cstheme="minorHAnsi"/>
          <w:i/>
          <w:sz w:val="24"/>
          <w:szCs w:val="24"/>
        </w:rPr>
        <w:t>regnum</w:t>
      </w:r>
      <w:r w:rsidRPr="00980C89">
        <w:rPr>
          <w:rFonts w:cstheme="minorHAnsi"/>
          <w:sz w:val="24"/>
          <w:szCs w:val="24"/>
        </w:rPr>
        <w:t xml:space="preserve"> and </w:t>
      </w:r>
      <w:r w:rsidRPr="00980C89">
        <w:rPr>
          <w:rFonts w:cstheme="minorHAnsi"/>
          <w:i/>
          <w:sz w:val="24"/>
          <w:szCs w:val="24"/>
        </w:rPr>
        <w:t>libertas</w:t>
      </w:r>
      <w:r w:rsidRPr="00980C89">
        <w:rPr>
          <w:rFonts w:cstheme="minorHAnsi"/>
          <w:sz w:val="24"/>
          <w:szCs w:val="24"/>
        </w:rPr>
        <w:t xml:space="preserve"> as Alexander descends into the pitfalls of absolutism.</w:t>
      </w:r>
      <w:r w:rsidR="00525EC0" w:rsidRPr="00980C89">
        <w:rPr>
          <w:rFonts w:cstheme="minorHAnsi"/>
          <w:sz w:val="24"/>
          <w:szCs w:val="24"/>
        </w:rPr>
        <w:t xml:space="preserve"> </w:t>
      </w:r>
      <w:r w:rsidRPr="00980C89">
        <w:rPr>
          <w:rFonts w:cstheme="minorHAnsi"/>
          <w:sz w:val="24"/>
          <w:szCs w:val="24"/>
        </w:rPr>
        <w:t xml:space="preserve"> Alexander’s</w:t>
      </w:r>
      <w:r w:rsidR="00525EC0" w:rsidRPr="00980C89">
        <w:rPr>
          <w:rFonts w:cstheme="minorHAnsi"/>
          <w:sz w:val="24"/>
          <w:szCs w:val="24"/>
        </w:rPr>
        <w:t xml:space="preserve"> </w:t>
      </w:r>
      <w:r w:rsidRPr="00980C89">
        <w:rPr>
          <w:rFonts w:cstheme="minorHAnsi"/>
          <w:sz w:val="24"/>
          <w:szCs w:val="24"/>
        </w:rPr>
        <w:t>relentless pursuit of power is almost entirely confined to his military activities on the international stage.</w:t>
      </w:r>
      <w:r w:rsidRPr="00980C89">
        <w:rPr>
          <w:rFonts w:cstheme="minorHAnsi"/>
          <w:i/>
          <w:sz w:val="24"/>
          <w:szCs w:val="24"/>
        </w:rPr>
        <w:t xml:space="preserve"> </w:t>
      </w:r>
      <w:r w:rsidRPr="00980C89">
        <w:rPr>
          <w:rFonts w:cstheme="minorHAnsi"/>
          <w:b/>
          <w:sz w:val="24"/>
          <w:szCs w:val="24"/>
        </w:rPr>
        <w:t xml:space="preserve"> </w:t>
      </w:r>
      <w:r w:rsidRPr="00980C89">
        <w:rPr>
          <w:rFonts w:cstheme="minorHAnsi"/>
          <w:sz w:val="24"/>
          <w:szCs w:val="24"/>
        </w:rPr>
        <w:t>Napoleon once said that he “would rather have a general who was lucky than one who was good</w:t>
      </w:r>
      <w:r w:rsidR="00525EC0"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7"/>
      </w:r>
      <w:r w:rsidR="00525EC0" w:rsidRPr="00980C89">
        <w:rPr>
          <w:rFonts w:cstheme="minorHAnsi"/>
          <w:sz w:val="24"/>
          <w:szCs w:val="24"/>
        </w:rPr>
        <w:t xml:space="preserve">  </w:t>
      </w:r>
      <w:r w:rsidRPr="00980C89">
        <w:rPr>
          <w:rFonts w:cstheme="minorHAnsi"/>
          <w:sz w:val="24"/>
          <w:szCs w:val="24"/>
        </w:rPr>
        <w:t xml:space="preserve">Throughout Curtius' work, there is a continuous theme of </w:t>
      </w:r>
      <w:r w:rsidRPr="00980C89">
        <w:rPr>
          <w:rFonts w:cstheme="minorHAnsi"/>
          <w:i/>
          <w:sz w:val="24"/>
          <w:szCs w:val="24"/>
        </w:rPr>
        <w:t>fortuna.</w:t>
      </w:r>
      <w:r w:rsidRPr="00980C89">
        <w:rPr>
          <w:rFonts w:cstheme="minorHAnsi"/>
          <w:sz w:val="24"/>
          <w:szCs w:val="24"/>
        </w:rPr>
        <w:t xml:space="preserve"> </w:t>
      </w:r>
      <w:r w:rsidR="00B44170" w:rsidRPr="00980C89">
        <w:rPr>
          <w:rFonts w:cstheme="minorHAnsi"/>
          <w:sz w:val="24"/>
          <w:szCs w:val="24"/>
        </w:rPr>
        <w:t xml:space="preserve"> </w:t>
      </w:r>
      <w:r w:rsidRPr="00980C89">
        <w:rPr>
          <w:rFonts w:cstheme="minorHAnsi"/>
          <w:sz w:val="24"/>
          <w:szCs w:val="24"/>
        </w:rPr>
        <w:t>Alexander is presented as possessing irresistible force, which is a function of his destiny to succeed</w:t>
      </w:r>
      <w:r w:rsidRPr="00980C89">
        <w:rPr>
          <w:rFonts w:cstheme="minorHAnsi"/>
          <w:i/>
          <w:sz w:val="24"/>
          <w:szCs w:val="24"/>
        </w:rPr>
        <w:t>; felicitas a</w:t>
      </w:r>
      <w:r w:rsidRPr="00980C89">
        <w:rPr>
          <w:rFonts w:cstheme="minorHAnsi"/>
          <w:sz w:val="24"/>
          <w:szCs w:val="24"/>
        </w:rPr>
        <w:t xml:space="preserve">ccompanies </w:t>
      </w:r>
      <w:r w:rsidRPr="00980C89">
        <w:rPr>
          <w:rFonts w:cstheme="minorHAnsi"/>
          <w:i/>
          <w:sz w:val="24"/>
          <w:szCs w:val="24"/>
        </w:rPr>
        <w:t>fortuna.</w:t>
      </w:r>
      <w:r w:rsidRPr="00980C89">
        <w:rPr>
          <w:rFonts w:cstheme="minorHAnsi"/>
          <w:sz w:val="24"/>
          <w:szCs w:val="24"/>
        </w:rPr>
        <w:t xml:space="preserve">  "In fact, in books 3-5, fortuna is a steady, inevitable accumulation of the king’s success where the fate of people’s or cities depends on his activities</w:t>
      </w:r>
      <w:r w:rsidR="00B44170"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8"/>
      </w:r>
      <w:r w:rsidR="00B44170" w:rsidRPr="00980C89">
        <w:rPr>
          <w:rFonts w:cstheme="minorHAnsi"/>
          <w:sz w:val="24"/>
          <w:szCs w:val="24"/>
        </w:rPr>
        <w:t xml:space="preserve"> </w:t>
      </w:r>
      <w:r w:rsidRPr="00980C89">
        <w:rPr>
          <w:rFonts w:cstheme="minorHAnsi"/>
          <w:sz w:val="24"/>
          <w:szCs w:val="24"/>
        </w:rPr>
        <w:t xml:space="preserve"> It is not inconceivable </w:t>
      </w:r>
      <w:r w:rsidRPr="00980C89">
        <w:rPr>
          <w:rFonts w:cstheme="minorHAnsi"/>
          <w:sz w:val="24"/>
          <w:szCs w:val="24"/>
        </w:rPr>
        <w:lastRenderedPageBreak/>
        <w:t>that irrespective of the precise Roman epoch in which Curtius was writing, there must have been elements within Roman society that would have subconsciously associated the successes of the Roman Empire in a similar fashion.</w:t>
      </w:r>
      <w:r w:rsidR="00B44170" w:rsidRPr="00980C89">
        <w:rPr>
          <w:rFonts w:cstheme="minorHAnsi"/>
          <w:sz w:val="24"/>
          <w:szCs w:val="24"/>
        </w:rPr>
        <w:t xml:space="preserve"> </w:t>
      </w:r>
      <w:r w:rsidRPr="00980C89">
        <w:rPr>
          <w:rFonts w:cstheme="minorHAnsi"/>
          <w:sz w:val="24"/>
          <w:szCs w:val="24"/>
        </w:rPr>
        <w:t xml:space="preserve"> Indeed the Romans also had an emperor with an aura of </w:t>
      </w:r>
      <w:r w:rsidRPr="00980C89">
        <w:rPr>
          <w:rFonts w:cstheme="minorHAnsi"/>
          <w:i/>
          <w:sz w:val="24"/>
          <w:szCs w:val="24"/>
        </w:rPr>
        <w:t>fortuna</w:t>
      </w:r>
      <w:r w:rsidRPr="00980C89">
        <w:rPr>
          <w:rFonts w:cstheme="minorHAnsi"/>
          <w:sz w:val="24"/>
          <w:szCs w:val="24"/>
        </w:rPr>
        <w:t xml:space="preserve"> and </w:t>
      </w:r>
      <w:r w:rsidRPr="00980C89">
        <w:rPr>
          <w:rFonts w:cstheme="minorHAnsi"/>
          <w:i/>
          <w:sz w:val="24"/>
          <w:szCs w:val="24"/>
        </w:rPr>
        <w:t>felicitas.</w:t>
      </w:r>
      <w:r w:rsidRPr="00980C89">
        <w:rPr>
          <w:rFonts w:cstheme="minorHAnsi"/>
          <w:sz w:val="24"/>
          <w:szCs w:val="24"/>
        </w:rPr>
        <w:t xml:space="preserve">  Eutropius’ observed that a common “acclamation to the emperors is  ‘More fortunate than Augustus, better than Trajan’</w:t>
      </w:r>
      <w:r w:rsidR="00B44170"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9"/>
      </w:r>
      <w:r w:rsidRPr="00980C89">
        <w:rPr>
          <w:rFonts w:cstheme="minorHAnsi"/>
          <w:sz w:val="24"/>
          <w:szCs w:val="24"/>
        </w:rPr>
        <w:t xml:space="preserve"> </w:t>
      </w:r>
      <w:r w:rsidR="00B44170" w:rsidRPr="00980C89">
        <w:rPr>
          <w:rFonts w:cstheme="minorHAnsi"/>
          <w:sz w:val="24"/>
          <w:szCs w:val="24"/>
        </w:rPr>
        <w:t xml:space="preserve"> </w:t>
      </w:r>
      <w:r w:rsidRPr="00980C89">
        <w:rPr>
          <w:rFonts w:cstheme="minorHAnsi"/>
          <w:sz w:val="24"/>
          <w:szCs w:val="24"/>
        </w:rPr>
        <w:t xml:space="preserve">Baynham cites multiple examples of Alexander’s </w:t>
      </w:r>
      <w:r w:rsidRPr="00980C89">
        <w:rPr>
          <w:rFonts w:cstheme="minorHAnsi"/>
          <w:i/>
          <w:sz w:val="24"/>
          <w:szCs w:val="24"/>
        </w:rPr>
        <w:t xml:space="preserve">fortuna, </w:t>
      </w:r>
      <w:r w:rsidRPr="00980C89">
        <w:rPr>
          <w:rFonts w:cstheme="minorHAnsi"/>
          <w:sz w:val="24"/>
          <w:szCs w:val="24"/>
        </w:rPr>
        <w:t>such as when approaching Cilicia</w:t>
      </w:r>
      <w:r w:rsidR="00C92118">
        <w:rPr>
          <w:rFonts w:cstheme="minorHAnsi"/>
          <w:sz w:val="24"/>
          <w:szCs w:val="24"/>
        </w:rPr>
        <w:t xml:space="preserve">: </w:t>
      </w:r>
    </w:p>
    <w:p w14:paraId="53C873F8" w14:textId="77777777" w:rsidR="00C92118" w:rsidRDefault="00C92118" w:rsidP="00BA2244">
      <w:pPr>
        <w:spacing w:after="0"/>
        <w:rPr>
          <w:rFonts w:cstheme="minorHAnsi"/>
          <w:sz w:val="24"/>
          <w:szCs w:val="24"/>
        </w:rPr>
      </w:pPr>
    </w:p>
    <w:p w14:paraId="10256084" w14:textId="77777777" w:rsidR="00C92118" w:rsidRDefault="00924F78" w:rsidP="00C92118">
      <w:pPr>
        <w:spacing w:after="0"/>
        <w:ind w:left="720"/>
        <w:rPr>
          <w:rFonts w:cstheme="minorHAnsi"/>
          <w:sz w:val="24"/>
          <w:szCs w:val="24"/>
        </w:rPr>
      </w:pPr>
      <w:r w:rsidRPr="00980C89">
        <w:rPr>
          <w:rFonts w:cstheme="minorHAnsi"/>
          <w:sz w:val="24"/>
          <w:szCs w:val="24"/>
        </w:rPr>
        <w:t xml:space="preserve">Alexander entered the mountain defile called 'The Gates', and as he looked at the lie of the land, they say he was never more surprised at his good fortune.  For, he observed, he could have been crushed just by rocks." </w:t>
      </w:r>
      <w:r>
        <w:rPr>
          <w:rStyle w:val="FootnoteReference"/>
          <w:rFonts w:cstheme="minorHAnsi"/>
          <w:sz w:val="24"/>
          <w:szCs w:val="24"/>
        </w:rPr>
        <w:footnoteReference w:id="10"/>
      </w:r>
      <w:r w:rsidR="00B44170" w:rsidRPr="00980C89">
        <w:rPr>
          <w:rFonts w:cstheme="minorHAnsi"/>
          <w:sz w:val="24"/>
          <w:szCs w:val="24"/>
        </w:rPr>
        <w:t xml:space="preserve"> </w:t>
      </w:r>
    </w:p>
    <w:p w14:paraId="30D3F50F" w14:textId="77777777" w:rsidR="00C92118" w:rsidRDefault="00C92118" w:rsidP="00C92118">
      <w:pPr>
        <w:spacing w:after="0"/>
        <w:ind w:left="720"/>
        <w:rPr>
          <w:rFonts w:cstheme="minorHAnsi"/>
          <w:sz w:val="24"/>
          <w:szCs w:val="24"/>
        </w:rPr>
      </w:pPr>
    </w:p>
    <w:p w14:paraId="4EF7B704" w14:textId="4E6D1EC9" w:rsidR="006C6F82" w:rsidRDefault="00924F78" w:rsidP="00C92118">
      <w:pPr>
        <w:spacing w:after="0"/>
        <w:ind w:left="720"/>
        <w:rPr>
          <w:rFonts w:cstheme="minorHAnsi"/>
          <w:sz w:val="24"/>
          <w:szCs w:val="24"/>
        </w:rPr>
      </w:pPr>
      <w:r w:rsidRPr="00980C89">
        <w:rPr>
          <w:rFonts w:cstheme="minorHAnsi"/>
          <w:sz w:val="24"/>
          <w:szCs w:val="24"/>
        </w:rPr>
        <w:t>Later whilst crossing the Tigris just before the pivotal battle of Gaugamela, "The army could have been annihilated if anyone had the courage to seize victory at this juncture, but the king's increasing good fortune kept the enemy at bay</w:t>
      </w:r>
      <w:r w:rsidR="00B44170" w:rsidRPr="00980C89">
        <w:rPr>
          <w:rFonts w:cstheme="minorHAnsi"/>
          <w:sz w:val="24"/>
          <w:szCs w:val="24"/>
        </w:rPr>
        <w:t>.</w:t>
      </w:r>
      <w:r>
        <w:rPr>
          <w:rStyle w:val="FootnoteReference"/>
          <w:rFonts w:cstheme="minorHAnsi"/>
          <w:sz w:val="24"/>
          <w:szCs w:val="24"/>
        </w:rPr>
        <w:footnoteReference w:id="11"/>
      </w:r>
      <w:r w:rsidRPr="00980C89">
        <w:rPr>
          <w:rFonts w:cstheme="minorHAnsi"/>
          <w:sz w:val="24"/>
          <w:szCs w:val="24"/>
        </w:rPr>
        <w:t xml:space="preserve"> </w:t>
      </w:r>
    </w:p>
    <w:p w14:paraId="5EF0F79D" w14:textId="77777777" w:rsidR="00BA2244" w:rsidRPr="00980C89" w:rsidRDefault="00BA2244" w:rsidP="00BA2244">
      <w:pPr>
        <w:spacing w:after="0"/>
        <w:rPr>
          <w:rFonts w:cstheme="minorHAnsi"/>
          <w:sz w:val="24"/>
          <w:szCs w:val="24"/>
        </w:rPr>
      </w:pPr>
    </w:p>
    <w:p w14:paraId="242856A6" w14:textId="77777777" w:rsidR="00E96C25" w:rsidRDefault="00924F78" w:rsidP="00BA2244">
      <w:pPr>
        <w:spacing w:after="0"/>
        <w:rPr>
          <w:rFonts w:cstheme="minorHAnsi"/>
          <w:sz w:val="24"/>
          <w:szCs w:val="24"/>
        </w:rPr>
      </w:pPr>
      <w:r w:rsidRPr="00980C89">
        <w:rPr>
          <w:rFonts w:cstheme="minorHAnsi"/>
          <w:i/>
          <w:sz w:val="24"/>
          <w:szCs w:val="24"/>
        </w:rPr>
        <w:t xml:space="preserve">Fortuna, </w:t>
      </w:r>
      <w:r w:rsidRPr="00980C89">
        <w:rPr>
          <w:rFonts w:cstheme="minorHAnsi"/>
          <w:sz w:val="24"/>
          <w:szCs w:val="24"/>
        </w:rPr>
        <w:t>it seems, is an exponentially self</w:t>
      </w:r>
      <w:r w:rsidR="00FC26E1">
        <w:rPr>
          <w:rFonts w:cstheme="minorHAnsi"/>
          <w:sz w:val="24"/>
          <w:szCs w:val="24"/>
        </w:rPr>
        <w:t>-</w:t>
      </w:r>
      <w:r w:rsidRPr="00980C89">
        <w:rPr>
          <w:rFonts w:cstheme="minorHAnsi"/>
          <w:sz w:val="24"/>
          <w:szCs w:val="24"/>
        </w:rPr>
        <w:t>perpetuating phenomenon.  "His reputation becomes a significant factor in causing the surrender of many hill fortresses in Sogdiana because the natives are convinced Alexander is invincible</w:t>
      </w:r>
      <w:r w:rsidR="00B44170"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12"/>
      </w:r>
      <w:r w:rsidR="00B44170" w:rsidRPr="00980C89">
        <w:rPr>
          <w:rFonts w:cstheme="minorHAnsi"/>
          <w:sz w:val="24"/>
          <w:szCs w:val="24"/>
        </w:rPr>
        <w:t xml:space="preserve"> </w:t>
      </w:r>
      <w:r w:rsidRPr="00980C89">
        <w:rPr>
          <w:rFonts w:cstheme="minorHAnsi"/>
          <w:sz w:val="24"/>
          <w:szCs w:val="24"/>
        </w:rPr>
        <w:t xml:space="preserve"> Curtius infers that Alexander was all too aware of this effect and attempted to employ it wherever he could to facilitate his expansion.  By the time he encountered Porus, he was almost overconfident in this strategy</w:t>
      </w:r>
      <w:r w:rsidR="00E96C25">
        <w:rPr>
          <w:rFonts w:cstheme="minorHAnsi"/>
          <w:sz w:val="24"/>
          <w:szCs w:val="24"/>
        </w:rPr>
        <w:t>.</w:t>
      </w:r>
    </w:p>
    <w:p w14:paraId="63537A3A" w14:textId="77777777" w:rsidR="00E96C25" w:rsidRDefault="00E96C25" w:rsidP="00BA2244">
      <w:pPr>
        <w:spacing w:after="0"/>
        <w:rPr>
          <w:rFonts w:cstheme="minorHAnsi"/>
          <w:sz w:val="24"/>
          <w:szCs w:val="24"/>
        </w:rPr>
      </w:pPr>
    </w:p>
    <w:p w14:paraId="4CD01221" w14:textId="05B70E16" w:rsidR="00E96C25" w:rsidRDefault="00924F78" w:rsidP="00E96C25">
      <w:pPr>
        <w:spacing w:after="0"/>
        <w:ind w:left="720"/>
        <w:rPr>
          <w:rFonts w:cstheme="minorHAnsi"/>
          <w:sz w:val="24"/>
          <w:szCs w:val="24"/>
        </w:rPr>
      </w:pPr>
      <w:r w:rsidRPr="00980C89">
        <w:rPr>
          <w:rFonts w:cstheme="minorHAnsi"/>
          <w:sz w:val="24"/>
          <w:szCs w:val="24"/>
        </w:rPr>
        <w:t xml:space="preserve">Believing that </w:t>
      </w:r>
      <w:proofErr w:type="spellStart"/>
      <w:r w:rsidRPr="00980C89">
        <w:rPr>
          <w:rFonts w:cstheme="minorHAnsi"/>
          <w:sz w:val="24"/>
          <w:szCs w:val="24"/>
        </w:rPr>
        <w:t>Porus</w:t>
      </w:r>
      <w:proofErr w:type="spellEnd"/>
      <w:r w:rsidRPr="00980C89">
        <w:rPr>
          <w:rFonts w:cstheme="minorHAnsi"/>
          <w:sz w:val="24"/>
          <w:szCs w:val="24"/>
        </w:rPr>
        <w:t xml:space="preserve"> could also be pressed into capitulation by the spreading fame of his name, Alexander sent Cleochares to him to instruct him to pay tribute and meet the king at the point of entry into his territory</w:t>
      </w:r>
      <w:r w:rsidR="00B44170" w:rsidRPr="00980C89">
        <w:rPr>
          <w:rFonts w:cstheme="minorHAnsi"/>
          <w:sz w:val="24"/>
          <w:szCs w:val="24"/>
        </w:rPr>
        <w:t>.</w:t>
      </w:r>
      <w:r>
        <w:rPr>
          <w:rStyle w:val="FootnoteReference"/>
          <w:rFonts w:cstheme="minorHAnsi"/>
          <w:sz w:val="24"/>
          <w:szCs w:val="24"/>
        </w:rPr>
        <w:footnoteReference w:id="13"/>
      </w:r>
    </w:p>
    <w:p w14:paraId="6F4DD91C" w14:textId="77777777" w:rsidR="00E96C25" w:rsidRDefault="00E96C25" w:rsidP="00BA2244">
      <w:pPr>
        <w:spacing w:after="0"/>
        <w:rPr>
          <w:rFonts w:cstheme="minorHAnsi"/>
          <w:sz w:val="24"/>
          <w:szCs w:val="24"/>
        </w:rPr>
      </w:pPr>
    </w:p>
    <w:p w14:paraId="1034E35B" w14:textId="65545500" w:rsidR="006C6F82" w:rsidRDefault="00B44170" w:rsidP="00BA2244">
      <w:pPr>
        <w:spacing w:after="0"/>
        <w:rPr>
          <w:rFonts w:cstheme="minorHAnsi"/>
          <w:sz w:val="24"/>
          <w:szCs w:val="24"/>
        </w:rPr>
      </w:pPr>
      <w:r w:rsidRPr="00980C89">
        <w:rPr>
          <w:rFonts w:cstheme="minorHAnsi"/>
          <w:sz w:val="24"/>
          <w:szCs w:val="24"/>
        </w:rPr>
        <w:t xml:space="preserve"> </w:t>
      </w:r>
      <w:r w:rsidR="00924F78" w:rsidRPr="00980C89">
        <w:rPr>
          <w:rFonts w:cstheme="minorHAnsi"/>
          <w:sz w:val="24"/>
          <w:szCs w:val="24"/>
        </w:rPr>
        <w:t xml:space="preserve">In this sense, his </w:t>
      </w:r>
      <w:r w:rsidR="00924F78" w:rsidRPr="00980C89">
        <w:rPr>
          <w:rFonts w:cstheme="minorHAnsi"/>
          <w:i/>
          <w:sz w:val="24"/>
          <w:szCs w:val="24"/>
        </w:rPr>
        <w:t>felicitas</w:t>
      </w:r>
      <w:r w:rsidR="00924F78" w:rsidRPr="00980C89">
        <w:rPr>
          <w:rFonts w:cstheme="minorHAnsi"/>
          <w:sz w:val="24"/>
          <w:szCs w:val="24"/>
        </w:rPr>
        <w:t xml:space="preserve"> and </w:t>
      </w:r>
      <w:r w:rsidR="00924F78" w:rsidRPr="00980C89">
        <w:rPr>
          <w:rFonts w:cstheme="minorHAnsi"/>
          <w:i/>
          <w:sz w:val="24"/>
          <w:szCs w:val="24"/>
        </w:rPr>
        <w:t>fortuna</w:t>
      </w:r>
      <w:r w:rsidR="00924F78" w:rsidRPr="00980C89">
        <w:rPr>
          <w:rFonts w:cstheme="minorHAnsi"/>
          <w:sz w:val="24"/>
          <w:szCs w:val="24"/>
        </w:rPr>
        <w:t xml:space="preserve"> had become weaponised.  Baynham argues that it was similarly used to encourage acts of bravery amongst his own army.  Curtius refers to Hegesimachus and Nicanor, who, during the subsequent battle with Porus, were "encouraged by the continuing success of their countrymen to disregard any danger " swam to an island and inflicted heavy losses on their enemies</w:t>
      </w:r>
      <w:r w:rsidR="005219CA" w:rsidRPr="00980C89">
        <w:rPr>
          <w:rFonts w:cstheme="minorHAnsi"/>
          <w:sz w:val="24"/>
          <w:szCs w:val="24"/>
        </w:rPr>
        <w:t xml:space="preserve">. </w:t>
      </w:r>
      <w:r w:rsidR="00924F78">
        <w:rPr>
          <w:rStyle w:val="FootnoteReference"/>
          <w:rFonts w:cstheme="minorHAnsi"/>
          <w:sz w:val="24"/>
          <w:szCs w:val="24"/>
        </w:rPr>
        <w:footnoteReference w:id="14"/>
      </w:r>
    </w:p>
    <w:p w14:paraId="1BBE892F" w14:textId="77777777" w:rsidR="00BA2244" w:rsidRPr="00980C89" w:rsidRDefault="00BA2244" w:rsidP="00BA2244">
      <w:pPr>
        <w:spacing w:after="0"/>
        <w:rPr>
          <w:rFonts w:cstheme="minorHAnsi"/>
          <w:sz w:val="24"/>
          <w:szCs w:val="24"/>
        </w:rPr>
      </w:pPr>
    </w:p>
    <w:p w14:paraId="5802D7CC" w14:textId="5AA408A7" w:rsidR="006C6F82" w:rsidRDefault="00924F78" w:rsidP="00BA2244">
      <w:pPr>
        <w:spacing w:after="0"/>
        <w:rPr>
          <w:rFonts w:cstheme="minorHAnsi"/>
          <w:sz w:val="24"/>
          <w:szCs w:val="24"/>
        </w:rPr>
      </w:pPr>
      <w:proofErr w:type="spellStart"/>
      <w:r w:rsidRPr="00980C89">
        <w:rPr>
          <w:rFonts w:cstheme="minorHAnsi"/>
          <w:sz w:val="24"/>
          <w:szCs w:val="24"/>
        </w:rPr>
        <w:t>Curtius</w:t>
      </w:r>
      <w:proofErr w:type="spellEnd"/>
      <w:r w:rsidRPr="00980C89">
        <w:rPr>
          <w:rFonts w:cstheme="minorHAnsi"/>
          <w:sz w:val="24"/>
          <w:szCs w:val="24"/>
        </w:rPr>
        <w:t xml:space="preserve"> is not immune to the idea that what comes up must come down and digresses from the versions of Arrian and Plutarch, for example, by producing a reply from Porus after his defeat in which the Indian ruler offered an object lesson to Alexander on the fleeting nature of </w:t>
      </w:r>
      <w:r w:rsidRPr="00980C89">
        <w:rPr>
          <w:rFonts w:cstheme="minorHAnsi"/>
          <w:i/>
          <w:sz w:val="24"/>
          <w:szCs w:val="24"/>
        </w:rPr>
        <w:t>fortuna</w:t>
      </w:r>
      <w:r w:rsidR="005219CA" w:rsidRPr="00980C89">
        <w:rPr>
          <w:rFonts w:cstheme="minorHAnsi"/>
          <w:i/>
          <w:sz w:val="24"/>
          <w:szCs w:val="24"/>
        </w:rPr>
        <w:t>.</w:t>
      </w:r>
      <w:r>
        <w:rPr>
          <w:rStyle w:val="FootnoteReference"/>
          <w:rFonts w:cstheme="minorHAnsi"/>
          <w:i/>
          <w:sz w:val="24"/>
          <w:szCs w:val="24"/>
        </w:rPr>
        <w:footnoteReference w:id="15"/>
      </w:r>
      <w:r w:rsidR="005219CA" w:rsidRPr="00980C89">
        <w:rPr>
          <w:rFonts w:cstheme="minorHAnsi"/>
          <w:i/>
          <w:sz w:val="24"/>
          <w:szCs w:val="24"/>
        </w:rPr>
        <w:t xml:space="preserve"> </w:t>
      </w:r>
      <w:r w:rsidR="005219CA" w:rsidRPr="00980C89">
        <w:rPr>
          <w:rFonts w:cstheme="minorHAnsi"/>
          <w:iCs/>
          <w:sz w:val="24"/>
          <w:szCs w:val="24"/>
        </w:rPr>
        <w:t>T</w:t>
      </w:r>
      <w:r w:rsidRPr="00980C89">
        <w:rPr>
          <w:rFonts w:cstheme="minorHAnsi"/>
          <w:sz w:val="24"/>
          <w:szCs w:val="24"/>
        </w:rPr>
        <w:t xml:space="preserve">hat he has his own version of the story may be interpreted as a desire to enhance the dramatic effect or to enhance the mythology of Alexander and, by extension Imperial Rome as an insuperable foe by virtue of its </w:t>
      </w:r>
      <w:r w:rsidRPr="00980C89">
        <w:rPr>
          <w:rFonts w:cstheme="minorHAnsi"/>
          <w:i/>
          <w:sz w:val="24"/>
          <w:szCs w:val="24"/>
        </w:rPr>
        <w:t>Felicitas</w:t>
      </w:r>
      <w:r w:rsidRPr="00980C89">
        <w:rPr>
          <w:rFonts w:cstheme="minorHAnsi"/>
          <w:sz w:val="24"/>
          <w:szCs w:val="24"/>
        </w:rPr>
        <w:t xml:space="preserve">. </w:t>
      </w:r>
    </w:p>
    <w:p w14:paraId="0A7FC70E" w14:textId="77777777" w:rsidR="00BA2244" w:rsidRPr="00980C89" w:rsidRDefault="00BA2244" w:rsidP="00BA2244">
      <w:pPr>
        <w:spacing w:after="0"/>
        <w:rPr>
          <w:rFonts w:cstheme="minorHAnsi"/>
          <w:sz w:val="24"/>
          <w:szCs w:val="24"/>
        </w:rPr>
      </w:pPr>
    </w:p>
    <w:p w14:paraId="627D4191" w14:textId="77777777" w:rsidR="00E96C25" w:rsidRDefault="00924F78" w:rsidP="00BA2244">
      <w:pPr>
        <w:spacing w:after="0"/>
        <w:rPr>
          <w:rFonts w:cstheme="minorHAnsi"/>
          <w:i/>
          <w:sz w:val="24"/>
          <w:szCs w:val="24"/>
        </w:rPr>
      </w:pPr>
      <w:r w:rsidRPr="00980C89">
        <w:rPr>
          <w:rFonts w:cstheme="minorHAnsi"/>
          <w:sz w:val="24"/>
          <w:szCs w:val="24"/>
        </w:rPr>
        <w:t>Absolute success is akin to absolute power in that it is likely to lead to absolute corruption: "Alexander the King and general will be interspersed with Alexander the tyrant.  As his power grows, the King will give full rein to his mala invictus (unconquered faults)</w:t>
      </w:r>
      <w:r w:rsidR="005219CA"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16"/>
      </w:r>
      <w:r w:rsidRPr="00980C89">
        <w:rPr>
          <w:rFonts w:cstheme="minorHAnsi"/>
          <w:sz w:val="24"/>
          <w:szCs w:val="24"/>
        </w:rPr>
        <w:t xml:space="preserve"> </w:t>
      </w:r>
      <w:r w:rsidR="005219CA" w:rsidRPr="00980C89">
        <w:rPr>
          <w:rFonts w:cstheme="minorHAnsi"/>
          <w:sz w:val="24"/>
          <w:szCs w:val="24"/>
        </w:rPr>
        <w:t xml:space="preserve"> </w:t>
      </w:r>
      <w:r w:rsidRPr="00980C89">
        <w:rPr>
          <w:rFonts w:cstheme="minorHAnsi"/>
          <w:sz w:val="24"/>
          <w:szCs w:val="24"/>
        </w:rPr>
        <w:t xml:space="preserve">Curtius nevertheless provides a balanced view in Book </w:t>
      </w:r>
      <w:r w:rsidRPr="00980C89">
        <w:rPr>
          <w:rFonts w:cstheme="minorHAnsi"/>
          <w:sz w:val="24"/>
          <w:szCs w:val="24"/>
        </w:rPr>
        <w:lastRenderedPageBreak/>
        <w:t>Ten, which lists his qualities but also his failings.</w:t>
      </w:r>
      <w:r w:rsidR="005219CA" w:rsidRPr="00980C89">
        <w:rPr>
          <w:rFonts w:cstheme="minorHAnsi"/>
          <w:sz w:val="24"/>
          <w:szCs w:val="24"/>
        </w:rPr>
        <w:t xml:space="preserve"> </w:t>
      </w:r>
      <w:r w:rsidRPr="00980C89">
        <w:rPr>
          <w:rFonts w:cstheme="minorHAnsi"/>
          <w:sz w:val="24"/>
          <w:szCs w:val="24"/>
        </w:rPr>
        <w:t xml:space="preserve"> All of the latter seems to be attributable to reverse </w:t>
      </w:r>
      <w:proofErr w:type="spellStart"/>
      <w:r w:rsidRPr="00980C89">
        <w:rPr>
          <w:rFonts w:cstheme="minorHAnsi"/>
          <w:i/>
          <w:sz w:val="24"/>
          <w:szCs w:val="24"/>
        </w:rPr>
        <w:t>fortuna</w:t>
      </w:r>
      <w:proofErr w:type="spellEnd"/>
      <w:r w:rsidR="00E96C25">
        <w:rPr>
          <w:rFonts w:cstheme="minorHAnsi"/>
          <w:i/>
          <w:sz w:val="24"/>
          <w:szCs w:val="24"/>
        </w:rPr>
        <w:t>:</w:t>
      </w:r>
    </w:p>
    <w:p w14:paraId="67C6468D" w14:textId="4823F32E" w:rsidR="00E96C25" w:rsidRDefault="00924F78" w:rsidP="00E96C25">
      <w:pPr>
        <w:spacing w:after="0"/>
        <w:ind w:left="720"/>
        <w:rPr>
          <w:rFonts w:cstheme="minorHAnsi"/>
          <w:sz w:val="24"/>
          <w:szCs w:val="24"/>
        </w:rPr>
      </w:pPr>
      <w:r w:rsidRPr="00980C89">
        <w:rPr>
          <w:rFonts w:cstheme="minorHAnsi"/>
          <w:sz w:val="24"/>
          <w:szCs w:val="24"/>
        </w:rPr>
        <w:t>putting himself on a par with the gods and assuming divine honours: giving credence to oracles which recommended such conduct and reacting with excessive anger to any who refused to worship him: assuming foreign dress and aping the customs of defeated races for who he only had contempt before his victory</w:t>
      </w:r>
      <w:r w:rsidR="005219CA" w:rsidRPr="00980C89">
        <w:rPr>
          <w:rFonts w:cstheme="minorHAnsi"/>
          <w:sz w:val="24"/>
          <w:szCs w:val="24"/>
        </w:rPr>
        <w:t>.</w:t>
      </w:r>
      <w:r>
        <w:rPr>
          <w:rStyle w:val="FootnoteReference"/>
          <w:rFonts w:cstheme="minorHAnsi"/>
          <w:sz w:val="24"/>
          <w:szCs w:val="24"/>
        </w:rPr>
        <w:footnoteReference w:id="17"/>
      </w:r>
      <w:r w:rsidR="005219CA" w:rsidRPr="00980C89">
        <w:rPr>
          <w:rFonts w:cstheme="minorHAnsi"/>
          <w:sz w:val="24"/>
          <w:szCs w:val="24"/>
        </w:rPr>
        <w:t xml:space="preserve"> </w:t>
      </w:r>
    </w:p>
    <w:p w14:paraId="1A09C535" w14:textId="77777777" w:rsidR="00E96C25" w:rsidRDefault="00E96C25" w:rsidP="00BA2244">
      <w:pPr>
        <w:spacing w:after="0"/>
        <w:rPr>
          <w:rFonts w:cstheme="minorHAnsi"/>
          <w:sz w:val="24"/>
          <w:szCs w:val="24"/>
        </w:rPr>
      </w:pPr>
    </w:p>
    <w:p w14:paraId="001DA0BA" w14:textId="3C8D768D" w:rsidR="006C6F82" w:rsidRDefault="00924F78" w:rsidP="00BA2244">
      <w:pPr>
        <w:spacing w:after="0"/>
        <w:rPr>
          <w:rFonts w:cstheme="minorHAnsi"/>
          <w:sz w:val="24"/>
          <w:szCs w:val="24"/>
        </w:rPr>
      </w:pPr>
      <w:r w:rsidRPr="00980C89">
        <w:rPr>
          <w:rFonts w:cstheme="minorHAnsi"/>
          <w:sz w:val="24"/>
          <w:szCs w:val="24"/>
        </w:rPr>
        <w:t xml:space="preserve">This uncharacteristic criticism from Curtius almost represents a  senatorial wish-list for a prospective Caesar. </w:t>
      </w:r>
    </w:p>
    <w:p w14:paraId="2CE0D9D1" w14:textId="77777777" w:rsidR="00BA2244" w:rsidRPr="00980C89" w:rsidRDefault="00BA2244" w:rsidP="00BA2244">
      <w:pPr>
        <w:spacing w:after="0"/>
        <w:rPr>
          <w:rFonts w:cstheme="minorHAnsi"/>
          <w:sz w:val="24"/>
          <w:szCs w:val="24"/>
        </w:rPr>
      </w:pPr>
    </w:p>
    <w:p w14:paraId="3C129165" w14:textId="77777777" w:rsidR="00767895" w:rsidRDefault="00924F78" w:rsidP="00BA2244">
      <w:pPr>
        <w:spacing w:after="0"/>
        <w:rPr>
          <w:rFonts w:cstheme="minorHAnsi"/>
          <w:sz w:val="24"/>
          <w:szCs w:val="24"/>
        </w:rPr>
      </w:pPr>
      <w:r w:rsidRPr="00980C89">
        <w:rPr>
          <w:rFonts w:cstheme="minorHAnsi"/>
          <w:sz w:val="24"/>
          <w:szCs w:val="24"/>
        </w:rPr>
        <w:t>Unlike Baynham</w:t>
      </w:r>
      <w:r w:rsidR="005219CA" w:rsidRPr="00980C89">
        <w:rPr>
          <w:rFonts w:cstheme="minorHAnsi"/>
          <w:sz w:val="24"/>
          <w:szCs w:val="24"/>
        </w:rPr>
        <w:t>,</w:t>
      </w:r>
      <w:r w:rsidRPr="00980C89">
        <w:rPr>
          <w:rFonts w:cstheme="minorHAnsi"/>
          <w:sz w:val="24"/>
          <w:szCs w:val="24"/>
        </w:rPr>
        <w:t xml:space="preserve"> Tarn believes that “Curtius dates the change in Alexanders’s character to a precise moment in time</w:t>
      </w:r>
      <w:r w:rsidR="005219CA"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18"/>
      </w:r>
      <w:r w:rsidRPr="00980C89">
        <w:rPr>
          <w:rFonts w:cstheme="minorHAnsi"/>
          <w:sz w:val="24"/>
          <w:szCs w:val="24"/>
        </w:rPr>
        <w:t xml:space="preserve"> </w:t>
      </w:r>
      <w:r w:rsidR="005219CA" w:rsidRPr="00980C89">
        <w:rPr>
          <w:rFonts w:cstheme="minorHAnsi"/>
          <w:sz w:val="24"/>
          <w:szCs w:val="24"/>
        </w:rPr>
        <w:t xml:space="preserve"> </w:t>
      </w:r>
      <w:r w:rsidRPr="00980C89">
        <w:rPr>
          <w:rFonts w:cstheme="minorHAnsi"/>
          <w:sz w:val="24"/>
          <w:szCs w:val="24"/>
        </w:rPr>
        <w:t>That time is immediately after the death of Darius and is initiated not by the pressures of war but rather by those of peace.  "As soon as he was free of the worries that beset him he yielded to dissipation and the man who the arms of Persia had failed to crush fell before its vices</w:t>
      </w:r>
      <w:r w:rsidR="005219CA" w:rsidRPr="00980C89">
        <w:rPr>
          <w:rFonts w:cstheme="minorHAnsi"/>
          <w:sz w:val="24"/>
          <w:szCs w:val="24"/>
        </w:rPr>
        <w:t>.</w:t>
      </w:r>
      <w:r w:rsidRPr="00980C89">
        <w:rPr>
          <w:rFonts w:cstheme="minorHAnsi"/>
          <w:sz w:val="24"/>
          <w:szCs w:val="24"/>
        </w:rPr>
        <w:t>”</w:t>
      </w:r>
      <w:r>
        <w:rPr>
          <w:rStyle w:val="FootnoteReference"/>
          <w:rFonts w:cstheme="minorHAnsi"/>
          <w:sz w:val="24"/>
          <w:szCs w:val="24"/>
        </w:rPr>
        <w:footnoteReference w:id="19"/>
      </w:r>
      <w:r w:rsidR="005219CA" w:rsidRPr="00980C89">
        <w:rPr>
          <w:rFonts w:cstheme="minorHAnsi"/>
          <w:sz w:val="24"/>
          <w:szCs w:val="24"/>
        </w:rPr>
        <w:t xml:space="preserve"> </w:t>
      </w:r>
    </w:p>
    <w:p w14:paraId="0BABBD77" w14:textId="0F0E8BB6" w:rsidR="006C6F82" w:rsidRPr="00980C89" w:rsidRDefault="005219CA" w:rsidP="00BA2244">
      <w:pPr>
        <w:spacing w:after="0"/>
        <w:rPr>
          <w:rFonts w:cstheme="minorHAnsi"/>
          <w:sz w:val="24"/>
          <w:szCs w:val="24"/>
        </w:rPr>
      </w:pPr>
      <w:r w:rsidRPr="00980C89">
        <w:rPr>
          <w:rFonts w:cstheme="minorHAnsi"/>
          <w:sz w:val="24"/>
          <w:szCs w:val="24"/>
        </w:rPr>
        <w:t xml:space="preserve"> </w:t>
      </w:r>
    </w:p>
    <w:p w14:paraId="5AE6669C" w14:textId="77777777" w:rsidR="00E96C25" w:rsidRDefault="00924F78" w:rsidP="00BA2244">
      <w:pPr>
        <w:spacing w:after="0"/>
        <w:rPr>
          <w:rFonts w:cstheme="minorHAnsi"/>
          <w:sz w:val="24"/>
          <w:szCs w:val="24"/>
        </w:rPr>
      </w:pPr>
      <w:r w:rsidRPr="00980C89">
        <w:rPr>
          <w:rFonts w:cstheme="minorHAnsi"/>
          <w:sz w:val="24"/>
          <w:szCs w:val="24"/>
        </w:rPr>
        <w:t xml:space="preserve">The other main theme running through Curtius’ history is that of </w:t>
      </w:r>
      <w:r w:rsidRPr="00980C89">
        <w:rPr>
          <w:rFonts w:cstheme="minorHAnsi"/>
          <w:i/>
          <w:sz w:val="24"/>
          <w:szCs w:val="24"/>
        </w:rPr>
        <w:t>regnum</w:t>
      </w:r>
      <w:r w:rsidRPr="00980C89">
        <w:rPr>
          <w:rFonts w:cstheme="minorHAnsi"/>
          <w:sz w:val="24"/>
          <w:szCs w:val="24"/>
        </w:rPr>
        <w:t>.  In the first pentad, Curtius emphasises Alexander's positive qualities citing the veneration he enjoyed, which was particularly strong even for Macedonians.</w:t>
      </w:r>
      <w:r>
        <w:rPr>
          <w:rStyle w:val="FootnoteReference"/>
          <w:rFonts w:cstheme="minorHAnsi"/>
          <w:sz w:val="24"/>
          <w:szCs w:val="24"/>
        </w:rPr>
        <w:footnoteReference w:id="20"/>
      </w:r>
      <w:r w:rsidRPr="00980C89">
        <w:rPr>
          <w:rFonts w:cstheme="minorHAnsi"/>
          <w:sz w:val="24"/>
          <w:szCs w:val="24"/>
        </w:rPr>
        <w:t xml:space="preserve"> </w:t>
      </w:r>
      <w:r w:rsidR="00BA58A1" w:rsidRPr="00980C89">
        <w:rPr>
          <w:rFonts w:cstheme="minorHAnsi"/>
          <w:sz w:val="24"/>
          <w:szCs w:val="24"/>
        </w:rPr>
        <w:t xml:space="preserve"> </w:t>
      </w:r>
    </w:p>
    <w:p w14:paraId="6B80EB18" w14:textId="77777777" w:rsidR="00E96C25" w:rsidRDefault="00E96C25" w:rsidP="00BA2244">
      <w:pPr>
        <w:spacing w:after="0"/>
        <w:rPr>
          <w:rFonts w:cstheme="minorHAnsi"/>
          <w:sz w:val="24"/>
          <w:szCs w:val="24"/>
        </w:rPr>
      </w:pPr>
    </w:p>
    <w:p w14:paraId="4EF827A7" w14:textId="07303755" w:rsidR="00E96C25" w:rsidRDefault="00E96C25" w:rsidP="00E96C25">
      <w:pPr>
        <w:spacing w:after="0"/>
        <w:ind w:left="720"/>
        <w:rPr>
          <w:rFonts w:cstheme="minorHAnsi"/>
          <w:sz w:val="24"/>
          <w:szCs w:val="24"/>
        </w:rPr>
      </w:pPr>
      <w:r>
        <w:rPr>
          <w:rFonts w:cstheme="minorHAnsi"/>
          <w:sz w:val="24"/>
          <w:szCs w:val="24"/>
        </w:rPr>
        <w:t>T</w:t>
      </w:r>
      <w:r w:rsidR="00924F78" w:rsidRPr="00980C89">
        <w:rPr>
          <w:rFonts w:cstheme="minorHAnsi"/>
          <w:sz w:val="24"/>
          <w:szCs w:val="24"/>
        </w:rPr>
        <w:t>hen there are the things generally regarded as rather unimportant but which tend to find greater approval among soldiers: the fact that he exercised with his men, that he made his appearance and dress little different from the ordinary citizens</w:t>
      </w:r>
      <w:r w:rsidR="00BA58A1" w:rsidRPr="00980C89">
        <w:rPr>
          <w:rFonts w:cstheme="minorHAnsi"/>
          <w:sz w:val="24"/>
          <w:szCs w:val="24"/>
        </w:rPr>
        <w:t>.</w:t>
      </w:r>
      <w:r w:rsidR="00924F78">
        <w:rPr>
          <w:rStyle w:val="FootnoteReference"/>
          <w:rFonts w:cstheme="minorHAnsi"/>
          <w:sz w:val="24"/>
          <w:szCs w:val="24"/>
        </w:rPr>
        <w:footnoteReference w:id="21"/>
      </w:r>
      <w:r w:rsidR="00BA58A1" w:rsidRPr="00980C89">
        <w:rPr>
          <w:rFonts w:cstheme="minorHAnsi"/>
          <w:sz w:val="24"/>
          <w:szCs w:val="24"/>
        </w:rPr>
        <w:t xml:space="preserve"> </w:t>
      </w:r>
    </w:p>
    <w:p w14:paraId="68C3C95E" w14:textId="77777777" w:rsidR="00E96C25" w:rsidRDefault="00E96C25" w:rsidP="00BA2244">
      <w:pPr>
        <w:spacing w:after="0"/>
        <w:rPr>
          <w:rFonts w:cstheme="minorHAnsi"/>
          <w:sz w:val="24"/>
          <w:szCs w:val="24"/>
        </w:rPr>
      </w:pPr>
    </w:p>
    <w:p w14:paraId="5690330E" w14:textId="3FD88DFC" w:rsidR="006C6F82" w:rsidRDefault="00BA58A1" w:rsidP="00BA2244">
      <w:pPr>
        <w:spacing w:after="0"/>
        <w:rPr>
          <w:rFonts w:cstheme="minorHAnsi"/>
          <w:sz w:val="24"/>
          <w:szCs w:val="24"/>
        </w:rPr>
      </w:pPr>
      <w:r w:rsidRPr="00980C89">
        <w:rPr>
          <w:rFonts w:cstheme="minorHAnsi"/>
          <w:sz w:val="24"/>
          <w:szCs w:val="24"/>
        </w:rPr>
        <w:t xml:space="preserve"> </w:t>
      </w:r>
      <w:r w:rsidR="00924F78" w:rsidRPr="00980C89">
        <w:rPr>
          <w:rFonts w:cstheme="minorHAnsi"/>
          <w:sz w:val="24"/>
          <w:szCs w:val="24"/>
        </w:rPr>
        <w:t>It would appear that Alexander had developed the common touch and recognised the importance of leading from the front.  Curtius continues this theme of Alexander as a cunning ruler with his description of the treatment of Sisines.</w:t>
      </w:r>
      <w:r w:rsidR="00924F78">
        <w:rPr>
          <w:rStyle w:val="FootnoteReference"/>
          <w:rFonts w:cstheme="minorHAnsi"/>
          <w:sz w:val="24"/>
          <w:szCs w:val="24"/>
        </w:rPr>
        <w:footnoteReference w:id="22"/>
      </w:r>
      <w:r w:rsidR="00924F78" w:rsidRPr="00980C89">
        <w:rPr>
          <w:rFonts w:cstheme="minorHAnsi"/>
          <w:sz w:val="24"/>
          <w:szCs w:val="24"/>
        </w:rPr>
        <w:t xml:space="preserve"> </w:t>
      </w:r>
    </w:p>
    <w:p w14:paraId="2A1E0A7C" w14:textId="77777777" w:rsidR="00BA2244" w:rsidRPr="00980C89" w:rsidRDefault="00BA2244" w:rsidP="00BA2244">
      <w:pPr>
        <w:spacing w:after="0"/>
        <w:rPr>
          <w:rFonts w:cstheme="minorHAnsi"/>
          <w:sz w:val="24"/>
          <w:szCs w:val="24"/>
        </w:rPr>
      </w:pPr>
    </w:p>
    <w:p w14:paraId="75038A79" w14:textId="71CBC107" w:rsidR="006C6F82" w:rsidRDefault="00924F78" w:rsidP="00BA2244">
      <w:pPr>
        <w:spacing w:after="0"/>
        <w:rPr>
          <w:rFonts w:cstheme="minorHAnsi"/>
          <w:sz w:val="24"/>
          <w:szCs w:val="24"/>
        </w:rPr>
      </w:pPr>
      <w:r w:rsidRPr="00980C89">
        <w:rPr>
          <w:rFonts w:cstheme="minorHAnsi"/>
          <w:sz w:val="24"/>
          <w:szCs w:val="24"/>
        </w:rPr>
        <w:t>To further develop his theme of regnum, Curtius continuously eulogises Alexander's mastery of one of its key components, military prowess.  Alexander skillfully employs the use of a pep talk to motivate his men prior to the Battle of Issus.  According to Curtius, there was something in this speech for all of the constituent parts of his army.</w:t>
      </w:r>
      <w:r w:rsidR="00BA2244">
        <w:rPr>
          <w:rFonts w:cstheme="minorHAnsi"/>
          <w:sz w:val="24"/>
          <w:szCs w:val="24"/>
        </w:rPr>
        <w:t xml:space="preserve"> </w:t>
      </w:r>
      <w:r w:rsidRPr="00980C89">
        <w:rPr>
          <w:rFonts w:cstheme="minorHAnsi"/>
          <w:sz w:val="24"/>
          <w:szCs w:val="24"/>
        </w:rPr>
        <w:t xml:space="preserve"> For the glory hunters, he declared, "They were the liberators of the world</w:t>
      </w:r>
      <w:r w:rsidR="00BA2244">
        <w:rPr>
          <w:rFonts w:cstheme="minorHAnsi"/>
          <w:sz w:val="24"/>
          <w:szCs w:val="24"/>
        </w:rPr>
        <w:t>,</w:t>
      </w:r>
      <w:r w:rsidRPr="00980C89">
        <w:rPr>
          <w:rFonts w:cstheme="minorHAnsi"/>
          <w:sz w:val="24"/>
          <w:szCs w:val="24"/>
        </w:rPr>
        <w:t>”</w:t>
      </w:r>
      <w:r>
        <w:rPr>
          <w:rStyle w:val="FootnoteReference"/>
          <w:rFonts w:cstheme="minorHAnsi"/>
          <w:sz w:val="24"/>
          <w:szCs w:val="24"/>
        </w:rPr>
        <w:footnoteReference w:id="23"/>
      </w:r>
      <w:r w:rsidRPr="00980C89">
        <w:rPr>
          <w:rFonts w:cstheme="minorHAnsi"/>
          <w:sz w:val="24"/>
          <w:szCs w:val="24"/>
        </w:rPr>
        <w:t xml:space="preserve"> and for the more avaricious, "they were being offered the spoils of the entire East</w:t>
      </w:r>
      <w:r w:rsidR="00BA2244">
        <w:rPr>
          <w:rFonts w:cstheme="minorHAnsi"/>
          <w:sz w:val="24"/>
          <w:szCs w:val="24"/>
        </w:rPr>
        <w:t>.</w:t>
      </w:r>
      <w:r w:rsidRPr="00980C89">
        <w:rPr>
          <w:rFonts w:cstheme="minorHAnsi"/>
          <w:sz w:val="24"/>
          <w:szCs w:val="24"/>
        </w:rPr>
        <w:t>”</w:t>
      </w:r>
      <w:r>
        <w:rPr>
          <w:rStyle w:val="FootnoteReference"/>
          <w:rFonts w:cstheme="minorHAnsi"/>
          <w:sz w:val="24"/>
          <w:szCs w:val="24"/>
        </w:rPr>
        <w:footnoteReference w:id="24"/>
      </w:r>
      <w:r w:rsidRPr="00980C89">
        <w:rPr>
          <w:rFonts w:cstheme="minorHAnsi"/>
          <w:sz w:val="24"/>
          <w:szCs w:val="24"/>
        </w:rPr>
        <w:t xml:space="preserve"> </w:t>
      </w:r>
      <w:r w:rsidR="00BA2244">
        <w:rPr>
          <w:rFonts w:cstheme="minorHAnsi"/>
          <w:sz w:val="24"/>
          <w:szCs w:val="24"/>
        </w:rPr>
        <w:t xml:space="preserve"> </w:t>
      </w:r>
      <w:r w:rsidRPr="00980C89">
        <w:rPr>
          <w:rFonts w:cstheme="minorHAnsi"/>
          <w:sz w:val="24"/>
          <w:szCs w:val="24"/>
        </w:rPr>
        <w:t>There is a distinct Roman influence here in Curtius’ prose because he presents the leadership qualities of a king in the manner that Livy would describe the attributes of a Roman general</w:t>
      </w:r>
      <w:r w:rsidR="00BA2244">
        <w:rPr>
          <w:rFonts w:cstheme="minorHAnsi"/>
          <w:sz w:val="24"/>
          <w:szCs w:val="24"/>
        </w:rPr>
        <w:t>.</w:t>
      </w:r>
      <w:r>
        <w:rPr>
          <w:rStyle w:val="FootnoteReference"/>
          <w:rFonts w:cstheme="minorHAnsi"/>
          <w:sz w:val="24"/>
          <w:szCs w:val="24"/>
        </w:rPr>
        <w:footnoteReference w:id="25"/>
      </w:r>
      <w:r w:rsidR="00BA2244">
        <w:rPr>
          <w:rFonts w:cstheme="minorHAnsi"/>
          <w:sz w:val="24"/>
          <w:szCs w:val="24"/>
        </w:rPr>
        <w:t xml:space="preserve">   </w:t>
      </w:r>
    </w:p>
    <w:p w14:paraId="50A15748" w14:textId="77777777" w:rsidR="00BA2244" w:rsidRPr="00980C89" w:rsidRDefault="00BA2244" w:rsidP="00BA2244">
      <w:pPr>
        <w:spacing w:after="0"/>
        <w:rPr>
          <w:rFonts w:cstheme="minorHAnsi"/>
          <w:sz w:val="24"/>
          <w:szCs w:val="24"/>
        </w:rPr>
      </w:pPr>
    </w:p>
    <w:p w14:paraId="23E4322E" w14:textId="5AE6B41A" w:rsidR="006C6F82" w:rsidRDefault="00924F78" w:rsidP="00BA2244">
      <w:pPr>
        <w:spacing w:after="0"/>
        <w:rPr>
          <w:rFonts w:cstheme="minorHAnsi"/>
          <w:sz w:val="24"/>
          <w:szCs w:val="24"/>
        </w:rPr>
      </w:pPr>
      <w:r w:rsidRPr="00980C89">
        <w:rPr>
          <w:rFonts w:cstheme="minorHAnsi"/>
          <w:sz w:val="24"/>
          <w:szCs w:val="24"/>
        </w:rPr>
        <w:t xml:space="preserve">Military capability, however, is only one element of </w:t>
      </w:r>
      <w:r w:rsidRPr="00980C89">
        <w:rPr>
          <w:rFonts w:cstheme="minorHAnsi"/>
          <w:i/>
          <w:sz w:val="24"/>
          <w:szCs w:val="24"/>
        </w:rPr>
        <w:t>regnum</w:t>
      </w:r>
      <w:r w:rsidRPr="00980C89">
        <w:rPr>
          <w:rFonts w:cstheme="minorHAnsi"/>
          <w:b/>
          <w:sz w:val="24"/>
          <w:szCs w:val="24"/>
        </w:rPr>
        <w:t xml:space="preserve">.  </w:t>
      </w:r>
      <w:r w:rsidRPr="00980C89">
        <w:rPr>
          <w:rFonts w:cstheme="minorHAnsi"/>
          <w:sz w:val="24"/>
          <w:szCs w:val="24"/>
        </w:rPr>
        <w:t>The consolidation of gain is integral to the retention of power, and Curtius indicates that Alexander is only too well aware of this.  Thus</w:t>
      </w:r>
      <w:r w:rsidR="00086492">
        <w:rPr>
          <w:rFonts w:cstheme="minorHAnsi"/>
          <w:sz w:val="24"/>
          <w:szCs w:val="24"/>
        </w:rPr>
        <w:t>,</w:t>
      </w:r>
      <w:r w:rsidRPr="00980C89">
        <w:rPr>
          <w:rFonts w:cstheme="minorHAnsi"/>
          <w:sz w:val="24"/>
          <w:szCs w:val="24"/>
        </w:rPr>
        <w:t xml:space="preserve"> in his response to Darius' letter after Issus, he declares: "I know both how to conquer and how to deal with the </w:t>
      </w:r>
      <w:r w:rsidRPr="00980C89">
        <w:rPr>
          <w:rFonts w:cstheme="minorHAnsi"/>
          <w:sz w:val="24"/>
          <w:szCs w:val="24"/>
        </w:rPr>
        <w:lastRenderedPageBreak/>
        <w:t>conquered</w:t>
      </w:r>
      <w:r w:rsidR="00086492">
        <w:rPr>
          <w:rFonts w:cstheme="minorHAnsi"/>
          <w:sz w:val="24"/>
          <w:szCs w:val="24"/>
        </w:rPr>
        <w:t>.</w:t>
      </w:r>
      <w:r w:rsidRPr="00980C89">
        <w:rPr>
          <w:rFonts w:cstheme="minorHAnsi"/>
          <w:sz w:val="24"/>
          <w:szCs w:val="24"/>
        </w:rPr>
        <w:t>”</w:t>
      </w:r>
      <w:r>
        <w:rPr>
          <w:rStyle w:val="FootnoteReference"/>
          <w:rFonts w:cstheme="minorHAnsi"/>
          <w:sz w:val="24"/>
          <w:szCs w:val="24"/>
        </w:rPr>
        <w:footnoteReference w:id="26"/>
      </w:r>
      <w:r w:rsidR="00086492">
        <w:rPr>
          <w:rFonts w:cstheme="minorHAnsi"/>
          <w:sz w:val="24"/>
          <w:szCs w:val="24"/>
        </w:rPr>
        <w:t xml:space="preserve">  </w:t>
      </w:r>
      <w:r w:rsidRPr="00980C89">
        <w:rPr>
          <w:rFonts w:cstheme="minorHAnsi"/>
          <w:sz w:val="24"/>
          <w:szCs w:val="24"/>
        </w:rPr>
        <w:t>However, this may be pure sophistry on Alexander's part.  Instead of revealing an intent to rule wisely over his new dominions, this may represent a veiled threat to Darius because it contains a sinister postscript: "And by the way, when you write to me, remember that you are writing not just to a king but to your king</w:t>
      </w:r>
      <w:r w:rsidR="00086492">
        <w:rPr>
          <w:rFonts w:cstheme="minorHAnsi"/>
          <w:sz w:val="24"/>
          <w:szCs w:val="24"/>
        </w:rPr>
        <w:t>.</w:t>
      </w:r>
      <w:r w:rsidRPr="00980C89">
        <w:rPr>
          <w:rFonts w:cstheme="minorHAnsi"/>
          <w:sz w:val="24"/>
          <w:szCs w:val="24"/>
        </w:rPr>
        <w:t>”</w:t>
      </w:r>
      <w:r>
        <w:rPr>
          <w:rStyle w:val="FootnoteReference"/>
          <w:rFonts w:cstheme="minorHAnsi"/>
          <w:sz w:val="24"/>
          <w:szCs w:val="24"/>
        </w:rPr>
        <w:footnoteReference w:id="27"/>
      </w:r>
      <w:r w:rsidRPr="00980C89">
        <w:rPr>
          <w:rFonts w:cstheme="minorHAnsi"/>
          <w:sz w:val="24"/>
          <w:szCs w:val="24"/>
        </w:rPr>
        <w:t xml:space="preserve"> </w:t>
      </w:r>
      <w:r w:rsidR="00086492">
        <w:rPr>
          <w:rFonts w:cstheme="minorHAnsi"/>
          <w:sz w:val="24"/>
          <w:szCs w:val="24"/>
        </w:rPr>
        <w:t xml:space="preserve"> </w:t>
      </w:r>
      <w:r w:rsidRPr="00980C89">
        <w:rPr>
          <w:rFonts w:cstheme="minorHAnsi"/>
          <w:sz w:val="24"/>
          <w:szCs w:val="24"/>
        </w:rPr>
        <w:t xml:space="preserve"> The emphasis on 'your' indeed could not have been seen as anything other than a threat.  Alexander's perception of his own </w:t>
      </w:r>
      <w:r w:rsidRPr="00980C89">
        <w:rPr>
          <w:rFonts w:cstheme="minorHAnsi"/>
          <w:i/>
          <w:sz w:val="24"/>
          <w:szCs w:val="24"/>
        </w:rPr>
        <w:t>fortuna</w:t>
      </w:r>
      <w:r w:rsidRPr="00980C89">
        <w:rPr>
          <w:rFonts w:cstheme="minorHAnsi"/>
          <w:sz w:val="24"/>
          <w:szCs w:val="24"/>
        </w:rPr>
        <w:t xml:space="preserve"> is perhaps already impinging on his </w:t>
      </w:r>
      <w:r w:rsidRPr="00980C89">
        <w:rPr>
          <w:rFonts w:cstheme="minorHAnsi"/>
          <w:i/>
          <w:sz w:val="24"/>
          <w:szCs w:val="24"/>
        </w:rPr>
        <w:t>regnum</w:t>
      </w:r>
      <w:r w:rsidRPr="00980C89">
        <w:rPr>
          <w:rFonts w:cstheme="minorHAnsi"/>
          <w:sz w:val="24"/>
          <w:szCs w:val="24"/>
        </w:rPr>
        <w:t xml:space="preserve">. </w:t>
      </w:r>
      <w:r w:rsidR="00086492">
        <w:rPr>
          <w:rFonts w:cstheme="minorHAnsi"/>
          <w:sz w:val="24"/>
          <w:szCs w:val="24"/>
        </w:rPr>
        <w:t xml:space="preserve"> </w:t>
      </w:r>
      <w:r w:rsidRPr="00980C89">
        <w:rPr>
          <w:rFonts w:cstheme="minorHAnsi"/>
          <w:sz w:val="24"/>
          <w:szCs w:val="24"/>
        </w:rPr>
        <w:t>An indication of this deterioration surfaces in his treatment of Betis, whose open defiance propels Alexander into a rage.  Curtius is quick to ascribe this change in Alexander's persona to foreign contamination.  "Alexander's anger turned to fury, his recent successes already suggesting foreign modes of behaviour</w:t>
      </w:r>
      <w:r w:rsidR="00086492">
        <w:rPr>
          <w:rFonts w:cstheme="minorHAnsi"/>
          <w:sz w:val="24"/>
          <w:szCs w:val="24"/>
        </w:rPr>
        <w:t>.</w:t>
      </w:r>
      <w:r w:rsidRPr="00980C89">
        <w:rPr>
          <w:rFonts w:cstheme="minorHAnsi"/>
          <w:sz w:val="24"/>
          <w:szCs w:val="24"/>
        </w:rPr>
        <w:t>”</w:t>
      </w:r>
      <w:r>
        <w:rPr>
          <w:rStyle w:val="FootnoteReference"/>
          <w:rFonts w:cstheme="minorHAnsi"/>
          <w:sz w:val="24"/>
          <w:szCs w:val="24"/>
        </w:rPr>
        <w:footnoteReference w:id="28"/>
      </w:r>
      <w:r w:rsidR="00086492">
        <w:rPr>
          <w:rFonts w:cstheme="minorHAnsi"/>
          <w:sz w:val="24"/>
          <w:szCs w:val="24"/>
        </w:rPr>
        <w:t xml:space="preserve"> </w:t>
      </w:r>
      <w:r w:rsidRPr="00980C89">
        <w:rPr>
          <w:rFonts w:cstheme="minorHAnsi"/>
          <w:sz w:val="24"/>
          <w:szCs w:val="24"/>
        </w:rPr>
        <w:t xml:space="preserve"> The situation worsens after Alexander's visit to the oracle of Jupiter Ammon, during which he is addressed as Jupiter's son</w:t>
      </w:r>
      <w:r w:rsidR="00086492">
        <w:rPr>
          <w:rFonts w:cstheme="minorHAnsi"/>
          <w:sz w:val="24"/>
          <w:szCs w:val="24"/>
        </w:rPr>
        <w:t>.</w:t>
      </w:r>
      <w:r>
        <w:rPr>
          <w:rStyle w:val="FootnoteReference"/>
          <w:rFonts w:cstheme="minorHAnsi"/>
          <w:sz w:val="24"/>
          <w:szCs w:val="24"/>
        </w:rPr>
        <w:footnoteReference w:id="29"/>
      </w:r>
      <w:r w:rsidRPr="00980C89">
        <w:rPr>
          <w:rFonts w:cstheme="minorHAnsi"/>
          <w:sz w:val="24"/>
          <w:szCs w:val="24"/>
        </w:rPr>
        <w:t xml:space="preserve">  Here Curtius makes an uncharacteristic  value judgement on Alexander’s acceptance of levitation to the deity: “So Alexander did not just permit but actually ordered the title ‘Jupiter’s Son’ to be accorded to himself</w:t>
      </w:r>
      <w:r w:rsidR="00086492">
        <w:rPr>
          <w:rFonts w:cstheme="minorHAnsi"/>
          <w:sz w:val="24"/>
          <w:szCs w:val="24"/>
        </w:rPr>
        <w:t>.</w:t>
      </w:r>
      <w:r w:rsidRPr="00980C89">
        <w:rPr>
          <w:rFonts w:cstheme="minorHAnsi"/>
          <w:sz w:val="24"/>
          <w:szCs w:val="24"/>
        </w:rPr>
        <w:t>”</w:t>
      </w:r>
      <w:r>
        <w:rPr>
          <w:rStyle w:val="FootnoteReference"/>
          <w:rFonts w:cstheme="minorHAnsi"/>
          <w:sz w:val="24"/>
          <w:szCs w:val="24"/>
        </w:rPr>
        <w:footnoteReference w:id="30"/>
      </w:r>
      <w:r w:rsidR="00086492">
        <w:rPr>
          <w:rFonts w:cstheme="minorHAnsi"/>
          <w:sz w:val="24"/>
          <w:szCs w:val="24"/>
        </w:rPr>
        <w:t xml:space="preserve">  </w:t>
      </w:r>
      <w:r w:rsidRPr="00980C89">
        <w:rPr>
          <w:rFonts w:cstheme="minorHAnsi"/>
          <w:sz w:val="24"/>
          <w:szCs w:val="24"/>
        </w:rPr>
        <w:t>He also identified the negative impact this had on Alexander's standing with his army, who; "rejected his pretensions to immortality with greater obstinacy than was good either for themselves or their king</w:t>
      </w:r>
      <w:r w:rsidR="00086492">
        <w:rPr>
          <w:rFonts w:cstheme="minorHAnsi"/>
          <w:sz w:val="24"/>
          <w:szCs w:val="24"/>
        </w:rPr>
        <w:t>.</w:t>
      </w:r>
      <w:r w:rsidRPr="00980C89">
        <w:rPr>
          <w:rFonts w:cstheme="minorHAnsi"/>
          <w:sz w:val="24"/>
          <w:szCs w:val="24"/>
        </w:rPr>
        <w:t>”</w:t>
      </w:r>
      <w:r>
        <w:rPr>
          <w:rStyle w:val="FootnoteReference"/>
          <w:rFonts w:cstheme="minorHAnsi"/>
          <w:sz w:val="24"/>
          <w:szCs w:val="24"/>
        </w:rPr>
        <w:footnoteReference w:id="31"/>
      </w:r>
      <w:r w:rsidRPr="00980C89">
        <w:rPr>
          <w:rFonts w:cstheme="minorHAnsi"/>
          <w:sz w:val="24"/>
          <w:szCs w:val="24"/>
        </w:rPr>
        <w:t xml:space="preserve"> </w:t>
      </w:r>
      <w:r w:rsidR="00D31413">
        <w:rPr>
          <w:rFonts w:cstheme="minorHAnsi"/>
          <w:sz w:val="24"/>
          <w:szCs w:val="24"/>
        </w:rPr>
        <w:t xml:space="preserve"> </w:t>
      </w:r>
      <w:r w:rsidRPr="00980C89">
        <w:rPr>
          <w:rFonts w:cstheme="minorHAnsi"/>
          <w:sz w:val="24"/>
          <w:szCs w:val="24"/>
        </w:rPr>
        <w:t>There are possible parallels here with the perennial conflict between the senate and emperor in Roman times.</w:t>
      </w:r>
      <w:r>
        <w:rPr>
          <w:rStyle w:val="FootnoteReference"/>
          <w:rFonts w:cstheme="minorHAnsi"/>
          <w:sz w:val="24"/>
          <w:szCs w:val="24"/>
        </w:rPr>
        <w:footnoteReference w:id="32"/>
      </w:r>
      <w:r w:rsidRPr="00980C89">
        <w:rPr>
          <w:rFonts w:cstheme="minorHAnsi"/>
          <w:sz w:val="24"/>
          <w:szCs w:val="24"/>
        </w:rPr>
        <w:t xml:space="preserve"> </w:t>
      </w:r>
    </w:p>
    <w:p w14:paraId="48C9DAFB" w14:textId="77777777" w:rsidR="00BA2244" w:rsidRPr="00980C89" w:rsidRDefault="00BA2244" w:rsidP="00BA2244">
      <w:pPr>
        <w:spacing w:after="0"/>
        <w:rPr>
          <w:rFonts w:cstheme="minorHAnsi"/>
          <w:sz w:val="24"/>
          <w:szCs w:val="24"/>
        </w:rPr>
      </w:pPr>
    </w:p>
    <w:p w14:paraId="1A683032" w14:textId="77777777" w:rsidR="007F376F" w:rsidRDefault="00924F78" w:rsidP="00BA2244">
      <w:pPr>
        <w:spacing w:after="0"/>
        <w:rPr>
          <w:rFonts w:cstheme="minorHAnsi"/>
          <w:sz w:val="24"/>
          <w:szCs w:val="24"/>
        </w:rPr>
      </w:pPr>
      <w:r w:rsidRPr="00980C89">
        <w:rPr>
          <w:rFonts w:cstheme="minorHAnsi"/>
          <w:sz w:val="24"/>
          <w:szCs w:val="24"/>
        </w:rPr>
        <w:t xml:space="preserve">The Second </w:t>
      </w:r>
      <w:r w:rsidR="00336115">
        <w:rPr>
          <w:rFonts w:cstheme="minorHAnsi"/>
          <w:sz w:val="24"/>
          <w:szCs w:val="24"/>
        </w:rPr>
        <w:t>p</w:t>
      </w:r>
      <w:r w:rsidRPr="00980C89">
        <w:rPr>
          <w:rFonts w:cstheme="minorHAnsi"/>
          <w:sz w:val="24"/>
          <w:szCs w:val="24"/>
        </w:rPr>
        <w:t xml:space="preserve">entad continues to highlight Alexander’s decline into depravity. </w:t>
      </w:r>
      <w:r w:rsidR="00FC26E1">
        <w:rPr>
          <w:rFonts w:cstheme="minorHAnsi"/>
          <w:sz w:val="24"/>
          <w:szCs w:val="24"/>
        </w:rPr>
        <w:t xml:space="preserve"> </w:t>
      </w:r>
      <w:r w:rsidRPr="00980C89">
        <w:rPr>
          <w:rFonts w:cstheme="minorHAnsi"/>
          <w:sz w:val="24"/>
          <w:szCs w:val="24"/>
        </w:rPr>
        <w:t>Curtius attributes this almost entirely to Alexander’s adoption of Persian customs</w:t>
      </w:r>
      <w:r w:rsidR="007F376F">
        <w:rPr>
          <w:rFonts w:cstheme="minorHAnsi"/>
          <w:sz w:val="24"/>
          <w:szCs w:val="24"/>
        </w:rPr>
        <w:t>:</w:t>
      </w:r>
    </w:p>
    <w:p w14:paraId="6A7FE568" w14:textId="77777777" w:rsidR="007F376F" w:rsidRDefault="007F376F" w:rsidP="00BA2244">
      <w:pPr>
        <w:spacing w:after="0"/>
        <w:rPr>
          <w:rFonts w:cstheme="minorHAnsi"/>
          <w:sz w:val="24"/>
          <w:szCs w:val="24"/>
        </w:rPr>
      </w:pPr>
    </w:p>
    <w:p w14:paraId="185F6106" w14:textId="27EFF97C" w:rsidR="007F376F" w:rsidRDefault="00924F78" w:rsidP="007F376F">
      <w:pPr>
        <w:spacing w:after="0"/>
        <w:ind w:left="720"/>
        <w:rPr>
          <w:rFonts w:cstheme="minorHAnsi"/>
          <w:sz w:val="24"/>
          <w:szCs w:val="24"/>
        </w:rPr>
      </w:pPr>
      <w:r w:rsidRPr="00980C89">
        <w:rPr>
          <w:rFonts w:cstheme="minorHAnsi"/>
          <w:sz w:val="24"/>
          <w:szCs w:val="24"/>
        </w:rPr>
        <w:t>The traditional ways of his people, the healthy, sober discipline and unassuming demeanour of the Macedonian kings he considered  beneath his eminent position and began to ape the Persian royalty with its quasi-divine status</w:t>
      </w:r>
      <w:r w:rsidR="00FC26E1">
        <w:rPr>
          <w:rFonts w:cstheme="minorHAnsi"/>
          <w:sz w:val="24"/>
          <w:szCs w:val="24"/>
        </w:rPr>
        <w:t>.</w:t>
      </w:r>
      <w:r>
        <w:rPr>
          <w:rStyle w:val="FootnoteReference"/>
          <w:rFonts w:cstheme="minorHAnsi"/>
          <w:sz w:val="24"/>
          <w:szCs w:val="24"/>
        </w:rPr>
        <w:footnoteReference w:id="33"/>
      </w:r>
      <w:r w:rsidRPr="00980C89">
        <w:rPr>
          <w:rFonts w:cstheme="minorHAnsi"/>
          <w:sz w:val="24"/>
          <w:szCs w:val="24"/>
        </w:rPr>
        <w:t xml:space="preserve"> </w:t>
      </w:r>
      <w:r w:rsidR="00FC26E1">
        <w:rPr>
          <w:rFonts w:cstheme="minorHAnsi"/>
          <w:sz w:val="24"/>
          <w:szCs w:val="24"/>
        </w:rPr>
        <w:t xml:space="preserve"> </w:t>
      </w:r>
    </w:p>
    <w:p w14:paraId="613B51F8" w14:textId="77777777" w:rsidR="007F376F" w:rsidRDefault="007F376F" w:rsidP="00BA2244">
      <w:pPr>
        <w:spacing w:after="0"/>
        <w:rPr>
          <w:rFonts w:cstheme="minorHAnsi"/>
          <w:sz w:val="24"/>
          <w:szCs w:val="24"/>
        </w:rPr>
      </w:pPr>
    </w:p>
    <w:p w14:paraId="67C98B36" w14:textId="77777777" w:rsidR="007F376F" w:rsidRDefault="00924F78" w:rsidP="00BA2244">
      <w:pPr>
        <w:spacing w:after="0"/>
        <w:rPr>
          <w:rFonts w:cstheme="minorHAnsi"/>
          <w:sz w:val="24"/>
          <w:szCs w:val="24"/>
        </w:rPr>
      </w:pPr>
      <w:r w:rsidRPr="00980C89">
        <w:rPr>
          <w:rFonts w:cstheme="minorHAnsi"/>
          <w:sz w:val="24"/>
          <w:szCs w:val="24"/>
        </w:rPr>
        <w:t xml:space="preserve">Now Alexander faces rebellion from within his own ranks. </w:t>
      </w:r>
      <w:r w:rsidR="00FC26E1">
        <w:rPr>
          <w:rFonts w:cstheme="minorHAnsi"/>
          <w:sz w:val="24"/>
          <w:szCs w:val="24"/>
        </w:rPr>
        <w:t xml:space="preserve"> </w:t>
      </w:r>
      <w:r w:rsidRPr="00980C89">
        <w:rPr>
          <w:rFonts w:cstheme="minorHAnsi"/>
          <w:sz w:val="24"/>
          <w:szCs w:val="24"/>
        </w:rPr>
        <w:t xml:space="preserve">Curtius covers the Philotas affair, which is set to illustrate another theme impacting </w:t>
      </w:r>
      <w:r w:rsidRPr="00980C89">
        <w:rPr>
          <w:rFonts w:cstheme="minorHAnsi"/>
          <w:i/>
          <w:sz w:val="24"/>
          <w:szCs w:val="24"/>
        </w:rPr>
        <w:t>regnum</w:t>
      </w:r>
      <w:r w:rsidRPr="00980C89">
        <w:rPr>
          <w:rFonts w:cstheme="minorHAnsi"/>
          <w:sz w:val="24"/>
          <w:szCs w:val="24"/>
        </w:rPr>
        <w:t xml:space="preserve">: </w:t>
      </w:r>
      <w:r w:rsidRPr="00980C89">
        <w:rPr>
          <w:rFonts w:cstheme="minorHAnsi"/>
          <w:i/>
          <w:sz w:val="24"/>
          <w:szCs w:val="24"/>
        </w:rPr>
        <w:t>dissimulatio</w:t>
      </w:r>
      <w:r w:rsidRPr="00980C89">
        <w:rPr>
          <w:rFonts w:cstheme="minorHAnsi"/>
          <w:sz w:val="24"/>
          <w:szCs w:val="24"/>
        </w:rPr>
        <w:t>n, rivalry for imperial favour, in detail not employed by Arrian, Justin and Diodorus.</w:t>
      </w:r>
      <w:r>
        <w:rPr>
          <w:rStyle w:val="FootnoteReference"/>
          <w:rFonts w:cstheme="minorHAnsi"/>
          <w:sz w:val="24"/>
          <w:szCs w:val="24"/>
        </w:rPr>
        <w:footnoteReference w:id="34"/>
      </w:r>
      <w:r w:rsidRPr="00980C89">
        <w:rPr>
          <w:rFonts w:cstheme="minorHAnsi"/>
          <w:sz w:val="24"/>
          <w:szCs w:val="24"/>
        </w:rPr>
        <w:t xml:space="preserve"> </w:t>
      </w:r>
      <w:r w:rsidR="00FC26E1">
        <w:rPr>
          <w:rFonts w:cstheme="minorHAnsi"/>
          <w:sz w:val="24"/>
          <w:szCs w:val="24"/>
        </w:rPr>
        <w:t xml:space="preserve"> </w:t>
      </w:r>
      <w:r w:rsidRPr="00980C89">
        <w:rPr>
          <w:rFonts w:cstheme="minorHAnsi"/>
          <w:sz w:val="24"/>
          <w:szCs w:val="24"/>
        </w:rPr>
        <w:t>One of the principal pieces of evidence was a letter written by Parmenion to his sons Nicanor and Philotas</w:t>
      </w:r>
      <w:r w:rsidR="00FC26E1">
        <w:rPr>
          <w:rFonts w:cstheme="minorHAnsi"/>
          <w:sz w:val="24"/>
          <w:szCs w:val="24"/>
        </w:rPr>
        <w:t>.</w:t>
      </w:r>
      <w:r>
        <w:rPr>
          <w:rStyle w:val="FootnoteReference"/>
          <w:rFonts w:cstheme="minorHAnsi"/>
          <w:sz w:val="24"/>
          <w:szCs w:val="24"/>
        </w:rPr>
        <w:footnoteReference w:id="35"/>
      </w:r>
      <w:r w:rsidRPr="00980C89">
        <w:rPr>
          <w:rFonts w:cstheme="minorHAnsi"/>
          <w:sz w:val="24"/>
          <w:szCs w:val="24"/>
        </w:rPr>
        <w:t xml:space="preserve"> </w:t>
      </w:r>
      <w:r w:rsidR="00FC26E1">
        <w:rPr>
          <w:rFonts w:cstheme="minorHAnsi"/>
          <w:sz w:val="24"/>
          <w:szCs w:val="24"/>
        </w:rPr>
        <w:t xml:space="preserve"> </w:t>
      </w:r>
      <w:r w:rsidRPr="00980C89">
        <w:rPr>
          <w:rFonts w:cstheme="minorHAnsi"/>
          <w:sz w:val="24"/>
          <w:szCs w:val="24"/>
        </w:rPr>
        <w:t>Here Alexander is displaying signs of the paranoia which often accompanies absolute power because, as Curtius pointed out, "it did not really contain evidence of some dangerous plot</w:t>
      </w:r>
      <w:r w:rsidR="008F4A96">
        <w:rPr>
          <w:rFonts w:cstheme="minorHAnsi"/>
          <w:sz w:val="24"/>
          <w:szCs w:val="24"/>
        </w:rPr>
        <w:t>.</w:t>
      </w:r>
      <w:r w:rsidRPr="00980C89">
        <w:rPr>
          <w:rFonts w:cstheme="minorHAnsi"/>
          <w:sz w:val="24"/>
          <w:szCs w:val="24"/>
        </w:rPr>
        <w:t>”</w:t>
      </w:r>
      <w:r>
        <w:rPr>
          <w:rStyle w:val="FootnoteReference"/>
          <w:rFonts w:cstheme="minorHAnsi"/>
          <w:sz w:val="24"/>
          <w:szCs w:val="24"/>
        </w:rPr>
        <w:footnoteReference w:id="36"/>
      </w:r>
      <w:r w:rsidRPr="00980C89">
        <w:rPr>
          <w:rFonts w:cstheme="minorHAnsi"/>
          <w:sz w:val="24"/>
          <w:szCs w:val="24"/>
        </w:rPr>
        <w:t xml:space="preserve"> </w:t>
      </w:r>
      <w:r w:rsidR="008F4A96">
        <w:rPr>
          <w:rFonts w:cstheme="minorHAnsi"/>
          <w:sz w:val="24"/>
          <w:szCs w:val="24"/>
        </w:rPr>
        <w:t xml:space="preserve"> </w:t>
      </w:r>
      <w:r w:rsidRPr="00980C89">
        <w:rPr>
          <w:rFonts w:cstheme="minorHAnsi"/>
          <w:sz w:val="24"/>
          <w:szCs w:val="24"/>
        </w:rPr>
        <w:t xml:space="preserve">Instead, Alexander inserts the implication of guilt through nuance: </w:t>
      </w:r>
    </w:p>
    <w:p w14:paraId="0E87A5B6" w14:textId="77777777" w:rsidR="007F376F" w:rsidRDefault="007F376F" w:rsidP="00BA2244">
      <w:pPr>
        <w:spacing w:after="0"/>
        <w:rPr>
          <w:rFonts w:cstheme="minorHAnsi"/>
          <w:sz w:val="24"/>
          <w:szCs w:val="24"/>
        </w:rPr>
      </w:pPr>
    </w:p>
    <w:p w14:paraId="0E302F12" w14:textId="55F7FE64" w:rsidR="007F376F" w:rsidRDefault="00924F78" w:rsidP="007F376F">
      <w:pPr>
        <w:spacing w:after="0"/>
        <w:ind w:left="720"/>
        <w:rPr>
          <w:rFonts w:cstheme="minorHAnsi"/>
          <w:sz w:val="24"/>
          <w:szCs w:val="24"/>
        </w:rPr>
      </w:pPr>
      <w:r w:rsidRPr="00980C89">
        <w:rPr>
          <w:rFonts w:cstheme="minorHAnsi"/>
          <w:sz w:val="24"/>
          <w:szCs w:val="24"/>
        </w:rPr>
        <w:t>The king added that the letter was worded in this way so that if it reached his sons, it could be understood by those involved in the plot whereas, intercepted, its meaning would escape those who were ignorant of it</w:t>
      </w:r>
      <w:r w:rsidR="008F4A96">
        <w:rPr>
          <w:rFonts w:cstheme="minorHAnsi"/>
          <w:sz w:val="24"/>
          <w:szCs w:val="24"/>
        </w:rPr>
        <w:t>.</w:t>
      </w:r>
      <w:r>
        <w:rPr>
          <w:rStyle w:val="FootnoteReference"/>
          <w:rFonts w:cstheme="minorHAnsi"/>
          <w:sz w:val="24"/>
          <w:szCs w:val="24"/>
        </w:rPr>
        <w:footnoteReference w:id="37"/>
      </w:r>
      <w:r w:rsidR="008F4A96">
        <w:rPr>
          <w:rFonts w:cstheme="minorHAnsi"/>
          <w:sz w:val="24"/>
          <w:szCs w:val="24"/>
        </w:rPr>
        <w:t xml:space="preserve">  </w:t>
      </w:r>
      <w:r w:rsidRPr="00980C89">
        <w:rPr>
          <w:rFonts w:cstheme="minorHAnsi"/>
          <w:sz w:val="24"/>
          <w:szCs w:val="24"/>
        </w:rPr>
        <w:t xml:space="preserve"> </w:t>
      </w:r>
    </w:p>
    <w:p w14:paraId="7EDBB0EF" w14:textId="77777777" w:rsidR="007F376F" w:rsidRDefault="007F376F" w:rsidP="00BA2244">
      <w:pPr>
        <w:spacing w:after="0"/>
        <w:rPr>
          <w:rFonts w:cstheme="minorHAnsi"/>
          <w:sz w:val="24"/>
          <w:szCs w:val="24"/>
        </w:rPr>
      </w:pPr>
    </w:p>
    <w:p w14:paraId="357E3238" w14:textId="77777777" w:rsidR="00453320" w:rsidRDefault="00924F78" w:rsidP="00453320">
      <w:pPr>
        <w:spacing w:after="0"/>
        <w:rPr>
          <w:rFonts w:cstheme="minorHAnsi"/>
          <w:sz w:val="24"/>
          <w:szCs w:val="24"/>
        </w:rPr>
      </w:pPr>
      <w:r w:rsidRPr="00980C89">
        <w:rPr>
          <w:rFonts w:cstheme="minorHAnsi"/>
          <w:sz w:val="24"/>
          <w:szCs w:val="24"/>
        </w:rPr>
        <w:t>To Alexander, the successful prosecution of Philotas is not merely to decapitate a potential assassination plot but to reaffirm the confidence of the army in his leadership:</w:t>
      </w:r>
      <w:r w:rsidR="007F376F">
        <w:rPr>
          <w:rFonts w:cstheme="minorHAnsi"/>
          <w:sz w:val="24"/>
          <w:szCs w:val="24"/>
        </w:rPr>
        <w:t xml:space="preserve"> </w:t>
      </w:r>
      <w:r w:rsidRPr="00980C89">
        <w:rPr>
          <w:rFonts w:cstheme="minorHAnsi"/>
          <w:sz w:val="24"/>
          <w:szCs w:val="24"/>
        </w:rPr>
        <w:t xml:space="preserve">"Alexander had been saved from great </w:t>
      </w:r>
      <w:r w:rsidRPr="00980C89">
        <w:rPr>
          <w:rFonts w:cstheme="minorHAnsi"/>
          <w:sz w:val="24"/>
          <w:szCs w:val="24"/>
        </w:rPr>
        <w:lastRenderedPageBreak/>
        <w:t>danger, danger to his popularity as much as to his life</w:t>
      </w:r>
      <w:r w:rsidR="008F4A96">
        <w:rPr>
          <w:rFonts w:cstheme="minorHAnsi"/>
          <w:sz w:val="24"/>
          <w:szCs w:val="24"/>
        </w:rPr>
        <w:t>.</w:t>
      </w:r>
      <w:r w:rsidRPr="00980C89">
        <w:rPr>
          <w:rFonts w:cstheme="minorHAnsi"/>
          <w:sz w:val="24"/>
          <w:szCs w:val="24"/>
        </w:rPr>
        <w:t>”</w:t>
      </w:r>
      <w:r>
        <w:rPr>
          <w:rStyle w:val="FootnoteReference"/>
          <w:rFonts w:cstheme="minorHAnsi"/>
          <w:sz w:val="24"/>
          <w:szCs w:val="24"/>
        </w:rPr>
        <w:footnoteReference w:id="38"/>
      </w:r>
      <w:r w:rsidR="008F4A96">
        <w:rPr>
          <w:rFonts w:cstheme="minorHAnsi"/>
          <w:sz w:val="24"/>
          <w:szCs w:val="24"/>
        </w:rPr>
        <w:t xml:space="preserve"> </w:t>
      </w:r>
      <w:r w:rsidRPr="00980C89">
        <w:rPr>
          <w:rFonts w:cstheme="minorHAnsi"/>
          <w:sz w:val="24"/>
          <w:szCs w:val="24"/>
        </w:rPr>
        <w:t xml:space="preserve"> Curtius identifies a more significant threat to Alexander in the form of Parmenion. </w:t>
      </w:r>
      <w:r w:rsidR="008F4A96">
        <w:rPr>
          <w:rFonts w:cstheme="minorHAnsi"/>
          <w:sz w:val="24"/>
          <w:szCs w:val="24"/>
        </w:rPr>
        <w:t xml:space="preserve"> </w:t>
      </w:r>
      <w:r w:rsidRPr="00980C89">
        <w:rPr>
          <w:rFonts w:cstheme="minorHAnsi"/>
          <w:sz w:val="24"/>
          <w:szCs w:val="24"/>
        </w:rPr>
        <w:t>Craterus had reminded Alexander of the threat posed by Parmenion just prior to the interrogation of Philotas "he is a leader of a mighty army and because of his long-standing influence with your men holds a position of great authority not much inferior to yours</w:t>
      </w:r>
      <w:r w:rsidR="008F4A96">
        <w:rPr>
          <w:rFonts w:cstheme="minorHAnsi"/>
          <w:sz w:val="24"/>
          <w:szCs w:val="24"/>
        </w:rPr>
        <w:t>.</w:t>
      </w:r>
      <w:r w:rsidRPr="00980C89">
        <w:rPr>
          <w:rFonts w:cstheme="minorHAnsi"/>
          <w:sz w:val="24"/>
          <w:szCs w:val="24"/>
        </w:rPr>
        <w:t>”</w:t>
      </w:r>
      <w:r>
        <w:rPr>
          <w:rStyle w:val="FootnoteReference"/>
          <w:rFonts w:cstheme="minorHAnsi"/>
          <w:sz w:val="24"/>
          <w:szCs w:val="24"/>
        </w:rPr>
        <w:footnoteReference w:id="39"/>
      </w:r>
      <w:r w:rsidRPr="00980C89">
        <w:rPr>
          <w:rFonts w:cstheme="minorHAnsi"/>
          <w:sz w:val="24"/>
          <w:szCs w:val="24"/>
        </w:rPr>
        <w:t xml:space="preserve"> </w:t>
      </w:r>
      <w:r w:rsidR="008F4A96">
        <w:rPr>
          <w:rFonts w:cstheme="minorHAnsi"/>
          <w:sz w:val="24"/>
          <w:szCs w:val="24"/>
        </w:rPr>
        <w:t xml:space="preserve"> </w:t>
      </w:r>
      <w:r w:rsidRPr="00980C89">
        <w:rPr>
          <w:rFonts w:cstheme="minorHAnsi"/>
          <w:sz w:val="24"/>
          <w:szCs w:val="24"/>
        </w:rPr>
        <w:t xml:space="preserve">Curtius's Roman audience would undoubtedly have been only too aware of the paranoia and its careful manipulation present in the reins of Caligula or Nero.  To employ another show trial would have been a considerable gamble, so Alexander, in the </w:t>
      </w:r>
      <w:r w:rsidRPr="00980C89">
        <w:rPr>
          <w:rFonts w:cstheme="minorHAnsi"/>
          <w:i/>
          <w:sz w:val="24"/>
          <w:szCs w:val="24"/>
        </w:rPr>
        <w:t>modus operandi</w:t>
      </w:r>
      <w:r w:rsidRPr="00980C89">
        <w:rPr>
          <w:rFonts w:cstheme="minorHAnsi"/>
          <w:sz w:val="24"/>
          <w:szCs w:val="24"/>
        </w:rPr>
        <w:t xml:space="preserve"> of the fully developed tyrant, employs an assassin. </w:t>
      </w:r>
      <w:r w:rsidR="008F4A96">
        <w:rPr>
          <w:rFonts w:cstheme="minorHAnsi"/>
          <w:sz w:val="24"/>
          <w:szCs w:val="24"/>
        </w:rPr>
        <w:t xml:space="preserve"> </w:t>
      </w:r>
      <w:r w:rsidRPr="00980C89">
        <w:rPr>
          <w:rFonts w:cstheme="minorHAnsi"/>
          <w:sz w:val="24"/>
          <w:szCs w:val="24"/>
        </w:rPr>
        <w:t xml:space="preserve">Using </w:t>
      </w:r>
      <w:proofErr w:type="spellStart"/>
      <w:r w:rsidRPr="00980C89">
        <w:rPr>
          <w:rFonts w:cstheme="minorHAnsi"/>
          <w:sz w:val="24"/>
          <w:szCs w:val="24"/>
        </w:rPr>
        <w:t>Polydamus</w:t>
      </w:r>
      <w:proofErr w:type="spellEnd"/>
      <w:r w:rsidRPr="00980C89">
        <w:rPr>
          <w:rFonts w:cstheme="minorHAnsi"/>
          <w:sz w:val="24"/>
          <w:szCs w:val="24"/>
        </w:rPr>
        <w:t>' brothers as hostage, he despatches him to "hunt him down and punish him</w:t>
      </w:r>
      <w:r w:rsidR="008F4A96">
        <w:rPr>
          <w:rFonts w:cstheme="minorHAnsi"/>
          <w:sz w:val="24"/>
          <w:szCs w:val="24"/>
        </w:rPr>
        <w:t>.</w:t>
      </w:r>
      <w:r w:rsidRPr="00980C89">
        <w:rPr>
          <w:rFonts w:cstheme="minorHAnsi"/>
          <w:sz w:val="24"/>
          <w:szCs w:val="24"/>
        </w:rPr>
        <w:t>”</w:t>
      </w:r>
      <w:r>
        <w:rPr>
          <w:rStyle w:val="FootnoteReference"/>
          <w:rFonts w:cstheme="minorHAnsi"/>
          <w:sz w:val="24"/>
          <w:szCs w:val="24"/>
        </w:rPr>
        <w:footnoteReference w:id="40"/>
      </w:r>
      <w:r w:rsidR="008F4A96">
        <w:rPr>
          <w:rFonts w:cstheme="minorHAnsi"/>
          <w:sz w:val="24"/>
          <w:szCs w:val="24"/>
        </w:rPr>
        <w:t xml:space="preserve"> </w:t>
      </w:r>
      <w:r w:rsidRPr="00980C89">
        <w:rPr>
          <w:rFonts w:cstheme="minorHAnsi"/>
          <w:sz w:val="24"/>
          <w:szCs w:val="24"/>
        </w:rPr>
        <w:t xml:space="preserve"> Curtius hints that Alexander’s actions were unwarranted “Whether such qualities made him covet royal power or only brought him under suspicion of doing so is debatable</w:t>
      </w:r>
      <w:r w:rsidR="008F4A96">
        <w:rPr>
          <w:rFonts w:cstheme="minorHAnsi"/>
          <w:sz w:val="24"/>
          <w:szCs w:val="24"/>
        </w:rPr>
        <w:t>.</w:t>
      </w:r>
      <w:r w:rsidRPr="00980C89">
        <w:rPr>
          <w:rFonts w:cstheme="minorHAnsi"/>
          <w:sz w:val="24"/>
          <w:szCs w:val="24"/>
        </w:rPr>
        <w:t>”</w:t>
      </w:r>
      <w:r>
        <w:rPr>
          <w:rStyle w:val="FootnoteReference"/>
          <w:rFonts w:cstheme="minorHAnsi"/>
          <w:sz w:val="24"/>
          <w:szCs w:val="24"/>
        </w:rPr>
        <w:footnoteReference w:id="41"/>
      </w:r>
      <w:r w:rsidR="003349FC">
        <w:rPr>
          <w:rFonts w:cstheme="minorHAnsi"/>
          <w:sz w:val="24"/>
          <w:szCs w:val="24"/>
        </w:rPr>
        <w:t xml:space="preserve"> </w:t>
      </w:r>
      <w:r w:rsidRPr="00980C89">
        <w:rPr>
          <w:rFonts w:cstheme="minorHAnsi"/>
          <w:sz w:val="24"/>
          <w:szCs w:val="24"/>
        </w:rPr>
        <w:t xml:space="preserve"> The death of Cleitus is the next event in Alexander’s decay. </w:t>
      </w:r>
      <w:r w:rsidR="003349FC">
        <w:rPr>
          <w:rFonts w:cstheme="minorHAnsi"/>
          <w:sz w:val="24"/>
          <w:szCs w:val="24"/>
        </w:rPr>
        <w:t xml:space="preserve"> </w:t>
      </w:r>
      <w:r w:rsidRPr="00980C89">
        <w:rPr>
          <w:rFonts w:cstheme="minorHAnsi"/>
          <w:sz w:val="24"/>
          <w:szCs w:val="24"/>
        </w:rPr>
        <w:t>As a prelude to the incident, Curtius sets the tone by recounting an increasing  tendency of Alexander towards boastful statements as further evidence of his moral decline: "the king began to eulogise his exploits to the point of annoying even those of his audience who accepted the truth of his statements</w:t>
      </w:r>
      <w:r w:rsidR="003349FC">
        <w:rPr>
          <w:rFonts w:cstheme="minorHAnsi"/>
          <w:sz w:val="24"/>
          <w:szCs w:val="24"/>
        </w:rPr>
        <w:t>.</w:t>
      </w:r>
      <w:r w:rsidRPr="00980C89">
        <w:rPr>
          <w:rFonts w:cstheme="minorHAnsi"/>
          <w:sz w:val="24"/>
          <w:szCs w:val="24"/>
        </w:rPr>
        <w:t>”</w:t>
      </w:r>
      <w:r>
        <w:rPr>
          <w:rStyle w:val="FootnoteReference"/>
          <w:rFonts w:cstheme="minorHAnsi"/>
          <w:sz w:val="24"/>
          <w:szCs w:val="24"/>
        </w:rPr>
        <w:footnoteReference w:id="42"/>
      </w:r>
      <w:r w:rsidRPr="00980C89">
        <w:rPr>
          <w:rFonts w:cstheme="minorHAnsi"/>
          <w:sz w:val="24"/>
          <w:szCs w:val="24"/>
        </w:rPr>
        <w:t xml:space="preserve"> </w:t>
      </w:r>
      <w:r w:rsidR="003349FC">
        <w:rPr>
          <w:rFonts w:cstheme="minorHAnsi"/>
          <w:sz w:val="24"/>
          <w:szCs w:val="24"/>
        </w:rPr>
        <w:t xml:space="preserve"> </w:t>
      </w:r>
      <w:r w:rsidRPr="00980C89">
        <w:rPr>
          <w:rFonts w:cstheme="minorHAnsi"/>
          <w:sz w:val="24"/>
          <w:szCs w:val="24"/>
        </w:rPr>
        <w:t>He had become a drunken bore.</w:t>
      </w:r>
      <w:r w:rsidR="003349FC">
        <w:rPr>
          <w:rFonts w:cstheme="minorHAnsi"/>
          <w:sz w:val="24"/>
          <w:szCs w:val="24"/>
        </w:rPr>
        <w:t xml:space="preserve"> </w:t>
      </w:r>
      <w:r w:rsidRPr="00980C89">
        <w:rPr>
          <w:rFonts w:cstheme="minorHAnsi"/>
          <w:sz w:val="24"/>
          <w:szCs w:val="24"/>
        </w:rPr>
        <w:t xml:space="preserve"> Nevertheless, Curtius again takes a balanced view, apportioning some blame to Cleitus, "for he was carried away not only by drink but also by a perverse desire to pick a quarrel</w:t>
      </w:r>
      <w:r w:rsidR="003349FC">
        <w:rPr>
          <w:rFonts w:cstheme="minorHAnsi"/>
          <w:sz w:val="24"/>
          <w:szCs w:val="24"/>
        </w:rPr>
        <w:t>.</w:t>
      </w:r>
      <w:r w:rsidRPr="00980C89">
        <w:rPr>
          <w:rFonts w:cstheme="minorHAnsi"/>
          <w:sz w:val="24"/>
          <w:szCs w:val="24"/>
        </w:rPr>
        <w:t>”</w:t>
      </w:r>
      <w:r>
        <w:rPr>
          <w:rStyle w:val="FootnoteReference"/>
          <w:rFonts w:cstheme="minorHAnsi"/>
          <w:sz w:val="24"/>
          <w:szCs w:val="24"/>
        </w:rPr>
        <w:footnoteReference w:id="43"/>
      </w:r>
      <w:r w:rsidR="003349FC">
        <w:rPr>
          <w:rFonts w:cstheme="minorHAnsi"/>
          <w:sz w:val="24"/>
          <w:szCs w:val="24"/>
        </w:rPr>
        <w:t xml:space="preserve"> </w:t>
      </w:r>
      <w:r w:rsidRPr="00980C89">
        <w:rPr>
          <w:rFonts w:cstheme="minorHAnsi"/>
          <w:sz w:val="24"/>
          <w:szCs w:val="24"/>
        </w:rPr>
        <w:t>Cleitus' death was not the result of a legitimately legal conviction, but an act of drunken impulse and Curtius himself is judgemental in his analysis; “Although he was king, he had assumed the abominable role of executioner: with foul murder he had punished intemperate language that was attributable to wine</w:t>
      </w:r>
      <w:r w:rsidR="003349FC">
        <w:rPr>
          <w:rFonts w:cstheme="minorHAnsi"/>
          <w:sz w:val="24"/>
          <w:szCs w:val="24"/>
        </w:rPr>
        <w:t>.</w:t>
      </w:r>
      <w:r w:rsidRPr="00980C89">
        <w:rPr>
          <w:rFonts w:cstheme="minorHAnsi"/>
          <w:sz w:val="24"/>
          <w:szCs w:val="24"/>
        </w:rPr>
        <w:t>”</w:t>
      </w:r>
      <w:r>
        <w:rPr>
          <w:rStyle w:val="FootnoteReference"/>
          <w:rFonts w:cstheme="minorHAnsi"/>
          <w:sz w:val="24"/>
          <w:szCs w:val="24"/>
        </w:rPr>
        <w:footnoteReference w:id="44"/>
      </w:r>
      <w:r w:rsidRPr="00980C89">
        <w:rPr>
          <w:rFonts w:cstheme="minorHAnsi"/>
          <w:sz w:val="24"/>
          <w:szCs w:val="24"/>
        </w:rPr>
        <w:t xml:space="preserve"> </w:t>
      </w:r>
      <w:proofErr w:type="spellStart"/>
      <w:r w:rsidRPr="00980C89">
        <w:rPr>
          <w:rFonts w:cstheme="minorHAnsi"/>
          <w:sz w:val="24"/>
          <w:szCs w:val="24"/>
        </w:rPr>
        <w:t>Baynham</w:t>
      </w:r>
      <w:proofErr w:type="spellEnd"/>
      <w:r w:rsidRPr="00980C89">
        <w:rPr>
          <w:rFonts w:cstheme="minorHAnsi"/>
          <w:sz w:val="24"/>
          <w:szCs w:val="24"/>
        </w:rPr>
        <w:t xml:space="preserve"> points out that Alexander had, according to Curtius,  been guilty of </w:t>
      </w:r>
      <w:r w:rsidRPr="00980C89">
        <w:rPr>
          <w:rFonts w:cstheme="minorHAnsi"/>
          <w:i/>
          <w:sz w:val="24"/>
          <w:szCs w:val="24"/>
        </w:rPr>
        <w:t>nefas,</w:t>
      </w:r>
      <w:r w:rsidRPr="00980C89">
        <w:rPr>
          <w:rFonts w:cstheme="minorHAnsi"/>
          <w:sz w:val="24"/>
          <w:szCs w:val="24"/>
        </w:rPr>
        <w:t xml:space="preserve"> a contravention of the articles of divine law.</w:t>
      </w:r>
      <w:r>
        <w:rPr>
          <w:rStyle w:val="FootnoteReference"/>
          <w:rFonts w:cstheme="minorHAnsi"/>
          <w:sz w:val="24"/>
          <w:szCs w:val="24"/>
        </w:rPr>
        <w:footnoteReference w:id="45"/>
      </w:r>
      <w:r w:rsidRPr="00980C89">
        <w:rPr>
          <w:rFonts w:cstheme="minorHAnsi"/>
          <w:sz w:val="24"/>
          <w:szCs w:val="24"/>
        </w:rPr>
        <w:t xml:space="preserve"> </w:t>
      </w:r>
      <w:r w:rsidR="003349FC">
        <w:rPr>
          <w:rFonts w:cstheme="minorHAnsi"/>
          <w:sz w:val="24"/>
          <w:szCs w:val="24"/>
        </w:rPr>
        <w:t xml:space="preserve"> </w:t>
      </w:r>
      <w:r w:rsidRPr="00980C89">
        <w:rPr>
          <w:rFonts w:cstheme="minorHAnsi"/>
          <w:sz w:val="24"/>
          <w:szCs w:val="24"/>
        </w:rPr>
        <w:t>The final nail in the coffin of Alexander’s regnum is his “policy of fusion</w:t>
      </w:r>
      <w:r w:rsidR="003349FC">
        <w:rPr>
          <w:rFonts w:cstheme="minorHAnsi"/>
          <w:sz w:val="24"/>
          <w:szCs w:val="24"/>
        </w:rPr>
        <w:t>.</w:t>
      </w:r>
      <w:r w:rsidRPr="00980C89">
        <w:rPr>
          <w:rFonts w:cstheme="minorHAnsi"/>
          <w:sz w:val="24"/>
          <w:szCs w:val="24"/>
        </w:rPr>
        <w:t>”</w:t>
      </w:r>
      <w:r>
        <w:rPr>
          <w:rStyle w:val="FootnoteReference"/>
          <w:rFonts w:cstheme="minorHAnsi"/>
          <w:sz w:val="24"/>
          <w:szCs w:val="24"/>
        </w:rPr>
        <w:footnoteReference w:id="46"/>
      </w:r>
      <w:r w:rsidR="003349FC">
        <w:rPr>
          <w:rFonts w:cstheme="minorHAnsi"/>
          <w:sz w:val="24"/>
          <w:szCs w:val="24"/>
        </w:rPr>
        <w:t xml:space="preserve">  </w:t>
      </w:r>
      <w:r w:rsidRPr="00980C89">
        <w:rPr>
          <w:rFonts w:cstheme="minorHAnsi"/>
          <w:sz w:val="24"/>
          <w:szCs w:val="24"/>
        </w:rPr>
        <w:t xml:space="preserve">This is exemplified for Curtius by his marriage to Roxanne. </w:t>
      </w:r>
      <w:r w:rsidR="003349FC">
        <w:rPr>
          <w:rFonts w:cstheme="minorHAnsi"/>
          <w:sz w:val="24"/>
          <w:szCs w:val="24"/>
        </w:rPr>
        <w:t xml:space="preserve"> </w:t>
      </w:r>
      <w:r w:rsidRPr="00980C89">
        <w:rPr>
          <w:rFonts w:cstheme="minorHAnsi"/>
          <w:sz w:val="24"/>
          <w:szCs w:val="24"/>
        </w:rPr>
        <w:t>Curtius reports on this as another source of tension between the King and his Macedonian hierarchy and glosses over the diplomatic advantages of the move</w:t>
      </w:r>
      <w:r w:rsidR="003349FC">
        <w:rPr>
          <w:rFonts w:cstheme="minorHAnsi"/>
          <w:sz w:val="24"/>
          <w:szCs w:val="24"/>
        </w:rPr>
        <w:t>.</w:t>
      </w:r>
      <w:r>
        <w:rPr>
          <w:rStyle w:val="FootnoteReference"/>
          <w:rFonts w:cstheme="minorHAnsi"/>
          <w:sz w:val="24"/>
          <w:szCs w:val="24"/>
        </w:rPr>
        <w:footnoteReference w:id="47"/>
      </w:r>
    </w:p>
    <w:p w14:paraId="0F528387" w14:textId="77777777" w:rsidR="00453320" w:rsidRDefault="00453320" w:rsidP="00453320">
      <w:pPr>
        <w:spacing w:after="0"/>
        <w:rPr>
          <w:rFonts w:cstheme="minorHAnsi"/>
          <w:sz w:val="24"/>
          <w:szCs w:val="24"/>
        </w:rPr>
      </w:pPr>
    </w:p>
    <w:p w14:paraId="0465C9AF" w14:textId="29897887" w:rsidR="006C6F82" w:rsidRDefault="00924F78" w:rsidP="00453320">
      <w:pPr>
        <w:spacing w:after="0"/>
        <w:ind w:left="720"/>
        <w:rPr>
          <w:rFonts w:cstheme="minorHAnsi"/>
          <w:sz w:val="24"/>
          <w:szCs w:val="24"/>
        </w:rPr>
      </w:pPr>
      <w:r w:rsidRPr="00980C89">
        <w:rPr>
          <w:rFonts w:cstheme="minorHAnsi"/>
          <w:sz w:val="24"/>
          <w:szCs w:val="24"/>
        </w:rPr>
        <w:t>His friends were ashamed that he had chosen his father-in-law at a dinner party and from subject peoples but, with the suspension of free speech following Clitus’ murder, they signified their approval with their facial expressions, the feature of a man most prone to servility</w:t>
      </w:r>
      <w:r w:rsidR="00AB77B1">
        <w:rPr>
          <w:rFonts w:cstheme="minorHAnsi"/>
          <w:sz w:val="24"/>
          <w:szCs w:val="24"/>
        </w:rPr>
        <w:t>.</w:t>
      </w:r>
      <w:r>
        <w:rPr>
          <w:rStyle w:val="FootnoteReference"/>
          <w:rFonts w:cstheme="minorHAnsi"/>
          <w:sz w:val="24"/>
          <w:szCs w:val="24"/>
        </w:rPr>
        <w:footnoteReference w:id="48"/>
      </w:r>
      <w:r w:rsidRPr="00980C89">
        <w:rPr>
          <w:rFonts w:cstheme="minorHAnsi"/>
          <w:sz w:val="24"/>
          <w:szCs w:val="24"/>
        </w:rPr>
        <w:t xml:space="preserve"> </w:t>
      </w:r>
    </w:p>
    <w:p w14:paraId="4F71FAB5" w14:textId="77777777" w:rsidR="00BA2244" w:rsidRPr="00980C89" w:rsidRDefault="00BA2244" w:rsidP="00BA2244">
      <w:pPr>
        <w:spacing w:after="0"/>
        <w:rPr>
          <w:rFonts w:cstheme="minorHAnsi"/>
          <w:sz w:val="24"/>
          <w:szCs w:val="24"/>
        </w:rPr>
      </w:pPr>
    </w:p>
    <w:p w14:paraId="4FF6F02D" w14:textId="3D4BF0D7" w:rsidR="006C6F82" w:rsidRDefault="00924F78" w:rsidP="00BA2244">
      <w:pPr>
        <w:spacing w:after="0"/>
        <w:rPr>
          <w:rFonts w:cstheme="minorHAnsi"/>
          <w:sz w:val="24"/>
          <w:szCs w:val="24"/>
        </w:rPr>
      </w:pPr>
      <w:r w:rsidRPr="00980C89">
        <w:rPr>
          <w:rFonts w:cstheme="minorHAnsi"/>
          <w:sz w:val="24"/>
          <w:szCs w:val="24"/>
        </w:rPr>
        <w:t xml:space="preserve">Curtius' sources clearly had a significant influence on what he was writing.  If they were known, it would greatly assist any analysis of why he wrote in the fashion he did. </w:t>
      </w:r>
      <w:r w:rsidR="00E730EE">
        <w:rPr>
          <w:rFonts w:cstheme="minorHAnsi"/>
          <w:sz w:val="24"/>
          <w:szCs w:val="24"/>
        </w:rPr>
        <w:t xml:space="preserve"> </w:t>
      </w:r>
      <w:r w:rsidRPr="00980C89">
        <w:rPr>
          <w:rFonts w:cstheme="minorHAnsi"/>
          <w:sz w:val="24"/>
          <w:szCs w:val="24"/>
        </w:rPr>
        <w:t>There is, however, considerable debate concerning this</w:t>
      </w:r>
      <w:r w:rsidRPr="00980C89">
        <w:rPr>
          <w:rFonts w:cstheme="minorHAnsi"/>
          <w:b/>
          <w:sz w:val="24"/>
          <w:szCs w:val="24"/>
        </w:rPr>
        <w:t xml:space="preserve">. </w:t>
      </w:r>
      <w:r w:rsidRPr="00980C89">
        <w:rPr>
          <w:rFonts w:cstheme="minorHAnsi"/>
          <w:sz w:val="24"/>
          <w:szCs w:val="24"/>
        </w:rPr>
        <w:t xml:space="preserve"> Tarn believes that he had no apparent source and that "all he wanted was a background of some sort against which to develop his view of Alexander</w:t>
      </w:r>
      <w:r w:rsidR="00E730EE">
        <w:rPr>
          <w:rFonts w:cstheme="minorHAnsi"/>
          <w:sz w:val="24"/>
          <w:szCs w:val="24"/>
        </w:rPr>
        <w:t>.</w:t>
      </w:r>
      <w:r w:rsidRPr="00980C89">
        <w:rPr>
          <w:rFonts w:cstheme="minorHAnsi"/>
          <w:sz w:val="24"/>
          <w:szCs w:val="24"/>
        </w:rPr>
        <w:t>”</w:t>
      </w:r>
      <w:r>
        <w:rPr>
          <w:rStyle w:val="FootnoteReference"/>
          <w:rFonts w:cstheme="minorHAnsi"/>
          <w:sz w:val="24"/>
          <w:szCs w:val="24"/>
        </w:rPr>
        <w:footnoteReference w:id="49"/>
      </w:r>
      <w:r w:rsidR="00E730EE">
        <w:rPr>
          <w:rFonts w:cstheme="minorHAnsi"/>
          <w:sz w:val="24"/>
          <w:szCs w:val="24"/>
        </w:rPr>
        <w:t xml:space="preserve"> </w:t>
      </w:r>
      <w:r w:rsidRPr="00980C89">
        <w:rPr>
          <w:rFonts w:cstheme="minorHAnsi"/>
          <w:sz w:val="24"/>
          <w:szCs w:val="24"/>
        </w:rPr>
        <w:t xml:space="preserve"> Cleitarchus is dismissed as a source because of the lack of commonality with elements in Diodorus’ account and by the paucity within Curtius of references to Cleitarchus. </w:t>
      </w:r>
      <w:r w:rsidR="00E730EE">
        <w:rPr>
          <w:rFonts w:cstheme="minorHAnsi"/>
          <w:sz w:val="24"/>
          <w:szCs w:val="24"/>
        </w:rPr>
        <w:t xml:space="preserve"> </w:t>
      </w:r>
      <w:r w:rsidRPr="00980C89">
        <w:rPr>
          <w:rFonts w:cstheme="minorHAnsi"/>
          <w:sz w:val="24"/>
          <w:szCs w:val="24"/>
        </w:rPr>
        <w:t xml:space="preserve">Tarn observes there are only two, one of which is dismissive.  Following his description of the assault on the town of Sudcrae,  Curtius disputes Cleitarchus' assertion that Ptolemy was a participant concluding that; "Such was the carelessness of the compilers of the older histories or, an </w:t>
      </w:r>
      <w:r w:rsidRPr="00980C89">
        <w:rPr>
          <w:rFonts w:cstheme="minorHAnsi"/>
          <w:sz w:val="24"/>
          <w:szCs w:val="24"/>
        </w:rPr>
        <w:lastRenderedPageBreak/>
        <w:t>equally reprehensible shortcoming, their gullibility."</w:t>
      </w:r>
      <w:r>
        <w:rPr>
          <w:rStyle w:val="FootnoteReference"/>
          <w:rFonts w:cstheme="minorHAnsi"/>
          <w:sz w:val="24"/>
          <w:szCs w:val="24"/>
        </w:rPr>
        <w:footnoteReference w:id="50"/>
      </w:r>
      <w:r w:rsidRPr="00980C89">
        <w:rPr>
          <w:rFonts w:cstheme="minorHAnsi"/>
          <w:sz w:val="24"/>
          <w:szCs w:val="24"/>
        </w:rPr>
        <w:t xml:space="preserve"> </w:t>
      </w:r>
      <w:r w:rsidR="00E730EE">
        <w:rPr>
          <w:rFonts w:cstheme="minorHAnsi"/>
          <w:sz w:val="24"/>
          <w:szCs w:val="24"/>
        </w:rPr>
        <w:t xml:space="preserve"> </w:t>
      </w:r>
      <w:r w:rsidRPr="00980C89">
        <w:rPr>
          <w:rFonts w:cstheme="minorHAnsi"/>
          <w:sz w:val="24"/>
          <w:szCs w:val="24"/>
        </w:rPr>
        <w:t>Heckel, however, arguing that Curtius manipulated primary sources to achieve artistic effect, accepts that;</w:t>
      </w:r>
      <w:r w:rsidR="00453320">
        <w:rPr>
          <w:rFonts w:cstheme="minorHAnsi"/>
          <w:sz w:val="24"/>
          <w:szCs w:val="24"/>
        </w:rPr>
        <w:t xml:space="preserve"> </w:t>
      </w:r>
      <w:r w:rsidRPr="00980C89">
        <w:rPr>
          <w:rFonts w:cstheme="minorHAnsi"/>
          <w:sz w:val="24"/>
          <w:szCs w:val="24"/>
        </w:rPr>
        <w:t>”</w:t>
      </w:r>
      <w:proofErr w:type="spellStart"/>
      <w:r w:rsidRPr="00980C89">
        <w:rPr>
          <w:rFonts w:cstheme="minorHAnsi"/>
          <w:sz w:val="24"/>
          <w:szCs w:val="24"/>
        </w:rPr>
        <w:t>Curtius</w:t>
      </w:r>
      <w:proofErr w:type="spellEnd"/>
      <w:r w:rsidRPr="00980C89">
        <w:rPr>
          <w:rFonts w:cstheme="minorHAnsi"/>
          <w:sz w:val="24"/>
          <w:szCs w:val="24"/>
        </w:rPr>
        <w:t xml:space="preserve"> and </w:t>
      </w:r>
      <w:proofErr w:type="spellStart"/>
      <w:r w:rsidRPr="00980C89">
        <w:rPr>
          <w:rFonts w:cstheme="minorHAnsi"/>
          <w:sz w:val="24"/>
          <w:szCs w:val="24"/>
        </w:rPr>
        <w:t>Diodorus</w:t>
      </w:r>
      <w:proofErr w:type="spellEnd"/>
      <w:r w:rsidRPr="00980C89">
        <w:rPr>
          <w:rFonts w:cstheme="minorHAnsi"/>
          <w:sz w:val="24"/>
          <w:szCs w:val="24"/>
        </w:rPr>
        <w:t xml:space="preserve"> followed closely the same primary source and almost certainly Cleitarchus</w:t>
      </w:r>
      <w:r w:rsidR="00E730EE">
        <w:rPr>
          <w:rFonts w:cstheme="minorHAnsi"/>
          <w:sz w:val="24"/>
          <w:szCs w:val="24"/>
        </w:rPr>
        <w:t>.</w:t>
      </w:r>
      <w:r w:rsidRPr="00980C89">
        <w:rPr>
          <w:rFonts w:cstheme="minorHAnsi"/>
          <w:sz w:val="24"/>
          <w:szCs w:val="24"/>
        </w:rPr>
        <w:t>”</w:t>
      </w:r>
      <w:r>
        <w:rPr>
          <w:rStyle w:val="FootnoteReference"/>
          <w:rFonts w:cstheme="minorHAnsi"/>
          <w:sz w:val="24"/>
          <w:szCs w:val="24"/>
        </w:rPr>
        <w:footnoteReference w:id="51"/>
      </w:r>
      <w:r w:rsidR="00E730EE">
        <w:rPr>
          <w:rFonts w:cstheme="minorHAnsi"/>
          <w:sz w:val="24"/>
          <w:szCs w:val="24"/>
        </w:rPr>
        <w:t xml:space="preserve">  </w:t>
      </w:r>
      <w:r w:rsidRPr="00980C89">
        <w:rPr>
          <w:rFonts w:cstheme="minorHAnsi"/>
          <w:sz w:val="24"/>
          <w:szCs w:val="24"/>
        </w:rPr>
        <w:t>This does not preclude the possibility that Curtius omitted elements from Cleitarchus that Diodorus included and vice versa.</w:t>
      </w:r>
      <w:r w:rsidR="00E730EE">
        <w:rPr>
          <w:rFonts w:cstheme="minorHAnsi"/>
          <w:sz w:val="24"/>
          <w:szCs w:val="24"/>
        </w:rPr>
        <w:t xml:space="preserve"> </w:t>
      </w:r>
      <w:r w:rsidRPr="00980C89">
        <w:rPr>
          <w:rFonts w:cstheme="minorHAnsi"/>
          <w:sz w:val="24"/>
          <w:szCs w:val="24"/>
        </w:rPr>
        <w:t xml:space="preserve"> Indeed to use this as evidence that they did not share </w:t>
      </w:r>
      <w:proofErr w:type="spellStart"/>
      <w:r w:rsidRPr="00980C89">
        <w:rPr>
          <w:rFonts w:cstheme="minorHAnsi"/>
          <w:sz w:val="24"/>
          <w:szCs w:val="24"/>
        </w:rPr>
        <w:t>Cleitarchus</w:t>
      </w:r>
      <w:proofErr w:type="spellEnd"/>
      <w:r w:rsidRPr="00980C89">
        <w:rPr>
          <w:rFonts w:cstheme="minorHAnsi"/>
          <w:sz w:val="24"/>
          <w:szCs w:val="24"/>
        </w:rPr>
        <w:t xml:space="preserve"> is </w:t>
      </w:r>
      <w:r w:rsidR="00824E50">
        <w:rPr>
          <w:rFonts w:cstheme="minorHAnsi"/>
          <w:sz w:val="24"/>
          <w:szCs w:val="24"/>
        </w:rPr>
        <w:t>erroneous</w:t>
      </w:r>
      <w:r w:rsidRPr="00980C89">
        <w:rPr>
          <w:rFonts w:cstheme="minorHAnsi"/>
          <w:sz w:val="24"/>
          <w:szCs w:val="24"/>
        </w:rPr>
        <w:t>.  Heckel contends that the variations between Curtius and Diodorus are not a product of dissimilar background material but rather “attributable to Curtius’ own creativity</w:t>
      </w:r>
      <w:r w:rsidR="00E730EE">
        <w:rPr>
          <w:rFonts w:cstheme="minorHAnsi"/>
          <w:sz w:val="24"/>
          <w:szCs w:val="24"/>
        </w:rPr>
        <w:t>.</w:t>
      </w:r>
      <w:r w:rsidRPr="00980C89">
        <w:rPr>
          <w:rFonts w:cstheme="minorHAnsi"/>
          <w:sz w:val="24"/>
          <w:szCs w:val="24"/>
        </w:rPr>
        <w:t>”</w:t>
      </w:r>
      <w:r>
        <w:rPr>
          <w:rStyle w:val="FootnoteReference"/>
          <w:rFonts w:cstheme="minorHAnsi"/>
          <w:sz w:val="24"/>
          <w:szCs w:val="24"/>
        </w:rPr>
        <w:footnoteReference w:id="52"/>
      </w:r>
      <w:r w:rsidR="00542EE2">
        <w:rPr>
          <w:rFonts w:cstheme="minorHAnsi"/>
          <w:sz w:val="24"/>
          <w:szCs w:val="24"/>
        </w:rPr>
        <w:t xml:space="preserve"> </w:t>
      </w:r>
      <w:r w:rsidRPr="00980C89">
        <w:rPr>
          <w:rFonts w:cstheme="minorHAnsi"/>
          <w:sz w:val="24"/>
          <w:szCs w:val="24"/>
        </w:rPr>
        <w:t xml:space="preserve"> Drawing from other sources such as Ptolemy and Timagenes, importing the styles of Trogus, Vergil and Livy, and superimposing on these his own contemporary experiences, Curtius is the master of his own literary destiny.</w:t>
      </w:r>
      <w:r>
        <w:rPr>
          <w:rStyle w:val="FootnoteReference"/>
          <w:rFonts w:cstheme="minorHAnsi"/>
          <w:sz w:val="24"/>
          <w:szCs w:val="24"/>
        </w:rPr>
        <w:footnoteReference w:id="53"/>
      </w:r>
      <w:r w:rsidRPr="00980C89">
        <w:rPr>
          <w:rFonts w:cstheme="minorHAnsi"/>
          <w:sz w:val="24"/>
          <w:szCs w:val="24"/>
        </w:rPr>
        <w:t xml:space="preserve"> </w:t>
      </w:r>
      <w:r w:rsidR="00542EE2">
        <w:rPr>
          <w:rFonts w:cstheme="minorHAnsi"/>
          <w:sz w:val="24"/>
          <w:szCs w:val="24"/>
        </w:rPr>
        <w:t xml:space="preserve"> </w:t>
      </w:r>
      <w:r w:rsidRPr="00980C89">
        <w:rPr>
          <w:rFonts w:cstheme="minorHAnsi"/>
          <w:sz w:val="24"/>
          <w:szCs w:val="24"/>
        </w:rPr>
        <w:t>No greater example of this is his extraordinary volte-face in Chapter Ten</w:t>
      </w:r>
      <w:r w:rsidRPr="00980C89">
        <w:rPr>
          <w:rFonts w:cstheme="minorHAnsi"/>
          <w:b/>
          <w:sz w:val="24"/>
          <w:szCs w:val="24"/>
        </w:rPr>
        <w:t xml:space="preserve">, </w:t>
      </w:r>
      <w:r w:rsidRPr="00980C89">
        <w:rPr>
          <w:rFonts w:cstheme="minorHAnsi"/>
          <w:sz w:val="24"/>
          <w:szCs w:val="24"/>
        </w:rPr>
        <w:t>where he;</w:t>
      </w:r>
      <w:r w:rsidRPr="00980C89">
        <w:rPr>
          <w:rFonts w:cstheme="minorHAnsi"/>
          <w:b/>
          <w:sz w:val="24"/>
          <w:szCs w:val="24"/>
        </w:rPr>
        <w:t xml:space="preserve"> </w:t>
      </w:r>
      <w:r w:rsidR="00542EE2">
        <w:rPr>
          <w:rFonts w:cstheme="minorHAnsi"/>
          <w:sz w:val="24"/>
          <w:szCs w:val="24"/>
        </w:rPr>
        <w:t>“</w:t>
      </w:r>
      <w:r w:rsidRPr="00980C89">
        <w:rPr>
          <w:rFonts w:cstheme="minorHAnsi"/>
          <w:sz w:val="24"/>
          <w:szCs w:val="24"/>
        </w:rPr>
        <w:t>proceeds to contradict and stultify nearly everything he has said.</w:t>
      </w:r>
      <w:r w:rsidR="00542EE2">
        <w:rPr>
          <w:rFonts w:cstheme="minorHAnsi"/>
          <w:sz w:val="24"/>
          <w:szCs w:val="24"/>
        </w:rPr>
        <w:t>”</w:t>
      </w:r>
      <w:r>
        <w:rPr>
          <w:rStyle w:val="FootnoteReference"/>
          <w:rFonts w:cstheme="minorHAnsi"/>
          <w:sz w:val="24"/>
          <w:szCs w:val="24"/>
        </w:rPr>
        <w:footnoteReference w:id="54"/>
      </w:r>
      <w:r w:rsidR="00542EE2">
        <w:rPr>
          <w:rFonts w:cstheme="minorHAnsi"/>
          <w:sz w:val="24"/>
          <w:szCs w:val="24"/>
        </w:rPr>
        <w:t xml:space="preserve">  </w:t>
      </w:r>
      <w:r w:rsidRPr="00980C89">
        <w:rPr>
          <w:rFonts w:cstheme="minorHAnsi"/>
          <w:sz w:val="24"/>
          <w:szCs w:val="24"/>
        </w:rPr>
        <w:t xml:space="preserve">The main thrust of his history, the journey from a just king, blessed with </w:t>
      </w:r>
      <w:r w:rsidRPr="00980C89">
        <w:rPr>
          <w:rFonts w:cstheme="minorHAnsi"/>
          <w:i/>
          <w:sz w:val="24"/>
          <w:szCs w:val="24"/>
        </w:rPr>
        <w:t xml:space="preserve">fortuna </w:t>
      </w:r>
      <w:r w:rsidRPr="00980C89">
        <w:rPr>
          <w:rFonts w:cstheme="minorHAnsi"/>
          <w:sz w:val="24"/>
          <w:szCs w:val="24"/>
        </w:rPr>
        <w:t>to “a cruel, mean and sensual tyrant</w:t>
      </w:r>
      <w:r w:rsidR="00542EE2">
        <w:rPr>
          <w:rFonts w:cstheme="minorHAnsi"/>
          <w:sz w:val="24"/>
          <w:szCs w:val="24"/>
        </w:rPr>
        <w:t>,</w:t>
      </w:r>
      <w:r w:rsidRPr="00980C89">
        <w:rPr>
          <w:rFonts w:cstheme="minorHAnsi"/>
          <w:sz w:val="24"/>
          <w:szCs w:val="24"/>
        </w:rPr>
        <w:t>”</w:t>
      </w:r>
      <w:r>
        <w:rPr>
          <w:rStyle w:val="FootnoteReference"/>
          <w:rFonts w:cstheme="minorHAnsi"/>
          <w:sz w:val="24"/>
          <w:szCs w:val="24"/>
        </w:rPr>
        <w:footnoteReference w:id="55"/>
      </w:r>
      <w:r w:rsidRPr="00980C89">
        <w:rPr>
          <w:rFonts w:cstheme="minorHAnsi"/>
          <w:sz w:val="24"/>
          <w:szCs w:val="24"/>
        </w:rPr>
        <w:t xml:space="preserve"> is abruptly abandoned.</w:t>
      </w:r>
      <w:r w:rsidR="00542EE2">
        <w:rPr>
          <w:rFonts w:cstheme="minorHAnsi"/>
          <w:sz w:val="24"/>
          <w:szCs w:val="24"/>
        </w:rPr>
        <w:t xml:space="preserve"> </w:t>
      </w:r>
      <w:r w:rsidRPr="00980C89">
        <w:rPr>
          <w:rFonts w:cstheme="minorHAnsi"/>
          <w:sz w:val="24"/>
          <w:szCs w:val="24"/>
        </w:rPr>
        <w:t xml:space="preserve"> At times there is a lack of originality.</w:t>
      </w:r>
      <w:r w:rsidR="00542EE2">
        <w:rPr>
          <w:rFonts w:cstheme="minorHAnsi"/>
          <w:sz w:val="24"/>
          <w:szCs w:val="24"/>
        </w:rPr>
        <w:t xml:space="preserve"> </w:t>
      </w:r>
      <w:r w:rsidRPr="00980C89">
        <w:rPr>
          <w:rFonts w:cstheme="minorHAnsi"/>
          <w:sz w:val="24"/>
          <w:szCs w:val="24"/>
        </w:rPr>
        <w:t xml:space="preserve"> Atkinson cites the example of the advance to Gedrosia, which falls into the same chronological trap as Diodorus did</w:t>
      </w:r>
      <w:r w:rsidR="00542EE2">
        <w:rPr>
          <w:rFonts w:cstheme="minorHAnsi"/>
          <w:sz w:val="24"/>
          <w:szCs w:val="24"/>
        </w:rPr>
        <w:t>.</w:t>
      </w:r>
      <w:r>
        <w:rPr>
          <w:rStyle w:val="FootnoteReference"/>
          <w:rFonts w:cstheme="minorHAnsi"/>
          <w:sz w:val="24"/>
          <w:szCs w:val="24"/>
        </w:rPr>
        <w:footnoteReference w:id="56"/>
      </w:r>
      <w:r w:rsidRPr="00980C89">
        <w:rPr>
          <w:rFonts w:cstheme="minorHAnsi"/>
          <w:sz w:val="24"/>
          <w:szCs w:val="24"/>
        </w:rPr>
        <w:t xml:space="preserve">  In other areas, he is totally original, such as Theaetus' speech when being liberated from forced labour in Persepolis, which; </w:t>
      </w:r>
      <w:r w:rsidR="00824E50">
        <w:rPr>
          <w:rFonts w:cstheme="minorHAnsi"/>
          <w:sz w:val="24"/>
          <w:szCs w:val="24"/>
        </w:rPr>
        <w:t>“</w:t>
      </w:r>
      <w:r w:rsidRPr="00980C89">
        <w:rPr>
          <w:rFonts w:cstheme="minorHAnsi"/>
          <w:sz w:val="24"/>
          <w:szCs w:val="24"/>
        </w:rPr>
        <w:t>reflects Roman values and Roman laws relating to marriage and legitimacy, which cannot have come from the Greek primary sources whom he elsewhere claims to have read</w:t>
      </w:r>
      <w:r w:rsidR="00387896">
        <w:rPr>
          <w:rFonts w:cstheme="minorHAnsi"/>
          <w:sz w:val="24"/>
          <w:szCs w:val="24"/>
        </w:rPr>
        <w:t>.</w:t>
      </w:r>
      <w:r w:rsidRPr="00980C89">
        <w:rPr>
          <w:rFonts w:cstheme="minorHAnsi"/>
          <w:sz w:val="24"/>
          <w:szCs w:val="24"/>
        </w:rPr>
        <w:t>”</w:t>
      </w:r>
      <w:r>
        <w:rPr>
          <w:rStyle w:val="FootnoteReference"/>
          <w:rFonts w:cstheme="minorHAnsi"/>
          <w:sz w:val="24"/>
          <w:szCs w:val="24"/>
        </w:rPr>
        <w:footnoteReference w:id="57"/>
      </w:r>
      <w:r w:rsidRPr="00980C89">
        <w:rPr>
          <w:rFonts w:cstheme="minorHAnsi"/>
          <w:sz w:val="24"/>
          <w:szCs w:val="24"/>
        </w:rPr>
        <w:t xml:space="preserve"> </w:t>
      </w:r>
    </w:p>
    <w:p w14:paraId="774C053F" w14:textId="77777777" w:rsidR="00BA2244" w:rsidRPr="00980C89" w:rsidRDefault="00BA2244" w:rsidP="00BA2244">
      <w:pPr>
        <w:spacing w:after="0"/>
        <w:rPr>
          <w:rFonts w:cstheme="minorHAnsi"/>
          <w:sz w:val="24"/>
          <w:szCs w:val="24"/>
        </w:rPr>
      </w:pPr>
    </w:p>
    <w:p w14:paraId="4F68D1A1" w14:textId="4336A810" w:rsidR="006C6F82" w:rsidRDefault="00924F78" w:rsidP="00BA2244">
      <w:pPr>
        <w:spacing w:after="0"/>
        <w:rPr>
          <w:rFonts w:cstheme="minorHAnsi"/>
          <w:sz w:val="24"/>
          <w:szCs w:val="24"/>
        </w:rPr>
      </w:pPr>
      <w:r w:rsidRPr="00980C89">
        <w:rPr>
          <w:rFonts w:cstheme="minorHAnsi"/>
          <w:sz w:val="24"/>
          <w:szCs w:val="24"/>
        </w:rPr>
        <w:t xml:space="preserve">Describing how Alexander has been used in Latin text is graphically illustrated within Curtius’ account. </w:t>
      </w:r>
      <w:r w:rsidR="00387896">
        <w:rPr>
          <w:rFonts w:cstheme="minorHAnsi"/>
          <w:sz w:val="24"/>
          <w:szCs w:val="24"/>
        </w:rPr>
        <w:t xml:space="preserve"> </w:t>
      </w:r>
      <w:r w:rsidRPr="00980C89">
        <w:rPr>
          <w:rFonts w:cstheme="minorHAnsi"/>
          <w:sz w:val="24"/>
          <w:szCs w:val="24"/>
        </w:rPr>
        <w:t>The</w:t>
      </w:r>
      <w:r w:rsidR="00387896">
        <w:rPr>
          <w:rFonts w:cstheme="minorHAnsi"/>
          <w:sz w:val="24"/>
          <w:szCs w:val="24"/>
        </w:rPr>
        <w:t xml:space="preserve"> ‘</w:t>
      </w:r>
      <w:r w:rsidRPr="00980C89">
        <w:rPr>
          <w:rFonts w:cstheme="minorHAnsi"/>
          <w:sz w:val="24"/>
          <w:szCs w:val="24"/>
        </w:rPr>
        <w:t>why’ remains an elusive question and is pertinent to each individual author.</w:t>
      </w:r>
      <w:r w:rsidR="00387896">
        <w:rPr>
          <w:rFonts w:cstheme="minorHAnsi"/>
          <w:sz w:val="24"/>
          <w:szCs w:val="24"/>
        </w:rPr>
        <w:t xml:space="preserve"> </w:t>
      </w:r>
      <w:r w:rsidRPr="00980C89">
        <w:rPr>
          <w:rFonts w:cstheme="minorHAnsi"/>
          <w:sz w:val="24"/>
          <w:szCs w:val="24"/>
        </w:rPr>
        <w:t xml:space="preserve"> Curtius’ motives are largely subject to conjecture and blurred by doubt concerning his own chronology.  Ironically any conclusions fall into the very sphere of rhetoric he has so often been accused of occupying himself</w:t>
      </w:r>
      <w:r w:rsidRPr="00980C89">
        <w:rPr>
          <w:rFonts w:cstheme="minorHAnsi"/>
          <w:b/>
          <w:sz w:val="24"/>
          <w:szCs w:val="24"/>
        </w:rPr>
        <w:t xml:space="preserve">. </w:t>
      </w:r>
      <w:r w:rsidR="00387896">
        <w:rPr>
          <w:rFonts w:cstheme="minorHAnsi"/>
          <w:b/>
          <w:sz w:val="24"/>
          <w:szCs w:val="24"/>
        </w:rPr>
        <w:t xml:space="preserve"> </w:t>
      </w:r>
      <w:r w:rsidRPr="00980C89">
        <w:rPr>
          <w:rFonts w:cstheme="minorHAnsi"/>
          <w:sz w:val="24"/>
          <w:szCs w:val="24"/>
        </w:rPr>
        <w:t xml:space="preserve">In terms of the treatment of ruling and power Curtius compresses the themes of </w:t>
      </w:r>
      <w:r w:rsidRPr="00980C89">
        <w:rPr>
          <w:rFonts w:cstheme="minorHAnsi"/>
          <w:i/>
          <w:sz w:val="24"/>
          <w:szCs w:val="24"/>
        </w:rPr>
        <w:t>fortuna</w:t>
      </w:r>
      <w:r w:rsidRPr="00980C89">
        <w:rPr>
          <w:rFonts w:cstheme="minorHAnsi"/>
          <w:sz w:val="24"/>
          <w:szCs w:val="24"/>
        </w:rPr>
        <w:t xml:space="preserve"> and </w:t>
      </w:r>
      <w:r w:rsidRPr="00980C89">
        <w:rPr>
          <w:rFonts w:cstheme="minorHAnsi"/>
          <w:i/>
          <w:sz w:val="24"/>
          <w:szCs w:val="24"/>
        </w:rPr>
        <w:t>regnum</w:t>
      </w:r>
      <w:r w:rsidRPr="00980C89">
        <w:rPr>
          <w:rFonts w:cstheme="minorHAnsi"/>
          <w:sz w:val="24"/>
          <w:szCs w:val="24"/>
        </w:rPr>
        <w:t xml:space="preserve"> into a continuous pursuit of power.</w:t>
      </w:r>
      <w:r w:rsidR="00387896">
        <w:rPr>
          <w:rFonts w:cstheme="minorHAnsi"/>
          <w:sz w:val="24"/>
          <w:szCs w:val="24"/>
        </w:rPr>
        <w:t xml:space="preserve"> </w:t>
      </w:r>
      <w:r w:rsidRPr="00980C89">
        <w:rPr>
          <w:rFonts w:cstheme="minorHAnsi"/>
          <w:sz w:val="24"/>
          <w:szCs w:val="24"/>
        </w:rPr>
        <w:t xml:space="preserve"> His book is a litany of military events and battlefield punishments.</w:t>
      </w:r>
      <w:r w:rsidR="00387896">
        <w:rPr>
          <w:rFonts w:cstheme="minorHAnsi"/>
          <w:sz w:val="24"/>
          <w:szCs w:val="24"/>
        </w:rPr>
        <w:t xml:space="preserve"> </w:t>
      </w:r>
      <w:r w:rsidRPr="00980C89">
        <w:rPr>
          <w:rFonts w:cstheme="minorHAnsi"/>
          <w:sz w:val="24"/>
          <w:szCs w:val="24"/>
        </w:rPr>
        <w:t xml:space="preserve"> Little scope is allocated for analysis or coverage of how the results of Alexander's power projection are to be administered.  There are references to Alexander attempting to consolidate his gains through mopping up campaigns divorced from his main offensive: "the excellent leaders also made inroads into several districts.  Calas marched into Paphlagonia and Antigonus into Lycaonia</w:t>
      </w:r>
      <w:r w:rsidR="00387896">
        <w:rPr>
          <w:rFonts w:cstheme="minorHAnsi"/>
          <w:sz w:val="24"/>
          <w:szCs w:val="24"/>
        </w:rPr>
        <w:t>.</w:t>
      </w:r>
      <w:r w:rsidRPr="00980C89">
        <w:rPr>
          <w:rFonts w:cstheme="minorHAnsi"/>
          <w:sz w:val="24"/>
          <w:szCs w:val="24"/>
        </w:rPr>
        <w:t>”</w:t>
      </w:r>
      <w:r>
        <w:rPr>
          <w:rStyle w:val="FootnoteReference"/>
          <w:rFonts w:cstheme="minorHAnsi"/>
          <w:sz w:val="24"/>
          <w:szCs w:val="24"/>
        </w:rPr>
        <w:footnoteReference w:id="58"/>
      </w:r>
      <w:r w:rsidR="00387896">
        <w:rPr>
          <w:rFonts w:cstheme="minorHAnsi"/>
          <w:sz w:val="24"/>
          <w:szCs w:val="24"/>
        </w:rPr>
        <w:t xml:space="preserve"> </w:t>
      </w:r>
      <w:r w:rsidRPr="00980C89">
        <w:rPr>
          <w:rFonts w:cstheme="minorHAnsi"/>
          <w:sz w:val="24"/>
          <w:szCs w:val="24"/>
        </w:rPr>
        <w:t xml:space="preserve"> These, however, are few and far between.  "Alexander's victories brought with them the acquisition of territories and new subjects, and the discovery that to govern and conquer were two separate issues</w:t>
      </w:r>
      <w:r w:rsidR="00387896">
        <w:rPr>
          <w:rFonts w:cstheme="minorHAnsi"/>
          <w:sz w:val="24"/>
          <w:szCs w:val="24"/>
        </w:rPr>
        <w:t>,</w:t>
      </w:r>
      <w:r w:rsidRPr="00980C89">
        <w:rPr>
          <w:rFonts w:cstheme="minorHAnsi"/>
          <w:sz w:val="24"/>
          <w:szCs w:val="24"/>
        </w:rPr>
        <w:t xml:space="preserve"> the latter considerably more difficult</w:t>
      </w:r>
      <w:r w:rsidR="00387896">
        <w:rPr>
          <w:rFonts w:cstheme="minorHAnsi"/>
          <w:sz w:val="24"/>
          <w:szCs w:val="24"/>
        </w:rPr>
        <w:t>.</w:t>
      </w:r>
      <w:r w:rsidRPr="00980C89">
        <w:rPr>
          <w:rFonts w:cstheme="minorHAnsi"/>
          <w:sz w:val="24"/>
          <w:szCs w:val="24"/>
        </w:rPr>
        <w:t>”</w:t>
      </w:r>
      <w:r>
        <w:rPr>
          <w:rStyle w:val="FootnoteReference"/>
          <w:rFonts w:cstheme="minorHAnsi"/>
          <w:sz w:val="24"/>
          <w:szCs w:val="24"/>
        </w:rPr>
        <w:footnoteReference w:id="59"/>
      </w:r>
      <w:r w:rsidRPr="00980C89">
        <w:rPr>
          <w:rFonts w:cstheme="minorHAnsi"/>
          <w:sz w:val="24"/>
          <w:szCs w:val="24"/>
        </w:rPr>
        <w:t xml:space="preserve">  It was not something that was of merit within the entourage that provided the history we have of Alexander, and thus it does not form part of Curtius’ narrative</w:t>
      </w:r>
      <w:r w:rsidR="00BA2244">
        <w:rPr>
          <w:rFonts w:cstheme="minorHAnsi"/>
          <w:sz w:val="24"/>
          <w:szCs w:val="24"/>
        </w:rPr>
        <w:t>.</w:t>
      </w:r>
    </w:p>
    <w:p w14:paraId="1758809A" w14:textId="77777777" w:rsidR="00BA2244" w:rsidRPr="00980C89" w:rsidRDefault="00BA2244" w:rsidP="00BA2244">
      <w:pPr>
        <w:spacing w:after="0"/>
        <w:rPr>
          <w:rFonts w:cstheme="minorHAnsi"/>
          <w:sz w:val="24"/>
          <w:szCs w:val="24"/>
        </w:rPr>
      </w:pPr>
    </w:p>
    <w:p w14:paraId="033EDAD1" w14:textId="3B9AAAD6" w:rsidR="006C6F82" w:rsidRPr="00980C89" w:rsidRDefault="00924F78" w:rsidP="00BA2244">
      <w:pPr>
        <w:spacing w:after="0"/>
        <w:rPr>
          <w:rFonts w:cstheme="minorHAnsi"/>
          <w:sz w:val="24"/>
          <w:szCs w:val="24"/>
        </w:rPr>
      </w:pPr>
      <w:r w:rsidRPr="00980C89">
        <w:rPr>
          <w:rFonts w:cstheme="minorHAnsi"/>
          <w:sz w:val="24"/>
          <w:szCs w:val="24"/>
        </w:rPr>
        <w:t>Unknowin</w:t>
      </w:r>
      <w:r w:rsidR="00387896">
        <w:rPr>
          <w:rFonts w:cstheme="minorHAnsi"/>
          <w:sz w:val="24"/>
          <w:szCs w:val="24"/>
        </w:rPr>
        <w:t>g</w:t>
      </w:r>
      <w:r w:rsidRPr="00980C89">
        <w:rPr>
          <w:rFonts w:cstheme="minorHAnsi"/>
          <w:sz w:val="24"/>
          <w:szCs w:val="24"/>
        </w:rPr>
        <w:t>ly</w:t>
      </w:r>
      <w:r w:rsidR="00387896">
        <w:rPr>
          <w:rFonts w:cstheme="minorHAnsi"/>
          <w:sz w:val="24"/>
          <w:szCs w:val="24"/>
        </w:rPr>
        <w:t>,</w:t>
      </w:r>
      <w:r w:rsidRPr="00980C89">
        <w:rPr>
          <w:rFonts w:cstheme="minorHAnsi"/>
          <w:sz w:val="24"/>
          <w:szCs w:val="24"/>
        </w:rPr>
        <w:t xml:space="preserve"> Curtius depicts Alexander as a man simultaneously with and without purpose.</w:t>
      </w:r>
      <w:r w:rsidR="00387896">
        <w:rPr>
          <w:rFonts w:cstheme="minorHAnsi"/>
          <w:sz w:val="24"/>
          <w:szCs w:val="24"/>
        </w:rPr>
        <w:t xml:space="preserve"> </w:t>
      </w:r>
      <w:r w:rsidRPr="00980C89">
        <w:rPr>
          <w:rFonts w:cstheme="minorHAnsi"/>
          <w:sz w:val="24"/>
          <w:szCs w:val="24"/>
        </w:rPr>
        <w:t xml:space="preserve"> The expedition he embarked upon had design not much more sophisticated than that of the Chevauchees carried out by the English Army during the Hundred </w:t>
      </w:r>
      <w:r w:rsidR="0027028F">
        <w:rPr>
          <w:rFonts w:cstheme="minorHAnsi"/>
          <w:sz w:val="24"/>
          <w:szCs w:val="24"/>
        </w:rPr>
        <w:t>Y</w:t>
      </w:r>
      <w:r w:rsidRPr="00980C89">
        <w:rPr>
          <w:rFonts w:cstheme="minorHAnsi"/>
          <w:sz w:val="24"/>
          <w:szCs w:val="24"/>
        </w:rPr>
        <w:t xml:space="preserve">ears' </w:t>
      </w:r>
      <w:r w:rsidR="0027028F">
        <w:rPr>
          <w:rFonts w:cstheme="minorHAnsi"/>
          <w:sz w:val="24"/>
          <w:szCs w:val="24"/>
        </w:rPr>
        <w:t>W</w:t>
      </w:r>
      <w:r w:rsidRPr="00980C89">
        <w:rPr>
          <w:rFonts w:cstheme="minorHAnsi"/>
          <w:sz w:val="24"/>
          <w:szCs w:val="24"/>
        </w:rPr>
        <w:t>ar.</w:t>
      </w:r>
      <w:r>
        <w:rPr>
          <w:rStyle w:val="FootnoteReference"/>
          <w:rFonts w:cstheme="minorHAnsi"/>
          <w:sz w:val="24"/>
          <w:szCs w:val="24"/>
        </w:rPr>
        <w:footnoteReference w:id="60"/>
      </w:r>
      <w:r w:rsidR="00A23BF7">
        <w:rPr>
          <w:rFonts w:cstheme="minorHAnsi"/>
          <w:sz w:val="24"/>
          <w:szCs w:val="24"/>
        </w:rPr>
        <w:t xml:space="preserve"> </w:t>
      </w:r>
      <w:r w:rsidRPr="00980C89">
        <w:rPr>
          <w:rFonts w:cstheme="minorHAnsi"/>
          <w:sz w:val="24"/>
          <w:szCs w:val="24"/>
        </w:rPr>
        <w:t xml:space="preserve"> The difference was that he had no exit strategy. </w:t>
      </w:r>
      <w:r w:rsidR="00A23BF7">
        <w:rPr>
          <w:rFonts w:cstheme="minorHAnsi"/>
          <w:sz w:val="24"/>
          <w:szCs w:val="24"/>
        </w:rPr>
        <w:t xml:space="preserve"> </w:t>
      </w:r>
      <w:r w:rsidRPr="00980C89">
        <w:rPr>
          <w:rFonts w:cstheme="minorHAnsi"/>
          <w:sz w:val="24"/>
          <w:szCs w:val="24"/>
        </w:rPr>
        <w:t xml:space="preserve">The fleet would not be waiting for his re-appearance at the coast. </w:t>
      </w:r>
      <w:r w:rsidR="00A23BF7">
        <w:rPr>
          <w:rFonts w:cstheme="minorHAnsi"/>
          <w:sz w:val="24"/>
          <w:szCs w:val="24"/>
        </w:rPr>
        <w:t xml:space="preserve"> </w:t>
      </w:r>
      <w:r w:rsidRPr="00980C89">
        <w:rPr>
          <w:rFonts w:cstheme="minorHAnsi"/>
          <w:sz w:val="24"/>
          <w:szCs w:val="24"/>
        </w:rPr>
        <w:t xml:space="preserve">To some extent, this must </w:t>
      </w:r>
      <w:r w:rsidRPr="00980C89">
        <w:rPr>
          <w:rFonts w:cstheme="minorHAnsi"/>
          <w:sz w:val="24"/>
          <w:szCs w:val="24"/>
        </w:rPr>
        <w:lastRenderedPageBreak/>
        <w:t xml:space="preserve">have had echoes within Roman society. </w:t>
      </w:r>
      <w:r w:rsidR="00A23BF7">
        <w:rPr>
          <w:rFonts w:cstheme="minorHAnsi"/>
          <w:sz w:val="24"/>
          <w:szCs w:val="24"/>
        </w:rPr>
        <w:t xml:space="preserve"> </w:t>
      </w:r>
      <w:r w:rsidRPr="00980C89">
        <w:rPr>
          <w:rFonts w:cstheme="minorHAnsi"/>
          <w:sz w:val="24"/>
          <w:szCs w:val="24"/>
        </w:rPr>
        <w:t xml:space="preserve">Their </w:t>
      </w:r>
      <w:r w:rsidRPr="00980C89">
        <w:rPr>
          <w:rFonts w:cstheme="minorHAnsi"/>
          <w:i/>
          <w:sz w:val="24"/>
          <w:szCs w:val="24"/>
        </w:rPr>
        <w:t xml:space="preserve">fortuna </w:t>
      </w:r>
      <w:r w:rsidRPr="00980C89">
        <w:rPr>
          <w:rFonts w:cstheme="minorHAnsi"/>
          <w:sz w:val="24"/>
          <w:szCs w:val="24"/>
        </w:rPr>
        <w:t xml:space="preserve">had brought them a vast empire, but their </w:t>
      </w:r>
      <w:r w:rsidRPr="00980C89">
        <w:rPr>
          <w:rFonts w:cstheme="minorHAnsi"/>
          <w:i/>
          <w:sz w:val="24"/>
          <w:szCs w:val="24"/>
        </w:rPr>
        <w:t>felicitas</w:t>
      </w:r>
      <w:r w:rsidRPr="00980C89">
        <w:rPr>
          <w:rFonts w:cstheme="minorHAnsi"/>
          <w:sz w:val="24"/>
          <w:szCs w:val="24"/>
        </w:rPr>
        <w:t xml:space="preserve"> had led to complacency, threatening the </w:t>
      </w:r>
      <w:r w:rsidRPr="00980C89">
        <w:rPr>
          <w:rFonts w:cstheme="minorHAnsi"/>
          <w:i/>
          <w:sz w:val="24"/>
          <w:szCs w:val="24"/>
        </w:rPr>
        <w:t>regnum</w:t>
      </w:r>
      <w:r w:rsidRPr="00980C89">
        <w:rPr>
          <w:rFonts w:cstheme="minorHAnsi"/>
          <w:sz w:val="24"/>
          <w:szCs w:val="24"/>
        </w:rPr>
        <w:t xml:space="preserve"> on which its survival depended. </w:t>
      </w:r>
      <w:r w:rsidR="00A23BF7">
        <w:rPr>
          <w:rFonts w:cstheme="minorHAnsi"/>
          <w:sz w:val="24"/>
          <w:szCs w:val="24"/>
        </w:rPr>
        <w:t xml:space="preserve"> </w:t>
      </w:r>
      <w:r w:rsidRPr="00980C89">
        <w:rPr>
          <w:rFonts w:cstheme="minorHAnsi"/>
          <w:sz w:val="24"/>
          <w:szCs w:val="24"/>
        </w:rPr>
        <w:t>The tale that Curtius had told represented fearsome portent for the Romans.  "But destiny was already bringing civil war upon the Macedonian nation: for a throne is not to be shared and several men were aspiring to it.. and an empire that might have stood firm</w:t>
      </w:r>
      <w:r w:rsidR="00A23BF7">
        <w:rPr>
          <w:rFonts w:cstheme="minorHAnsi"/>
          <w:sz w:val="24"/>
          <w:szCs w:val="24"/>
        </w:rPr>
        <w:t>.</w:t>
      </w:r>
      <w:r w:rsidRPr="00980C89">
        <w:rPr>
          <w:rFonts w:cstheme="minorHAnsi"/>
          <w:sz w:val="24"/>
          <w:szCs w:val="24"/>
        </w:rPr>
        <w:t>”</w:t>
      </w:r>
      <w:r>
        <w:rPr>
          <w:rStyle w:val="FootnoteReference"/>
          <w:rFonts w:cstheme="minorHAnsi"/>
          <w:sz w:val="24"/>
          <w:szCs w:val="24"/>
        </w:rPr>
        <w:footnoteReference w:id="61"/>
      </w:r>
      <w:r w:rsidRPr="00980C89">
        <w:rPr>
          <w:rFonts w:cstheme="minorHAnsi"/>
          <w:sz w:val="24"/>
          <w:szCs w:val="24"/>
        </w:rPr>
        <w:t xml:space="preserve"> </w:t>
      </w:r>
      <w:r w:rsidR="00A23BF7">
        <w:rPr>
          <w:rFonts w:cstheme="minorHAnsi"/>
          <w:sz w:val="24"/>
          <w:szCs w:val="24"/>
        </w:rPr>
        <w:t xml:space="preserve"> </w:t>
      </w:r>
      <w:r w:rsidRPr="00980C89">
        <w:rPr>
          <w:rFonts w:cstheme="minorHAnsi"/>
          <w:sz w:val="24"/>
          <w:szCs w:val="24"/>
        </w:rPr>
        <w:t xml:space="preserve">Essentially this represents the manifesto speech for any prospective Roman emperor. </w:t>
      </w:r>
    </w:p>
    <w:p w14:paraId="5A4951B3" w14:textId="49D02555" w:rsidR="00146FFE" w:rsidRPr="00980C89" w:rsidRDefault="00146FFE" w:rsidP="00BA2244">
      <w:pPr>
        <w:spacing w:after="0"/>
        <w:rPr>
          <w:rFonts w:cstheme="minorHAnsi"/>
          <w:sz w:val="24"/>
          <w:szCs w:val="24"/>
        </w:rPr>
      </w:pPr>
    </w:p>
    <w:p w14:paraId="5134F788" w14:textId="7885A697" w:rsidR="00146FFE" w:rsidRDefault="00924F78" w:rsidP="00BA2244">
      <w:pPr>
        <w:spacing w:after="0"/>
        <w:rPr>
          <w:rFonts w:cstheme="minorHAnsi"/>
          <w:i/>
          <w:iCs/>
          <w:sz w:val="24"/>
          <w:szCs w:val="24"/>
        </w:rPr>
      </w:pPr>
      <w:r w:rsidRPr="00980C89">
        <w:rPr>
          <w:rFonts w:cstheme="minorHAnsi"/>
          <w:i/>
          <w:iCs/>
          <w:sz w:val="24"/>
          <w:szCs w:val="24"/>
        </w:rPr>
        <w:t>(30</w:t>
      </w:r>
      <w:r w:rsidR="00BC7B59">
        <w:rPr>
          <w:rFonts w:cstheme="minorHAnsi"/>
          <w:i/>
          <w:iCs/>
          <w:sz w:val="24"/>
          <w:szCs w:val="24"/>
        </w:rPr>
        <w:t>4</w:t>
      </w:r>
      <w:r w:rsidRPr="00980C89">
        <w:rPr>
          <w:rFonts w:cstheme="minorHAnsi"/>
          <w:i/>
          <w:iCs/>
          <w:sz w:val="24"/>
          <w:szCs w:val="24"/>
        </w:rPr>
        <w:t>5 Word Count, excluding title and citations)</w:t>
      </w:r>
    </w:p>
    <w:p w14:paraId="4268C865" w14:textId="48DCA4D4" w:rsidR="00387896" w:rsidRDefault="00387896" w:rsidP="00BA2244">
      <w:pPr>
        <w:spacing w:after="0"/>
        <w:rPr>
          <w:rFonts w:cstheme="minorHAnsi"/>
          <w:i/>
          <w:iCs/>
          <w:sz w:val="24"/>
          <w:szCs w:val="24"/>
        </w:rPr>
      </w:pPr>
    </w:p>
    <w:p w14:paraId="53AC468F" w14:textId="19438838" w:rsidR="00387896" w:rsidRDefault="00387896" w:rsidP="00BA2244">
      <w:pPr>
        <w:spacing w:after="0"/>
        <w:rPr>
          <w:rFonts w:cstheme="minorHAnsi"/>
          <w:i/>
          <w:iCs/>
          <w:sz w:val="24"/>
          <w:szCs w:val="24"/>
        </w:rPr>
      </w:pPr>
    </w:p>
    <w:p w14:paraId="4ECD7D0C" w14:textId="3C4311BF" w:rsidR="00A23BF7" w:rsidRDefault="00A23BF7" w:rsidP="00BA2244">
      <w:pPr>
        <w:spacing w:after="0"/>
        <w:rPr>
          <w:rFonts w:cstheme="minorHAnsi"/>
          <w:i/>
          <w:iCs/>
          <w:sz w:val="24"/>
          <w:szCs w:val="24"/>
        </w:rPr>
      </w:pPr>
    </w:p>
    <w:p w14:paraId="740CA4CD" w14:textId="241B3334" w:rsidR="00A23BF7" w:rsidRDefault="00A23BF7" w:rsidP="00BA2244">
      <w:pPr>
        <w:spacing w:after="0"/>
        <w:rPr>
          <w:rFonts w:cstheme="minorHAnsi"/>
          <w:i/>
          <w:iCs/>
          <w:sz w:val="24"/>
          <w:szCs w:val="24"/>
        </w:rPr>
      </w:pPr>
    </w:p>
    <w:p w14:paraId="639AF569" w14:textId="4AC5AECF" w:rsidR="00A23BF7" w:rsidRPr="00D456CF" w:rsidRDefault="00A23BF7" w:rsidP="00BA2244">
      <w:pPr>
        <w:spacing w:after="0"/>
        <w:rPr>
          <w:rFonts w:cstheme="minorHAnsi"/>
          <w:sz w:val="24"/>
          <w:szCs w:val="24"/>
        </w:rPr>
      </w:pPr>
    </w:p>
    <w:p w14:paraId="1CD02A18" w14:textId="78EBADF6" w:rsidR="00A23BF7" w:rsidRDefault="00A23BF7" w:rsidP="00BA2244">
      <w:pPr>
        <w:spacing w:after="0"/>
        <w:rPr>
          <w:rFonts w:cstheme="minorHAnsi"/>
          <w:i/>
          <w:iCs/>
          <w:sz w:val="24"/>
          <w:szCs w:val="24"/>
        </w:rPr>
      </w:pPr>
    </w:p>
    <w:p w14:paraId="047DAF01" w14:textId="64AF7DEC" w:rsidR="00A23BF7" w:rsidRDefault="00A23BF7" w:rsidP="00BA2244">
      <w:pPr>
        <w:spacing w:after="0"/>
        <w:rPr>
          <w:rFonts w:cstheme="minorHAnsi"/>
          <w:i/>
          <w:iCs/>
          <w:sz w:val="24"/>
          <w:szCs w:val="24"/>
        </w:rPr>
      </w:pPr>
    </w:p>
    <w:p w14:paraId="3B7EA84B" w14:textId="050B0BC2" w:rsidR="00A23BF7" w:rsidRDefault="00A23BF7" w:rsidP="00BA2244">
      <w:pPr>
        <w:spacing w:after="0"/>
        <w:rPr>
          <w:rFonts w:cstheme="minorHAnsi"/>
          <w:i/>
          <w:iCs/>
          <w:sz w:val="24"/>
          <w:szCs w:val="24"/>
        </w:rPr>
      </w:pPr>
    </w:p>
    <w:p w14:paraId="13CEC208" w14:textId="7DF67B5A" w:rsidR="00A23BF7" w:rsidRDefault="00A23BF7" w:rsidP="00BA2244">
      <w:pPr>
        <w:spacing w:after="0"/>
        <w:rPr>
          <w:rFonts w:cstheme="minorHAnsi"/>
          <w:i/>
          <w:iCs/>
          <w:sz w:val="24"/>
          <w:szCs w:val="24"/>
        </w:rPr>
      </w:pPr>
    </w:p>
    <w:p w14:paraId="73E732B7" w14:textId="07917C9D" w:rsidR="00A23BF7" w:rsidRDefault="00A23BF7" w:rsidP="00BA2244">
      <w:pPr>
        <w:spacing w:after="0"/>
        <w:rPr>
          <w:rFonts w:cstheme="minorHAnsi"/>
          <w:i/>
          <w:iCs/>
          <w:sz w:val="24"/>
          <w:szCs w:val="24"/>
        </w:rPr>
      </w:pPr>
    </w:p>
    <w:p w14:paraId="73663653" w14:textId="256331C3" w:rsidR="00824E50" w:rsidRDefault="00824E50">
      <w:pPr>
        <w:rPr>
          <w:rFonts w:cstheme="minorHAnsi"/>
          <w:i/>
          <w:iCs/>
          <w:sz w:val="24"/>
          <w:szCs w:val="24"/>
        </w:rPr>
      </w:pPr>
      <w:r>
        <w:rPr>
          <w:rFonts w:cstheme="minorHAnsi"/>
          <w:i/>
          <w:iCs/>
          <w:sz w:val="24"/>
          <w:szCs w:val="24"/>
        </w:rPr>
        <w:br w:type="page"/>
      </w:r>
    </w:p>
    <w:p w14:paraId="6978CE85" w14:textId="77777777" w:rsidR="00A23BF7" w:rsidRPr="00980C89" w:rsidRDefault="00A23BF7" w:rsidP="00BA2244">
      <w:pPr>
        <w:spacing w:after="0"/>
        <w:rPr>
          <w:rFonts w:cstheme="minorHAnsi"/>
          <w:i/>
          <w:iCs/>
          <w:sz w:val="24"/>
          <w:szCs w:val="24"/>
        </w:rPr>
      </w:pPr>
    </w:p>
    <w:p w14:paraId="1D5D48CA" w14:textId="73468C04" w:rsidR="006C6F82" w:rsidRDefault="00924F78" w:rsidP="00BA2244">
      <w:pPr>
        <w:spacing w:after="0"/>
        <w:rPr>
          <w:rFonts w:cstheme="minorHAnsi"/>
          <w:b/>
          <w:sz w:val="24"/>
          <w:szCs w:val="24"/>
        </w:rPr>
      </w:pPr>
      <w:r>
        <w:rPr>
          <w:rFonts w:cstheme="minorHAnsi"/>
          <w:b/>
          <w:sz w:val="24"/>
          <w:szCs w:val="24"/>
        </w:rPr>
        <w:t>BIBLIOGRAPHY</w:t>
      </w:r>
    </w:p>
    <w:p w14:paraId="1EBE1E17" w14:textId="472BDC8C" w:rsidR="006C6F82" w:rsidRDefault="006C6F82" w:rsidP="00BA2244">
      <w:pPr>
        <w:spacing w:after="0"/>
        <w:rPr>
          <w:rStyle w:val="Hyperlink"/>
          <w:rFonts w:cstheme="minorHAnsi"/>
          <w:sz w:val="24"/>
          <w:szCs w:val="24"/>
        </w:rPr>
      </w:pPr>
    </w:p>
    <w:p w14:paraId="5C874778" w14:textId="0308BCE6" w:rsidR="00A334BE" w:rsidRPr="001049B0" w:rsidRDefault="00924F78" w:rsidP="00A205D4">
      <w:pPr>
        <w:spacing w:after="0"/>
        <w:rPr>
          <w:rFonts w:cstheme="minorHAnsi"/>
          <w:sz w:val="24"/>
          <w:szCs w:val="24"/>
        </w:rPr>
      </w:pPr>
      <w:r w:rsidRPr="001049B0">
        <w:rPr>
          <w:rFonts w:cstheme="minorHAnsi"/>
          <w:sz w:val="24"/>
          <w:szCs w:val="24"/>
        </w:rPr>
        <w:t xml:space="preserve">Atkinson, J. (2000).  Originality and its Limits in the Alexander Sources of the Early Empire </w:t>
      </w:r>
      <w:r w:rsidRPr="00EB121F">
        <w:rPr>
          <w:rFonts w:cstheme="minorHAnsi"/>
          <w:sz w:val="24"/>
          <w:szCs w:val="24"/>
        </w:rPr>
        <w:t xml:space="preserve">in </w:t>
      </w:r>
      <w:r w:rsidR="00EB121F" w:rsidRPr="00EB121F">
        <w:rPr>
          <w:rFonts w:cstheme="minorHAnsi"/>
          <w:sz w:val="24"/>
          <w:szCs w:val="24"/>
        </w:rPr>
        <w:t>Bosworth, A. B</w:t>
      </w:r>
      <w:r w:rsidR="00EB121F">
        <w:rPr>
          <w:rFonts w:cstheme="minorHAnsi"/>
          <w:sz w:val="24"/>
          <w:szCs w:val="24"/>
        </w:rPr>
        <w:t>.</w:t>
      </w:r>
      <w:r w:rsidR="00EB121F" w:rsidRPr="00EB121F">
        <w:rPr>
          <w:rFonts w:cstheme="minorHAnsi"/>
          <w:sz w:val="24"/>
          <w:szCs w:val="24"/>
        </w:rPr>
        <w:t xml:space="preserve"> &amp; </w:t>
      </w:r>
      <w:proofErr w:type="spellStart"/>
      <w:r w:rsidR="00EB121F" w:rsidRPr="00EB121F">
        <w:rPr>
          <w:rFonts w:cstheme="minorHAnsi"/>
          <w:sz w:val="24"/>
          <w:szCs w:val="24"/>
        </w:rPr>
        <w:t>Baynham</w:t>
      </w:r>
      <w:proofErr w:type="spellEnd"/>
      <w:r w:rsidR="00EB121F" w:rsidRPr="00EB121F">
        <w:rPr>
          <w:rFonts w:cstheme="minorHAnsi"/>
          <w:sz w:val="24"/>
          <w:szCs w:val="24"/>
        </w:rPr>
        <w:t>, E</w:t>
      </w:r>
      <w:r w:rsidR="00EB121F">
        <w:rPr>
          <w:rFonts w:cstheme="minorHAnsi"/>
          <w:sz w:val="24"/>
          <w:szCs w:val="24"/>
        </w:rPr>
        <w:t>.</w:t>
      </w:r>
      <w:r w:rsidR="00EB121F" w:rsidRPr="00EB121F">
        <w:rPr>
          <w:rFonts w:cstheme="minorHAnsi"/>
          <w:sz w:val="24"/>
          <w:szCs w:val="24"/>
        </w:rPr>
        <w:t xml:space="preserve"> (ed.)</w:t>
      </w:r>
      <w:r w:rsidR="00EB121F">
        <w:rPr>
          <w:rFonts w:cstheme="minorHAnsi"/>
          <w:i/>
          <w:iCs/>
          <w:sz w:val="24"/>
          <w:szCs w:val="24"/>
        </w:rPr>
        <w:t xml:space="preserve"> </w:t>
      </w:r>
      <w:r w:rsidRPr="001049B0">
        <w:rPr>
          <w:rFonts w:cstheme="minorHAnsi"/>
          <w:i/>
          <w:iCs/>
          <w:sz w:val="24"/>
          <w:szCs w:val="24"/>
        </w:rPr>
        <w:t>Alexander the Great in Fact and Fiction,</w:t>
      </w:r>
      <w:r w:rsidRPr="001049B0">
        <w:rPr>
          <w:rFonts w:cstheme="minorHAnsi"/>
          <w:sz w:val="24"/>
          <w:szCs w:val="24"/>
        </w:rPr>
        <w:t xml:space="preserve"> p 307- 327.  Oxford, New York: Oxford University Press.</w:t>
      </w:r>
    </w:p>
    <w:p w14:paraId="2F2E4AF2" w14:textId="77777777" w:rsidR="00A205D4" w:rsidRPr="001049B0" w:rsidRDefault="00A205D4" w:rsidP="00A205D4">
      <w:pPr>
        <w:spacing w:after="0"/>
        <w:rPr>
          <w:rFonts w:cstheme="minorHAnsi"/>
          <w:sz w:val="24"/>
          <w:szCs w:val="24"/>
        </w:rPr>
      </w:pPr>
    </w:p>
    <w:p w14:paraId="2486421D" w14:textId="272F09FB" w:rsidR="00CE1FAE" w:rsidRDefault="00924F78" w:rsidP="00A205D4">
      <w:pPr>
        <w:spacing w:after="0"/>
        <w:rPr>
          <w:rStyle w:val="Hyperlink"/>
          <w:color w:val="auto"/>
          <w:u w:val="none"/>
        </w:rPr>
      </w:pPr>
      <w:r w:rsidRPr="00034237">
        <w:rPr>
          <w:sz w:val="24"/>
          <w:szCs w:val="24"/>
        </w:rPr>
        <w:t>Baynham, E. (1998)</w:t>
      </w:r>
      <w:r>
        <w:rPr>
          <w:sz w:val="24"/>
          <w:szCs w:val="24"/>
        </w:rPr>
        <w:t>.</w:t>
      </w:r>
      <w:r w:rsidRPr="00034237">
        <w:rPr>
          <w:sz w:val="24"/>
          <w:szCs w:val="24"/>
        </w:rPr>
        <w:t xml:space="preserve">  Alexander the Great : </w:t>
      </w:r>
      <w:r>
        <w:rPr>
          <w:sz w:val="24"/>
          <w:szCs w:val="24"/>
        </w:rPr>
        <w:t>T</w:t>
      </w:r>
      <w:r w:rsidRPr="00034237">
        <w:rPr>
          <w:sz w:val="24"/>
          <w:szCs w:val="24"/>
        </w:rPr>
        <w:t xml:space="preserve">he </w:t>
      </w:r>
      <w:r>
        <w:rPr>
          <w:sz w:val="24"/>
          <w:szCs w:val="24"/>
        </w:rPr>
        <w:t>U</w:t>
      </w:r>
      <w:r w:rsidRPr="00034237">
        <w:rPr>
          <w:sz w:val="24"/>
          <w:szCs w:val="24"/>
        </w:rPr>
        <w:t xml:space="preserve">nique </w:t>
      </w:r>
      <w:r>
        <w:rPr>
          <w:sz w:val="24"/>
          <w:szCs w:val="24"/>
        </w:rPr>
        <w:t>Hi</w:t>
      </w:r>
      <w:r w:rsidRPr="00034237">
        <w:rPr>
          <w:sz w:val="24"/>
          <w:szCs w:val="24"/>
        </w:rPr>
        <w:t>story of Quintus Curtius.  Ann Arbor, Mich: University of Michigan Press.</w:t>
      </w:r>
      <w:r>
        <w:rPr>
          <w:sz w:val="24"/>
          <w:szCs w:val="24"/>
        </w:rPr>
        <w:t xml:space="preserve">  </w:t>
      </w:r>
      <w:r w:rsidR="00527023">
        <w:rPr>
          <w:sz w:val="24"/>
          <w:szCs w:val="24"/>
        </w:rPr>
        <w:t xml:space="preserve">Available at: </w:t>
      </w:r>
      <w:hyperlink r:id="rId7" w:history="1">
        <w:r w:rsidR="00527023" w:rsidRPr="00CA308B">
          <w:rPr>
            <w:rStyle w:val="Hyperlink"/>
          </w:rPr>
          <w:t>https://archive.org/details/alexandergreatun0000bayn</w:t>
        </w:r>
      </w:hyperlink>
      <w:r w:rsidR="00527023">
        <w:rPr>
          <w:rStyle w:val="Hyperlink"/>
          <w:u w:val="none"/>
        </w:rPr>
        <w:t xml:space="preserve"> </w:t>
      </w:r>
      <w:r w:rsidR="00527023" w:rsidRPr="00527023">
        <w:rPr>
          <w:rStyle w:val="Hyperlink"/>
          <w:color w:val="auto"/>
          <w:u w:val="none"/>
        </w:rPr>
        <w:t>(Accessed on 24 May 2022).</w:t>
      </w:r>
    </w:p>
    <w:p w14:paraId="529EB28B" w14:textId="77777777" w:rsidR="005503CA" w:rsidRDefault="005503CA" w:rsidP="00A205D4">
      <w:pPr>
        <w:spacing w:after="0"/>
        <w:rPr>
          <w:rStyle w:val="Hyperlink"/>
          <w:color w:val="auto"/>
          <w:u w:val="none"/>
        </w:rPr>
      </w:pPr>
    </w:p>
    <w:p w14:paraId="3149E351" w14:textId="216A17AE" w:rsidR="00A205D4" w:rsidRPr="00BC7B59" w:rsidRDefault="00924F78" w:rsidP="00A205D4">
      <w:pPr>
        <w:spacing w:after="0"/>
        <w:rPr>
          <w:sz w:val="24"/>
          <w:szCs w:val="24"/>
        </w:rPr>
      </w:pPr>
      <w:r w:rsidRPr="005503CA">
        <w:rPr>
          <w:sz w:val="24"/>
          <w:szCs w:val="24"/>
        </w:rPr>
        <w:t xml:space="preserve">Britannica, T. Editors of Encyclopaedia (2021).  Hundred Years' War.  </w:t>
      </w:r>
      <w:proofErr w:type="spellStart"/>
      <w:r w:rsidRPr="00BC7B59">
        <w:rPr>
          <w:sz w:val="24"/>
          <w:szCs w:val="24"/>
        </w:rPr>
        <w:t>Encyclopedia</w:t>
      </w:r>
      <w:proofErr w:type="spellEnd"/>
      <w:r w:rsidRPr="00BC7B59">
        <w:rPr>
          <w:sz w:val="24"/>
          <w:szCs w:val="24"/>
        </w:rPr>
        <w:t xml:space="preserve"> Britannica.  </w:t>
      </w:r>
      <w:hyperlink r:id="rId8" w:history="1">
        <w:r w:rsidRPr="00BC7B59">
          <w:rPr>
            <w:rStyle w:val="Hyperlink"/>
            <w:sz w:val="24"/>
            <w:szCs w:val="24"/>
          </w:rPr>
          <w:t>https://www.britannica.com/event/Hundred-Years-War</w:t>
        </w:r>
      </w:hyperlink>
      <w:r w:rsidRPr="00BC7B59">
        <w:rPr>
          <w:sz w:val="24"/>
          <w:szCs w:val="24"/>
        </w:rPr>
        <w:t>.  (Accessed 30 May 2022).</w:t>
      </w:r>
    </w:p>
    <w:p w14:paraId="55E68622" w14:textId="77777777" w:rsidR="005503CA" w:rsidRPr="00BC7B59" w:rsidRDefault="005503CA" w:rsidP="00A205D4">
      <w:pPr>
        <w:spacing w:after="0"/>
        <w:rPr>
          <w:sz w:val="24"/>
          <w:szCs w:val="24"/>
        </w:rPr>
      </w:pPr>
    </w:p>
    <w:p w14:paraId="7357C1CE" w14:textId="214350E2" w:rsidR="00EF3D4F" w:rsidRPr="00CE1FAE" w:rsidRDefault="00924F78" w:rsidP="00A205D4">
      <w:pPr>
        <w:spacing w:after="0"/>
        <w:rPr>
          <w:rFonts w:cstheme="minorHAnsi"/>
          <w:color w:val="000000"/>
          <w:sz w:val="24"/>
          <w:szCs w:val="24"/>
          <w:shd w:val="clear" w:color="auto" w:fill="FFFFFF"/>
        </w:rPr>
      </w:pPr>
      <w:proofErr w:type="spellStart"/>
      <w:r w:rsidRPr="00BC7B59">
        <w:rPr>
          <w:rFonts w:cstheme="minorHAnsi"/>
          <w:color w:val="000000"/>
          <w:sz w:val="24"/>
          <w:szCs w:val="24"/>
          <w:shd w:val="clear" w:color="auto" w:fill="FFFFFF"/>
        </w:rPr>
        <w:t>Eutropius</w:t>
      </w:r>
      <w:proofErr w:type="spellEnd"/>
      <w:r w:rsidR="00EC336D" w:rsidRPr="00BC7B59">
        <w:rPr>
          <w:rFonts w:cstheme="minorHAnsi"/>
          <w:color w:val="000000"/>
          <w:sz w:val="24"/>
          <w:szCs w:val="24"/>
          <w:shd w:val="clear" w:color="auto" w:fill="FFFFFF"/>
        </w:rPr>
        <w:t xml:space="preserve">. </w:t>
      </w:r>
      <w:r w:rsidR="00EC336D" w:rsidRPr="00CE1FAE">
        <w:rPr>
          <w:rFonts w:cstheme="minorHAnsi"/>
          <w:color w:val="000000"/>
          <w:sz w:val="24"/>
          <w:szCs w:val="24"/>
          <w:shd w:val="clear" w:color="auto" w:fill="FFFFFF"/>
        </w:rPr>
        <w:t xml:space="preserve">(1886). </w:t>
      </w:r>
      <w:r w:rsidRPr="00CE1FAE">
        <w:rPr>
          <w:rFonts w:cstheme="minorHAnsi"/>
          <w:i/>
          <w:iCs/>
          <w:color w:val="000000"/>
          <w:sz w:val="24"/>
          <w:szCs w:val="24"/>
          <w:shd w:val="clear" w:color="auto" w:fill="FFFFFF"/>
        </w:rPr>
        <w:t xml:space="preserve"> Abridgment of Roman History (Historiae Romanae Breviarium)</w:t>
      </w:r>
      <w:r w:rsidRPr="00CE1FAE">
        <w:rPr>
          <w:rFonts w:cstheme="minorHAnsi"/>
          <w:color w:val="000000"/>
          <w:sz w:val="24"/>
          <w:szCs w:val="24"/>
          <w:shd w:val="clear" w:color="auto" w:fill="FFFFFF"/>
        </w:rPr>
        <w:t xml:space="preserve">. </w:t>
      </w:r>
      <w:r w:rsidR="00EC336D" w:rsidRPr="00CE1FAE">
        <w:rPr>
          <w:rFonts w:cstheme="minorHAnsi"/>
          <w:color w:val="000000"/>
          <w:sz w:val="24"/>
          <w:szCs w:val="24"/>
          <w:shd w:val="clear" w:color="auto" w:fill="FFFFFF"/>
        </w:rPr>
        <w:t xml:space="preserve"> J. S. Watson </w:t>
      </w:r>
      <w:r w:rsidR="00963A64">
        <w:rPr>
          <w:rFonts w:cstheme="minorHAnsi"/>
          <w:color w:val="000000"/>
          <w:sz w:val="24"/>
          <w:szCs w:val="24"/>
          <w:shd w:val="clear" w:color="auto" w:fill="FFFFFF"/>
        </w:rPr>
        <w:t xml:space="preserve">(trans). </w:t>
      </w:r>
      <w:r w:rsidRPr="00CE1FAE">
        <w:rPr>
          <w:rFonts w:cstheme="minorHAnsi"/>
          <w:color w:val="000000"/>
          <w:sz w:val="24"/>
          <w:szCs w:val="24"/>
          <w:shd w:val="clear" w:color="auto" w:fill="FFFFFF"/>
        </w:rPr>
        <w:t xml:space="preserve"> Available at: https://tertullian.org/fathers/eutropius_breviarium_2_text.htm.  (Accessed </w:t>
      </w:r>
      <w:r w:rsidR="00B47DC4" w:rsidRPr="00CE1FAE">
        <w:rPr>
          <w:rFonts w:cstheme="minorHAnsi"/>
          <w:color w:val="000000"/>
          <w:sz w:val="24"/>
          <w:szCs w:val="24"/>
          <w:shd w:val="clear" w:color="auto" w:fill="FFFFFF"/>
        </w:rPr>
        <w:t>26</w:t>
      </w:r>
      <w:r w:rsidRPr="00CE1FAE">
        <w:rPr>
          <w:rFonts w:cstheme="minorHAnsi"/>
          <w:color w:val="000000"/>
          <w:sz w:val="24"/>
          <w:szCs w:val="24"/>
          <w:shd w:val="clear" w:color="auto" w:fill="FFFFFF"/>
        </w:rPr>
        <w:t xml:space="preserve"> May 2022).</w:t>
      </w:r>
    </w:p>
    <w:p w14:paraId="32D3C23A" w14:textId="77777777" w:rsidR="00EC336D" w:rsidRPr="00CE1FAE" w:rsidRDefault="00EC336D" w:rsidP="00CE1FAE">
      <w:pPr>
        <w:spacing w:after="0"/>
        <w:rPr>
          <w:rFonts w:cstheme="minorHAnsi"/>
          <w:color w:val="000000"/>
          <w:sz w:val="24"/>
          <w:szCs w:val="24"/>
          <w:shd w:val="clear" w:color="auto" w:fill="FFFFFF"/>
        </w:rPr>
      </w:pPr>
    </w:p>
    <w:p w14:paraId="12C425FA" w14:textId="31E4AF17" w:rsidR="00990AEA" w:rsidRDefault="00924F78" w:rsidP="00EB121F">
      <w:pPr>
        <w:spacing w:after="0"/>
        <w:rPr>
          <w:rFonts w:cstheme="minorHAnsi"/>
          <w:sz w:val="24"/>
          <w:szCs w:val="24"/>
          <w:shd w:val="clear" w:color="auto" w:fill="FFFFFF"/>
        </w:rPr>
      </w:pPr>
      <w:r w:rsidRPr="00990AEA">
        <w:rPr>
          <w:rFonts w:cstheme="minorHAnsi"/>
          <w:sz w:val="24"/>
          <w:szCs w:val="24"/>
          <w:shd w:val="clear" w:color="auto" w:fill="FFFFFF"/>
        </w:rPr>
        <w:t xml:space="preserve">Griffith, G. T. (1964).  Alexander the Great and an Experiment in Government.  </w:t>
      </w:r>
      <w:r w:rsidRPr="00990AEA">
        <w:rPr>
          <w:rFonts w:cstheme="minorHAnsi"/>
          <w:i/>
          <w:iCs/>
          <w:sz w:val="24"/>
          <w:szCs w:val="24"/>
          <w:bdr w:val="none" w:sz="0" w:space="0" w:color="auto" w:frame="1"/>
          <w:shd w:val="clear" w:color="auto" w:fill="FFFFFF"/>
        </w:rPr>
        <w:t>Proceedings of the Cambridge Philological Society</w:t>
      </w:r>
      <w:r w:rsidRPr="00990AEA">
        <w:rPr>
          <w:rFonts w:cstheme="minorHAnsi"/>
          <w:sz w:val="24"/>
          <w:szCs w:val="24"/>
          <w:shd w:val="clear" w:color="auto" w:fill="FFFFFF"/>
        </w:rPr>
        <w:t>, </w:t>
      </w:r>
      <w:r w:rsidRPr="00990AEA">
        <w:rPr>
          <w:rFonts w:cstheme="minorHAnsi"/>
          <w:i/>
          <w:iCs/>
          <w:sz w:val="24"/>
          <w:szCs w:val="24"/>
          <w:bdr w:val="none" w:sz="0" w:space="0" w:color="auto" w:frame="1"/>
          <w:shd w:val="clear" w:color="auto" w:fill="FFFFFF"/>
        </w:rPr>
        <w:t>10</w:t>
      </w:r>
      <w:r w:rsidRPr="00990AEA">
        <w:rPr>
          <w:rFonts w:cstheme="minorHAnsi"/>
          <w:sz w:val="24"/>
          <w:szCs w:val="24"/>
          <w:shd w:val="clear" w:color="auto" w:fill="FFFFFF"/>
        </w:rPr>
        <w:t>, 23–39.  Cambridge University Press.</w:t>
      </w:r>
    </w:p>
    <w:p w14:paraId="2D1DD9E0" w14:textId="77777777" w:rsidR="00EB121F" w:rsidRPr="00990AEA" w:rsidRDefault="00EB121F" w:rsidP="00EB121F">
      <w:pPr>
        <w:spacing w:after="0"/>
        <w:rPr>
          <w:rFonts w:cstheme="minorHAnsi"/>
          <w:sz w:val="24"/>
          <w:szCs w:val="24"/>
          <w:shd w:val="clear" w:color="auto" w:fill="FFFFFF"/>
        </w:rPr>
      </w:pPr>
    </w:p>
    <w:p w14:paraId="6F672C6E" w14:textId="77777777" w:rsidR="00EB121F" w:rsidRDefault="00EB121F" w:rsidP="00EB121F">
      <w:pPr>
        <w:rPr>
          <w:rFonts w:cstheme="minorHAnsi"/>
          <w:bCs/>
          <w:sz w:val="24"/>
          <w:szCs w:val="24"/>
        </w:rPr>
      </w:pPr>
      <w:proofErr w:type="spellStart"/>
      <w:r w:rsidRPr="00A334BE">
        <w:rPr>
          <w:rFonts w:cstheme="minorHAnsi"/>
          <w:bCs/>
          <w:sz w:val="24"/>
          <w:szCs w:val="24"/>
        </w:rPr>
        <w:t>Heck</w:t>
      </w:r>
      <w:r>
        <w:rPr>
          <w:rFonts w:cstheme="minorHAnsi"/>
          <w:bCs/>
          <w:sz w:val="24"/>
          <w:szCs w:val="24"/>
        </w:rPr>
        <w:t>el</w:t>
      </w:r>
      <w:proofErr w:type="spellEnd"/>
      <w:r w:rsidRPr="00A334BE">
        <w:rPr>
          <w:rFonts w:cstheme="minorHAnsi"/>
          <w:bCs/>
          <w:sz w:val="24"/>
          <w:szCs w:val="24"/>
        </w:rPr>
        <w:t xml:space="preserve">, W. (1984).  Introduction in </w:t>
      </w:r>
      <w:r w:rsidRPr="00A334BE">
        <w:rPr>
          <w:rFonts w:cstheme="minorHAnsi"/>
          <w:bCs/>
          <w:i/>
          <w:iCs/>
          <w:sz w:val="24"/>
          <w:szCs w:val="24"/>
        </w:rPr>
        <w:t>The History of Alexander</w:t>
      </w:r>
      <w:r w:rsidRPr="00A334BE">
        <w:rPr>
          <w:rFonts w:cstheme="minorHAnsi"/>
          <w:bCs/>
          <w:sz w:val="24"/>
          <w:szCs w:val="24"/>
        </w:rPr>
        <w:t xml:space="preserve"> by Quintus </w:t>
      </w:r>
      <w:proofErr w:type="spellStart"/>
      <w:r w:rsidRPr="00A334BE">
        <w:rPr>
          <w:rFonts w:cstheme="minorHAnsi"/>
          <w:bCs/>
          <w:sz w:val="24"/>
          <w:szCs w:val="24"/>
        </w:rPr>
        <w:t>Curtius</w:t>
      </w:r>
      <w:proofErr w:type="spellEnd"/>
      <w:r w:rsidRPr="00A334BE">
        <w:rPr>
          <w:rFonts w:cstheme="minorHAnsi"/>
          <w:bCs/>
          <w:sz w:val="24"/>
          <w:szCs w:val="24"/>
        </w:rPr>
        <w:t xml:space="preserve"> Rufus.  New York: Penguin Classics.</w:t>
      </w:r>
    </w:p>
    <w:p w14:paraId="5C3E6860" w14:textId="77777777" w:rsidR="00005D92" w:rsidRPr="00CE1FAE" w:rsidRDefault="00924F78" w:rsidP="00A334BE">
      <w:pPr>
        <w:spacing w:after="0"/>
        <w:rPr>
          <w:rFonts w:cstheme="minorHAnsi"/>
          <w:i/>
          <w:iCs/>
          <w:sz w:val="24"/>
          <w:szCs w:val="24"/>
        </w:rPr>
      </w:pPr>
      <w:proofErr w:type="spellStart"/>
      <w:r w:rsidRPr="00CE1FAE">
        <w:rPr>
          <w:rFonts w:cstheme="minorHAnsi"/>
          <w:sz w:val="24"/>
          <w:szCs w:val="24"/>
        </w:rPr>
        <w:t>Heckel</w:t>
      </w:r>
      <w:proofErr w:type="spellEnd"/>
      <w:r w:rsidRPr="00CE1FAE">
        <w:rPr>
          <w:rFonts w:cstheme="minorHAnsi"/>
          <w:sz w:val="24"/>
          <w:szCs w:val="24"/>
        </w:rPr>
        <w:t>, W. (1994).  ‘Notes on Q. Curtius Rufus’ history of Alexander’.  </w:t>
      </w:r>
      <w:r w:rsidRPr="00CE1FAE">
        <w:rPr>
          <w:rFonts w:cstheme="minorHAnsi"/>
          <w:i/>
          <w:iCs/>
          <w:sz w:val="24"/>
          <w:szCs w:val="24"/>
        </w:rPr>
        <w:t>Acta Classica 37: 67-78</w:t>
      </w:r>
    </w:p>
    <w:p w14:paraId="33DD45E1" w14:textId="6268648D" w:rsidR="00A334BE" w:rsidRDefault="00924F78" w:rsidP="00A334BE">
      <w:pPr>
        <w:spacing w:after="0"/>
        <w:rPr>
          <w:rFonts w:cstheme="minorHAnsi"/>
          <w:color w:val="373A3C"/>
          <w:sz w:val="24"/>
          <w:szCs w:val="24"/>
        </w:rPr>
      </w:pPr>
      <w:r w:rsidRPr="00CE1FAE">
        <w:rPr>
          <w:rFonts w:cstheme="minorHAnsi"/>
          <w:sz w:val="24"/>
          <w:szCs w:val="24"/>
        </w:rPr>
        <w:t xml:space="preserve">Available at: </w:t>
      </w:r>
      <w:hyperlink r:id="rId9" w:history="1">
        <w:r w:rsidRPr="00CE1FAE">
          <w:rPr>
            <w:rStyle w:val="Hyperlink"/>
            <w:rFonts w:cstheme="minorHAnsi"/>
            <w:sz w:val="24"/>
            <w:szCs w:val="24"/>
          </w:rPr>
          <w:t>http://www.casa-kvsa.org.za/legacy/1994/AC37-05-Heckel.pdf</w:t>
        </w:r>
      </w:hyperlink>
      <w:r w:rsidRPr="00CE1FAE">
        <w:rPr>
          <w:rFonts w:cstheme="minorHAnsi"/>
          <w:color w:val="373A3C"/>
          <w:sz w:val="24"/>
          <w:szCs w:val="24"/>
        </w:rPr>
        <w:t xml:space="preserve">.  (Accessed </w:t>
      </w:r>
      <w:r w:rsidR="00B47DC4" w:rsidRPr="00CE1FAE">
        <w:rPr>
          <w:rFonts w:cstheme="minorHAnsi"/>
          <w:color w:val="373A3C"/>
          <w:sz w:val="24"/>
          <w:szCs w:val="24"/>
        </w:rPr>
        <w:t>24</w:t>
      </w:r>
      <w:r w:rsidRPr="00CE1FAE">
        <w:rPr>
          <w:rFonts w:cstheme="minorHAnsi"/>
          <w:color w:val="373A3C"/>
          <w:sz w:val="24"/>
          <w:szCs w:val="24"/>
        </w:rPr>
        <w:t xml:space="preserve"> May 2022).</w:t>
      </w:r>
    </w:p>
    <w:p w14:paraId="09D45339" w14:textId="77777777" w:rsidR="00EB121F" w:rsidRDefault="00EB121F" w:rsidP="00EB121F">
      <w:pPr>
        <w:spacing w:after="0"/>
        <w:rPr>
          <w:rFonts w:cstheme="minorHAnsi"/>
          <w:sz w:val="24"/>
          <w:szCs w:val="24"/>
        </w:rPr>
      </w:pPr>
    </w:p>
    <w:p w14:paraId="22557963" w14:textId="60A089D3" w:rsidR="00EB121F" w:rsidRPr="00CE1FAE" w:rsidRDefault="00EB121F" w:rsidP="00EB121F">
      <w:pPr>
        <w:spacing w:after="0"/>
        <w:rPr>
          <w:rFonts w:cstheme="minorHAnsi"/>
          <w:sz w:val="24"/>
          <w:szCs w:val="24"/>
        </w:rPr>
      </w:pPr>
      <w:proofErr w:type="spellStart"/>
      <w:r w:rsidRPr="00CE1FAE">
        <w:rPr>
          <w:rFonts w:cstheme="minorHAnsi"/>
          <w:sz w:val="24"/>
          <w:szCs w:val="24"/>
        </w:rPr>
        <w:t>Heckel</w:t>
      </w:r>
      <w:proofErr w:type="spellEnd"/>
      <w:r w:rsidRPr="00CE1FAE">
        <w:rPr>
          <w:rFonts w:cstheme="minorHAnsi"/>
          <w:sz w:val="24"/>
          <w:szCs w:val="24"/>
        </w:rPr>
        <w:t xml:space="preserve">, W. &amp; Yardley, J. C. (2004).  </w:t>
      </w:r>
      <w:r w:rsidRPr="00CE1FAE">
        <w:rPr>
          <w:rFonts w:cstheme="minorHAnsi"/>
          <w:i/>
          <w:iCs/>
          <w:sz w:val="24"/>
          <w:szCs w:val="24"/>
        </w:rPr>
        <w:t>Historical Sources in Translation: Alexander the Great</w:t>
      </w:r>
      <w:r w:rsidRPr="00CE1FAE">
        <w:rPr>
          <w:rFonts w:cstheme="minorHAnsi"/>
          <w:sz w:val="24"/>
          <w:szCs w:val="24"/>
        </w:rPr>
        <w:t>.  Oxford: Blackwell Publishing.</w:t>
      </w:r>
    </w:p>
    <w:p w14:paraId="59E65EF2" w14:textId="77777777" w:rsidR="00A334BE" w:rsidRPr="00A334BE" w:rsidRDefault="00A334BE" w:rsidP="00A334BE">
      <w:pPr>
        <w:spacing w:after="0"/>
        <w:rPr>
          <w:rFonts w:cstheme="minorHAnsi"/>
          <w:color w:val="373A3C"/>
          <w:sz w:val="24"/>
          <w:szCs w:val="24"/>
        </w:rPr>
      </w:pPr>
    </w:p>
    <w:p w14:paraId="16FB67D6" w14:textId="77777777" w:rsidR="00A205D4" w:rsidRPr="00BC7B59" w:rsidRDefault="00924F78" w:rsidP="00A205D4">
      <w:pPr>
        <w:spacing w:after="0"/>
        <w:rPr>
          <w:rFonts w:cstheme="minorHAnsi"/>
          <w:sz w:val="24"/>
          <w:szCs w:val="24"/>
        </w:rPr>
      </w:pPr>
      <w:proofErr w:type="spellStart"/>
      <w:r w:rsidRPr="00BC7B59">
        <w:rPr>
          <w:rFonts w:cstheme="minorHAnsi"/>
          <w:color w:val="000000"/>
          <w:sz w:val="24"/>
          <w:szCs w:val="24"/>
          <w:shd w:val="clear" w:color="auto" w:fill="FFFFFF"/>
        </w:rPr>
        <w:t>Lendering</w:t>
      </w:r>
      <w:proofErr w:type="spellEnd"/>
      <w:r w:rsidRPr="00BC7B59">
        <w:rPr>
          <w:rFonts w:cstheme="minorHAnsi"/>
          <w:color w:val="000000"/>
          <w:sz w:val="24"/>
          <w:szCs w:val="24"/>
          <w:shd w:val="clear" w:color="auto" w:fill="FFFFFF"/>
        </w:rPr>
        <w:t xml:space="preserve">, J. (2020).  </w:t>
      </w:r>
      <w:r w:rsidRPr="00BC7B59">
        <w:rPr>
          <w:rFonts w:cstheme="minorHAnsi"/>
          <w:i/>
          <w:iCs/>
          <w:color w:val="000000"/>
          <w:sz w:val="24"/>
          <w:szCs w:val="24"/>
          <w:shd w:val="clear" w:color="auto" w:fill="FFFFFF"/>
        </w:rPr>
        <w:t xml:space="preserve">Alexander 2.18 - </w:t>
      </w:r>
      <w:proofErr w:type="spellStart"/>
      <w:r w:rsidRPr="00BC7B59">
        <w:rPr>
          <w:rFonts w:cstheme="minorHAnsi"/>
          <w:i/>
          <w:iCs/>
          <w:color w:val="000000"/>
          <w:sz w:val="24"/>
          <w:szCs w:val="24"/>
          <w:shd w:val="clear" w:color="auto" w:fill="FFFFFF"/>
        </w:rPr>
        <w:t>Livius</w:t>
      </w:r>
      <w:proofErr w:type="spellEnd"/>
      <w:r w:rsidRPr="00BC7B59">
        <w:rPr>
          <w:rFonts w:cstheme="minorHAnsi"/>
          <w:color w:val="000000"/>
          <w:sz w:val="24"/>
          <w:szCs w:val="24"/>
          <w:shd w:val="clear" w:color="auto" w:fill="FFFFFF"/>
        </w:rPr>
        <w:t xml:space="preserve">.  Livius.org. Available at: </w:t>
      </w:r>
    </w:p>
    <w:p w14:paraId="45CB4C94" w14:textId="77777777" w:rsidR="00A205D4" w:rsidRPr="00A205D4" w:rsidRDefault="00D456CF" w:rsidP="00A205D4">
      <w:pPr>
        <w:spacing w:after="0"/>
        <w:rPr>
          <w:rFonts w:cstheme="minorHAnsi"/>
          <w:sz w:val="24"/>
          <w:szCs w:val="24"/>
        </w:rPr>
      </w:pPr>
      <w:hyperlink r:id="rId10" w:history="1">
        <w:r w:rsidR="00924F78" w:rsidRPr="00A205D4">
          <w:rPr>
            <w:rStyle w:val="Hyperlink"/>
            <w:rFonts w:cstheme="minorHAnsi"/>
            <w:sz w:val="24"/>
            <w:szCs w:val="24"/>
          </w:rPr>
          <w:t>https://www.livius.org/articles/person/alexander-the-great/alexander-2.18/</w:t>
        </w:r>
      </w:hyperlink>
      <w:r w:rsidR="00924F78" w:rsidRPr="00A205D4">
        <w:rPr>
          <w:rFonts w:cstheme="minorHAnsi"/>
          <w:sz w:val="24"/>
          <w:szCs w:val="24"/>
        </w:rPr>
        <w:t xml:space="preserve"> (Accessed 29 May 2022).</w:t>
      </w:r>
    </w:p>
    <w:p w14:paraId="2345A511" w14:textId="2A1E514D" w:rsidR="00A205D4" w:rsidRDefault="00A205D4" w:rsidP="00A205D4">
      <w:pPr>
        <w:spacing w:after="0"/>
        <w:rPr>
          <w:rFonts w:cstheme="minorHAnsi"/>
          <w:sz w:val="24"/>
          <w:szCs w:val="24"/>
        </w:rPr>
      </w:pPr>
    </w:p>
    <w:p w14:paraId="6821BCA7" w14:textId="49F12A40" w:rsidR="00990AEA" w:rsidRPr="00990AEA" w:rsidRDefault="00924F78" w:rsidP="00A205D4">
      <w:pPr>
        <w:spacing w:after="0"/>
        <w:rPr>
          <w:sz w:val="24"/>
          <w:szCs w:val="24"/>
        </w:rPr>
      </w:pPr>
      <w:r w:rsidRPr="00990AEA">
        <w:rPr>
          <w:sz w:val="24"/>
          <w:szCs w:val="24"/>
        </w:rPr>
        <w:t xml:space="preserve">Londsdale, D. J.  </w:t>
      </w:r>
      <w:r w:rsidRPr="00990AEA">
        <w:rPr>
          <w:i/>
          <w:iCs/>
          <w:sz w:val="24"/>
          <w:szCs w:val="24"/>
        </w:rPr>
        <w:t>Alexander the Great, Lessons in Strategy</w:t>
      </w:r>
      <w:r w:rsidRPr="00990AEA">
        <w:rPr>
          <w:sz w:val="24"/>
          <w:szCs w:val="24"/>
        </w:rPr>
        <w:t>.  London, New York: Taylor &amp; Francis</w:t>
      </w:r>
    </w:p>
    <w:p w14:paraId="43EEB7BC" w14:textId="77777777" w:rsidR="00990AEA" w:rsidRPr="00A205D4" w:rsidRDefault="00990AEA" w:rsidP="00A205D4">
      <w:pPr>
        <w:spacing w:after="0"/>
        <w:rPr>
          <w:rFonts w:cstheme="minorHAnsi"/>
          <w:sz w:val="24"/>
          <w:szCs w:val="24"/>
        </w:rPr>
      </w:pPr>
    </w:p>
    <w:p w14:paraId="455B427F" w14:textId="77777777" w:rsidR="001049B0" w:rsidRPr="001049B0" w:rsidRDefault="00924F78" w:rsidP="001049B0">
      <w:pPr>
        <w:spacing w:after="0" w:line="240" w:lineRule="auto"/>
        <w:rPr>
          <w:rFonts w:eastAsia="Times New Roman" w:cstheme="minorHAnsi"/>
          <w:sz w:val="24"/>
          <w:szCs w:val="24"/>
          <w:lang w:val="de-DE" w:eastAsia="en-GB"/>
        </w:rPr>
      </w:pPr>
      <w:r w:rsidRPr="001049B0">
        <w:rPr>
          <w:rFonts w:eastAsia="Times New Roman" w:cstheme="minorHAnsi"/>
          <w:sz w:val="24"/>
          <w:szCs w:val="24"/>
          <w:lang w:eastAsia="en-GB"/>
        </w:rPr>
        <w:t xml:space="preserve">McKechnie, P. (1999). Manipulation of Themes in Quintus Curtius Rufus Book 10. </w:t>
      </w:r>
      <w:r w:rsidRPr="001049B0">
        <w:rPr>
          <w:rFonts w:eastAsia="Times New Roman" w:cstheme="minorHAnsi"/>
          <w:i/>
          <w:iCs/>
          <w:sz w:val="24"/>
          <w:szCs w:val="24"/>
          <w:lang w:val="de-DE" w:eastAsia="en-GB"/>
        </w:rPr>
        <w:t>Historia: Zeitschrift Für Alte Geschichte</w:t>
      </w:r>
      <w:r w:rsidRPr="001049B0">
        <w:rPr>
          <w:rFonts w:eastAsia="Times New Roman" w:cstheme="minorHAnsi"/>
          <w:sz w:val="24"/>
          <w:szCs w:val="24"/>
          <w:lang w:val="de-DE" w:eastAsia="en-GB"/>
        </w:rPr>
        <w:t xml:space="preserve">, </w:t>
      </w:r>
      <w:r w:rsidRPr="001049B0">
        <w:rPr>
          <w:rFonts w:eastAsia="Times New Roman" w:cstheme="minorHAnsi"/>
          <w:i/>
          <w:iCs/>
          <w:sz w:val="24"/>
          <w:szCs w:val="24"/>
          <w:lang w:val="de-DE" w:eastAsia="en-GB"/>
        </w:rPr>
        <w:t>48</w:t>
      </w:r>
      <w:r w:rsidRPr="001049B0">
        <w:rPr>
          <w:rFonts w:eastAsia="Times New Roman" w:cstheme="minorHAnsi"/>
          <w:sz w:val="24"/>
          <w:szCs w:val="24"/>
          <w:lang w:val="de-DE" w:eastAsia="en-GB"/>
        </w:rPr>
        <w:t xml:space="preserve">(1), 44–60. </w:t>
      </w:r>
      <w:proofErr w:type="spellStart"/>
      <w:r>
        <w:rPr>
          <w:rFonts w:eastAsia="Times New Roman" w:cstheme="minorHAnsi"/>
          <w:sz w:val="24"/>
          <w:szCs w:val="24"/>
          <w:lang w:val="de-DE" w:eastAsia="en-GB"/>
        </w:rPr>
        <w:t>Available</w:t>
      </w:r>
      <w:proofErr w:type="spellEnd"/>
      <w:r>
        <w:rPr>
          <w:rFonts w:eastAsia="Times New Roman" w:cstheme="minorHAnsi"/>
          <w:sz w:val="24"/>
          <w:szCs w:val="24"/>
          <w:lang w:val="de-DE" w:eastAsia="en-GB"/>
        </w:rPr>
        <w:t xml:space="preserve"> at: </w:t>
      </w:r>
      <w:hyperlink r:id="rId11" w:history="1">
        <w:r w:rsidRPr="001049B0">
          <w:rPr>
            <w:rStyle w:val="Hyperlink"/>
            <w:rFonts w:eastAsia="Times New Roman" w:cstheme="minorHAnsi"/>
            <w:sz w:val="24"/>
            <w:szCs w:val="24"/>
            <w:lang w:val="de-DE" w:eastAsia="en-GB"/>
          </w:rPr>
          <w:t>http://www.jstor.org/stable/4436531</w:t>
        </w:r>
      </w:hyperlink>
      <w:r>
        <w:rPr>
          <w:rFonts w:eastAsia="Times New Roman" w:cstheme="minorHAnsi"/>
          <w:sz w:val="24"/>
          <w:szCs w:val="24"/>
          <w:lang w:val="de-DE" w:eastAsia="en-GB"/>
        </w:rPr>
        <w:t xml:space="preserve"> (</w:t>
      </w:r>
      <w:proofErr w:type="spellStart"/>
      <w:r>
        <w:rPr>
          <w:rFonts w:eastAsia="Times New Roman" w:cstheme="minorHAnsi"/>
          <w:sz w:val="24"/>
          <w:szCs w:val="24"/>
          <w:lang w:val="de-DE" w:eastAsia="en-GB"/>
        </w:rPr>
        <w:t>Accessed</w:t>
      </w:r>
      <w:proofErr w:type="spellEnd"/>
      <w:r>
        <w:rPr>
          <w:rFonts w:eastAsia="Times New Roman" w:cstheme="minorHAnsi"/>
          <w:sz w:val="24"/>
          <w:szCs w:val="24"/>
          <w:lang w:val="de-DE" w:eastAsia="en-GB"/>
        </w:rPr>
        <w:t xml:space="preserve"> 27 May 2022).</w:t>
      </w:r>
    </w:p>
    <w:p w14:paraId="26772F38" w14:textId="77777777" w:rsidR="001049B0" w:rsidRPr="001049B0" w:rsidRDefault="001049B0" w:rsidP="0096485A">
      <w:pPr>
        <w:spacing w:after="0"/>
        <w:rPr>
          <w:rFonts w:cstheme="minorHAnsi"/>
          <w:color w:val="000000"/>
          <w:sz w:val="24"/>
          <w:szCs w:val="24"/>
          <w:shd w:val="clear" w:color="auto" w:fill="FFFFFF"/>
          <w:lang w:val="de-DE"/>
        </w:rPr>
      </w:pPr>
    </w:p>
    <w:p w14:paraId="22F1DA4E" w14:textId="7C24AFBF" w:rsidR="00AE0A99" w:rsidRDefault="00924F78" w:rsidP="0096485A">
      <w:pPr>
        <w:spacing w:after="0"/>
        <w:rPr>
          <w:rFonts w:cstheme="minorHAnsi"/>
          <w:color w:val="000000"/>
          <w:sz w:val="24"/>
          <w:szCs w:val="24"/>
          <w:shd w:val="clear" w:color="auto" w:fill="FFFFFF"/>
        </w:rPr>
      </w:pPr>
      <w:r w:rsidRPr="00122198">
        <w:rPr>
          <w:rFonts w:cstheme="minorHAnsi"/>
          <w:color w:val="000000"/>
          <w:sz w:val="24"/>
          <w:szCs w:val="24"/>
          <w:shd w:val="clear" w:color="auto" w:fill="FFFFFF"/>
        </w:rPr>
        <w:t xml:space="preserve">Peck, M., </w:t>
      </w:r>
      <w:r>
        <w:rPr>
          <w:rFonts w:cstheme="minorHAnsi"/>
          <w:color w:val="000000"/>
          <w:sz w:val="24"/>
          <w:szCs w:val="24"/>
          <w:shd w:val="clear" w:color="auto" w:fill="FFFFFF"/>
        </w:rPr>
        <w:t>(</w:t>
      </w:r>
      <w:r w:rsidRPr="00122198">
        <w:rPr>
          <w:rFonts w:cstheme="minorHAnsi"/>
          <w:color w:val="000000"/>
          <w:sz w:val="24"/>
          <w:szCs w:val="24"/>
          <w:shd w:val="clear" w:color="auto" w:fill="FFFFFF"/>
        </w:rPr>
        <w:t>2021</w:t>
      </w:r>
      <w:r>
        <w:rPr>
          <w:rFonts w:cstheme="minorHAnsi"/>
          <w:color w:val="000000"/>
          <w:sz w:val="24"/>
          <w:szCs w:val="24"/>
          <w:shd w:val="clear" w:color="auto" w:fill="FFFFFF"/>
        </w:rPr>
        <w:t>)</w:t>
      </w:r>
      <w:r w:rsidRPr="00122198">
        <w:rPr>
          <w:rFonts w:cstheme="minorHAnsi"/>
          <w:color w:val="000000"/>
          <w:sz w:val="24"/>
          <w:szCs w:val="24"/>
          <w:shd w:val="clear" w:color="auto" w:fill="FFFFFF"/>
        </w:rPr>
        <w:t>. </w:t>
      </w:r>
      <w:r w:rsidRPr="00122198">
        <w:rPr>
          <w:rFonts w:cstheme="minorHAnsi"/>
          <w:i/>
          <w:iCs/>
          <w:color w:val="000000"/>
          <w:sz w:val="24"/>
          <w:szCs w:val="24"/>
          <w:shd w:val="clear" w:color="auto" w:fill="FFFFFF"/>
        </w:rPr>
        <w:t xml:space="preserve"> Who are the Five Greatest Generals in U.S. History?</w:t>
      </w:r>
      <w:r>
        <w:rPr>
          <w:rFonts w:cstheme="minorHAnsi"/>
          <w:color w:val="000000"/>
          <w:sz w:val="24"/>
          <w:szCs w:val="24"/>
          <w:shd w:val="clear" w:color="auto" w:fill="FFFFFF"/>
        </w:rPr>
        <w:t xml:space="preserve"> </w:t>
      </w:r>
      <w:r w:rsidRPr="00122198">
        <w:rPr>
          <w:rFonts w:cstheme="minorHAnsi"/>
          <w:color w:val="000000"/>
          <w:sz w:val="24"/>
          <w:szCs w:val="24"/>
          <w:shd w:val="clear" w:color="auto" w:fill="FFFFFF"/>
        </w:rPr>
        <w:t xml:space="preserve"> The National Interest.  Available at: </w:t>
      </w:r>
      <w:hyperlink r:id="rId12" w:history="1">
        <w:r w:rsidRPr="00CA308B">
          <w:rPr>
            <w:rStyle w:val="Hyperlink"/>
            <w:rFonts w:cstheme="minorHAnsi"/>
            <w:sz w:val="24"/>
            <w:szCs w:val="24"/>
            <w:shd w:val="clear" w:color="auto" w:fill="FFFFFF"/>
          </w:rPr>
          <w:t>https://nationalinterest.org/blog/reboot/who-are-five-greatest-generals-us-history-194784</w:t>
        </w:r>
      </w:hyperlink>
      <w:r>
        <w:rPr>
          <w:rFonts w:cstheme="minorHAnsi"/>
          <w:color w:val="000000"/>
          <w:sz w:val="24"/>
          <w:szCs w:val="24"/>
          <w:shd w:val="clear" w:color="auto" w:fill="FFFFFF"/>
        </w:rPr>
        <w:t xml:space="preserve"> (</w:t>
      </w:r>
      <w:r w:rsidRPr="00122198">
        <w:rPr>
          <w:rFonts w:cstheme="minorHAnsi"/>
          <w:color w:val="000000"/>
          <w:sz w:val="24"/>
          <w:szCs w:val="24"/>
          <w:shd w:val="clear" w:color="auto" w:fill="FFFFFF"/>
        </w:rPr>
        <w:t xml:space="preserve">Accessed </w:t>
      </w:r>
      <w:r>
        <w:rPr>
          <w:rFonts w:cstheme="minorHAnsi"/>
          <w:color w:val="000000"/>
          <w:sz w:val="24"/>
          <w:szCs w:val="24"/>
          <w:shd w:val="clear" w:color="auto" w:fill="FFFFFF"/>
        </w:rPr>
        <w:t xml:space="preserve">27 </w:t>
      </w:r>
      <w:r w:rsidRPr="00122198">
        <w:rPr>
          <w:rFonts w:cstheme="minorHAnsi"/>
          <w:color w:val="000000"/>
          <w:sz w:val="24"/>
          <w:szCs w:val="24"/>
          <w:shd w:val="clear" w:color="auto" w:fill="FFFFFF"/>
        </w:rPr>
        <w:t>May 2022</w:t>
      </w:r>
      <w:r>
        <w:rPr>
          <w:rFonts w:cstheme="minorHAnsi"/>
          <w:color w:val="000000"/>
          <w:sz w:val="24"/>
          <w:szCs w:val="24"/>
          <w:shd w:val="clear" w:color="auto" w:fill="FFFFFF"/>
        </w:rPr>
        <w:t>).</w:t>
      </w:r>
    </w:p>
    <w:p w14:paraId="28C5BCE4" w14:textId="631F14DD" w:rsidR="00995C9A" w:rsidRPr="00DE29F7" w:rsidRDefault="00995C9A" w:rsidP="0096485A">
      <w:pPr>
        <w:spacing w:after="0"/>
        <w:rPr>
          <w:rFonts w:cstheme="minorHAnsi"/>
          <w:bCs/>
          <w:sz w:val="24"/>
          <w:szCs w:val="24"/>
        </w:rPr>
      </w:pPr>
    </w:p>
    <w:p w14:paraId="54D7172B" w14:textId="4CB5F4F4" w:rsidR="00DE29F7" w:rsidRPr="00812C10" w:rsidRDefault="00924F78" w:rsidP="0096485A">
      <w:pPr>
        <w:spacing w:after="0"/>
        <w:rPr>
          <w:rFonts w:cstheme="minorHAnsi"/>
          <w:color w:val="333333"/>
          <w:sz w:val="24"/>
          <w:szCs w:val="24"/>
          <w:shd w:val="clear" w:color="auto" w:fill="FFFFFF"/>
        </w:rPr>
      </w:pPr>
      <w:r w:rsidRPr="00812C10">
        <w:rPr>
          <w:rStyle w:val="bibliographicauthorname"/>
          <w:rFonts w:cstheme="minorHAnsi"/>
          <w:sz w:val="24"/>
          <w:szCs w:val="24"/>
          <w:shd w:val="clear" w:color="auto" w:fill="FFFFFF"/>
        </w:rPr>
        <w:t>Quintus Curtius Rufus</w:t>
      </w:r>
      <w:r w:rsidRPr="00812C10">
        <w:rPr>
          <w:rFonts w:cstheme="minorHAnsi"/>
          <w:sz w:val="24"/>
          <w:szCs w:val="24"/>
          <w:shd w:val="clear" w:color="auto" w:fill="FFFFFF"/>
        </w:rPr>
        <w:t xml:space="preserve">. (1946). </w:t>
      </w:r>
      <w:r w:rsidRPr="00812C10">
        <w:rPr>
          <w:rFonts w:cstheme="minorHAnsi"/>
          <w:i/>
          <w:iCs/>
          <w:sz w:val="24"/>
          <w:szCs w:val="24"/>
          <w:shd w:val="clear" w:color="auto" w:fill="FFFFFF"/>
        </w:rPr>
        <w:t xml:space="preserve"> History of Alexander, Volume I: Books 1-5. </w:t>
      </w:r>
      <w:r w:rsidRPr="00812C10">
        <w:rPr>
          <w:rStyle w:val="translators"/>
          <w:rFonts w:cstheme="minorHAnsi"/>
          <w:sz w:val="24"/>
          <w:szCs w:val="24"/>
          <w:shd w:val="clear" w:color="auto" w:fill="FFFFFF"/>
        </w:rPr>
        <w:t> </w:t>
      </w:r>
      <w:r w:rsidRPr="00812C10">
        <w:rPr>
          <w:rStyle w:val="contributorname"/>
          <w:rFonts w:cstheme="minorHAnsi"/>
          <w:sz w:val="24"/>
          <w:szCs w:val="24"/>
          <w:shd w:val="clear" w:color="auto" w:fill="FFFFFF"/>
        </w:rPr>
        <w:t>J. C. Rolfe (trans)</w:t>
      </w:r>
      <w:r w:rsidRPr="00812C10">
        <w:rPr>
          <w:rStyle w:val="translators"/>
          <w:rFonts w:cstheme="minorHAnsi"/>
          <w:sz w:val="24"/>
          <w:szCs w:val="24"/>
          <w:shd w:val="clear" w:color="auto" w:fill="FFFFFF"/>
        </w:rPr>
        <w:t>. </w:t>
      </w:r>
      <w:r w:rsidRPr="00812C10">
        <w:rPr>
          <w:rFonts w:cstheme="minorHAnsi"/>
          <w:sz w:val="24"/>
          <w:szCs w:val="24"/>
          <w:shd w:val="clear" w:color="auto" w:fill="FFFFFF"/>
        </w:rPr>
        <w:t xml:space="preserve"> Loeb Classical Library 368.  Cambridge, MA: Harvard University Press.</w:t>
      </w:r>
      <w:r w:rsidR="00812C10" w:rsidRPr="00812C10">
        <w:rPr>
          <w:rFonts w:cstheme="minorHAnsi"/>
          <w:sz w:val="24"/>
          <w:szCs w:val="24"/>
          <w:shd w:val="clear" w:color="auto" w:fill="FFFFFF"/>
        </w:rPr>
        <w:t xml:space="preserve">  Available at</w:t>
      </w:r>
      <w:r w:rsidR="00812C10" w:rsidRPr="00812C10">
        <w:rPr>
          <w:rFonts w:cstheme="minorHAnsi"/>
          <w:color w:val="333333"/>
          <w:sz w:val="24"/>
          <w:szCs w:val="24"/>
          <w:shd w:val="clear" w:color="auto" w:fill="FFFFFF"/>
        </w:rPr>
        <w:t xml:space="preserve">: </w:t>
      </w:r>
      <w:hyperlink r:id="rId13" w:history="1">
        <w:r w:rsidR="00812C10" w:rsidRPr="00CA308B">
          <w:rPr>
            <w:rStyle w:val="Hyperlink"/>
            <w:sz w:val="24"/>
            <w:szCs w:val="24"/>
          </w:rPr>
          <w:t>https://www-loebclassics-com.ezproxy.uwtsd.ac.uk/view/LCL368/1946/volume.xml</w:t>
        </w:r>
      </w:hyperlink>
      <w:r w:rsidR="00812C10">
        <w:rPr>
          <w:sz w:val="24"/>
          <w:szCs w:val="24"/>
        </w:rPr>
        <w:t xml:space="preserve"> (Accessed 24 May 2022).</w:t>
      </w:r>
    </w:p>
    <w:p w14:paraId="768771A7" w14:textId="77777777" w:rsidR="00DE29F7" w:rsidRPr="00812C10" w:rsidRDefault="00DE29F7" w:rsidP="0096485A">
      <w:pPr>
        <w:spacing w:after="0"/>
        <w:rPr>
          <w:rFonts w:cstheme="minorHAnsi"/>
          <w:b/>
          <w:color w:val="FF0000"/>
          <w:sz w:val="24"/>
          <w:szCs w:val="24"/>
        </w:rPr>
      </w:pPr>
    </w:p>
    <w:p w14:paraId="3559DAF3" w14:textId="174BC9A0" w:rsidR="00005D92" w:rsidRPr="00CE1FAE" w:rsidRDefault="00924F78" w:rsidP="0096485A">
      <w:pPr>
        <w:spacing w:after="0"/>
        <w:rPr>
          <w:rFonts w:cstheme="minorHAnsi"/>
          <w:sz w:val="24"/>
          <w:szCs w:val="24"/>
        </w:rPr>
      </w:pPr>
      <w:r w:rsidRPr="00CE1FAE">
        <w:rPr>
          <w:rStyle w:val="bibliographicauthorname"/>
          <w:rFonts w:cstheme="minorHAnsi"/>
          <w:sz w:val="24"/>
          <w:szCs w:val="24"/>
          <w:shd w:val="clear" w:color="auto" w:fill="FFFFFF"/>
        </w:rPr>
        <w:lastRenderedPageBreak/>
        <w:t>Quintus Curtius Rufus</w:t>
      </w:r>
      <w:r w:rsidRPr="00CE1FAE">
        <w:rPr>
          <w:rFonts w:cstheme="minorHAnsi"/>
          <w:sz w:val="24"/>
          <w:szCs w:val="24"/>
          <w:shd w:val="clear" w:color="auto" w:fill="FFFFFF"/>
        </w:rPr>
        <w:t>. </w:t>
      </w:r>
      <w:r w:rsidR="00DE29F7">
        <w:rPr>
          <w:rFonts w:cstheme="minorHAnsi"/>
          <w:sz w:val="24"/>
          <w:szCs w:val="24"/>
          <w:shd w:val="clear" w:color="auto" w:fill="FFFFFF"/>
        </w:rPr>
        <w:t xml:space="preserve">(1946).  </w:t>
      </w:r>
      <w:r w:rsidRPr="00CE1FAE">
        <w:rPr>
          <w:rFonts w:cstheme="minorHAnsi"/>
          <w:i/>
          <w:iCs/>
          <w:sz w:val="24"/>
          <w:szCs w:val="24"/>
          <w:shd w:val="clear" w:color="auto" w:fill="FFFFFF"/>
        </w:rPr>
        <w:t>History of Alexander</w:t>
      </w:r>
      <w:r w:rsidR="00812C10">
        <w:rPr>
          <w:rFonts w:cstheme="minorHAnsi"/>
          <w:i/>
          <w:iCs/>
          <w:sz w:val="24"/>
          <w:szCs w:val="24"/>
          <w:shd w:val="clear" w:color="auto" w:fill="FFFFFF"/>
        </w:rPr>
        <w:t>, Volume II: Books 6-10.</w:t>
      </w:r>
      <w:r w:rsidRPr="00CE1FAE">
        <w:rPr>
          <w:rFonts w:cstheme="minorHAnsi"/>
          <w:i/>
          <w:iCs/>
          <w:sz w:val="24"/>
          <w:szCs w:val="24"/>
          <w:shd w:val="clear" w:color="auto" w:fill="FFFFFF"/>
        </w:rPr>
        <w:t> </w:t>
      </w:r>
      <w:r w:rsidRPr="00CE1FAE">
        <w:rPr>
          <w:rStyle w:val="translators"/>
          <w:rFonts w:cstheme="minorHAnsi"/>
          <w:sz w:val="24"/>
          <w:szCs w:val="24"/>
          <w:shd w:val="clear" w:color="auto" w:fill="FFFFFF"/>
        </w:rPr>
        <w:t xml:space="preserve"> </w:t>
      </w:r>
      <w:r w:rsidRPr="00CE1FAE">
        <w:rPr>
          <w:rStyle w:val="contributorname"/>
          <w:rFonts w:cstheme="minorHAnsi"/>
          <w:sz w:val="24"/>
          <w:szCs w:val="24"/>
          <w:shd w:val="clear" w:color="auto" w:fill="FFFFFF"/>
        </w:rPr>
        <w:t>J. C. Rolfe</w:t>
      </w:r>
      <w:r w:rsidR="00963A64">
        <w:rPr>
          <w:rStyle w:val="contributorname"/>
          <w:rFonts w:cstheme="minorHAnsi"/>
          <w:sz w:val="24"/>
          <w:szCs w:val="24"/>
          <w:shd w:val="clear" w:color="auto" w:fill="FFFFFF"/>
        </w:rPr>
        <w:t xml:space="preserve"> (trans)</w:t>
      </w:r>
      <w:r w:rsidRPr="00CE1FAE">
        <w:rPr>
          <w:rStyle w:val="translators"/>
          <w:rFonts w:cstheme="minorHAnsi"/>
          <w:sz w:val="24"/>
          <w:szCs w:val="24"/>
          <w:shd w:val="clear" w:color="auto" w:fill="FFFFFF"/>
        </w:rPr>
        <w:t xml:space="preserve">.  </w:t>
      </w:r>
      <w:r w:rsidRPr="00CE1FAE">
        <w:rPr>
          <w:rFonts w:cstheme="minorHAnsi"/>
          <w:sz w:val="24"/>
          <w:szCs w:val="24"/>
          <w:shd w:val="clear" w:color="auto" w:fill="FFFFFF"/>
        </w:rPr>
        <w:t xml:space="preserve">Loeb Classical Library 369.  Cambridge, MA: Harvard University Press, 1946.  Available at: </w:t>
      </w:r>
      <w:hyperlink r:id="rId14" w:history="1">
        <w:r w:rsidR="00812C10">
          <w:rPr>
            <w:rStyle w:val="Hyperlink"/>
            <w:rFonts w:cstheme="minorHAnsi"/>
            <w:sz w:val="24"/>
            <w:szCs w:val="24"/>
          </w:rPr>
          <w:t>https://www-loebclassics-com.ezproxy.uwtsd.ac.uk/view/LCL369/1946/volume.xml</w:t>
        </w:r>
      </w:hyperlink>
      <w:r w:rsidRPr="00CE1FAE">
        <w:rPr>
          <w:rFonts w:cstheme="minorHAnsi"/>
          <w:sz w:val="24"/>
          <w:szCs w:val="24"/>
        </w:rPr>
        <w:t xml:space="preserve"> (Accessed </w:t>
      </w:r>
      <w:r w:rsidR="00B47DC4" w:rsidRPr="00CE1FAE">
        <w:rPr>
          <w:rFonts w:cstheme="minorHAnsi"/>
          <w:sz w:val="24"/>
          <w:szCs w:val="24"/>
        </w:rPr>
        <w:t>24</w:t>
      </w:r>
      <w:r w:rsidRPr="00CE1FAE">
        <w:rPr>
          <w:rFonts w:cstheme="minorHAnsi"/>
          <w:sz w:val="24"/>
          <w:szCs w:val="24"/>
        </w:rPr>
        <w:t xml:space="preserve"> May 2022).</w:t>
      </w:r>
    </w:p>
    <w:p w14:paraId="290972D8" w14:textId="77777777" w:rsidR="00A24062" w:rsidRPr="00CE1FAE" w:rsidRDefault="00A24062" w:rsidP="00CE1FAE">
      <w:pPr>
        <w:spacing w:after="0"/>
        <w:rPr>
          <w:rFonts w:cstheme="minorHAnsi"/>
          <w:sz w:val="24"/>
          <w:szCs w:val="24"/>
        </w:rPr>
      </w:pPr>
    </w:p>
    <w:p w14:paraId="7D84A440" w14:textId="4DA3185E" w:rsidR="00B47DC4" w:rsidRDefault="00924F78" w:rsidP="00CE1FAE">
      <w:pPr>
        <w:spacing w:after="0"/>
        <w:rPr>
          <w:rStyle w:val="Hyperlink"/>
          <w:rFonts w:cstheme="minorHAnsi"/>
          <w:color w:val="auto"/>
          <w:sz w:val="24"/>
          <w:szCs w:val="24"/>
          <w:u w:val="none"/>
        </w:rPr>
      </w:pPr>
      <w:r w:rsidRPr="00CE1FAE">
        <w:rPr>
          <w:rFonts w:cstheme="minorHAnsi"/>
          <w:sz w:val="24"/>
          <w:szCs w:val="24"/>
        </w:rPr>
        <w:t xml:space="preserve">Stoneman, R. (2012). </w:t>
      </w:r>
      <w:r w:rsidRPr="00CE1FAE">
        <w:rPr>
          <w:rFonts w:cstheme="minorHAnsi"/>
          <w:i/>
          <w:iCs/>
          <w:sz w:val="24"/>
          <w:szCs w:val="24"/>
        </w:rPr>
        <w:t xml:space="preserve"> Legends of Alexander the Great</w:t>
      </w:r>
      <w:r w:rsidRPr="00CE1FAE">
        <w:rPr>
          <w:rFonts w:cstheme="minorHAnsi"/>
          <w:sz w:val="24"/>
          <w:szCs w:val="24"/>
        </w:rPr>
        <w:t xml:space="preserve">.  Available at: </w:t>
      </w:r>
      <w:hyperlink r:id="rId15" w:history="1">
        <w:r w:rsidRPr="00CE1FAE">
          <w:rPr>
            <w:rStyle w:val="Hyperlink"/>
            <w:rFonts w:cstheme="minorHAnsi"/>
            <w:sz w:val="24"/>
            <w:szCs w:val="24"/>
          </w:rPr>
          <w:t>https://archive.org/details/legendsofalexand0000unse</w:t>
        </w:r>
      </w:hyperlink>
      <w:r w:rsidRPr="00CE1FAE">
        <w:rPr>
          <w:rStyle w:val="Hyperlink"/>
          <w:rFonts w:cstheme="minorHAnsi"/>
          <w:sz w:val="24"/>
          <w:szCs w:val="24"/>
          <w:u w:val="none"/>
        </w:rPr>
        <w:t xml:space="preserve"> </w:t>
      </w:r>
      <w:r w:rsidRPr="00CE1FAE">
        <w:rPr>
          <w:rStyle w:val="Hyperlink"/>
          <w:rFonts w:cstheme="minorHAnsi"/>
          <w:color w:val="auto"/>
          <w:sz w:val="24"/>
          <w:szCs w:val="24"/>
          <w:u w:val="none"/>
        </w:rPr>
        <w:t>(Accessed 26 May 2022).</w:t>
      </w:r>
    </w:p>
    <w:p w14:paraId="04EAB315" w14:textId="77777777" w:rsidR="00CE1FAE" w:rsidRPr="00CE1FAE" w:rsidRDefault="00CE1FAE" w:rsidP="00CE1FAE">
      <w:pPr>
        <w:spacing w:after="0"/>
        <w:rPr>
          <w:rStyle w:val="Hyperlink"/>
          <w:rFonts w:cstheme="minorHAnsi"/>
          <w:sz w:val="24"/>
          <w:szCs w:val="24"/>
          <w:u w:val="none"/>
        </w:rPr>
      </w:pPr>
    </w:p>
    <w:p w14:paraId="71D5F252" w14:textId="3705766A" w:rsidR="00A24062" w:rsidRDefault="00924F78" w:rsidP="00CE1FAE">
      <w:pPr>
        <w:spacing w:after="0"/>
        <w:rPr>
          <w:rFonts w:cstheme="minorHAnsi"/>
          <w:sz w:val="24"/>
          <w:szCs w:val="24"/>
        </w:rPr>
      </w:pPr>
      <w:r w:rsidRPr="00CE1FAE">
        <w:rPr>
          <w:rFonts w:cstheme="minorHAnsi"/>
          <w:sz w:val="24"/>
          <w:szCs w:val="24"/>
        </w:rPr>
        <w:t>Tarn</w:t>
      </w:r>
      <w:r w:rsidR="00B47DC4" w:rsidRPr="00CE1FAE">
        <w:rPr>
          <w:rFonts w:cstheme="minorHAnsi"/>
          <w:sz w:val="24"/>
          <w:szCs w:val="24"/>
        </w:rPr>
        <w:t xml:space="preserve">, </w:t>
      </w:r>
      <w:r w:rsidRPr="00CE1FAE">
        <w:rPr>
          <w:rFonts w:cstheme="minorHAnsi"/>
          <w:sz w:val="24"/>
          <w:szCs w:val="24"/>
        </w:rPr>
        <w:t>W</w:t>
      </w:r>
      <w:r w:rsidR="00B47DC4" w:rsidRPr="00CE1FAE">
        <w:rPr>
          <w:rFonts w:cstheme="minorHAnsi"/>
          <w:sz w:val="24"/>
          <w:szCs w:val="24"/>
        </w:rPr>
        <w:t xml:space="preserve">. </w:t>
      </w:r>
      <w:r w:rsidRPr="00CE1FAE">
        <w:rPr>
          <w:rFonts w:cstheme="minorHAnsi"/>
          <w:sz w:val="24"/>
          <w:szCs w:val="24"/>
        </w:rPr>
        <w:t>W</w:t>
      </w:r>
      <w:r w:rsidR="00B47DC4" w:rsidRPr="00CE1FAE">
        <w:rPr>
          <w:rFonts w:cstheme="minorHAnsi"/>
          <w:sz w:val="24"/>
          <w:szCs w:val="24"/>
        </w:rPr>
        <w:t>. (2002).</w:t>
      </w:r>
      <w:r w:rsidRPr="00CE1FAE">
        <w:rPr>
          <w:rFonts w:cstheme="minorHAnsi"/>
          <w:sz w:val="24"/>
          <w:szCs w:val="24"/>
        </w:rPr>
        <w:t xml:space="preserve"> </w:t>
      </w:r>
      <w:r w:rsidRPr="00CE1FAE">
        <w:rPr>
          <w:rFonts w:cstheme="minorHAnsi"/>
          <w:i/>
          <w:iCs/>
          <w:sz w:val="24"/>
          <w:szCs w:val="24"/>
        </w:rPr>
        <w:t xml:space="preserve"> Alexander the Great</w:t>
      </w:r>
      <w:r w:rsidR="00B47DC4" w:rsidRPr="00CE1FAE">
        <w:rPr>
          <w:rFonts w:cstheme="minorHAnsi"/>
          <w:i/>
          <w:iCs/>
          <w:sz w:val="24"/>
          <w:szCs w:val="24"/>
        </w:rPr>
        <w:t>.</w:t>
      </w:r>
      <w:r w:rsidRPr="00CE1FAE">
        <w:rPr>
          <w:rFonts w:cstheme="minorHAnsi"/>
          <w:i/>
          <w:iCs/>
          <w:sz w:val="24"/>
          <w:szCs w:val="24"/>
        </w:rPr>
        <w:t xml:space="preserve">  </w:t>
      </w:r>
      <w:r w:rsidR="00B47DC4" w:rsidRPr="00CE1FAE">
        <w:rPr>
          <w:rFonts w:cstheme="minorHAnsi"/>
          <w:i/>
          <w:iCs/>
          <w:sz w:val="24"/>
          <w:szCs w:val="24"/>
        </w:rPr>
        <w:t xml:space="preserve">II, </w:t>
      </w:r>
      <w:r w:rsidRPr="00CE1FAE">
        <w:rPr>
          <w:rFonts w:cstheme="minorHAnsi"/>
          <w:i/>
          <w:iCs/>
          <w:sz w:val="24"/>
          <w:szCs w:val="24"/>
        </w:rPr>
        <w:t>Sources and Studies</w:t>
      </w:r>
      <w:r w:rsidR="00B47DC4" w:rsidRPr="00CE1FAE">
        <w:rPr>
          <w:rFonts w:cstheme="minorHAnsi"/>
          <w:i/>
          <w:iCs/>
          <w:sz w:val="24"/>
          <w:szCs w:val="24"/>
        </w:rPr>
        <w:t>.</w:t>
      </w:r>
      <w:r w:rsidR="00B47DC4" w:rsidRPr="00CE1FAE">
        <w:rPr>
          <w:rFonts w:cstheme="minorHAnsi"/>
          <w:sz w:val="24"/>
          <w:szCs w:val="24"/>
        </w:rPr>
        <w:t xml:space="preserve">  London, New York Melbourne: Cambridge University Press.</w:t>
      </w:r>
    </w:p>
    <w:p w14:paraId="679C9C25" w14:textId="3D4A9768" w:rsidR="00A31464" w:rsidRDefault="00A31464" w:rsidP="00CE1FAE">
      <w:pPr>
        <w:spacing w:after="0"/>
        <w:rPr>
          <w:rFonts w:cstheme="minorHAnsi"/>
          <w:sz w:val="24"/>
          <w:szCs w:val="24"/>
        </w:rPr>
      </w:pPr>
    </w:p>
    <w:p w14:paraId="03F0AA9D" w14:textId="5382FC16" w:rsidR="00A31464" w:rsidRDefault="00924F78" w:rsidP="00A31464">
      <w:pPr>
        <w:spacing w:after="0"/>
        <w:rPr>
          <w:rFonts w:cstheme="minorHAnsi"/>
          <w:sz w:val="24"/>
          <w:szCs w:val="24"/>
        </w:rPr>
      </w:pPr>
      <w:r w:rsidRPr="00A31464">
        <w:rPr>
          <w:rFonts w:cstheme="minorHAnsi"/>
          <w:sz w:val="24"/>
          <w:szCs w:val="24"/>
        </w:rPr>
        <w:t xml:space="preserve">Walsh, J., &amp; Baynham, E. (2021).  Alexander the Great and Propaganda (1st ed.). </w:t>
      </w:r>
      <w:r>
        <w:rPr>
          <w:rFonts w:cstheme="minorHAnsi"/>
          <w:sz w:val="24"/>
          <w:szCs w:val="24"/>
        </w:rPr>
        <w:t xml:space="preserve"> London: </w:t>
      </w:r>
      <w:r w:rsidRPr="00A31464">
        <w:rPr>
          <w:rFonts w:cstheme="minorHAnsi"/>
          <w:sz w:val="24"/>
          <w:szCs w:val="24"/>
        </w:rPr>
        <w:t xml:space="preserve">Routledge. </w:t>
      </w:r>
    </w:p>
    <w:p w14:paraId="719F363D" w14:textId="77777777" w:rsidR="00A31464" w:rsidRDefault="00A31464" w:rsidP="00CE1FAE">
      <w:pPr>
        <w:spacing w:after="0"/>
        <w:rPr>
          <w:rFonts w:cstheme="minorHAnsi"/>
          <w:sz w:val="24"/>
          <w:szCs w:val="24"/>
        </w:rPr>
      </w:pPr>
    </w:p>
    <w:p w14:paraId="09BE5F22" w14:textId="2B035B3B" w:rsidR="00A31464" w:rsidRDefault="00924F78" w:rsidP="00CE1FAE">
      <w:pPr>
        <w:spacing w:after="0"/>
        <w:rPr>
          <w:rFonts w:cstheme="minorHAnsi"/>
          <w:sz w:val="24"/>
          <w:szCs w:val="24"/>
        </w:rPr>
      </w:pPr>
      <w:r>
        <w:rPr>
          <w:sz w:val="24"/>
          <w:szCs w:val="24"/>
        </w:rPr>
        <w:t xml:space="preserve">Worthington, I. </w:t>
      </w:r>
      <w:r w:rsidRPr="00194BC3">
        <w:rPr>
          <w:sz w:val="24"/>
          <w:szCs w:val="24"/>
        </w:rPr>
        <w:t>(2012)</w:t>
      </w:r>
      <w:r>
        <w:rPr>
          <w:sz w:val="24"/>
          <w:szCs w:val="24"/>
        </w:rPr>
        <w:t>.</w:t>
      </w:r>
      <w:r w:rsidRPr="00194BC3">
        <w:rPr>
          <w:sz w:val="24"/>
          <w:szCs w:val="24"/>
        </w:rPr>
        <w:t xml:space="preserve">  Alexander the Great. </w:t>
      </w:r>
      <w:r>
        <w:rPr>
          <w:sz w:val="24"/>
          <w:szCs w:val="24"/>
        </w:rPr>
        <w:t xml:space="preserve"> (</w:t>
      </w:r>
      <w:r w:rsidRPr="00194BC3">
        <w:rPr>
          <w:sz w:val="24"/>
          <w:szCs w:val="24"/>
        </w:rPr>
        <w:t>2nd ed</w:t>
      </w:r>
      <w:r>
        <w:rPr>
          <w:sz w:val="24"/>
          <w:szCs w:val="24"/>
        </w:rPr>
        <w:t>)</w:t>
      </w:r>
      <w:r w:rsidRPr="00194BC3">
        <w:rPr>
          <w:sz w:val="24"/>
          <w:szCs w:val="24"/>
        </w:rPr>
        <w:t>.  Taylor and Francis.  Available at: https://www.perlego.com/book/1615680/alexander-the-great-pdf (Accessed: 23 May 2022</w:t>
      </w:r>
      <w:r>
        <w:rPr>
          <w:sz w:val="24"/>
          <w:szCs w:val="24"/>
        </w:rPr>
        <w:t>).</w:t>
      </w:r>
    </w:p>
    <w:p w14:paraId="27F0D131" w14:textId="6BAF183C" w:rsidR="003E489F" w:rsidRDefault="003E489F" w:rsidP="00CE1FAE">
      <w:pPr>
        <w:spacing w:after="0"/>
        <w:rPr>
          <w:rFonts w:ascii="Open Sans" w:hAnsi="Open Sans" w:cs="Open Sans"/>
          <w:color w:val="000000"/>
          <w:sz w:val="20"/>
          <w:szCs w:val="20"/>
          <w:shd w:val="clear" w:color="auto" w:fill="FFFFFF"/>
        </w:rPr>
      </w:pPr>
    </w:p>
    <w:p w14:paraId="3741A85D" w14:textId="7A7B6DE3" w:rsidR="007D6C8D" w:rsidRPr="007D6C8D" w:rsidRDefault="00924F78" w:rsidP="007D6C8D">
      <w:pPr>
        <w:spacing w:after="0"/>
        <w:rPr>
          <w:rFonts w:cstheme="minorHAnsi"/>
          <w:color w:val="000000"/>
          <w:sz w:val="24"/>
          <w:szCs w:val="24"/>
          <w:shd w:val="clear" w:color="auto" w:fill="FFFFFF"/>
        </w:rPr>
      </w:pPr>
      <w:r w:rsidRPr="007D6C8D">
        <w:rPr>
          <w:rFonts w:cstheme="minorHAnsi"/>
          <w:color w:val="000000"/>
          <w:sz w:val="24"/>
          <w:szCs w:val="24"/>
          <w:shd w:val="clear" w:color="auto" w:fill="FFFFFF"/>
        </w:rPr>
        <w:t xml:space="preserve">Yakoubovitch, I. (2016).  The East in Curtius Rufus' 'Histories of Alexander': A Paradoxical Reversion of Standards. </w:t>
      </w:r>
      <w:r w:rsidRPr="007D6C8D">
        <w:rPr>
          <w:rFonts w:cstheme="minorHAnsi"/>
          <w:i/>
          <w:iCs/>
          <w:color w:val="000000"/>
          <w:sz w:val="24"/>
          <w:szCs w:val="24"/>
          <w:shd w:val="clear" w:color="auto" w:fill="FFFFFF"/>
        </w:rPr>
        <w:t>Alexander the Great and the East History, Art, Tradition</w:t>
      </w:r>
      <w:r w:rsidRPr="007D6C8D">
        <w:rPr>
          <w:rFonts w:cstheme="minorHAnsi"/>
          <w:color w:val="000000"/>
          <w:sz w:val="24"/>
          <w:szCs w:val="24"/>
          <w:shd w:val="clear" w:color="auto" w:fill="FFFFFF"/>
        </w:rPr>
        <w:t xml:space="preserve"> Edited by Krzysztof Nawotka and Agnieszka Wojciechowska, Harrassowitz (Philippika, 103), Wiesbaden, 193–212.  Available at: </w:t>
      </w:r>
      <w:hyperlink r:id="rId16" w:history="1">
        <w:r w:rsidRPr="007D6C8D">
          <w:rPr>
            <w:rStyle w:val="Hyperlink"/>
            <w:sz w:val="24"/>
            <w:szCs w:val="24"/>
          </w:rPr>
          <w:t>https://www.academia.edu/5249112/The_East_in_Curtius_Rufus_Histories_of_Alexander_A_Paradoxical_Reversion_of_Standards</w:t>
        </w:r>
      </w:hyperlink>
      <w:r w:rsidRPr="007D6C8D">
        <w:rPr>
          <w:sz w:val="24"/>
          <w:szCs w:val="24"/>
        </w:rPr>
        <w:t>. (Accessed 26 May 2022).</w:t>
      </w:r>
    </w:p>
    <w:p w14:paraId="28710A9C" w14:textId="71DF4A15" w:rsidR="00A31464" w:rsidRDefault="00A31464" w:rsidP="007D6C8D">
      <w:pPr>
        <w:spacing w:after="0"/>
        <w:rPr>
          <w:rFonts w:cstheme="minorHAnsi"/>
          <w:sz w:val="24"/>
          <w:szCs w:val="24"/>
        </w:rPr>
      </w:pPr>
    </w:p>
    <w:p w14:paraId="55378B69" w14:textId="77777777" w:rsidR="00990AEA" w:rsidRPr="00990AEA" w:rsidRDefault="00990AEA" w:rsidP="007D6C8D">
      <w:pPr>
        <w:spacing w:after="0"/>
        <w:rPr>
          <w:rFonts w:cstheme="minorHAnsi"/>
          <w:sz w:val="24"/>
          <w:szCs w:val="24"/>
        </w:rPr>
      </w:pPr>
    </w:p>
    <w:sectPr w:rsidR="00990AEA" w:rsidRPr="00990AEA" w:rsidSect="00D954C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BF26B" w14:textId="77777777" w:rsidR="001937B7" w:rsidRDefault="00924F78">
      <w:pPr>
        <w:spacing w:after="0" w:line="240" w:lineRule="auto"/>
      </w:pPr>
      <w:r>
        <w:separator/>
      </w:r>
    </w:p>
  </w:endnote>
  <w:endnote w:type="continuationSeparator" w:id="0">
    <w:p w14:paraId="424ECF81" w14:textId="77777777" w:rsidR="001937B7" w:rsidRDefault="00924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2133B" w14:textId="77777777" w:rsidR="00146FFE" w:rsidRDefault="00924F78" w:rsidP="00146FFE">
      <w:pPr>
        <w:spacing w:after="0" w:line="240" w:lineRule="auto"/>
      </w:pPr>
      <w:r>
        <w:separator/>
      </w:r>
    </w:p>
  </w:footnote>
  <w:footnote w:type="continuationSeparator" w:id="0">
    <w:p w14:paraId="4C3E909E" w14:textId="77777777" w:rsidR="00146FFE" w:rsidRDefault="00924F78" w:rsidP="00146FFE">
      <w:pPr>
        <w:spacing w:after="0" w:line="240" w:lineRule="auto"/>
      </w:pPr>
      <w:r>
        <w:continuationSeparator/>
      </w:r>
    </w:p>
  </w:footnote>
  <w:footnote w:id="1">
    <w:p w14:paraId="1CE4046C" w14:textId="59ADF6AF" w:rsidR="00880C40" w:rsidRPr="00D456CF" w:rsidRDefault="00924F78" w:rsidP="00525EC0">
      <w:pPr>
        <w:pStyle w:val="FootnoteText"/>
      </w:pPr>
      <w:r>
        <w:rPr>
          <w:rStyle w:val="FootnoteReference"/>
        </w:rPr>
        <w:footnoteRef/>
      </w:r>
      <w:r w:rsidRPr="00D456CF">
        <w:t xml:space="preserve">  </w:t>
      </w:r>
      <w:r w:rsidRPr="00D456CF">
        <w:rPr>
          <w:rFonts w:cstheme="minorHAnsi"/>
        </w:rPr>
        <w:t xml:space="preserve">Tarn, </w:t>
      </w:r>
      <w:r w:rsidR="00CE1FAE" w:rsidRPr="00D456CF">
        <w:rPr>
          <w:rFonts w:cstheme="minorHAnsi"/>
        </w:rPr>
        <w:t xml:space="preserve">2002, </w:t>
      </w:r>
      <w:r w:rsidRPr="00D456CF">
        <w:rPr>
          <w:rFonts w:cstheme="minorHAnsi"/>
        </w:rPr>
        <w:t>p. 91.</w:t>
      </w:r>
    </w:p>
  </w:footnote>
  <w:footnote w:id="2">
    <w:p w14:paraId="1F5D407C" w14:textId="26659C82" w:rsidR="00880C40" w:rsidRPr="00D456CF" w:rsidRDefault="00924F78" w:rsidP="00C92118">
      <w:pPr>
        <w:pStyle w:val="FootnoteText"/>
        <w:rPr>
          <w:rFonts w:cstheme="minorHAnsi"/>
        </w:rPr>
      </w:pPr>
      <w:r w:rsidRPr="00525EC0">
        <w:rPr>
          <w:rStyle w:val="FootnoteReference"/>
        </w:rPr>
        <w:footnoteRef/>
      </w:r>
      <w:r w:rsidRPr="00D456CF">
        <w:t xml:space="preserve">  </w:t>
      </w:r>
      <w:r w:rsidR="00C92118" w:rsidRPr="00D456CF">
        <w:rPr>
          <w:rFonts w:cstheme="minorHAnsi"/>
        </w:rPr>
        <w:t>Ibid</w:t>
      </w:r>
      <w:r w:rsidR="00CE1FAE" w:rsidRPr="00D456CF">
        <w:rPr>
          <w:rFonts w:cstheme="minorHAnsi"/>
        </w:rPr>
        <w:t xml:space="preserve">, </w:t>
      </w:r>
      <w:r w:rsidRPr="00D456CF">
        <w:rPr>
          <w:rFonts w:cstheme="minorHAnsi"/>
        </w:rPr>
        <w:t xml:space="preserve"> p</w:t>
      </w:r>
      <w:r w:rsidR="00CE1FAE" w:rsidRPr="00D456CF">
        <w:rPr>
          <w:rFonts w:cstheme="minorHAnsi"/>
        </w:rPr>
        <w:t xml:space="preserve">. </w:t>
      </w:r>
      <w:r w:rsidRPr="00D456CF">
        <w:rPr>
          <w:rFonts w:cstheme="minorHAnsi"/>
        </w:rPr>
        <w:t>91</w:t>
      </w:r>
      <w:r w:rsidR="00CE1FAE" w:rsidRPr="00D456CF">
        <w:rPr>
          <w:rFonts w:cstheme="minorHAnsi"/>
        </w:rPr>
        <w:t>.</w:t>
      </w:r>
    </w:p>
  </w:footnote>
  <w:footnote w:id="3">
    <w:p w14:paraId="44A97EA3" w14:textId="70C070D7" w:rsidR="00880C40" w:rsidRPr="00D456CF" w:rsidRDefault="00924F78" w:rsidP="00525EC0">
      <w:pPr>
        <w:pStyle w:val="FootnoteText"/>
      </w:pPr>
      <w:r w:rsidRPr="00525EC0">
        <w:rPr>
          <w:rStyle w:val="FootnoteReference"/>
        </w:rPr>
        <w:footnoteRef/>
      </w:r>
      <w:r w:rsidRPr="00D456CF">
        <w:t xml:space="preserve">  </w:t>
      </w:r>
      <w:r w:rsidR="00A334BE" w:rsidRPr="00D456CF">
        <w:rPr>
          <w:rFonts w:cstheme="minorHAnsi"/>
        </w:rPr>
        <w:t>Heckle, 1984.</w:t>
      </w:r>
    </w:p>
  </w:footnote>
  <w:footnote w:id="4">
    <w:p w14:paraId="0099A292" w14:textId="70C00A8E" w:rsidR="00880C40" w:rsidRPr="00D456CF" w:rsidRDefault="00924F78" w:rsidP="00525EC0">
      <w:pPr>
        <w:pStyle w:val="FootnoteText"/>
      </w:pPr>
      <w:r w:rsidRPr="00525EC0">
        <w:rPr>
          <w:rStyle w:val="FootnoteReference"/>
        </w:rPr>
        <w:footnoteRef/>
      </w:r>
      <w:r w:rsidRPr="00D456CF">
        <w:t xml:space="preserve">  </w:t>
      </w:r>
      <w:r w:rsidRPr="00D456CF">
        <w:rPr>
          <w:rFonts w:cstheme="minorHAnsi"/>
        </w:rPr>
        <w:t>Baynham</w:t>
      </w:r>
      <w:r w:rsidR="007078AA" w:rsidRPr="00D456CF">
        <w:rPr>
          <w:rFonts w:cstheme="minorHAnsi"/>
        </w:rPr>
        <w:t>,</w:t>
      </w:r>
      <w:r w:rsidRPr="00D456CF">
        <w:rPr>
          <w:rFonts w:cstheme="minorHAnsi"/>
        </w:rPr>
        <w:t xml:space="preserve"> </w:t>
      </w:r>
      <w:r w:rsidR="00527023" w:rsidRPr="00D456CF">
        <w:rPr>
          <w:rFonts w:cstheme="minorHAnsi"/>
        </w:rPr>
        <w:t xml:space="preserve">1998, </w:t>
      </w:r>
      <w:r w:rsidRPr="00D456CF">
        <w:rPr>
          <w:rFonts w:cstheme="minorHAnsi"/>
        </w:rPr>
        <w:t>p</w:t>
      </w:r>
      <w:r w:rsidR="00527023" w:rsidRPr="00D456CF">
        <w:rPr>
          <w:rFonts w:cstheme="minorHAnsi"/>
        </w:rPr>
        <w:t xml:space="preserve">. </w:t>
      </w:r>
      <w:r w:rsidRPr="00D456CF">
        <w:rPr>
          <w:rFonts w:cstheme="minorHAnsi"/>
        </w:rPr>
        <w:t>9</w:t>
      </w:r>
      <w:r w:rsidR="00527023" w:rsidRPr="00D456CF">
        <w:rPr>
          <w:rFonts w:cstheme="minorHAnsi"/>
        </w:rPr>
        <w:t>.</w:t>
      </w:r>
    </w:p>
  </w:footnote>
  <w:footnote w:id="5">
    <w:p w14:paraId="27FEC3A0" w14:textId="1DFF688A" w:rsidR="00525EC0" w:rsidRPr="00D456CF" w:rsidRDefault="00924F78" w:rsidP="00525EC0">
      <w:pPr>
        <w:spacing w:after="0" w:line="240" w:lineRule="auto"/>
        <w:rPr>
          <w:rFonts w:cstheme="minorHAnsi"/>
          <w:sz w:val="20"/>
          <w:szCs w:val="20"/>
        </w:rPr>
      </w:pPr>
      <w:r w:rsidRPr="00525EC0">
        <w:rPr>
          <w:rStyle w:val="FootnoteReference"/>
          <w:sz w:val="20"/>
          <w:szCs w:val="20"/>
        </w:rPr>
        <w:footnoteRef/>
      </w:r>
      <w:r w:rsidRPr="00D456CF">
        <w:rPr>
          <w:sz w:val="20"/>
          <w:szCs w:val="20"/>
        </w:rPr>
        <w:t xml:space="preserve">  </w:t>
      </w:r>
      <w:r w:rsidR="00C92118" w:rsidRPr="00D456CF">
        <w:rPr>
          <w:rFonts w:cstheme="minorHAnsi"/>
          <w:sz w:val="20"/>
          <w:szCs w:val="20"/>
        </w:rPr>
        <w:t>Ibid</w:t>
      </w:r>
      <w:r w:rsidR="00527023" w:rsidRPr="00D456CF">
        <w:rPr>
          <w:rFonts w:cstheme="minorHAnsi"/>
          <w:sz w:val="20"/>
          <w:szCs w:val="20"/>
        </w:rPr>
        <w:t xml:space="preserve">, </w:t>
      </w:r>
      <w:r w:rsidRPr="00D456CF">
        <w:rPr>
          <w:rFonts w:cstheme="minorHAnsi"/>
          <w:sz w:val="20"/>
          <w:szCs w:val="20"/>
        </w:rPr>
        <w:t>p</w:t>
      </w:r>
      <w:r w:rsidR="00527023" w:rsidRPr="00D456CF">
        <w:rPr>
          <w:rFonts w:cstheme="minorHAnsi"/>
          <w:sz w:val="20"/>
          <w:szCs w:val="20"/>
        </w:rPr>
        <w:t xml:space="preserve">. </w:t>
      </w:r>
      <w:r w:rsidRPr="00D456CF">
        <w:rPr>
          <w:rFonts w:cstheme="minorHAnsi"/>
          <w:sz w:val="20"/>
          <w:szCs w:val="20"/>
        </w:rPr>
        <w:t>12</w:t>
      </w:r>
      <w:r w:rsidR="00527023" w:rsidRPr="00D456CF">
        <w:rPr>
          <w:rFonts w:cstheme="minorHAnsi"/>
          <w:sz w:val="20"/>
          <w:szCs w:val="20"/>
        </w:rPr>
        <w:t>.</w:t>
      </w:r>
    </w:p>
  </w:footnote>
  <w:footnote w:id="6">
    <w:p w14:paraId="121EBFD7" w14:textId="0161B72E" w:rsidR="00525EC0" w:rsidRPr="00D456CF" w:rsidRDefault="00924F78" w:rsidP="00525EC0">
      <w:pPr>
        <w:pStyle w:val="FootnoteText"/>
      </w:pPr>
      <w:r>
        <w:rPr>
          <w:rStyle w:val="FootnoteReference"/>
        </w:rPr>
        <w:footnoteRef/>
      </w:r>
      <w:r w:rsidRPr="00D456CF">
        <w:t xml:space="preserve">  </w:t>
      </w:r>
      <w:r w:rsidR="00C92118" w:rsidRPr="00D456CF">
        <w:rPr>
          <w:rFonts w:cstheme="minorHAnsi"/>
        </w:rPr>
        <w:t>Ibid,</w:t>
      </w:r>
      <w:r w:rsidRPr="00D456CF">
        <w:rPr>
          <w:rFonts w:cstheme="minorHAnsi"/>
        </w:rPr>
        <w:t xml:space="preserve"> p</w:t>
      </w:r>
      <w:r w:rsidR="00527023" w:rsidRPr="00D456CF">
        <w:rPr>
          <w:rFonts w:cstheme="minorHAnsi"/>
        </w:rPr>
        <w:t xml:space="preserve">. </w:t>
      </w:r>
      <w:r w:rsidRPr="00D456CF">
        <w:rPr>
          <w:rFonts w:cstheme="minorHAnsi"/>
        </w:rPr>
        <w:t>12</w:t>
      </w:r>
      <w:r w:rsidR="00527023" w:rsidRPr="00D456CF">
        <w:rPr>
          <w:rFonts w:cstheme="minorHAnsi"/>
        </w:rPr>
        <w:t>.</w:t>
      </w:r>
    </w:p>
  </w:footnote>
  <w:footnote w:id="7">
    <w:p w14:paraId="02C97B1B" w14:textId="119C8607" w:rsidR="00525EC0" w:rsidRPr="00D456CF" w:rsidRDefault="00924F78">
      <w:pPr>
        <w:pStyle w:val="FootnoteText"/>
      </w:pPr>
      <w:r>
        <w:rPr>
          <w:rStyle w:val="FootnoteReference"/>
        </w:rPr>
        <w:footnoteRef/>
      </w:r>
      <w:r w:rsidRPr="00D456CF">
        <w:t xml:space="preserve">  </w:t>
      </w:r>
      <w:r w:rsidR="008E6F81" w:rsidRPr="00D456CF">
        <w:rPr>
          <w:rFonts w:cstheme="minorHAnsi"/>
        </w:rPr>
        <w:t>Peck, 2021.</w:t>
      </w:r>
    </w:p>
  </w:footnote>
  <w:footnote w:id="8">
    <w:p w14:paraId="21017BA5" w14:textId="2FFDF944" w:rsidR="00B44170" w:rsidRPr="00D456CF" w:rsidRDefault="00924F78">
      <w:pPr>
        <w:pStyle w:val="FootnoteText"/>
      </w:pPr>
      <w:r>
        <w:rPr>
          <w:rStyle w:val="FootnoteReference"/>
        </w:rPr>
        <w:footnoteRef/>
      </w:r>
      <w:r w:rsidRPr="00D456CF">
        <w:t xml:space="preserve">  </w:t>
      </w:r>
      <w:r w:rsidRPr="00D456CF">
        <w:rPr>
          <w:rFonts w:cstheme="minorHAnsi"/>
        </w:rPr>
        <w:t>Baynham</w:t>
      </w:r>
      <w:r w:rsidR="00527023" w:rsidRPr="00D456CF">
        <w:rPr>
          <w:rFonts w:cstheme="minorHAnsi"/>
        </w:rPr>
        <w:t>, 1998, p.</w:t>
      </w:r>
      <w:r w:rsidRPr="00D456CF">
        <w:rPr>
          <w:rFonts w:cstheme="minorHAnsi"/>
        </w:rPr>
        <w:t xml:space="preserve"> 119</w:t>
      </w:r>
      <w:r w:rsidR="00527023" w:rsidRPr="00D456CF">
        <w:rPr>
          <w:rFonts w:cstheme="minorHAnsi"/>
        </w:rPr>
        <w:t>.</w:t>
      </w:r>
    </w:p>
  </w:footnote>
  <w:footnote w:id="9">
    <w:p w14:paraId="5590183F" w14:textId="5BBF23F4" w:rsidR="00B44170" w:rsidRPr="009E0315" w:rsidRDefault="00924F78">
      <w:pPr>
        <w:pStyle w:val="FootnoteText"/>
        <w:rPr>
          <w:lang w:val="pt-PT"/>
        </w:rPr>
      </w:pPr>
      <w:r>
        <w:rPr>
          <w:rStyle w:val="FootnoteReference"/>
        </w:rPr>
        <w:footnoteRef/>
      </w:r>
      <w:r w:rsidRPr="009E0315">
        <w:rPr>
          <w:lang w:val="pt-PT"/>
        </w:rPr>
        <w:t xml:space="preserve">  </w:t>
      </w:r>
      <w:r w:rsidR="009E0315" w:rsidRPr="009E0315">
        <w:rPr>
          <w:lang w:val="pt-PT"/>
        </w:rPr>
        <w:t xml:space="preserve"> </w:t>
      </w:r>
      <w:r w:rsidR="00B40B0A">
        <w:rPr>
          <w:lang w:val="pt-PT"/>
        </w:rPr>
        <w:t xml:space="preserve"> </w:t>
      </w:r>
      <w:r w:rsidRPr="009E0315">
        <w:rPr>
          <w:rFonts w:cstheme="minorHAnsi"/>
          <w:lang w:val="pt-PT"/>
        </w:rPr>
        <w:t>Eutr</w:t>
      </w:r>
      <w:r w:rsidR="00EF07A2">
        <w:rPr>
          <w:rFonts w:cstheme="minorHAnsi"/>
          <w:lang w:val="pt-PT"/>
        </w:rPr>
        <w:t>.</w:t>
      </w:r>
      <w:r w:rsidRPr="009E0315">
        <w:rPr>
          <w:rFonts w:cstheme="minorHAnsi"/>
          <w:lang w:val="pt-PT"/>
        </w:rPr>
        <w:t xml:space="preserve"> 8.5.3</w:t>
      </w:r>
      <w:r w:rsidR="00EF3D4F">
        <w:rPr>
          <w:rFonts w:cstheme="minorHAnsi"/>
          <w:lang w:val="pt-PT"/>
        </w:rPr>
        <w:t>.</w:t>
      </w:r>
    </w:p>
  </w:footnote>
  <w:footnote w:id="10">
    <w:p w14:paraId="22FD7DF0" w14:textId="3B9C0BD5" w:rsidR="00B44170" w:rsidRPr="009E0315" w:rsidRDefault="00924F78">
      <w:pPr>
        <w:pStyle w:val="FootnoteText"/>
        <w:rPr>
          <w:lang w:val="pt-PT"/>
        </w:rPr>
      </w:pPr>
      <w:r>
        <w:rPr>
          <w:rStyle w:val="FootnoteReference"/>
        </w:rPr>
        <w:footnoteRef/>
      </w:r>
      <w:r w:rsidRPr="009E0315">
        <w:rPr>
          <w:lang w:val="pt-PT"/>
        </w:rPr>
        <w:t xml:space="preserve">  </w:t>
      </w:r>
      <w:r w:rsidR="009E0315" w:rsidRPr="009E0315">
        <w:rPr>
          <w:lang w:val="pt-PT"/>
        </w:rPr>
        <w:t xml:space="preserve">Quintus Curtius </w:t>
      </w:r>
      <w:r w:rsidRPr="009E0315">
        <w:rPr>
          <w:rFonts w:cstheme="minorHAnsi"/>
          <w:lang w:val="pt-PT"/>
        </w:rPr>
        <w:t>Rufus</w:t>
      </w:r>
      <w:r w:rsidR="007078AA">
        <w:rPr>
          <w:rFonts w:cstheme="minorHAnsi"/>
          <w:lang w:val="pt-PT"/>
        </w:rPr>
        <w:t>,</w:t>
      </w:r>
      <w:r w:rsidRPr="009E0315">
        <w:rPr>
          <w:rFonts w:cstheme="minorHAnsi"/>
          <w:lang w:val="pt-PT"/>
        </w:rPr>
        <w:t xml:space="preserve"> 3.4.11</w:t>
      </w:r>
      <w:r w:rsidR="007078AA">
        <w:rPr>
          <w:rFonts w:cstheme="minorHAnsi"/>
          <w:lang w:val="pt-PT"/>
        </w:rPr>
        <w:t>.</w:t>
      </w:r>
    </w:p>
  </w:footnote>
  <w:footnote w:id="11">
    <w:p w14:paraId="1F180EBB" w14:textId="030C8FAA" w:rsidR="00B44170" w:rsidRPr="009E0315" w:rsidRDefault="00924F78" w:rsidP="00BA58A1">
      <w:pPr>
        <w:pStyle w:val="FootnoteText"/>
        <w:rPr>
          <w:lang w:val="pt-PT"/>
        </w:rPr>
      </w:pPr>
      <w:r w:rsidRPr="00BA58A1">
        <w:rPr>
          <w:rStyle w:val="FootnoteReference"/>
        </w:rPr>
        <w:footnoteRef/>
      </w:r>
      <w:r w:rsidRPr="009E0315">
        <w:rPr>
          <w:lang w:val="pt-PT"/>
        </w:rPr>
        <w:t xml:space="preserve">  </w:t>
      </w:r>
      <w:r w:rsidR="007078AA">
        <w:rPr>
          <w:lang w:val="pt-PT"/>
        </w:rPr>
        <w:t>Ibid</w:t>
      </w:r>
      <w:r w:rsidRPr="009E0315">
        <w:rPr>
          <w:rFonts w:cstheme="minorHAnsi"/>
          <w:lang w:val="pt-PT"/>
        </w:rPr>
        <w:t>, 4.9.22</w:t>
      </w:r>
    </w:p>
  </w:footnote>
  <w:footnote w:id="12">
    <w:p w14:paraId="25962A4C" w14:textId="58F765B4" w:rsidR="00B44170" w:rsidRPr="00980C89" w:rsidRDefault="00924F78" w:rsidP="00BA58A1">
      <w:pPr>
        <w:pStyle w:val="FootnoteText"/>
        <w:rPr>
          <w:lang w:val="pt-PT"/>
        </w:rPr>
      </w:pPr>
      <w:r w:rsidRPr="00BA58A1">
        <w:rPr>
          <w:rStyle w:val="FootnoteReference"/>
        </w:rPr>
        <w:footnoteRef/>
      </w:r>
      <w:r w:rsidRPr="00980C89">
        <w:rPr>
          <w:lang w:val="pt-PT"/>
        </w:rPr>
        <w:t xml:space="preserve">  </w:t>
      </w:r>
      <w:proofErr w:type="spellStart"/>
      <w:r w:rsidRPr="00980C89">
        <w:rPr>
          <w:rFonts w:cstheme="minorHAnsi"/>
          <w:lang w:val="pt-PT"/>
        </w:rPr>
        <w:t>Baynham</w:t>
      </w:r>
      <w:proofErr w:type="spellEnd"/>
      <w:r w:rsidR="007078AA">
        <w:rPr>
          <w:rFonts w:cstheme="minorHAnsi"/>
          <w:lang w:val="pt-PT"/>
        </w:rPr>
        <w:t>, 1998, p.</w:t>
      </w:r>
      <w:r w:rsidRPr="00980C89">
        <w:rPr>
          <w:rFonts w:cstheme="minorHAnsi"/>
          <w:lang w:val="pt-PT"/>
        </w:rPr>
        <w:t xml:space="preserve"> 123</w:t>
      </w:r>
      <w:r w:rsidR="007078AA">
        <w:rPr>
          <w:rFonts w:cstheme="minorHAnsi"/>
          <w:lang w:val="pt-PT"/>
        </w:rPr>
        <w:t>.</w:t>
      </w:r>
    </w:p>
  </w:footnote>
  <w:footnote w:id="13">
    <w:p w14:paraId="622E4F19" w14:textId="26058B93" w:rsidR="00B44170" w:rsidRPr="00980C89" w:rsidRDefault="00924F78" w:rsidP="00BA58A1">
      <w:pPr>
        <w:pStyle w:val="FootnoteText"/>
        <w:rPr>
          <w:lang w:val="pt-PT"/>
        </w:rPr>
      </w:pPr>
      <w:r w:rsidRPr="00BA58A1">
        <w:rPr>
          <w:rStyle w:val="FootnoteReference"/>
        </w:rPr>
        <w:footnoteRef/>
      </w:r>
      <w:r w:rsidRPr="00980C89">
        <w:rPr>
          <w:lang w:val="pt-PT"/>
        </w:rPr>
        <w:t xml:space="preserve">  </w:t>
      </w:r>
      <w:r w:rsidR="009E0315">
        <w:rPr>
          <w:lang w:val="pt-PT"/>
        </w:rPr>
        <w:t xml:space="preserve">Quintus Curtius </w:t>
      </w:r>
      <w:r w:rsidRPr="00980C89">
        <w:rPr>
          <w:rFonts w:cstheme="minorHAnsi"/>
          <w:lang w:val="pt-PT"/>
        </w:rPr>
        <w:t>Rufus</w:t>
      </w:r>
      <w:r w:rsidR="007078AA">
        <w:rPr>
          <w:rFonts w:cstheme="minorHAnsi"/>
          <w:lang w:val="pt-PT"/>
        </w:rPr>
        <w:t>,</w:t>
      </w:r>
      <w:r w:rsidRPr="00980C89">
        <w:rPr>
          <w:rFonts w:cstheme="minorHAnsi"/>
          <w:lang w:val="pt-PT"/>
        </w:rPr>
        <w:t xml:space="preserve"> 8.1.3.</w:t>
      </w:r>
    </w:p>
  </w:footnote>
  <w:footnote w:id="14">
    <w:p w14:paraId="60A8FDC9" w14:textId="2C9E1E66" w:rsidR="005219CA" w:rsidRPr="00980C89" w:rsidRDefault="00924F78" w:rsidP="00BA58A1">
      <w:pPr>
        <w:spacing w:after="0" w:line="240" w:lineRule="auto"/>
        <w:rPr>
          <w:rFonts w:cstheme="minorHAnsi"/>
          <w:sz w:val="20"/>
          <w:szCs w:val="20"/>
          <w:lang w:val="pt-PT"/>
        </w:rPr>
      </w:pPr>
      <w:r w:rsidRPr="00BA58A1">
        <w:rPr>
          <w:rStyle w:val="FootnoteReference"/>
          <w:sz w:val="20"/>
          <w:szCs w:val="20"/>
        </w:rPr>
        <w:footnoteRef/>
      </w:r>
      <w:r w:rsidRPr="00980C89">
        <w:rPr>
          <w:sz w:val="20"/>
          <w:szCs w:val="20"/>
          <w:lang w:val="pt-PT"/>
        </w:rPr>
        <w:t xml:space="preserve">  </w:t>
      </w:r>
      <w:r w:rsidR="007078AA">
        <w:rPr>
          <w:sz w:val="20"/>
          <w:szCs w:val="20"/>
          <w:lang w:val="pt-PT"/>
        </w:rPr>
        <w:t>Ibid,</w:t>
      </w:r>
      <w:r w:rsidRPr="00980C89">
        <w:rPr>
          <w:rFonts w:cstheme="minorHAnsi"/>
          <w:sz w:val="20"/>
          <w:szCs w:val="20"/>
          <w:lang w:val="pt-PT"/>
        </w:rPr>
        <w:t xml:space="preserve"> 8.13.13.</w:t>
      </w:r>
    </w:p>
  </w:footnote>
  <w:footnote w:id="15">
    <w:p w14:paraId="447537A9" w14:textId="26D7B18C" w:rsidR="005219CA" w:rsidRPr="00980C89" w:rsidRDefault="00924F78" w:rsidP="00BA58A1">
      <w:pPr>
        <w:pStyle w:val="FootnoteText"/>
        <w:rPr>
          <w:lang w:val="pt-PT"/>
        </w:rPr>
      </w:pPr>
      <w:r w:rsidRPr="00BA58A1">
        <w:rPr>
          <w:rStyle w:val="FootnoteReference"/>
        </w:rPr>
        <w:footnoteRef/>
      </w:r>
      <w:r w:rsidR="00BA58A1" w:rsidRPr="00980C89">
        <w:rPr>
          <w:lang w:val="pt-PT"/>
        </w:rPr>
        <w:t xml:space="preserve"> </w:t>
      </w:r>
      <w:r w:rsidRPr="00980C89">
        <w:rPr>
          <w:lang w:val="pt-PT"/>
        </w:rPr>
        <w:t xml:space="preserve"> </w:t>
      </w:r>
      <w:proofErr w:type="spellStart"/>
      <w:r w:rsidR="007078AA">
        <w:rPr>
          <w:lang w:val="pt-PT"/>
        </w:rPr>
        <w:t>Ibid</w:t>
      </w:r>
      <w:proofErr w:type="spellEnd"/>
      <w:r w:rsidR="007078AA">
        <w:rPr>
          <w:lang w:val="pt-PT"/>
        </w:rPr>
        <w:t>,</w:t>
      </w:r>
      <w:r w:rsidRPr="00980C89">
        <w:rPr>
          <w:rFonts w:cstheme="minorHAnsi"/>
          <w:lang w:val="pt-PT"/>
        </w:rPr>
        <w:t xml:space="preserve"> 8.1</w:t>
      </w:r>
      <w:r w:rsidR="007078AA">
        <w:rPr>
          <w:rFonts w:cstheme="minorHAnsi"/>
          <w:lang w:val="pt-PT"/>
        </w:rPr>
        <w:t>.</w:t>
      </w:r>
      <w:r w:rsidRPr="00980C89">
        <w:rPr>
          <w:rFonts w:cstheme="minorHAnsi"/>
          <w:lang w:val="pt-PT"/>
        </w:rPr>
        <w:t>43</w:t>
      </w:r>
      <w:r w:rsidR="007078AA">
        <w:rPr>
          <w:rFonts w:cstheme="minorHAnsi"/>
          <w:lang w:val="pt-PT"/>
        </w:rPr>
        <w:t>.</w:t>
      </w:r>
    </w:p>
  </w:footnote>
  <w:footnote w:id="16">
    <w:p w14:paraId="3AA1D48B" w14:textId="58C2B294" w:rsidR="005219CA" w:rsidRPr="00980C89" w:rsidRDefault="00924F78" w:rsidP="00BA58A1">
      <w:pPr>
        <w:pStyle w:val="FootnoteText"/>
        <w:rPr>
          <w:lang w:val="pt-PT"/>
        </w:rPr>
      </w:pPr>
      <w:r w:rsidRPr="00BA58A1">
        <w:rPr>
          <w:rStyle w:val="FootnoteReference"/>
        </w:rPr>
        <w:footnoteRef/>
      </w:r>
      <w:r w:rsidRPr="00980C89">
        <w:rPr>
          <w:lang w:val="pt-PT"/>
        </w:rPr>
        <w:t xml:space="preserve"> </w:t>
      </w:r>
      <w:r w:rsidR="009E0315">
        <w:rPr>
          <w:rFonts w:cstheme="minorHAnsi"/>
          <w:lang w:val="pt-PT"/>
        </w:rPr>
        <w:t xml:space="preserve"> </w:t>
      </w:r>
      <w:r w:rsidRPr="00980C89">
        <w:rPr>
          <w:rFonts w:cstheme="minorHAnsi"/>
          <w:lang w:val="pt-PT"/>
        </w:rPr>
        <w:t>Ba</w:t>
      </w:r>
      <w:r w:rsidR="00C130E7">
        <w:rPr>
          <w:rFonts w:cstheme="minorHAnsi"/>
          <w:lang w:val="pt-PT"/>
        </w:rPr>
        <w:t>y</w:t>
      </w:r>
      <w:r w:rsidRPr="00980C89">
        <w:rPr>
          <w:rFonts w:cstheme="minorHAnsi"/>
          <w:lang w:val="pt-PT"/>
        </w:rPr>
        <w:t>nham</w:t>
      </w:r>
      <w:r w:rsidR="00C130E7">
        <w:rPr>
          <w:rFonts w:cstheme="minorHAnsi"/>
          <w:lang w:val="pt-PT"/>
        </w:rPr>
        <w:t xml:space="preserve">, </w:t>
      </w:r>
      <w:r w:rsidR="007078AA">
        <w:rPr>
          <w:rFonts w:cstheme="minorHAnsi"/>
          <w:lang w:val="pt-PT"/>
        </w:rPr>
        <w:t xml:space="preserve">1998, </w:t>
      </w:r>
      <w:r w:rsidR="00C130E7">
        <w:rPr>
          <w:rFonts w:cstheme="minorHAnsi"/>
          <w:lang w:val="pt-PT"/>
        </w:rPr>
        <w:t>p.</w:t>
      </w:r>
      <w:r w:rsidRPr="00980C89">
        <w:rPr>
          <w:rFonts w:cstheme="minorHAnsi"/>
          <w:lang w:val="pt-PT"/>
        </w:rPr>
        <w:t xml:space="preserve"> 127.  </w:t>
      </w:r>
    </w:p>
  </w:footnote>
  <w:footnote w:id="17">
    <w:p w14:paraId="5BAB1040" w14:textId="4049B966" w:rsidR="005219CA" w:rsidRPr="009E0315" w:rsidRDefault="00924F78" w:rsidP="00BA58A1">
      <w:pPr>
        <w:pStyle w:val="FootnoteText"/>
        <w:rPr>
          <w:lang w:val="pt-PT"/>
        </w:rPr>
      </w:pPr>
      <w:r w:rsidRPr="00BA58A1">
        <w:rPr>
          <w:rStyle w:val="FootnoteReference"/>
        </w:rPr>
        <w:footnoteRef/>
      </w:r>
      <w:r w:rsidRPr="009E0315">
        <w:rPr>
          <w:lang w:val="pt-PT"/>
        </w:rPr>
        <w:t xml:space="preserve">  </w:t>
      </w:r>
      <w:r w:rsidR="009E0315" w:rsidRPr="009E0315">
        <w:rPr>
          <w:rFonts w:cstheme="minorHAnsi"/>
          <w:lang w:val="pt-PT"/>
        </w:rPr>
        <w:t xml:space="preserve">Quintus Curtius </w:t>
      </w:r>
      <w:r w:rsidRPr="009E0315">
        <w:rPr>
          <w:rFonts w:cstheme="minorHAnsi"/>
          <w:lang w:val="pt-PT"/>
        </w:rPr>
        <w:t>Rufus</w:t>
      </w:r>
      <w:r w:rsidR="00847FC7">
        <w:rPr>
          <w:rFonts w:cstheme="minorHAnsi"/>
          <w:lang w:val="pt-PT"/>
        </w:rPr>
        <w:t>,</w:t>
      </w:r>
      <w:r w:rsidRPr="009E0315">
        <w:rPr>
          <w:rFonts w:cstheme="minorHAnsi"/>
          <w:lang w:val="pt-PT"/>
        </w:rPr>
        <w:t xml:space="preserve"> 10.5.33</w:t>
      </w:r>
      <w:r w:rsidR="009E0315" w:rsidRPr="009E0315">
        <w:rPr>
          <w:rFonts w:cstheme="minorHAnsi"/>
          <w:lang w:val="pt-PT"/>
        </w:rPr>
        <w:t>.</w:t>
      </w:r>
    </w:p>
  </w:footnote>
  <w:footnote w:id="18">
    <w:p w14:paraId="18EFF591" w14:textId="1D486099" w:rsidR="005219CA" w:rsidRPr="009E0315" w:rsidRDefault="00924F78" w:rsidP="00BA58A1">
      <w:pPr>
        <w:pStyle w:val="FootnoteText"/>
        <w:rPr>
          <w:lang w:val="pt-PT"/>
        </w:rPr>
      </w:pPr>
      <w:r w:rsidRPr="00BA58A1">
        <w:rPr>
          <w:rStyle w:val="FootnoteReference"/>
        </w:rPr>
        <w:footnoteRef/>
      </w:r>
      <w:r w:rsidRPr="009E0315">
        <w:rPr>
          <w:lang w:val="pt-PT"/>
        </w:rPr>
        <w:t xml:space="preserve">  </w:t>
      </w:r>
      <w:r w:rsidRPr="009E0315">
        <w:rPr>
          <w:rFonts w:cstheme="minorHAnsi"/>
          <w:lang w:val="pt-PT"/>
        </w:rPr>
        <w:t>Tarn</w:t>
      </w:r>
      <w:r w:rsidR="009E0315">
        <w:rPr>
          <w:rFonts w:cstheme="minorHAnsi"/>
          <w:lang w:val="pt-PT"/>
        </w:rPr>
        <w:t>,</w:t>
      </w:r>
      <w:r w:rsidRPr="009E0315">
        <w:rPr>
          <w:rFonts w:cstheme="minorHAnsi"/>
          <w:lang w:val="pt-PT"/>
        </w:rPr>
        <w:t xml:space="preserve"> </w:t>
      </w:r>
      <w:r w:rsidR="00847FC7">
        <w:rPr>
          <w:rFonts w:cstheme="minorHAnsi"/>
          <w:lang w:val="pt-PT"/>
        </w:rPr>
        <w:t xml:space="preserve">2002, </w:t>
      </w:r>
      <w:r w:rsidRPr="009E0315">
        <w:rPr>
          <w:rFonts w:cstheme="minorHAnsi"/>
          <w:lang w:val="pt-PT"/>
        </w:rPr>
        <w:t>p</w:t>
      </w:r>
      <w:r w:rsidR="009E0315">
        <w:rPr>
          <w:rFonts w:cstheme="minorHAnsi"/>
          <w:lang w:val="pt-PT"/>
        </w:rPr>
        <w:t xml:space="preserve">. </w:t>
      </w:r>
      <w:r w:rsidRPr="009E0315">
        <w:rPr>
          <w:rFonts w:cstheme="minorHAnsi"/>
          <w:lang w:val="pt-PT"/>
        </w:rPr>
        <w:t>98</w:t>
      </w:r>
      <w:r w:rsidR="009E0315">
        <w:rPr>
          <w:rFonts w:cstheme="minorHAnsi"/>
          <w:lang w:val="pt-PT"/>
        </w:rPr>
        <w:t>.</w:t>
      </w:r>
    </w:p>
  </w:footnote>
  <w:footnote w:id="19">
    <w:p w14:paraId="230CBCB6" w14:textId="45E042E7" w:rsidR="005219CA" w:rsidRPr="009653F5" w:rsidRDefault="00924F78" w:rsidP="00BA58A1">
      <w:pPr>
        <w:pStyle w:val="FootnoteText"/>
        <w:rPr>
          <w:lang w:val="pt-PT"/>
        </w:rPr>
      </w:pPr>
      <w:r w:rsidRPr="00BA2244">
        <w:rPr>
          <w:rStyle w:val="FootnoteReference"/>
        </w:rPr>
        <w:footnoteRef/>
      </w:r>
      <w:r w:rsidRPr="009653F5">
        <w:rPr>
          <w:lang w:val="pt-PT"/>
        </w:rPr>
        <w:t xml:space="preserve">  </w:t>
      </w:r>
      <w:r w:rsidR="009653F5" w:rsidRPr="009653F5">
        <w:rPr>
          <w:lang w:val="pt-PT"/>
        </w:rPr>
        <w:t xml:space="preserve">Quintus Curtius </w:t>
      </w:r>
      <w:r w:rsidRPr="009653F5">
        <w:rPr>
          <w:rFonts w:cstheme="minorHAnsi"/>
          <w:lang w:val="pt-PT"/>
        </w:rPr>
        <w:t>Rufus</w:t>
      </w:r>
      <w:r w:rsidR="009653F5" w:rsidRPr="009653F5">
        <w:rPr>
          <w:rFonts w:cstheme="minorHAnsi"/>
          <w:lang w:val="pt-PT"/>
        </w:rPr>
        <w:t>,</w:t>
      </w:r>
      <w:r w:rsidRPr="009653F5">
        <w:rPr>
          <w:rFonts w:cstheme="minorHAnsi"/>
          <w:lang w:val="pt-PT"/>
        </w:rPr>
        <w:t xml:space="preserve"> 6.2.1</w:t>
      </w:r>
      <w:r w:rsidR="00086492" w:rsidRPr="009653F5">
        <w:rPr>
          <w:rFonts w:cstheme="minorHAnsi"/>
          <w:lang w:val="pt-PT"/>
        </w:rPr>
        <w:t>.</w:t>
      </w:r>
    </w:p>
  </w:footnote>
  <w:footnote w:id="20">
    <w:p w14:paraId="2181C0FB" w14:textId="6F18BA43" w:rsidR="005219CA" w:rsidRPr="00BA2244" w:rsidRDefault="00924F78" w:rsidP="00BA58A1">
      <w:pPr>
        <w:pStyle w:val="FootnoteText"/>
      </w:pPr>
      <w:r w:rsidRPr="00BA2244">
        <w:rPr>
          <w:rStyle w:val="FootnoteReference"/>
        </w:rPr>
        <w:footnoteRef/>
      </w:r>
      <w:r w:rsidRPr="00BA2244">
        <w:t xml:space="preserve">  </w:t>
      </w:r>
      <w:r w:rsidR="009653F5">
        <w:rPr>
          <w:rFonts w:cstheme="minorHAnsi"/>
        </w:rPr>
        <w:t>Ibid</w:t>
      </w:r>
      <w:r w:rsidR="007078AA">
        <w:rPr>
          <w:rFonts w:cstheme="minorHAnsi"/>
        </w:rPr>
        <w:t>,</w:t>
      </w:r>
      <w:r w:rsidRPr="00BA2244">
        <w:rPr>
          <w:rFonts w:cstheme="minorHAnsi"/>
        </w:rPr>
        <w:t xml:space="preserve"> 3.6.17</w:t>
      </w:r>
      <w:r w:rsidR="00086492">
        <w:rPr>
          <w:rFonts w:cstheme="minorHAnsi"/>
        </w:rPr>
        <w:t>.</w:t>
      </w:r>
    </w:p>
  </w:footnote>
  <w:footnote w:id="21">
    <w:p w14:paraId="12317C9F" w14:textId="22AE91FB" w:rsidR="00BA58A1" w:rsidRPr="00BA2244" w:rsidRDefault="00924F78" w:rsidP="00BA58A1">
      <w:pPr>
        <w:pStyle w:val="FootnoteText"/>
      </w:pPr>
      <w:r w:rsidRPr="00BA2244">
        <w:rPr>
          <w:rStyle w:val="FootnoteReference"/>
        </w:rPr>
        <w:footnoteRef/>
      </w:r>
      <w:r w:rsidRPr="00BA2244">
        <w:t xml:space="preserve">  </w:t>
      </w:r>
      <w:r w:rsidR="009653F5">
        <w:rPr>
          <w:rFonts w:cstheme="minorHAnsi"/>
        </w:rPr>
        <w:t>Ibid</w:t>
      </w:r>
      <w:r w:rsidR="007078AA">
        <w:rPr>
          <w:rFonts w:cstheme="minorHAnsi"/>
        </w:rPr>
        <w:t>,</w:t>
      </w:r>
      <w:r w:rsidRPr="00BA2244">
        <w:rPr>
          <w:rFonts w:cstheme="minorHAnsi"/>
        </w:rPr>
        <w:t xml:space="preserve"> 3.6.19</w:t>
      </w:r>
      <w:r w:rsidR="009653F5">
        <w:rPr>
          <w:rFonts w:cstheme="minorHAnsi"/>
        </w:rPr>
        <w:t>.</w:t>
      </w:r>
    </w:p>
  </w:footnote>
  <w:footnote w:id="22">
    <w:p w14:paraId="2D4E6B9B" w14:textId="1E23048E" w:rsidR="00BA58A1" w:rsidRPr="00BA2244" w:rsidRDefault="00924F78">
      <w:pPr>
        <w:pStyle w:val="FootnoteText"/>
      </w:pPr>
      <w:r w:rsidRPr="00BA2244">
        <w:rPr>
          <w:rStyle w:val="FootnoteReference"/>
        </w:rPr>
        <w:footnoteRef/>
      </w:r>
      <w:r w:rsidRPr="00BA2244">
        <w:t xml:space="preserve">  </w:t>
      </w:r>
      <w:r w:rsidR="009653F5">
        <w:rPr>
          <w:rFonts w:cstheme="minorHAnsi"/>
        </w:rPr>
        <w:t>Ibid</w:t>
      </w:r>
      <w:r w:rsidR="007078AA">
        <w:rPr>
          <w:rFonts w:cstheme="minorHAnsi"/>
        </w:rPr>
        <w:t>,</w:t>
      </w:r>
      <w:r w:rsidRPr="00BA2244">
        <w:rPr>
          <w:rFonts w:cstheme="minorHAnsi"/>
        </w:rPr>
        <w:t xml:space="preserve"> 3.7.11-15.</w:t>
      </w:r>
    </w:p>
  </w:footnote>
  <w:footnote w:id="23">
    <w:p w14:paraId="0468099B" w14:textId="4072822B" w:rsidR="00BA2244" w:rsidRPr="00BA2244" w:rsidRDefault="00924F78">
      <w:pPr>
        <w:pStyle w:val="FootnoteText"/>
      </w:pPr>
      <w:r w:rsidRPr="00BA2244">
        <w:rPr>
          <w:rStyle w:val="FootnoteReference"/>
        </w:rPr>
        <w:footnoteRef/>
      </w:r>
      <w:r w:rsidRPr="00BA2244">
        <w:t xml:space="preserve">  </w:t>
      </w:r>
      <w:r w:rsidR="009653F5">
        <w:rPr>
          <w:rFonts w:cstheme="minorHAnsi"/>
        </w:rPr>
        <w:t>Ibid</w:t>
      </w:r>
      <w:r w:rsidR="007078AA">
        <w:rPr>
          <w:rFonts w:cstheme="minorHAnsi"/>
        </w:rPr>
        <w:t>,</w:t>
      </w:r>
      <w:r w:rsidRPr="00BA2244">
        <w:rPr>
          <w:rFonts w:cstheme="minorHAnsi"/>
        </w:rPr>
        <w:t xml:space="preserve"> 3.10.5</w:t>
      </w:r>
    </w:p>
  </w:footnote>
  <w:footnote w:id="24">
    <w:p w14:paraId="2A478E89" w14:textId="03F88983" w:rsidR="00BA2244" w:rsidRPr="00BA2244" w:rsidRDefault="00924F78">
      <w:pPr>
        <w:pStyle w:val="FootnoteText"/>
      </w:pPr>
      <w:r w:rsidRPr="00BA2244">
        <w:rPr>
          <w:rStyle w:val="FootnoteReference"/>
        </w:rPr>
        <w:footnoteRef/>
      </w:r>
      <w:r w:rsidRPr="00BA2244">
        <w:t xml:space="preserve">  </w:t>
      </w:r>
      <w:r w:rsidR="009653F5">
        <w:rPr>
          <w:rFonts w:cstheme="minorHAnsi"/>
        </w:rPr>
        <w:t>Ibid</w:t>
      </w:r>
      <w:r w:rsidR="007078AA">
        <w:rPr>
          <w:rFonts w:cstheme="minorHAnsi"/>
        </w:rPr>
        <w:t>,</w:t>
      </w:r>
      <w:r w:rsidRPr="00BA2244">
        <w:rPr>
          <w:rFonts w:cstheme="minorHAnsi"/>
        </w:rPr>
        <w:t xml:space="preserve"> 3.10.6</w:t>
      </w:r>
      <w:r w:rsidR="00086492">
        <w:rPr>
          <w:rFonts w:cstheme="minorHAnsi"/>
        </w:rPr>
        <w:t>.</w:t>
      </w:r>
    </w:p>
  </w:footnote>
  <w:footnote w:id="25">
    <w:p w14:paraId="11C720A2" w14:textId="0CB877B8" w:rsidR="00BA2244" w:rsidRPr="009653F5" w:rsidRDefault="00924F78">
      <w:pPr>
        <w:pStyle w:val="FootnoteText"/>
        <w:rPr>
          <w:lang w:val="pt-PT"/>
        </w:rPr>
      </w:pPr>
      <w:r w:rsidRPr="00086492">
        <w:rPr>
          <w:rStyle w:val="FootnoteReference"/>
        </w:rPr>
        <w:footnoteRef/>
      </w:r>
      <w:r w:rsidRPr="009653F5">
        <w:rPr>
          <w:lang w:val="pt-PT"/>
        </w:rPr>
        <w:t xml:space="preserve">  </w:t>
      </w:r>
      <w:r w:rsidRPr="009653F5">
        <w:rPr>
          <w:rFonts w:cstheme="minorHAnsi"/>
          <w:lang w:val="pt-PT"/>
        </w:rPr>
        <w:t>Atkinson,</w:t>
      </w:r>
      <w:r w:rsidR="009653F5" w:rsidRPr="009653F5">
        <w:rPr>
          <w:rFonts w:cstheme="minorHAnsi"/>
          <w:lang w:val="pt-PT"/>
        </w:rPr>
        <w:t xml:space="preserve"> 2000,</w:t>
      </w:r>
      <w:r w:rsidRPr="009653F5">
        <w:rPr>
          <w:rFonts w:cstheme="minorHAnsi"/>
          <w:lang w:val="pt-PT"/>
        </w:rPr>
        <w:t xml:space="preserve">  p</w:t>
      </w:r>
      <w:r w:rsidR="009653F5" w:rsidRPr="009653F5">
        <w:rPr>
          <w:rFonts w:cstheme="minorHAnsi"/>
          <w:lang w:val="pt-PT"/>
        </w:rPr>
        <w:t xml:space="preserve">. </w:t>
      </w:r>
      <w:r w:rsidRPr="009653F5">
        <w:rPr>
          <w:rFonts w:cstheme="minorHAnsi"/>
          <w:lang w:val="pt-PT"/>
        </w:rPr>
        <w:t>228-9</w:t>
      </w:r>
      <w:r w:rsidR="00086492" w:rsidRPr="009653F5">
        <w:rPr>
          <w:rFonts w:cstheme="minorHAnsi"/>
          <w:lang w:val="pt-PT"/>
        </w:rPr>
        <w:t>.</w:t>
      </w:r>
    </w:p>
  </w:footnote>
  <w:footnote w:id="26">
    <w:p w14:paraId="28D8C3E5" w14:textId="61AAC371" w:rsidR="00086492" w:rsidRPr="009653F5" w:rsidRDefault="00924F78">
      <w:pPr>
        <w:pStyle w:val="FootnoteText"/>
        <w:rPr>
          <w:lang w:val="pt-PT"/>
        </w:rPr>
      </w:pPr>
      <w:r w:rsidRPr="00086492">
        <w:rPr>
          <w:rStyle w:val="FootnoteReference"/>
        </w:rPr>
        <w:footnoteRef/>
      </w:r>
      <w:r w:rsidRPr="009653F5">
        <w:rPr>
          <w:lang w:val="pt-PT"/>
        </w:rPr>
        <w:t xml:space="preserve">  </w:t>
      </w:r>
      <w:r w:rsidR="009653F5" w:rsidRPr="009653F5">
        <w:rPr>
          <w:lang w:val="pt-PT"/>
        </w:rPr>
        <w:t xml:space="preserve">Quintus Curtius </w:t>
      </w:r>
      <w:r w:rsidRPr="009653F5">
        <w:rPr>
          <w:rFonts w:cstheme="minorHAnsi"/>
          <w:lang w:val="pt-PT"/>
        </w:rPr>
        <w:t>Rufus</w:t>
      </w:r>
      <w:r w:rsidR="007078AA">
        <w:rPr>
          <w:rFonts w:cstheme="minorHAnsi"/>
          <w:lang w:val="pt-PT"/>
        </w:rPr>
        <w:t>,</w:t>
      </w:r>
      <w:r w:rsidRPr="009653F5">
        <w:rPr>
          <w:rFonts w:cstheme="minorHAnsi"/>
          <w:lang w:val="pt-PT"/>
        </w:rPr>
        <w:t xml:space="preserve"> 4.1.14</w:t>
      </w:r>
      <w:r w:rsidR="009653F5" w:rsidRPr="009653F5">
        <w:rPr>
          <w:rFonts w:cstheme="minorHAnsi"/>
          <w:lang w:val="pt-PT"/>
        </w:rPr>
        <w:t>.</w:t>
      </w:r>
    </w:p>
  </w:footnote>
  <w:footnote w:id="27">
    <w:p w14:paraId="3FFCC1CD" w14:textId="6865A3AC" w:rsidR="00086492" w:rsidRPr="00BC7B59" w:rsidRDefault="00924F78">
      <w:pPr>
        <w:pStyle w:val="FootnoteText"/>
        <w:rPr>
          <w:lang w:val="pt-PT"/>
        </w:rPr>
      </w:pPr>
      <w:r w:rsidRPr="00086492">
        <w:rPr>
          <w:rStyle w:val="FootnoteReference"/>
        </w:rPr>
        <w:footnoteRef/>
      </w:r>
      <w:r w:rsidRPr="00BC7B59">
        <w:rPr>
          <w:lang w:val="pt-PT"/>
        </w:rPr>
        <w:t xml:space="preserve">  </w:t>
      </w:r>
      <w:proofErr w:type="spellStart"/>
      <w:r w:rsidR="00854C64">
        <w:rPr>
          <w:rFonts w:cstheme="minorHAnsi"/>
          <w:lang w:val="pt-PT"/>
        </w:rPr>
        <w:t>Ibid</w:t>
      </w:r>
      <w:proofErr w:type="spellEnd"/>
      <w:r w:rsidR="009653F5" w:rsidRPr="00BC7B59">
        <w:rPr>
          <w:rFonts w:cstheme="minorHAnsi"/>
          <w:lang w:val="pt-PT"/>
        </w:rPr>
        <w:t>,</w:t>
      </w:r>
      <w:r w:rsidRPr="00BC7B59">
        <w:rPr>
          <w:rFonts w:cstheme="minorHAnsi"/>
          <w:lang w:val="pt-PT"/>
        </w:rPr>
        <w:t xml:space="preserve"> 4.1.14</w:t>
      </w:r>
      <w:r w:rsidR="009653F5" w:rsidRPr="00BC7B59">
        <w:rPr>
          <w:rFonts w:cstheme="minorHAnsi"/>
          <w:lang w:val="pt-PT"/>
        </w:rPr>
        <w:t>.</w:t>
      </w:r>
    </w:p>
  </w:footnote>
  <w:footnote w:id="28">
    <w:p w14:paraId="3A962B28" w14:textId="355637CC" w:rsidR="00086492" w:rsidRPr="00D456CF" w:rsidRDefault="00924F78">
      <w:pPr>
        <w:pStyle w:val="FootnoteText"/>
      </w:pPr>
      <w:r w:rsidRPr="00086492">
        <w:rPr>
          <w:rStyle w:val="FootnoteReference"/>
        </w:rPr>
        <w:footnoteRef/>
      </w:r>
      <w:r w:rsidRPr="00D456CF">
        <w:t xml:space="preserve">  </w:t>
      </w:r>
      <w:r w:rsidR="009653F5" w:rsidRPr="00D456CF">
        <w:rPr>
          <w:rFonts w:cstheme="minorHAnsi"/>
        </w:rPr>
        <w:t>Ibid,</w:t>
      </w:r>
      <w:r w:rsidRPr="00D456CF">
        <w:rPr>
          <w:rFonts w:cstheme="minorHAnsi"/>
        </w:rPr>
        <w:t xml:space="preserve"> 4.6.29.</w:t>
      </w:r>
    </w:p>
  </w:footnote>
  <w:footnote w:id="29">
    <w:p w14:paraId="6C0B8C28" w14:textId="254AA411" w:rsidR="00086492" w:rsidRPr="00D456CF" w:rsidRDefault="00924F78">
      <w:pPr>
        <w:pStyle w:val="FootnoteText"/>
      </w:pPr>
      <w:r w:rsidRPr="00086492">
        <w:rPr>
          <w:rStyle w:val="FootnoteReference"/>
        </w:rPr>
        <w:footnoteRef/>
      </w:r>
      <w:r w:rsidRPr="00D456CF">
        <w:t xml:space="preserve">  </w:t>
      </w:r>
      <w:r w:rsidR="009653F5" w:rsidRPr="00D456CF">
        <w:rPr>
          <w:rFonts w:cstheme="minorHAnsi"/>
        </w:rPr>
        <w:t>Ibid,</w:t>
      </w:r>
      <w:r w:rsidRPr="00D456CF">
        <w:rPr>
          <w:rFonts w:cstheme="minorHAnsi"/>
        </w:rPr>
        <w:t xml:space="preserve"> 4.7.5-25.</w:t>
      </w:r>
    </w:p>
  </w:footnote>
  <w:footnote w:id="30">
    <w:p w14:paraId="7486665E" w14:textId="335C276C" w:rsidR="00086492" w:rsidRPr="00D456CF" w:rsidRDefault="00924F78">
      <w:pPr>
        <w:pStyle w:val="FootnoteText"/>
      </w:pPr>
      <w:r w:rsidRPr="00086492">
        <w:rPr>
          <w:rStyle w:val="FootnoteReference"/>
        </w:rPr>
        <w:footnoteRef/>
      </w:r>
      <w:r w:rsidRPr="00D456CF">
        <w:t xml:space="preserve">  </w:t>
      </w:r>
      <w:r w:rsidR="009653F5" w:rsidRPr="00D456CF">
        <w:rPr>
          <w:rFonts w:cstheme="minorHAnsi"/>
        </w:rPr>
        <w:t>Ibid,</w:t>
      </w:r>
      <w:r w:rsidRPr="00D456CF">
        <w:rPr>
          <w:rFonts w:cstheme="minorHAnsi"/>
        </w:rPr>
        <w:t xml:space="preserve"> 4.7.30. </w:t>
      </w:r>
    </w:p>
  </w:footnote>
  <w:footnote w:id="31">
    <w:p w14:paraId="5C0E9CFC" w14:textId="2D0F4450" w:rsidR="00D31413" w:rsidRPr="00D456CF" w:rsidRDefault="00924F78">
      <w:pPr>
        <w:pStyle w:val="FootnoteText"/>
      </w:pPr>
      <w:r w:rsidRPr="003349FC">
        <w:rPr>
          <w:rStyle w:val="FootnoteReference"/>
        </w:rPr>
        <w:footnoteRef/>
      </w:r>
      <w:r w:rsidRPr="00D456CF">
        <w:t xml:space="preserve">  </w:t>
      </w:r>
      <w:r w:rsidR="00854C64" w:rsidRPr="00D456CF">
        <w:t>Ibid</w:t>
      </w:r>
      <w:r w:rsidR="001538CD" w:rsidRPr="00D456CF">
        <w:rPr>
          <w:rFonts w:cstheme="minorHAnsi"/>
        </w:rPr>
        <w:t>,</w:t>
      </w:r>
      <w:r w:rsidRPr="00D456CF">
        <w:rPr>
          <w:rFonts w:cstheme="minorHAnsi"/>
        </w:rPr>
        <w:t xml:space="preserve"> 4.7.31.</w:t>
      </w:r>
    </w:p>
  </w:footnote>
  <w:footnote w:id="32">
    <w:p w14:paraId="44EAE20C" w14:textId="4E3F9C0E" w:rsidR="00D31413" w:rsidRPr="00D456CF" w:rsidRDefault="00924F78">
      <w:pPr>
        <w:pStyle w:val="FootnoteText"/>
      </w:pPr>
      <w:r w:rsidRPr="003349FC">
        <w:rPr>
          <w:rStyle w:val="FootnoteReference"/>
        </w:rPr>
        <w:footnoteRef/>
      </w:r>
      <w:r w:rsidRPr="00D456CF">
        <w:t xml:space="preserve">  </w:t>
      </w:r>
      <w:r w:rsidRPr="00D456CF">
        <w:rPr>
          <w:rFonts w:cstheme="minorHAnsi"/>
        </w:rPr>
        <w:t>Baynham</w:t>
      </w:r>
      <w:r w:rsidR="001538CD" w:rsidRPr="00D456CF">
        <w:rPr>
          <w:rFonts w:cstheme="minorHAnsi"/>
        </w:rPr>
        <w:t>, 1998,</w:t>
      </w:r>
      <w:r w:rsidRPr="00D456CF">
        <w:rPr>
          <w:rFonts w:cstheme="minorHAnsi"/>
        </w:rPr>
        <w:t xml:space="preserve"> p. 164.</w:t>
      </w:r>
    </w:p>
  </w:footnote>
  <w:footnote w:id="33">
    <w:p w14:paraId="5EE6F668" w14:textId="31341BDA" w:rsidR="00FC26E1" w:rsidRPr="001538CD" w:rsidRDefault="00924F78">
      <w:pPr>
        <w:pStyle w:val="FootnoteText"/>
        <w:rPr>
          <w:lang w:val="pt-PT"/>
        </w:rPr>
      </w:pPr>
      <w:r w:rsidRPr="003349FC">
        <w:rPr>
          <w:rStyle w:val="FootnoteReference"/>
        </w:rPr>
        <w:footnoteRef/>
      </w:r>
      <w:r w:rsidRPr="001538CD">
        <w:rPr>
          <w:lang w:val="pt-PT"/>
        </w:rPr>
        <w:t xml:space="preserve">  </w:t>
      </w:r>
      <w:r w:rsidR="001538CD" w:rsidRPr="001538CD">
        <w:rPr>
          <w:lang w:val="pt-PT"/>
        </w:rPr>
        <w:t xml:space="preserve">Quintus Curtius </w:t>
      </w:r>
      <w:r w:rsidRPr="001538CD">
        <w:rPr>
          <w:rFonts w:cstheme="minorHAnsi"/>
          <w:lang w:val="pt-PT"/>
        </w:rPr>
        <w:t>Rufus</w:t>
      </w:r>
      <w:r w:rsidR="001538CD" w:rsidRPr="001538CD">
        <w:rPr>
          <w:rFonts w:cstheme="minorHAnsi"/>
          <w:lang w:val="pt-PT"/>
        </w:rPr>
        <w:t>,</w:t>
      </w:r>
      <w:r w:rsidRPr="001538CD">
        <w:rPr>
          <w:rFonts w:cstheme="minorHAnsi"/>
          <w:lang w:val="pt-PT"/>
        </w:rPr>
        <w:t xml:space="preserve"> 6.6.2</w:t>
      </w:r>
      <w:r w:rsidR="008F4A96" w:rsidRPr="001538CD">
        <w:rPr>
          <w:rFonts w:cstheme="minorHAnsi"/>
          <w:lang w:val="pt-PT"/>
        </w:rPr>
        <w:t>.</w:t>
      </w:r>
    </w:p>
  </w:footnote>
  <w:footnote w:id="34">
    <w:p w14:paraId="015CCEAB" w14:textId="07E62C55" w:rsidR="00FC26E1" w:rsidRPr="001538CD" w:rsidRDefault="00924F78">
      <w:pPr>
        <w:pStyle w:val="FootnoteText"/>
        <w:rPr>
          <w:lang w:val="pt-PT"/>
        </w:rPr>
      </w:pPr>
      <w:r w:rsidRPr="003349FC">
        <w:rPr>
          <w:rStyle w:val="FootnoteReference"/>
        </w:rPr>
        <w:footnoteRef/>
      </w:r>
      <w:r w:rsidRPr="001538CD">
        <w:rPr>
          <w:lang w:val="pt-PT"/>
        </w:rPr>
        <w:t xml:space="preserve">  </w:t>
      </w:r>
      <w:r w:rsidRPr="001538CD">
        <w:rPr>
          <w:rFonts w:cstheme="minorHAnsi"/>
          <w:lang w:val="pt-PT"/>
        </w:rPr>
        <w:t>Baynham</w:t>
      </w:r>
      <w:r w:rsidR="001538CD">
        <w:rPr>
          <w:rFonts w:cstheme="minorHAnsi"/>
          <w:lang w:val="pt-PT"/>
        </w:rPr>
        <w:t>, 1998,</w:t>
      </w:r>
      <w:r w:rsidRPr="001538CD">
        <w:rPr>
          <w:rFonts w:cstheme="minorHAnsi"/>
          <w:lang w:val="pt-PT"/>
        </w:rPr>
        <w:t xml:space="preserve">  </w:t>
      </w:r>
      <w:r w:rsidR="008F4A96" w:rsidRPr="001538CD">
        <w:rPr>
          <w:rFonts w:cstheme="minorHAnsi"/>
          <w:lang w:val="pt-PT"/>
        </w:rPr>
        <w:t xml:space="preserve">p. </w:t>
      </w:r>
      <w:r w:rsidRPr="001538CD">
        <w:rPr>
          <w:rFonts w:cstheme="minorHAnsi"/>
          <w:lang w:val="pt-PT"/>
        </w:rPr>
        <w:t>172</w:t>
      </w:r>
      <w:r w:rsidR="008F4A96" w:rsidRPr="001538CD">
        <w:rPr>
          <w:rFonts w:cstheme="minorHAnsi"/>
          <w:lang w:val="pt-PT"/>
        </w:rPr>
        <w:t>.</w:t>
      </w:r>
    </w:p>
  </w:footnote>
  <w:footnote w:id="35">
    <w:p w14:paraId="0DE12FB2" w14:textId="08866511" w:rsidR="00FC26E1" w:rsidRPr="001538CD" w:rsidRDefault="00924F78">
      <w:pPr>
        <w:pStyle w:val="FootnoteText"/>
        <w:rPr>
          <w:lang w:val="pt-PT"/>
        </w:rPr>
      </w:pPr>
      <w:r w:rsidRPr="003349FC">
        <w:rPr>
          <w:rStyle w:val="FootnoteReference"/>
        </w:rPr>
        <w:footnoteRef/>
      </w:r>
      <w:r w:rsidRPr="001538CD">
        <w:rPr>
          <w:lang w:val="pt-PT"/>
        </w:rPr>
        <w:t xml:space="preserve">  </w:t>
      </w:r>
      <w:r w:rsidR="001538CD">
        <w:rPr>
          <w:lang w:val="pt-PT"/>
        </w:rPr>
        <w:t xml:space="preserve">Quintus Curtius </w:t>
      </w:r>
      <w:r w:rsidRPr="001538CD">
        <w:rPr>
          <w:rFonts w:cstheme="minorHAnsi"/>
          <w:lang w:val="pt-PT"/>
        </w:rPr>
        <w:t>Rufus, 6.9.13.</w:t>
      </w:r>
    </w:p>
  </w:footnote>
  <w:footnote w:id="36">
    <w:p w14:paraId="2C1B8E9B" w14:textId="3B07AF1C" w:rsidR="008F4A96" w:rsidRPr="00D456CF" w:rsidRDefault="00924F78">
      <w:pPr>
        <w:pStyle w:val="FootnoteText"/>
        <w:rPr>
          <w:lang w:val="pt-PT"/>
        </w:rPr>
      </w:pPr>
      <w:r w:rsidRPr="003349FC">
        <w:rPr>
          <w:rStyle w:val="FootnoteReference"/>
        </w:rPr>
        <w:footnoteRef/>
      </w:r>
      <w:r w:rsidRPr="00D456CF">
        <w:rPr>
          <w:lang w:val="pt-PT"/>
        </w:rPr>
        <w:t xml:space="preserve">  </w:t>
      </w:r>
      <w:r w:rsidR="001538CD" w:rsidRPr="00D456CF">
        <w:rPr>
          <w:rFonts w:cstheme="minorHAnsi"/>
          <w:lang w:val="pt-PT"/>
        </w:rPr>
        <w:t>Ibid</w:t>
      </w:r>
      <w:r w:rsidRPr="00D456CF">
        <w:rPr>
          <w:rFonts w:cstheme="minorHAnsi"/>
          <w:lang w:val="pt-PT"/>
        </w:rPr>
        <w:t>, 6.9.13.</w:t>
      </w:r>
    </w:p>
  </w:footnote>
  <w:footnote w:id="37">
    <w:p w14:paraId="10FD378C" w14:textId="75F30FEC" w:rsidR="008F4A96" w:rsidRPr="00D456CF" w:rsidRDefault="00924F78">
      <w:pPr>
        <w:pStyle w:val="FootnoteText"/>
        <w:rPr>
          <w:lang w:val="pt-PT"/>
        </w:rPr>
      </w:pPr>
      <w:r w:rsidRPr="003349FC">
        <w:rPr>
          <w:rStyle w:val="FootnoteReference"/>
        </w:rPr>
        <w:footnoteRef/>
      </w:r>
      <w:r w:rsidRPr="00D456CF">
        <w:rPr>
          <w:lang w:val="pt-PT"/>
        </w:rPr>
        <w:t xml:space="preserve">  </w:t>
      </w:r>
      <w:r w:rsidR="001538CD" w:rsidRPr="00D456CF">
        <w:rPr>
          <w:rFonts w:cstheme="minorHAnsi"/>
          <w:lang w:val="pt-PT"/>
        </w:rPr>
        <w:t>Ibid</w:t>
      </w:r>
      <w:r w:rsidRPr="00D456CF">
        <w:rPr>
          <w:rFonts w:cstheme="minorHAnsi"/>
          <w:lang w:val="pt-PT"/>
        </w:rPr>
        <w:t>, 6.8.14.</w:t>
      </w:r>
    </w:p>
  </w:footnote>
  <w:footnote w:id="38">
    <w:p w14:paraId="34BB185A" w14:textId="532A8CEC" w:rsidR="008F4A96" w:rsidRPr="00D456CF" w:rsidRDefault="00924F78">
      <w:pPr>
        <w:pStyle w:val="FootnoteText"/>
        <w:rPr>
          <w:lang w:val="pt-PT"/>
        </w:rPr>
      </w:pPr>
      <w:r w:rsidRPr="003349FC">
        <w:rPr>
          <w:rStyle w:val="FootnoteReference"/>
        </w:rPr>
        <w:footnoteRef/>
      </w:r>
      <w:r w:rsidRPr="00D456CF">
        <w:rPr>
          <w:lang w:val="pt-PT"/>
        </w:rPr>
        <w:t xml:space="preserve">  </w:t>
      </w:r>
      <w:r w:rsidR="00854C64" w:rsidRPr="00D456CF">
        <w:rPr>
          <w:rFonts w:cstheme="minorHAnsi"/>
          <w:lang w:val="pt-PT"/>
        </w:rPr>
        <w:t>Quintus Curtius Rufus</w:t>
      </w:r>
      <w:r w:rsidRPr="00D456CF">
        <w:rPr>
          <w:rFonts w:cstheme="minorHAnsi"/>
          <w:lang w:val="pt-PT"/>
        </w:rPr>
        <w:t>, 6.11.39.</w:t>
      </w:r>
    </w:p>
  </w:footnote>
  <w:footnote w:id="39">
    <w:p w14:paraId="5A8E8EFC" w14:textId="34256B08" w:rsidR="008F4A96" w:rsidRPr="00D456CF" w:rsidRDefault="00924F78">
      <w:pPr>
        <w:pStyle w:val="FootnoteText"/>
        <w:rPr>
          <w:lang w:val="pt-PT"/>
        </w:rPr>
      </w:pPr>
      <w:r w:rsidRPr="003349FC">
        <w:rPr>
          <w:rStyle w:val="FootnoteReference"/>
        </w:rPr>
        <w:footnoteRef/>
      </w:r>
      <w:r w:rsidRPr="00D456CF">
        <w:rPr>
          <w:lang w:val="pt-PT"/>
        </w:rPr>
        <w:t xml:space="preserve">  </w:t>
      </w:r>
      <w:r w:rsidR="00854C64" w:rsidRPr="00D456CF">
        <w:rPr>
          <w:rFonts w:cstheme="minorHAnsi"/>
          <w:lang w:val="pt-PT"/>
        </w:rPr>
        <w:t>Ibid</w:t>
      </w:r>
      <w:r w:rsidRPr="00D456CF">
        <w:rPr>
          <w:rFonts w:cstheme="minorHAnsi"/>
          <w:lang w:val="pt-PT"/>
        </w:rPr>
        <w:t>, 6.8.7.</w:t>
      </w:r>
    </w:p>
  </w:footnote>
  <w:footnote w:id="40">
    <w:p w14:paraId="769097A8" w14:textId="65EA97B2" w:rsidR="008F4A96" w:rsidRPr="00D456CF" w:rsidRDefault="00924F78">
      <w:pPr>
        <w:pStyle w:val="FootnoteText"/>
        <w:rPr>
          <w:lang w:val="pt-PT"/>
        </w:rPr>
      </w:pPr>
      <w:r w:rsidRPr="003349FC">
        <w:rPr>
          <w:rStyle w:val="FootnoteReference"/>
        </w:rPr>
        <w:footnoteRef/>
      </w:r>
      <w:r w:rsidRPr="00D456CF">
        <w:rPr>
          <w:lang w:val="pt-PT"/>
        </w:rPr>
        <w:t xml:space="preserve">  </w:t>
      </w:r>
      <w:r w:rsidR="001538CD" w:rsidRPr="00D456CF">
        <w:rPr>
          <w:rFonts w:cstheme="minorHAnsi"/>
          <w:lang w:val="pt-PT"/>
        </w:rPr>
        <w:t>Ibid</w:t>
      </w:r>
      <w:r w:rsidRPr="00D456CF">
        <w:rPr>
          <w:rFonts w:cstheme="minorHAnsi"/>
          <w:lang w:val="pt-PT"/>
        </w:rPr>
        <w:t>, 7.2.14.</w:t>
      </w:r>
    </w:p>
  </w:footnote>
  <w:footnote w:id="41">
    <w:p w14:paraId="2A708A8F" w14:textId="10A8A8E4" w:rsidR="008F4A96" w:rsidRPr="00D456CF" w:rsidRDefault="00924F78">
      <w:pPr>
        <w:pStyle w:val="FootnoteText"/>
      </w:pPr>
      <w:r w:rsidRPr="003349FC">
        <w:rPr>
          <w:rStyle w:val="FootnoteReference"/>
        </w:rPr>
        <w:footnoteRef/>
      </w:r>
      <w:r w:rsidRPr="00D456CF">
        <w:t xml:space="preserve">  </w:t>
      </w:r>
      <w:r w:rsidR="001538CD" w:rsidRPr="00D456CF">
        <w:rPr>
          <w:rFonts w:cstheme="minorHAnsi"/>
        </w:rPr>
        <w:t>Ibid</w:t>
      </w:r>
      <w:r w:rsidRPr="00D456CF">
        <w:rPr>
          <w:rFonts w:cstheme="minorHAnsi"/>
        </w:rPr>
        <w:t>, 7.2.34.</w:t>
      </w:r>
    </w:p>
  </w:footnote>
  <w:footnote w:id="42">
    <w:p w14:paraId="306EACE2" w14:textId="0A8F6846" w:rsidR="003349FC" w:rsidRPr="00D456CF" w:rsidRDefault="00924F78">
      <w:pPr>
        <w:pStyle w:val="FootnoteText"/>
      </w:pPr>
      <w:r w:rsidRPr="003349FC">
        <w:rPr>
          <w:rStyle w:val="FootnoteReference"/>
        </w:rPr>
        <w:footnoteRef/>
      </w:r>
      <w:r w:rsidRPr="00D456CF">
        <w:t xml:space="preserve">  </w:t>
      </w:r>
      <w:r w:rsidR="001538CD" w:rsidRPr="00D456CF">
        <w:rPr>
          <w:rFonts w:cstheme="minorHAnsi"/>
        </w:rPr>
        <w:t>Ibid</w:t>
      </w:r>
      <w:r w:rsidRPr="00D456CF">
        <w:rPr>
          <w:rFonts w:cstheme="minorHAnsi"/>
        </w:rPr>
        <w:t>, 8.1.22.</w:t>
      </w:r>
    </w:p>
  </w:footnote>
  <w:footnote w:id="43">
    <w:p w14:paraId="29473D63" w14:textId="66F0E815" w:rsidR="003349FC" w:rsidRPr="00D456CF" w:rsidRDefault="00924F78">
      <w:pPr>
        <w:pStyle w:val="FootnoteText"/>
      </w:pPr>
      <w:r w:rsidRPr="003349FC">
        <w:rPr>
          <w:rStyle w:val="FootnoteReference"/>
        </w:rPr>
        <w:footnoteRef/>
      </w:r>
      <w:r w:rsidRPr="00D456CF">
        <w:t xml:space="preserve">  </w:t>
      </w:r>
      <w:r w:rsidR="001538CD" w:rsidRPr="00D456CF">
        <w:rPr>
          <w:rFonts w:cstheme="minorHAnsi"/>
        </w:rPr>
        <w:t>Ibid</w:t>
      </w:r>
      <w:r w:rsidRPr="00D456CF">
        <w:rPr>
          <w:rFonts w:cstheme="minorHAnsi"/>
        </w:rPr>
        <w:t>, 8.1.33.</w:t>
      </w:r>
    </w:p>
  </w:footnote>
  <w:footnote w:id="44">
    <w:p w14:paraId="6A6B24CE" w14:textId="07CCEBE0" w:rsidR="003349FC" w:rsidRPr="00D456CF" w:rsidRDefault="00924F78">
      <w:pPr>
        <w:pStyle w:val="FootnoteText"/>
      </w:pPr>
      <w:r w:rsidRPr="00542EE2">
        <w:rPr>
          <w:rStyle w:val="FootnoteReference"/>
        </w:rPr>
        <w:footnoteRef/>
      </w:r>
      <w:r w:rsidRPr="00D456CF">
        <w:t xml:space="preserve">  </w:t>
      </w:r>
      <w:r w:rsidR="00453320" w:rsidRPr="00D456CF">
        <w:t>Ibid</w:t>
      </w:r>
      <w:r w:rsidRPr="00D456CF">
        <w:rPr>
          <w:rFonts w:cstheme="minorHAnsi"/>
        </w:rPr>
        <w:t xml:space="preserve">, 8.2.2. </w:t>
      </w:r>
    </w:p>
  </w:footnote>
  <w:footnote w:id="45">
    <w:p w14:paraId="136B51D4" w14:textId="54B1C041" w:rsidR="003349FC" w:rsidRPr="00D456CF" w:rsidRDefault="00924F78">
      <w:pPr>
        <w:pStyle w:val="FootnoteText"/>
      </w:pPr>
      <w:r w:rsidRPr="00542EE2">
        <w:rPr>
          <w:rStyle w:val="FootnoteReference"/>
        </w:rPr>
        <w:footnoteRef/>
      </w:r>
      <w:r w:rsidRPr="00D456CF">
        <w:t xml:space="preserve">  </w:t>
      </w:r>
      <w:r w:rsidRPr="00D456CF">
        <w:rPr>
          <w:rFonts w:cstheme="minorHAnsi"/>
        </w:rPr>
        <w:t>Baynham</w:t>
      </w:r>
      <w:r w:rsidR="009C3AA5" w:rsidRPr="00D456CF">
        <w:rPr>
          <w:rFonts w:cstheme="minorHAnsi"/>
        </w:rPr>
        <w:t>, 1998,</w:t>
      </w:r>
      <w:r w:rsidRPr="00D456CF">
        <w:rPr>
          <w:rFonts w:cstheme="minorHAnsi"/>
        </w:rPr>
        <w:t xml:space="preserve"> p</w:t>
      </w:r>
      <w:r w:rsidR="009C3AA5" w:rsidRPr="00D456CF">
        <w:rPr>
          <w:rFonts w:cstheme="minorHAnsi"/>
        </w:rPr>
        <w:t xml:space="preserve">. </w:t>
      </w:r>
      <w:r w:rsidRPr="00D456CF">
        <w:rPr>
          <w:rFonts w:cstheme="minorHAnsi"/>
        </w:rPr>
        <w:t>189.</w:t>
      </w:r>
    </w:p>
  </w:footnote>
  <w:footnote w:id="46">
    <w:p w14:paraId="1405A9CC" w14:textId="56044216" w:rsidR="003E489F" w:rsidRPr="00D456CF" w:rsidRDefault="00924F78" w:rsidP="00BB6F09">
      <w:pPr>
        <w:pStyle w:val="FootnoteText"/>
        <w:rPr>
          <w:rFonts w:cstheme="minorHAnsi"/>
          <w:lang w:val="pt-PT"/>
        </w:rPr>
      </w:pPr>
      <w:r w:rsidRPr="00542EE2">
        <w:rPr>
          <w:rStyle w:val="FootnoteReference"/>
        </w:rPr>
        <w:footnoteRef/>
      </w:r>
      <w:r w:rsidRPr="00D456CF">
        <w:rPr>
          <w:lang w:val="pt-PT"/>
        </w:rPr>
        <w:t xml:space="preserve"> </w:t>
      </w:r>
      <w:r w:rsidR="00A205D4" w:rsidRPr="00D456CF">
        <w:rPr>
          <w:lang w:val="pt-PT"/>
        </w:rPr>
        <w:t xml:space="preserve"> </w:t>
      </w:r>
      <w:r w:rsidR="00BB6F09" w:rsidRPr="00D456CF">
        <w:rPr>
          <w:lang w:val="pt-PT"/>
        </w:rPr>
        <w:t>Lendering, 2020.</w:t>
      </w:r>
    </w:p>
  </w:footnote>
  <w:footnote w:id="47">
    <w:p w14:paraId="4B3FC682" w14:textId="71C79E01" w:rsidR="003349FC" w:rsidRPr="00D456CF" w:rsidRDefault="00924F78">
      <w:pPr>
        <w:pStyle w:val="FootnoteText"/>
        <w:rPr>
          <w:lang w:val="pt-PT"/>
        </w:rPr>
      </w:pPr>
      <w:r w:rsidRPr="00542EE2">
        <w:rPr>
          <w:rStyle w:val="FootnoteReference"/>
        </w:rPr>
        <w:footnoteRef/>
      </w:r>
      <w:r w:rsidRPr="00D456CF">
        <w:rPr>
          <w:lang w:val="pt-PT"/>
        </w:rPr>
        <w:t xml:space="preserve">  </w:t>
      </w:r>
      <w:r w:rsidRPr="00D456CF">
        <w:rPr>
          <w:rFonts w:cstheme="minorHAnsi"/>
          <w:lang w:val="pt-PT"/>
        </w:rPr>
        <w:t>Baynham</w:t>
      </w:r>
      <w:r w:rsidR="00AB77B1" w:rsidRPr="00D456CF">
        <w:rPr>
          <w:rFonts w:cstheme="minorHAnsi"/>
          <w:lang w:val="pt-PT"/>
        </w:rPr>
        <w:t>,</w:t>
      </w:r>
      <w:r w:rsidRPr="00D456CF">
        <w:rPr>
          <w:rFonts w:cstheme="minorHAnsi"/>
          <w:lang w:val="pt-PT"/>
        </w:rPr>
        <w:t xml:space="preserve"> </w:t>
      </w:r>
      <w:r w:rsidR="009C3AA5" w:rsidRPr="00D456CF">
        <w:rPr>
          <w:rFonts w:cstheme="minorHAnsi"/>
          <w:lang w:val="pt-PT"/>
        </w:rPr>
        <w:t xml:space="preserve">1998, </w:t>
      </w:r>
      <w:r w:rsidRPr="00D456CF">
        <w:rPr>
          <w:rFonts w:cstheme="minorHAnsi"/>
          <w:lang w:val="pt-PT"/>
        </w:rPr>
        <w:t>p</w:t>
      </w:r>
      <w:r w:rsidR="00AB77B1" w:rsidRPr="00D456CF">
        <w:rPr>
          <w:rFonts w:cstheme="minorHAnsi"/>
          <w:lang w:val="pt-PT"/>
        </w:rPr>
        <w:t xml:space="preserve">. </w:t>
      </w:r>
      <w:r w:rsidRPr="00D456CF">
        <w:rPr>
          <w:rFonts w:cstheme="minorHAnsi"/>
          <w:lang w:val="pt-PT"/>
        </w:rPr>
        <w:t>192</w:t>
      </w:r>
      <w:r w:rsidR="00AB77B1" w:rsidRPr="00D456CF">
        <w:rPr>
          <w:rFonts w:cstheme="minorHAnsi"/>
          <w:lang w:val="pt-PT"/>
        </w:rPr>
        <w:t>.</w:t>
      </w:r>
    </w:p>
  </w:footnote>
  <w:footnote w:id="48">
    <w:p w14:paraId="39987253" w14:textId="1FBB65BB" w:rsidR="00AB77B1" w:rsidRPr="009C3AA5" w:rsidRDefault="00924F78">
      <w:pPr>
        <w:pStyle w:val="FootnoteText"/>
        <w:rPr>
          <w:lang w:val="pt-PT"/>
        </w:rPr>
      </w:pPr>
      <w:r w:rsidRPr="00542EE2">
        <w:rPr>
          <w:rStyle w:val="FootnoteReference"/>
        </w:rPr>
        <w:footnoteRef/>
      </w:r>
      <w:r w:rsidRPr="009C3AA5">
        <w:rPr>
          <w:lang w:val="pt-PT"/>
        </w:rPr>
        <w:t xml:space="preserve">  </w:t>
      </w:r>
      <w:proofErr w:type="spellStart"/>
      <w:r w:rsidR="009C3AA5" w:rsidRPr="009C3AA5">
        <w:rPr>
          <w:lang w:val="pt-PT"/>
        </w:rPr>
        <w:t>Quintus</w:t>
      </w:r>
      <w:proofErr w:type="spellEnd"/>
      <w:r w:rsidR="009C3AA5" w:rsidRPr="009C3AA5">
        <w:rPr>
          <w:lang w:val="pt-PT"/>
        </w:rPr>
        <w:t xml:space="preserve"> </w:t>
      </w:r>
      <w:proofErr w:type="spellStart"/>
      <w:r w:rsidR="009C3AA5" w:rsidRPr="009C3AA5">
        <w:rPr>
          <w:lang w:val="pt-PT"/>
        </w:rPr>
        <w:t>Curtius</w:t>
      </w:r>
      <w:proofErr w:type="spellEnd"/>
      <w:r w:rsidR="009C3AA5" w:rsidRPr="009C3AA5">
        <w:rPr>
          <w:lang w:val="pt-PT"/>
        </w:rPr>
        <w:t xml:space="preserve"> </w:t>
      </w:r>
      <w:r w:rsidRPr="009C3AA5">
        <w:rPr>
          <w:rFonts w:cstheme="minorHAnsi"/>
          <w:lang w:val="pt-PT"/>
        </w:rPr>
        <w:t>Rufus, 8.4.30.</w:t>
      </w:r>
    </w:p>
  </w:footnote>
  <w:footnote w:id="49">
    <w:p w14:paraId="663DE9A7" w14:textId="741A707A" w:rsidR="00E730EE" w:rsidRPr="009C3AA5" w:rsidRDefault="00924F78">
      <w:pPr>
        <w:pStyle w:val="FootnoteText"/>
        <w:rPr>
          <w:lang w:val="pt-PT"/>
        </w:rPr>
      </w:pPr>
      <w:r w:rsidRPr="00542EE2">
        <w:rPr>
          <w:rStyle w:val="FootnoteReference"/>
        </w:rPr>
        <w:footnoteRef/>
      </w:r>
      <w:r w:rsidRPr="009C3AA5">
        <w:rPr>
          <w:lang w:val="pt-PT"/>
        </w:rPr>
        <w:t xml:space="preserve">  </w:t>
      </w:r>
      <w:r w:rsidRPr="009C3AA5">
        <w:rPr>
          <w:rFonts w:cstheme="minorHAnsi"/>
          <w:lang w:val="pt-PT"/>
        </w:rPr>
        <w:t>Tarn</w:t>
      </w:r>
      <w:r w:rsidR="009C3AA5" w:rsidRPr="009C3AA5">
        <w:rPr>
          <w:rFonts w:cstheme="minorHAnsi"/>
          <w:lang w:val="pt-PT"/>
        </w:rPr>
        <w:t>, 2002,</w:t>
      </w:r>
      <w:r w:rsidRPr="009C3AA5">
        <w:rPr>
          <w:rFonts w:cstheme="minorHAnsi"/>
          <w:lang w:val="pt-PT"/>
        </w:rPr>
        <w:t xml:space="preserve"> p</w:t>
      </w:r>
      <w:r w:rsidR="009C3AA5" w:rsidRPr="009C3AA5">
        <w:rPr>
          <w:rFonts w:cstheme="minorHAnsi"/>
          <w:lang w:val="pt-PT"/>
        </w:rPr>
        <w:t xml:space="preserve">. </w:t>
      </w:r>
      <w:r w:rsidRPr="009C3AA5">
        <w:rPr>
          <w:rFonts w:cstheme="minorHAnsi"/>
          <w:lang w:val="pt-PT"/>
        </w:rPr>
        <w:t>101.</w:t>
      </w:r>
      <w:r w:rsidRPr="009C3AA5">
        <w:rPr>
          <w:lang w:val="pt-PT"/>
        </w:rPr>
        <w:t xml:space="preserve"> </w:t>
      </w:r>
    </w:p>
  </w:footnote>
  <w:footnote w:id="50">
    <w:p w14:paraId="3282D679" w14:textId="7407EC6A" w:rsidR="00E730EE" w:rsidRPr="009C3AA5" w:rsidRDefault="00924F78">
      <w:pPr>
        <w:pStyle w:val="FootnoteText"/>
        <w:rPr>
          <w:lang w:val="pt-PT"/>
        </w:rPr>
      </w:pPr>
      <w:r w:rsidRPr="00542EE2">
        <w:rPr>
          <w:rStyle w:val="FootnoteReference"/>
        </w:rPr>
        <w:footnoteRef/>
      </w:r>
      <w:r w:rsidRPr="009C3AA5">
        <w:rPr>
          <w:lang w:val="pt-PT"/>
        </w:rPr>
        <w:t xml:space="preserve">  </w:t>
      </w:r>
      <w:r w:rsidR="009C3AA5" w:rsidRPr="009C3AA5">
        <w:rPr>
          <w:lang w:val="pt-PT"/>
        </w:rPr>
        <w:t xml:space="preserve">Qunitus Curtius </w:t>
      </w:r>
      <w:r w:rsidRPr="009C3AA5">
        <w:rPr>
          <w:rFonts w:cstheme="minorHAnsi"/>
          <w:lang w:val="pt-PT"/>
        </w:rPr>
        <w:t xml:space="preserve">Rufus, 9.6.21.  </w:t>
      </w:r>
    </w:p>
  </w:footnote>
  <w:footnote w:id="51">
    <w:p w14:paraId="0E761BE5" w14:textId="0135E379" w:rsidR="00E730EE" w:rsidRPr="00D456CF" w:rsidRDefault="00924F78">
      <w:pPr>
        <w:pStyle w:val="FootnoteText"/>
      </w:pPr>
      <w:r w:rsidRPr="00542EE2">
        <w:rPr>
          <w:rStyle w:val="FootnoteReference"/>
        </w:rPr>
        <w:footnoteRef/>
      </w:r>
      <w:r w:rsidRPr="00D456CF">
        <w:t xml:space="preserve">  </w:t>
      </w:r>
      <w:r w:rsidRPr="00D456CF">
        <w:rPr>
          <w:rFonts w:cstheme="minorHAnsi"/>
        </w:rPr>
        <w:t>Heckel, 1994, p. 67.</w:t>
      </w:r>
      <w:r w:rsidRPr="00D456CF">
        <w:t xml:space="preserve"> </w:t>
      </w:r>
    </w:p>
  </w:footnote>
  <w:footnote w:id="52">
    <w:p w14:paraId="597C4458" w14:textId="728A293D" w:rsidR="00E730EE" w:rsidRPr="00D456CF" w:rsidRDefault="00924F78">
      <w:pPr>
        <w:pStyle w:val="FootnoteText"/>
      </w:pPr>
      <w:r w:rsidRPr="00542EE2">
        <w:rPr>
          <w:rStyle w:val="FootnoteReference"/>
        </w:rPr>
        <w:footnoteRef/>
      </w:r>
      <w:r w:rsidRPr="00D456CF">
        <w:t xml:space="preserve">  </w:t>
      </w:r>
      <w:r w:rsidR="009C3AA5" w:rsidRPr="00D456CF">
        <w:rPr>
          <w:rFonts w:cstheme="minorHAnsi"/>
        </w:rPr>
        <w:t>Ibid</w:t>
      </w:r>
      <w:r w:rsidRPr="00D456CF">
        <w:rPr>
          <w:rFonts w:cstheme="minorHAnsi"/>
        </w:rPr>
        <w:t>, p. 67.</w:t>
      </w:r>
    </w:p>
  </w:footnote>
  <w:footnote w:id="53">
    <w:p w14:paraId="7073C998" w14:textId="40E8548B" w:rsidR="00542EE2" w:rsidRPr="00D456CF" w:rsidRDefault="00924F78">
      <w:pPr>
        <w:pStyle w:val="FootnoteText"/>
      </w:pPr>
      <w:r w:rsidRPr="00542EE2">
        <w:rPr>
          <w:rStyle w:val="FootnoteReference"/>
        </w:rPr>
        <w:footnoteRef/>
      </w:r>
      <w:r w:rsidRPr="00D456CF">
        <w:t xml:space="preserve">  </w:t>
      </w:r>
      <w:r w:rsidR="009C3AA5" w:rsidRPr="00D456CF">
        <w:rPr>
          <w:rFonts w:cstheme="minorHAnsi"/>
        </w:rPr>
        <w:t>Ibid</w:t>
      </w:r>
      <w:r w:rsidRPr="00D456CF">
        <w:rPr>
          <w:rFonts w:cstheme="minorHAnsi"/>
        </w:rPr>
        <w:t>, p, 67-8.</w:t>
      </w:r>
    </w:p>
  </w:footnote>
  <w:footnote w:id="54">
    <w:p w14:paraId="67AC88CD" w14:textId="414136A2" w:rsidR="00542EE2" w:rsidRPr="009C3AA5" w:rsidRDefault="00924F78">
      <w:pPr>
        <w:pStyle w:val="FootnoteText"/>
        <w:rPr>
          <w:lang w:val="sv-SE"/>
        </w:rPr>
      </w:pPr>
      <w:r w:rsidRPr="00542EE2">
        <w:rPr>
          <w:rStyle w:val="FootnoteReference"/>
        </w:rPr>
        <w:footnoteRef/>
      </w:r>
      <w:r w:rsidRPr="009C3AA5">
        <w:rPr>
          <w:lang w:val="sv-SE"/>
        </w:rPr>
        <w:t xml:space="preserve">  </w:t>
      </w:r>
      <w:r w:rsidRPr="009C3AA5">
        <w:rPr>
          <w:rFonts w:cstheme="minorHAnsi"/>
          <w:lang w:val="sv-SE"/>
        </w:rPr>
        <w:t xml:space="preserve">Tarn, </w:t>
      </w:r>
      <w:r w:rsidR="009C3AA5" w:rsidRPr="009C3AA5">
        <w:rPr>
          <w:rFonts w:cstheme="minorHAnsi"/>
          <w:lang w:val="sv-SE"/>
        </w:rPr>
        <w:t xml:space="preserve">2002, </w:t>
      </w:r>
      <w:r w:rsidRPr="009C3AA5">
        <w:rPr>
          <w:rFonts w:cstheme="minorHAnsi"/>
          <w:lang w:val="sv-SE"/>
        </w:rPr>
        <w:t>p. 100.</w:t>
      </w:r>
    </w:p>
  </w:footnote>
  <w:footnote w:id="55">
    <w:p w14:paraId="08765AD9" w14:textId="3810ED70" w:rsidR="00542EE2" w:rsidRPr="009C3AA5" w:rsidRDefault="00924F78">
      <w:pPr>
        <w:pStyle w:val="FootnoteText"/>
        <w:rPr>
          <w:lang w:val="sv-SE"/>
        </w:rPr>
      </w:pPr>
      <w:r w:rsidRPr="00542EE2">
        <w:rPr>
          <w:rStyle w:val="FootnoteReference"/>
        </w:rPr>
        <w:footnoteRef/>
      </w:r>
      <w:r w:rsidRPr="009C3AA5">
        <w:rPr>
          <w:lang w:val="sv-SE"/>
        </w:rPr>
        <w:t xml:space="preserve">  </w:t>
      </w:r>
      <w:r w:rsidRPr="009C3AA5">
        <w:rPr>
          <w:rFonts w:cstheme="minorHAnsi"/>
          <w:lang w:val="sv-SE"/>
        </w:rPr>
        <w:t xml:space="preserve">Tarn, </w:t>
      </w:r>
      <w:r w:rsidR="009C3AA5" w:rsidRPr="009C3AA5">
        <w:rPr>
          <w:rFonts w:cstheme="minorHAnsi"/>
          <w:lang w:val="sv-SE"/>
        </w:rPr>
        <w:t xml:space="preserve">2002, </w:t>
      </w:r>
      <w:r w:rsidRPr="009C3AA5">
        <w:rPr>
          <w:rFonts w:cstheme="minorHAnsi"/>
          <w:lang w:val="sv-SE"/>
        </w:rPr>
        <w:t>p. 99.</w:t>
      </w:r>
    </w:p>
  </w:footnote>
  <w:footnote w:id="56">
    <w:p w14:paraId="68965E37" w14:textId="64EC9FDE" w:rsidR="00542EE2" w:rsidRPr="009C3AA5" w:rsidRDefault="00924F78">
      <w:pPr>
        <w:pStyle w:val="FootnoteText"/>
        <w:rPr>
          <w:lang w:val="sv-SE"/>
        </w:rPr>
      </w:pPr>
      <w:r w:rsidRPr="00387896">
        <w:rPr>
          <w:rStyle w:val="FootnoteReference"/>
        </w:rPr>
        <w:footnoteRef/>
      </w:r>
      <w:r w:rsidRPr="009C3AA5">
        <w:rPr>
          <w:lang w:val="sv-SE"/>
        </w:rPr>
        <w:t xml:space="preserve">  </w:t>
      </w:r>
      <w:r w:rsidRPr="009C3AA5">
        <w:rPr>
          <w:rFonts w:cstheme="minorHAnsi"/>
          <w:lang w:val="sv-SE"/>
        </w:rPr>
        <w:t xml:space="preserve">Atkinson, </w:t>
      </w:r>
      <w:r w:rsidR="009C3AA5" w:rsidRPr="009C3AA5">
        <w:rPr>
          <w:rFonts w:cstheme="minorHAnsi"/>
          <w:lang w:val="sv-SE"/>
        </w:rPr>
        <w:t xml:space="preserve">2000, </w:t>
      </w:r>
      <w:r w:rsidRPr="009C3AA5">
        <w:rPr>
          <w:rFonts w:cstheme="minorHAnsi"/>
          <w:lang w:val="sv-SE"/>
        </w:rPr>
        <w:t>p. 320-321.</w:t>
      </w:r>
    </w:p>
  </w:footnote>
  <w:footnote w:id="57">
    <w:p w14:paraId="3938F15E" w14:textId="13430661" w:rsidR="00387896" w:rsidRPr="00BC7B59" w:rsidRDefault="00924F78">
      <w:pPr>
        <w:pStyle w:val="FootnoteText"/>
        <w:rPr>
          <w:lang w:val="sv-SE"/>
        </w:rPr>
      </w:pPr>
      <w:r w:rsidRPr="00387896">
        <w:rPr>
          <w:rStyle w:val="FootnoteReference"/>
        </w:rPr>
        <w:footnoteRef/>
      </w:r>
      <w:r w:rsidRPr="00BC7B59">
        <w:rPr>
          <w:lang w:val="sv-SE"/>
        </w:rPr>
        <w:t xml:space="preserve">  </w:t>
      </w:r>
      <w:r w:rsidRPr="00BC7B59">
        <w:rPr>
          <w:rFonts w:cstheme="minorHAnsi"/>
          <w:lang w:val="sv-SE"/>
        </w:rPr>
        <w:t xml:space="preserve">Atkinson, </w:t>
      </w:r>
      <w:r w:rsidR="009C3AA5" w:rsidRPr="00BC7B59">
        <w:rPr>
          <w:rFonts w:cstheme="minorHAnsi"/>
          <w:lang w:val="sv-SE"/>
        </w:rPr>
        <w:t xml:space="preserve">2000, </w:t>
      </w:r>
      <w:r w:rsidRPr="00BC7B59">
        <w:rPr>
          <w:rFonts w:cstheme="minorHAnsi"/>
          <w:lang w:val="sv-SE"/>
        </w:rPr>
        <w:t>p. 322.</w:t>
      </w:r>
    </w:p>
  </w:footnote>
  <w:footnote w:id="58">
    <w:p w14:paraId="714099E3" w14:textId="7C683A47" w:rsidR="00387896" w:rsidRPr="00BC7B59" w:rsidRDefault="00924F78">
      <w:pPr>
        <w:pStyle w:val="FootnoteText"/>
        <w:rPr>
          <w:lang w:val="sv-SE"/>
        </w:rPr>
      </w:pPr>
      <w:r w:rsidRPr="00A23BF7">
        <w:rPr>
          <w:rStyle w:val="FootnoteReference"/>
        </w:rPr>
        <w:footnoteRef/>
      </w:r>
      <w:r w:rsidRPr="00BC7B59">
        <w:rPr>
          <w:lang w:val="sv-SE"/>
        </w:rPr>
        <w:t xml:space="preserve"> </w:t>
      </w:r>
      <w:r w:rsidRPr="00BC7B59">
        <w:rPr>
          <w:rFonts w:cstheme="minorHAnsi"/>
          <w:lang w:val="sv-SE"/>
        </w:rPr>
        <w:t xml:space="preserve"> </w:t>
      </w:r>
      <w:proofErr w:type="spellStart"/>
      <w:r w:rsidR="009C3AA5" w:rsidRPr="00BC7B59">
        <w:rPr>
          <w:rFonts w:cstheme="minorHAnsi"/>
          <w:lang w:val="sv-SE"/>
        </w:rPr>
        <w:t>Quintus</w:t>
      </w:r>
      <w:proofErr w:type="spellEnd"/>
      <w:r w:rsidR="009C3AA5" w:rsidRPr="00BC7B59">
        <w:rPr>
          <w:rFonts w:cstheme="minorHAnsi"/>
          <w:lang w:val="sv-SE"/>
        </w:rPr>
        <w:t xml:space="preserve"> </w:t>
      </w:r>
      <w:proofErr w:type="spellStart"/>
      <w:r w:rsidR="009C3AA5" w:rsidRPr="00BC7B59">
        <w:rPr>
          <w:rFonts w:cstheme="minorHAnsi"/>
          <w:lang w:val="sv-SE"/>
        </w:rPr>
        <w:t>Curtius</w:t>
      </w:r>
      <w:proofErr w:type="spellEnd"/>
      <w:r w:rsidR="009C3AA5" w:rsidRPr="00BC7B59">
        <w:rPr>
          <w:rFonts w:cstheme="minorHAnsi"/>
          <w:lang w:val="sv-SE"/>
        </w:rPr>
        <w:t xml:space="preserve"> </w:t>
      </w:r>
      <w:r w:rsidRPr="00BC7B59">
        <w:rPr>
          <w:rFonts w:cstheme="minorHAnsi"/>
          <w:lang w:val="sv-SE"/>
        </w:rPr>
        <w:t>Rufus</w:t>
      </w:r>
      <w:r w:rsidR="009C3AA5" w:rsidRPr="00BC7B59">
        <w:rPr>
          <w:rFonts w:cstheme="minorHAnsi"/>
          <w:lang w:val="sv-SE"/>
        </w:rPr>
        <w:t>,</w:t>
      </w:r>
      <w:r w:rsidRPr="00BC7B59">
        <w:rPr>
          <w:rFonts w:cstheme="minorHAnsi"/>
          <w:lang w:val="sv-SE"/>
        </w:rPr>
        <w:t xml:space="preserve"> 4.5.13.</w:t>
      </w:r>
    </w:p>
  </w:footnote>
  <w:footnote w:id="59">
    <w:p w14:paraId="1A3C9725" w14:textId="1F76630A" w:rsidR="00387896" w:rsidRPr="00BC7B59" w:rsidRDefault="00924F78">
      <w:pPr>
        <w:pStyle w:val="FootnoteText"/>
        <w:rPr>
          <w:lang w:val="sv-SE"/>
        </w:rPr>
      </w:pPr>
      <w:r w:rsidRPr="00A23BF7">
        <w:rPr>
          <w:rStyle w:val="FootnoteReference"/>
        </w:rPr>
        <w:footnoteRef/>
      </w:r>
      <w:r w:rsidRPr="00BC7B59">
        <w:rPr>
          <w:lang w:val="sv-SE"/>
        </w:rPr>
        <w:t xml:space="preserve">  </w:t>
      </w:r>
      <w:proofErr w:type="spellStart"/>
      <w:r w:rsidRPr="00BC7B59">
        <w:rPr>
          <w:rFonts w:cstheme="minorHAnsi"/>
          <w:lang w:val="sv-SE"/>
        </w:rPr>
        <w:t>Hecke</w:t>
      </w:r>
      <w:r w:rsidR="00A24062" w:rsidRPr="00BC7B59">
        <w:rPr>
          <w:rFonts w:cstheme="minorHAnsi"/>
          <w:lang w:val="sv-SE"/>
        </w:rPr>
        <w:t>l</w:t>
      </w:r>
      <w:proofErr w:type="spellEnd"/>
      <w:r w:rsidR="00A24062" w:rsidRPr="00BC7B59">
        <w:rPr>
          <w:rFonts w:cstheme="minorHAnsi"/>
          <w:lang w:val="sv-SE"/>
        </w:rPr>
        <w:t xml:space="preserve"> &amp; </w:t>
      </w:r>
      <w:proofErr w:type="spellStart"/>
      <w:r w:rsidR="00A24062" w:rsidRPr="00BC7B59">
        <w:rPr>
          <w:rFonts w:cstheme="minorHAnsi"/>
          <w:lang w:val="sv-SE"/>
        </w:rPr>
        <w:t>Yardley</w:t>
      </w:r>
      <w:proofErr w:type="spellEnd"/>
      <w:r w:rsidR="00A24062" w:rsidRPr="00BC7B59">
        <w:rPr>
          <w:rFonts w:cstheme="minorHAnsi"/>
          <w:lang w:val="sv-SE"/>
        </w:rPr>
        <w:t xml:space="preserve">, 2004, p. </w:t>
      </w:r>
      <w:r w:rsidRPr="00BC7B59">
        <w:rPr>
          <w:rFonts w:cstheme="minorHAnsi"/>
          <w:lang w:val="sv-SE"/>
        </w:rPr>
        <w:t>214</w:t>
      </w:r>
      <w:r w:rsidR="00A24062" w:rsidRPr="00BC7B59">
        <w:rPr>
          <w:rFonts w:cstheme="minorHAnsi"/>
          <w:lang w:val="sv-SE"/>
        </w:rPr>
        <w:t>.</w:t>
      </w:r>
    </w:p>
  </w:footnote>
  <w:footnote w:id="60">
    <w:p w14:paraId="2AB38791" w14:textId="6CC2AC88" w:rsidR="00A23BF7" w:rsidRPr="005503CA" w:rsidRDefault="00924F78">
      <w:pPr>
        <w:pStyle w:val="FootnoteText"/>
        <w:rPr>
          <w:lang w:val="pt-PT"/>
        </w:rPr>
      </w:pPr>
      <w:r w:rsidRPr="00A23BF7">
        <w:rPr>
          <w:rStyle w:val="FootnoteReference"/>
        </w:rPr>
        <w:footnoteRef/>
      </w:r>
      <w:r w:rsidRPr="005503CA">
        <w:rPr>
          <w:lang w:val="pt-PT"/>
        </w:rPr>
        <w:t xml:space="preserve">  </w:t>
      </w:r>
      <w:proofErr w:type="spellStart"/>
      <w:r w:rsidR="00DE5255">
        <w:rPr>
          <w:lang w:val="pt-PT"/>
        </w:rPr>
        <w:t>Britannica</w:t>
      </w:r>
      <w:proofErr w:type="spellEnd"/>
      <w:r w:rsidR="005503CA">
        <w:rPr>
          <w:lang w:val="pt-PT"/>
        </w:rPr>
        <w:t>, 2021.</w:t>
      </w:r>
    </w:p>
  </w:footnote>
  <w:footnote w:id="61">
    <w:p w14:paraId="4868FFA5" w14:textId="3F65B4CC" w:rsidR="00A23BF7" w:rsidRPr="00A23BF7" w:rsidRDefault="00924F78">
      <w:pPr>
        <w:pStyle w:val="FootnoteText"/>
      </w:pPr>
      <w:r w:rsidRPr="00A23BF7">
        <w:rPr>
          <w:rStyle w:val="FootnoteReference"/>
        </w:rPr>
        <w:footnoteRef/>
      </w:r>
      <w:r w:rsidRPr="00A23BF7">
        <w:t xml:space="preserve">  </w:t>
      </w:r>
      <w:r w:rsidRPr="00A23BF7">
        <w:rPr>
          <w:rFonts w:cstheme="minorHAnsi"/>
        </w:rPr>
        <w:t>Rufus 10.</w:t>
      </w:r>
      <w:r w:rsidR="007E14A0">
        <w:rPr>
          <w:rFonts w:cstheme="minorHAnsi"/>
        </w:rPr>
        <w:t>9.1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F82"/>
    <w:rsid w:val="00005D92"/>
    <w:rsid w:val="0001557C"/>
    <w:rsid w:val="00034237"/>
    <w:rsid w:val="00086492"/>
    <w:rsid w:val="001049B0"/>
    <w:rsid w:val="00122198"/>
    <w:rsid w:val="00125C8D"/>
    <w:rsid w:val="00146FFE"/>
    <w:rsid w:val="001538CD"/>
    <w:rsid w:val="001937B7"/>
    <w:rsid w:val="00194BC3"/>
    <w:rsid w:val="00243330"/>
    <w:rsid w:val="0027028F"/>
    <w:rsid w:val="002E7C50"/>
    <w:rsid w:val="003349FC"/>
    <w:rsid w:val="00336115"/>
    <w:rsid w:val="003737A4"/>
    <w:rsid w:val="00387896"/>
    <w:rsid w:val="003E489F"/>
    <w:rsid w:val="00453320"/>
    <w:rsid w:val="004D3AD7"/>
    <w:rsid w:val="005219CA"/>
    <w:rsid w:val="00525EC0"/>
    <w:rsid w:val="00527023"/>
    <w:rsid w:val="00542EE2"/>
    <w:rsid w:val="005503CA"/>
    <w:rsid w:val="00584A54"/>
    <w:rsid w:val="00603C3A"/>
    <w:rsid w:val="006924CB"/>
    <w:rsid w:val="006C6F82"/>
    <w:rsid w:val="007078AA"/>
    <w:rsid w:val="00767895"/>
    <w:rsid w:val="007D6C8D"/>
    <w:rsid w:val="007E14A0"/>
    <w:rsid w:val="007F376F"/>
    <w:rsid w:val="00812C10"/>
    <w:rsid w:val="00824E50"/>
    <w:rsid w:val="00847FC7"/>
    <w:rsid w:val="00854C64"/>
    <w:rsid w:val="00880C40"/>
    <w:rsid w:val="008E6F81"/>
    <w:rsid w:val="008F4A96"/>
    <w:rsid w:val="00924F78"/>
    <w:rsid w:val="00963A64"/>
    <w:rsid w:val="0096485A"/>
    <w:rsid w:val="009653F5"/>
    <w:rsid w:val="00971C10"/>
    <w:rsid w:val="00980C89"/>
    <w:rsid w:val="00990AEA"/>
    <w:rsid w:val="00995C9A"/>
    <w:rsid w:val="009B4313"/>
    <w:rsid w:val="009C3AA5"/>
    <w:rsid w:val="009E0315"/>
    <w:rsid w:val="00A205D4"/>
    <w:rsid w:val="00A23BF7"/>
    <w:rsid w:val="00A24062"/>
    <w:rsid w:val="00A31464"/>
    <w:rsid w:val="00A334BE"/>
    <w:rsid w:val="00AB77B1"/>
    <w:rsid w:val="00AE0A99"/>
    <w:rsid w:val="00B40B0A"/>
    <w:rsid w:val="00B44170"/>
    <w:rsid w:val="00B47DC4"/>
    <w:rsid w:val="00BA2244"/>
    <w:rsid w:val="00BA58A1"/>
    <w:rsid w:val="00BB6F09"/>
    <w:rsid w:val="00BC7B59"/>
    <w:rsid w:val="00BD0D33"/>
    <w:rsid w:val="00C130E7"/>
    <w:rsid w:val="00C51D2E"/>
    <w:rsid w:val="00C75FAA"/>
    <w:rsid w:val="00C92118"/>
    <w:rsid w:val="00CA308B"/>
    <w:rsid w:val="00CE1FAE"/>
    <w:rsid w:val="00D31413"/>
    <w:rsid w:val="00D456CF"/>
    <w:rsid w:val="00DE29F7"/>
    <w:rsid w:val="00DE5255"/>
    <w:rsid w:val="00DE7B5D"/>
    <w:rsid w:val="00E730EE"/>
    <w:rsid w:val="00E920CE"/>
    <w:rsid w:val="00E96C25"/>
    <w:rsid w:val="00EB121F"/>
    <w:rsid w:val="00EB4B33"/>
    <w:rsid w:val="00EC336D"/>
    <w:rsid w:val="00EF07A2"/>
    <w:rsid w:val="00EF3D4F"/>
    <w:rsid w:val="00FC26E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AF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6F82"/>
  </w:style>
  <w:style w:type="paragraph" w:styleId="Heading1">
    <w:name w:val="heading 1"/>
    <w:basedOn w:val="Normal"/>
    <w:link w:val="Heading1Char"/>
    <w:uiPriority w:val="9"/>
    <w:qFormat/>
    <w:rsid w:val="0012219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6F82"/>
    <w:rPr>
      <w:color w:val="0000FF" w:themeColor="hyperlink"/>
      <w:u w:val="single"/>
    </w:rPr>
  </w:style>
  <w:style w:type="paragraph" w:styleId="Header">
    <w:name w:val="header"/>
    <w:basedOn w:val="Normal"/>
    <w:link w:val="HeaderChar"/>
    <w:uiPriority w:val="99"/>
    <w:unhideWhenUsed/>
    <w:rsid w:val="00146F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FFE"/>
  </w:style>
  <w:style w:type="paragraph" w:styleId="Footer">
    <w:name w:val="footer"/>
    <w:basedOn w:val="Normal"/>
    <w:link w:val="FooterChar"/>
    <w:uiPriority w:val="99"/>
    <w:unhideWhenUsed/>
    <w:rsid w:val="00146F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FFE"/>
  </w:style>
  <w:style w:type="paragraph" w:styleId="FootnoteText">
    <w:name w:val="footnote text"/>
    <w:basedOn w:val="Normal"/>
    <w:link w:val="FootnoteTextChar"/>
    <w:uiPriority w:val="99"/>
    <w:semiHidden/>
    <w:unhideWhenUsed/>
    <w:rsid w:val="00880C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0C40"/>
    <w:rPr>
      <w:sz w:val="20"/>
      <w:szCs w:val="20"/>
    </w:rPr>
  </w:style>
  <w:style w:type="character" w:styleId="FootnoteReference">
    <w:name w:val="footnote reference"/>
    <w:basedOn w:val="DefaultParagraphFont"/>
    <w:uiPriority w:val="99"/>
    <w:semiHidden/>
    <w:unhideWhenUsed/>
    <w:rsid w:val="00880C40"/>
    <w:rPr>
      <w:vertAlign w:val="superscript"/>
    </w:rPr>
  </w:style>
  <w:style w:type="character" w:customStyle="1" w:styleId="UnresolvedMention1">
    <w:name w:val="Unresolved Mention1"/>
    <w:basedOn w:val="DefaultParagraphFont"/>
    <w:uiPriority w:val="99"/>
    <w:semiHidden/>
    <w:unhideWhenUsed/>
    <w:rsid w:val="003349FC"/>
    <w:rPr>
      <w:color w:val="605E5C"/>
      <w:shd w:val="clear" w:color="auto" w:fill="E1DFDD"/>
    </w:rPr>
  </w:style>
  <w:style w:type="character" w:customStyle="1" w:styleId="bibliographicauthorname">
    <w:name w:val="bibliographicauthorname"/>
    <w:basedOn w:val="DefaultParagraphFont"/>
    <w:rsid w:val="00005D92"/>
  </w:style>
  <w:style w:type="character" w:customStyle="1" w:styleId="translators">
    <w:name w:val="translators"/>
    <w:basedOn w:val="DefaultParagraphFont"/>
    <w:rsid w:val="00005D92"/>
  </w:style>
  <w:style w:type="character" w:customStyle="1" w:styleId="contributorname">
    <w:name w:val="contributorname"/>
    <w:basedOn w:val="DefaultParagraphFont"/>
    <w:rsid w:val="00005D92"/>
  </w:style>
  <w:style w:type="character" w:styleId="FollowedHyperlink">
    <w:name w:val="FollowedHyperlink"/>
    <w:basedOn w:val="DefaultParagraphFont"/>
    <w:uiPriority w:val="99"/>
    <w:semiHidden/>
    <w:unhideWhenUsed/>
    <w:rsid w:val="00243330"/>
    <w:rPr>
      <w:color w:val="800080" w:themeColor="followedHyperlink"/>
      <w:u w:val="single"/>
    </w:rPr>
  </w:style>
  <w:style w:type="character" w:customStyle="1" w:styleId="small">
    <w:name w:val="small"/>
    <w:basedOn w:val="DefaultParagraphFont"/>
    <w:rsid w:val="00EF3D4F"/>
  </w:style>
  <w:style w:type="character" w:customStyle="1" w:styleId="Heading1Char">
    <w:name w:val="Heading 1 Char"/>
    <w:basedOn w:val="DefaultParagraphFont"/>
    <w:link w:val="Heading1"/>
    <w:uiPriority w:val="9"/>
    <w:rsid w:val="00122198"/>
    <w:rPr>
      <w:rFonts w:ascii="Times New Roman" w:eastAsia="Times New Roman" w:hAnsi="Times New Roman" w:cs="Times New Roman"/>
      <w:b/>
      <w:bCs/>
      <w:kern w:val="36"/>
      <w:sz w:val="48"/>
      <w:szCs w:val="48"/>
      <w:lang w:eastAsia="en-GB"/>
    </w:rPr>
  </w:style>
  <w:style w:type="character" w:customStyle="1" w:styleId="linenumber">
    <w:name w:val="linenumber"/>
    <w:basedOn w:val="DefaultParagraphFont"/>
    <w:rsid w:val="00924F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event/Hundred-Years-War" TargetMode="External"/><Relationship Id="rId13" Type="http://schemas.openxmlformats.org/officeDocument/2006/relationships/hyperlink" Target="https://www-loebclassics-com.ezproxy.uwtsd.ac.uk/view/LCL368/1946/volume.x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rchive.org/details/alexandergreatun0000bayn" TargetMode="External"/><Relationship Id="rId12" Type="http://schemas.openxmlformats.org/officeDocument/2006/relationships/hyperlink" Target="https://nationalinterest.org/blog/reboot/who-are-five-greatest-generals-us-history-19478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cademia.edu/5249112/The_East_in_Curtius_Rufus_Histories_of_Alexander_A_Paradoxical_Reversion_of_Standard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4436531" TargetMode="External"/><Relationship Id="rId5" Type="http://schemas.openxmlformats.org/officeDocument/2006/relationships/footnotes" Target="footnotes.xml"/><Relationship Id="rId15" Type="http://schemas.openxmlformats.org/officeDocument/2006/relationships/hyperlink" Target="https://archive.org/details/legendsofalexand0000unse" TargetMode="External"/><Relationship Id="rId10" Type="http://schemas.openxmlformats.org/officeDocument/2006/relationships/hyperlink" Target="https://www.livius.org/articles/person/alexander-the-great/alexander-2.18/" TargetMode="External"/><Relationship Id="rId4" Type="http://schemas.openxmlformats.org/officeDocument/2006/relationships/webSettings" Target="webSettings.xml"/><Relationship Id="rId9" Type="http://schemas.openxmlformats.org/officeDocument/2006/relationships/hyperlink" Target="http://www.casa-kvsa.org.za/legacy/1994/AC37-05-Heckel.pdf" TargetMode="External"/><Relationship Id="rId14" Type="http://schemas.openxmlformats.org/officeDocument/2006/relationships/hyperlink" Target="https://www-loebclassics-com.ezproxy.uwtsd.ac.uk/view/LCL369/1946/volume.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35F0C-7404-4A61-BF2E-F44DF1FDB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3554</Words>
  <Characters>20259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2022-05-30T19:49:00Z</dcterms:created>
  <dcterms:modified xsi:type="dcterms:W3CDTF">2022-05-31T06:25:00Z</dcterms:modified>
</cp:coreProperties>
</file>