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2F7BE9" w14:textId="77777777" w:rsidR="00FC1053" w:rsidRDefault="00AE511F">
      <w:pPr>
        <w:pStyle w:val="Title"/>
        <w:spacing w:line="480" w:lineRule="auto"/>
        <w:jc w:val="both"/>
        <w:rPr>
          <w:rFonts w:ascii="Times New Roman" w:hAnsi="Times New Roman" w:cs="Times New Roman"/>
          <w:b/>
          <w:bCs/>
          <w:color w:val="auto"/>
          <w:sz w:val="32"/>
          <w:szCs w:val="32"/>
        </w:rPr>
      </w:pPr>
      <w:r>
        <w:rPr>
          <w:rFonts w:ascii="Times New Roman" w:hAnsi="Times New Roman" w:cs="Times New Roman"/>
          <w:b/>
          <w:bCs/>
          <w:color w:val="auto"/>
          <w:sz w:val="32"/>
          <w:szCs w:val="32"/>
        </w:rPr>
        <w:t>Portfolio Assignment – Health &amp; Social Care Innovation (UK)</w:t>
      </w:r>
    </w:p>
    <w:p w14:paraId="35B151D7" w14:textId="77777777" w:rsidR="00FC1053" w:rsidRDefault="00AE511F">
      <w:pPr>
        <w:pStyle w:val="Heading1"/>
        <w:rPr>
          <w:rFonts w:ascii="Times New Roman" w:hAnsi="Times New Roman" w:cs="Times New Roman"/>
          <w:color w:val="auto"/>
          <w:sz w:val="24"/>
          <w:szCs w:val="24"/>
        </w:rPr>
      </w:pPr>
      <w:r>
        <w:rPr>
          <w:rFonts w:ascii="Times New Roman" w:hAnsi="Times New Roman" w:cs="Times New Roman"/>
          <w:color w:val="auto"/>
          <w:sz w:val="24"/>
          <w:szCs w:val="24"/>
        </w:rPr>
        <w:t>Task 1 – Concept</w:t>
      </w:r>
      <w:r>
        <w:rPr>
          <w:rFonts w:ascii="Times New Roman" w:hAnsi="Times New Roman" w:cs="Times New Roman"/>
          <w:color w:val="auto"/>
          <w:sz w:val="24"/>
          <w:szCs w:val="24"/>
        </w:rPr>
        <w:t xml:space="preserve"> </w:t>
      </w:r>
      <w:r>
        <w:rPr>
          <w:rFonts w:ascii="Times New Roman" w:hAnsi="Times New Roman" w:cs="Times New Roman"/>
          <w:color w:val="auto"/>
          <w:sz w:val="24"/>
          <w:szCs w:val="24"/>
        </w:rPr>
        <w:t>Map</w:t>
      </w:r>
    </w:p>
    <w:p w14:paraId="6E9D87C9" w14:textId="77777777" w:rsidR="00FC1053" w:rsidRDefault="00FC1053">
      <w:pPr>
        <w:rPr>
          <w:rFonts w:ascii="Times New Roman" w:hAnsi="Times New Roman" w:cs="Times New Roman"/>
          <w:b/>
          <w:bCs/>
        </w:rPr>
      </w:pPr>
    </w:p>
    <w:p w14:paraId="2C6F0C54" w14:textId="77777777" w:rsidR="00FC1053" w:rsidRDefault="00AE511F">
      <w:pPr>
        <w:spacing w:line="480" w:lineRule="auto"/>
        <w:jc w:val="both"/>
      </w:pPr>
      <w:r>
        <w:t>There is a strong link between creativity, value creation and health &amp; social care improvement. Creativity is the act of developing new ideas, new approaches or new solutions for healthcare issues. Within the NHS and social care, creative thinking is used to explore issues relating to inequalities in access, long waiting times, workforce pressures and poor patient outcomes. These creative ideas are then transformed into innovations such as telehealth services, supported diagnostics and integrated care model</w:t>
      </w:r>
      <w:r>
        <w:t>s</w:t>
      </w:r>
      <w:r>
        <w:t>(</w:t>
      </w:r>
      <w:r>
        <w:rPr>
          <w:rFonts w:ascii="Times New Roman" w:eastAsia="SimSun" w:hAnsi="Times New Roman" w:cs="Times New Roman"/>
          <w:color w:val="222222"/>
          <w:sz w:val="24"/>
          <w:szCs w:val="24"/>
          <w:shd w:val="clear" w:color="FFFFFF" w:fill="FFFFFF"/>
        </w:rPr>
        <w:t>Tornero-Costa et al., 2023)</w:t>
      </w:r>
      <w:r>
        <w:t>.</w:t>
      </w:r>
    </w:p>
    <w:p w14:paraId="3B38B1FB" w14:textId="77777777" w:rsidR="00FC1053" w:rsidRDefault="00AE511F">
      <w:pPr>
        <w:spacing w:line="480" w:lineRule="auto"/>
        <w:jc w:val="both"/>
      </w:pPr>
      <w:r>
        <w:t>When the innovations create value for patients,Service users, healthcare professionals and organisations, a value creation takes place. Value can be identified as: better quality of care, better patient experience, lower costs, higher efficiency and improved health outcomes. Telemedicine offers value because of its ability to provide access to care for those in remote locations, as well as decreased travel costs and wait times.</w:t>
      </w:r>
    </w:p>
    <w:p w14:paraId="0910BE42" w14:textId="77777777" w:rsidR="00FC1053" w:rsidRDefault="00AE511F">
      <w:pPr>
        <w:spacing w:line="480" w:lineRule="auto"/>
        <w:jc w:val="both"/>
      </w:pPr>
      <w:r>
        <w:t>Successful use of creativity to add value leads to health and social care improvement. Organisations can innovate to enhance service delivery, more effective prevention interventions, and enhanced personalised care when they are encouraged to do so. Innovation and integrated care were seen as key to addressing the increasing needs of healthcare in the NHS Five Year Forward View</w:t>
      </w:r>
      <w:r>
        <w:t xml:space="preserve"> (</w:t>
      </w:r>
      <w:r>
        <w:rPr>
          <w:rFonts w:ascii="Times New Roman" w:eastAsia="SimSun" w:hAnsi="Times New Roman" w:cs="Times New Roman"/>
          <w:color w:val="222222"/>
          <w:sz w:val="24"/>
          <w:szCs w:val="24"/>
          <w:shd w:val="clear" w:color="FFFFFF" w:fill="FFFFFF"/>
        </w:rPr>
        <w:t>Thakkar et al., 2024)</w:t>
      </w:r>
      <w:r>
        <w:t>.</w:t>
      </w:r>
    </w:p>
    <w:p w14:paraId="625F95CF" w14:textId="77777777" w:rsidR="00FC1053" w:rsidRDefault="00AE511F">
      <w:pPr>
        <w:spacing w:line="480" w:lineRule="auto"/>
        <w:jc w:val="both"/>
      </w:pPr>
      <w:r>
        <w:t>The relationship may be considered as a cycle. Creativity leads to innovative ideas, innovation leads to value creation (services and outcomes), and value creation leads to further creativity by identifying new opportunities for change. This cycle promotes ongoing improvement, aiding health and social care organisations to adapt and address evolving patient needs, technological advancements, and resource constraints to ensure the provision of quality care.</w:t>
      </w:r>
      <w:r>
        <w:rPr>
          <w:noProof/>
        </w:rPr>
        <w:drawing>
          <wp:inline distT="0" distB="0" distL="0" distR="0" wp14:anchorId="1B7EBB92" wp14:editId="67EE95DF">
            <wp:extent cx="6540500" cy="3376929"/>
            <wp:effectExtent l="0" t="0" r="12700" b="13334"/>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6" cstate="print"/>
                    <a:srcRect/>
                    <a:stretch/>
                  </pic:blipFill>
                  <pic:spPr>
                    <a:xfrm>
                      <a:off x="0" y="0"/>
                      <a:ext cx="6540500" cy="3376929"/>
                    </a:xfrm>
                    <a:prstGeom prst="rect">
                      <a:avLst/>
                    </a:prstGeom>
                    <a:ln>
                      <a:noFill/>
                    </a:ln>
                  </pic:spPr>
                </pic:pic>
              </a:graphicData>
            </a:graphic>
          </wp:inline>
        </w:drawing>
      </w:r>
    </w:p>
    <w:p w14:paraId="08030A02" w14:textId="77777777" w:rsidR="00FC1053" w:rsidRDefault="00FC1053">
      <w:pPr>
        <w:spacing w:line="480" w:lineRule="auto"/>
        <w:jc w:val="both"/>
      </w:pPr>
    </w:p>
    <w:p w14:paraId="77A3A01A" w14:textId="77777777" w:rsidR="00FC1053" w:rsidRDefault="00AE511F">
      <w:pPr>
        <w:pStyle w:val="Heading1"/>
        <w:spacing w:line="48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Task 2 – Self-Reflection of Group Activity</w:t>
      </w:r>
    </w:p>
    <w:p w14:paraId="5B41FA2F" w14:textId="77777777" w:rsidR="00FC1053" w:rsidRDefault="00AE511F">
      <w:pPr>
        <w:spacing w:line="480" w:lineRule="auto"/>
        <w:jc w:val="both"/>
        <w:rPr>
          <w:rFonts w:ascii="Times New Roman" w:hAnsi="Times New Roman" w:cs="Times New Roman"/>
          <w:sz w:val="24"/>
          <w:szCs w:val="24"/>
        </w:rPr>
      </w:pPr>
      <w:r>
        <w:rPr>
          <w:rFonts w:ascii="Times New Roman" w:hAnsi="Times New Roman" w:cs="Times New Roman"/>
          <w:sz w:val="24"/>
          <w:szCs w:val="24"/>
        </w:rPr>
        <w:t>I reflected on how the convergent and divergent paperclip thinking activity was. Using Gibbs' Reflective Cycle. During this exercise we were asked to think of as many uses for the paperclip as possible. I had considered the traditional ones initially, but as the activity progressed I had more creative ideas. This was an example of divergent thinking, and was used to explore several solutions that were not judged at the time</w:t>
      </w:r>
      <w:r>
        <w:rPr>
          <w:rFonts w:ascii="Times New Roman" w:hAnsi="Times New Roman" w:cs="Times New Roman"/>
          <w:sz w:val="24"/>
          <w:szCs w:val="24"/>
        </w:rPr>
        <w:t xml:space="preserve"> (</w:t>
      </w:r>
      <w:r>
        <w:rPr>
          <w:rFonts w:ascii="Times New Roman" w:hAnsi="Times New Roman" w:cs="Times New Roman"/>
          <w:sz w:val="24"/>
          <w:szCs w:val="24"/>
        </w:rPr>
        <w:t>Gibbs</w:t>
      </w:r>
      <w:r>
        <w:rPr>
          <w:rFonts w:ascii="Times New Roman" w:hAnsi="Times New Roman" w:cs="Times New Roman"/>
          <w:sz w:val="24"/>
          <w:szCs w:val="24"/>
        </w:rPr>
        <w:t xml:space="preserve"> 1998)</w:t>
      </w:r>
      <w:r>
        <w:rPr>
          <w:rFonts w:ascii="Times New Roman" w:hAnsi="Times New Roman" w:cs="Times New Roman"/>
          <w:sz w:val="24"/>
          <w:szCs w:val="24"/>
        </w:rPr>
        <w:t>.</w:t>
      </w:r>
    </w:p>
    <w:p w14:paraId="0D27B6C4" w14:textId="77777777" w:rsidR="00FC1053" w:rsidRDefault="00AE511F">
      <w:pPr>
        <w:spacing w:line="480" w:lineRule="auto"/>
        <w:jc w:val="both"/>
        <w:rPr>
          <w:rFonts w:ascii="Times New Roman" w:hAnsi="Times New Roman" w:cs="Times New Roman"/>
          <w:sz w:val="24"/>
          <w:szCs w:val="24"/>
        </w:rPr>
      </w:pPr>
      <w:r>
        <w:rPr>
          <w:rFonts w:ascii="Times New Roman" w:hAnsi="Times New Roman" w:cs="Times New Roman"/>
          <w:sz w:val="24"/>
          <w:szCs w:val="24"/>
        </w:rPr>
        <w:t>I felt included and challenged as the activity allowed for the sharing of unusual ideas in an environment. Listening to others hear their ideas reinforced this to me that creative work is possible in a group, not as an individual. They then got together to evaluate and select the most viable ideas. During this stage, the need for creative and critical thinking was emphasized.</w:t>
      </w:r>
    </w:p>
    <w:p w14:paraId="479B40F0" w14:textId="77777777" w:rsidR="00FC1053" w:rsidRDefault="00AE511F">
      <w:pPr>
        <w:spacing w:line="480" w:lineRule="auto"/>
        <w:jc w:val="both"/>
        <w:rPr>
          <w:rFonts w:ascii="Times New Roman" w:hAnsi="Times New Roman" w:cs="Times New Roman"/>
          <w:sz w:val="24"/>
          <w:szCs w:val="24"/>
        </w:rPr>
      </w:pPr>
      <w:r>
        <w:rPr>
          <w:rFonts w:ascii="Times New Roman" w:hAnsi="Times New Roman" w:cs="Times New Roman"/>
          <w:sz w:val="24"/>
          <w:szCs w:val="24"/>
        </w:rPr>
        <w:t>Overall, the activity was effective as it helped students to have an understanding of how ideas are generated and how ideas can be chosen to result into innovation. The one is dimensional thinking they were putting ideas to the side too quickly was a challenge. The exercise, however, promoted openness of mind and revealed that there can be a number of solutions to seemingly simple problems.</w:t>
      </w:r>
    </w:p>
    <w:p w14:paraId="2A1718D2" w14:textId="77777777" w:rsidR="00FC1053" w:rsidRDefault="00AE511F">
      <w:pPr>
        <w:spacing w:line="480" w:lineRule="auto"/>
        <w:jc w:val="both"/>
        <w:rPr>
          <w:rFonts w:ascii="Times New Roman" w:hAnsi="Times New Roman" w:cs="Times New Roman"/>
          <w:sz w:val="24"/>
          <w:szCs w:val="24"/>
        </w:rPr>
      </w:pPr>
      <w:r>
        <w:rPr>
          <w:rFonts w:ascii="Times New Roman" w:hAnsi="Times New Roman" w:cs="Times New Roman"/>
          <w:sz w:val="24"/>
          <w:szCs w:val="24"/>
        </w:rPr>
        <w:t>This experience has made me realise how important creativity is to health and social care. It requires professionals to be creative in solving complex problems, and to have critical judgment in determining the feasibility and benefit of the solutions. I will include divergent and convergent thinking skills in my future work with problem solving and improving my patient care.</w:t>
      </w:r>
    </w:p>
    <w:p w14:paraId="531FFDC4" w14:textId="77777777" w:rsidR="00FC1053" w:rsidRDefault="00AE511F">
      <w:pPr>
        <w:pStyle w:val="Heading1"/>
        <w:spacing w:line="48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Task 3 – Case Study of a UK Innovation</w:t>
      </w:r>
    </w:p>
    <w:p w14:paraId="0D571B01" w14:textId="77777777" w:rsidR="00FC1053" w:rsidRDefault="00AE511F">
      <w:pPr>
        <w:spacing w:line="480" w:lineRule="auto"/>
        <w:jc w:val="both"/>
        <w:rPr>
          <w:rFonts w:ascii="Times New Roman" w:hAnsi="Times New Roman" w:cs="Times New Roman"/>
          <w:sz w:val="24"/>
          <w:szCs w:val="24"/>
        </w:rPr>
      </w:pPr>
      <w:r>
        <w:rPr>
          <w:rFonts w:ascii="Times New Roman" w:hAnsi="Times New Roman" w:cs="Times New Roman"/>
          <w:sz w:val="24"/>
          <w:szCs w:val="24"/>
        </w:rPr>
        <w:t>The development of telehealth and telemedicine services in the UK NHS system is one of the important innovations that took place in the health sector in the UK. Telehealth provides patients with access to healthcare via video, digital monitoring devices and online communications. Especially after the COVID-19 pandemic and it has been a vital tool to help support healthcare delivery across the UK.</w:t>
      </w:r>
    </w:p>
    <w:p w14:paraId="61B39DD3" w14:textId="77777777" w:rsidR="00FC1053" w:rsidRDefault="00FC1053">
      <w:pPr>
        <w:spacing w:line="480" w:lineRule="auto"/>
        <w:jc w:val="both"/>
        <w:rPr>
          <w:rFonts w:ascii="Times New Roman" w:hAnsi="Times New Roman" w:cs="Times New Roman"/>
          <w:sz w:val="24"/>
          <w:szCs w:val="24"/>
        </w:rPr>
      </w:pPr>
    </w:p>
    <w:p w14:paraId="42BA84CA" w14:textId="77777777" w:rsidR="00FC1053" w:rsidRDefault="00AE511F">
      <w:pPr>
        <w:spacing w:line="480" w:lineRule="auto"/>
        <w:jc w:val="both"/>
        <w:rPr>
          <w:rFonts w:ascii="Times New Roman" w:hAnsi="Times New Roman" w:cs="Times New Roman"/>
          <w:sz w:val="24"/>
          <w:szCs w:val="24"/>
        </w:rPr>
      </w:pPr>
      <w:r>
        <w:rPr>
          <w:rFonts w:ascii="Times New Roman" w:hAnsi="Times New Roman" w:cs="Times New Roman"/>
          <w:sz w:val="24"/>
          <w:szCs w:val="24"/>
        </w:rPr>
        <w:t>There was a lot of creativity that went into the development of telehealth. Healthcare leaders realized the traditional "in person" approach was not necessarily effective in meeting the ever-expanding patient demand. They brought digital technologies together with clinical skills to bring new remote healthcare access options to patients. This was a departure from the conventional care practice in healthcare and encouraged a more patient-centred approach.</w:t>
      </w:r>
    </w:p>
    <w:p w14:paraId="08850AC2" w14:textId="77777777" w:rsidR="00FC1053" w:rsidRDefault="00AE511F">
      <w:pPr>
        <w:spacing w:line="480" w:lineRule="auto"/>
        <w:jc w:val="both"/>
        <w:rPr>
          <w:rFonts w:ascii="Times New Roman" w:hAnsi="Times New Roman" w:cs="Times New Roman"/>
          <w:sz w:val="24"/>
          <w:szCs w:val="24"/>
        </w:rPr>
      </w:pPr>
      <w:r>
        <w:rPr>
          <w:rFonts w:ascii="Times New Roman" w:hAnsi="Times New Roman" w:cs="Times New Roman"/>
          <w:sz w:val="24"/>
          <w:szCs w:val="24"/>
        </w:rPr>
        <w:t>Telehealth has been very beneficial. When pharmaceuticals and healthcare experts are not available in rural or underserved areas, these individuals can be provided with the care of a healthcare professional without traveling long distances. Telemedicine decreases waiting periods, increases convenience and facilitates continuity of care. Wearable technologies and remote monitoring devices can also allow health care providers to monitor their patients with chronic diseases to make an early diagnosis if compli</w:t>
      </w:r>
      <w:r>
        <w:rPr>
          <w:rFonts w:ascii="Times New Roman" w:hAnsi="Times New Roman" w:cs="Times New Roman"/>
          <w:sz w:val="24"/>
          <w:szCs w:val="24"/>
        </w:rPr>
        <w:t>cations occur, while doing telehealth.</w:t>
      </w:r>
    </w:p>
    <w:p w14:paraId="72FA71FD" w14:textId="77777777" w:rsidR="00FC1053" w:rsidRDefault="00AE511F">
      <w:pPr>
        <w:spacing w:line="480" w:lineRule="auto"/>
        <w:jc w:val="both"/>
        <w:rPr>
          <w:rFonts w:ascii="Times New Roman" w:hAnsi="Times New Roman" w:cs="Times New Roman"/>
          <w:sz w:val="24"/>
          <w:szCs w:val="24"/>
        </w:rPr>
      </w:pPr>
      <w:r>
        <w:rPr>
          <w:rFonts w:ascii="Times New Roman" w:hAnsi="Times New Roman" w:cs="Times New Roman"/>
          <w:sz w:val="24"/>
          <w:szCs w:val="24"/>
        </w:rPr>
        <w:t>Organisational efficiency is also achieved through telehealth, as patients do not have to visit hospital if there is no need and staff are optimally used. It also contributes towards the NHS objective of care nearer to home. Digital consultations are conducted when there is a high number of services to ensure access to the patients.</w:t>
      </w:r>
    </w:p>
    <w:p w14:paraId="0CF3FBFC" w14:textId="77777777" w:rsidR="00FC1053" w:rsidRDefault="00AE511F">
      <w:pPr>
        <w:spacing w:line="480" w:lineRule="auto"/>
        <w:jc w:val="both"/>
        <w:rPr>
          <w:rFonts w:ascii="Times New Roman" w:hAnsi="Times New Roman" w:cs="Times New Roman"/>
          <w:sz w:val="24"/>
          <w:szCs w:val="24"/>
        </w:rPr>
      </w:pPr>
      <w:r>
        <w:rPr>
          <w:rFonts w:ascii="Times New Roman" w:hAnsi="Times New Roman" w:cs="Times New Roman"/>
          <w:sz w:val="24"/>
          <w:szCs w:val="24"/>
        </w:rPr>
        <w:t>Despite the benefits, there are challenges to be tackled. Limited digital literacy or access to technology are issues for some patients. However, data privacy and security is one of the most important factors to be regulated. But the power of innovation in producing real change in health care systems is exemplified with telehealth.</w:t>
      </w:r>
    </w:p>
    <w:p w14:paraId="0716BCCE" w14:textId="77777777" w:rsidR="00FC1053" w:rsidRDefault="00AE511F">
      <w:pPr>
        <w:spacing w:line="480" w:lineRule="auto"/>
        <w:jc w:val="both"/>
        <w:rPr>
          <w:rFonts w:ascii="Times New Roman" w:hAnsi="Times New Roman" w:cs="Times New Roman"/>
          <w:sz w:val="24"/>
          <w:szCs w:val="24"/>
        </w:rPr>
      </w:pPr>
      <w:r>
        <w:rPr>
          <w:rFonts w:ascii="Times New Roman" w:hAnsi="Times New Roman" w:cs="Times New Roman"/>
          <w:sz w:val="24"/>
          <w:szCs w:val="24"/>
        </w:rPr>
        <w:t>Overall, telehealth is a successful NHS innovation, utilising technology, creativity and a patient-centred approach to increase access, enhance efficiency, quality of care and create value for the patient and the health service organisation.</w:t>
      </w:r>
    </w:p>
    <w:p w14:paraId="0E55DE8A" w14:textId="77777777" w:rsidR="00FC1053" w:rsidRDefault="00AE511F">
      <w:pPr>
        <w:pStyle w:val="Heading1"/>
        <w:spacing w:line="48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Task 4 – Research Task</w:t>
      </w:r>
    </w:p>
    <w:p w14:paraId="0F47145A" w14:textId="77777777" w:rsidR="00FC1053" w:rsidRDefault="00AE511F">
      <w:pPr>
        <w:spacing w:line="480" w:lineRule="auto"/>
        <w:jc w:val="both"/>
        <w:rPr>
          <w:rFonts w:ascii="Times New Roman" w:hAnsi="Times New Roman" w:cs="Times New Roman"/>
          <w:sz w:val="24"/>
          <w:szCs w:val="24"/>
        </w:rPr>
      </w:pPr>
      <w:r>
        <w:rPr>
          <w:rFonts w:ascii="Times New Roman" w:hAnsi="Times New Roman" w:cs="Times New Roman"/>
          <w:sz w:val="24"/>
          <w:szCs w:val="24"/>
        </w:rPr>
        <w:t>Current Issue: Remote Workers access to Mental Health Support.</w:t>
      </w:r>
    </w:p>
    <w:p w14:paraId="34E4675C" w14:textId="77777777" w:rsidR="00FC1053" w:rsidRDefault="00AE511F">
      <w:pPr>
        <w:spacing w:line="480" w:lineRule="auto"/>
        <w:jc w:val="both"/>
      </w:pPr>
      <w:r>
        <w:rPr>
          <w:rFonts w:ascii="Times New Roman" w:hAnsi="Times New Roman" w:cs="Times New Roman"/>
          <w:sz w:val="24"/>
          <w:szCs w:val="24"/>
        </w:rPr>
        <w:t>Research Article 1:</w:t>
      </w:r>
    </w:p>
    <w:p w14:paraId="395E03C6" w14:textId="77777777" w:rsidR="00FC1053" w:rsidRDefault="00AE511F">
      <w:pPr>
        <w:spacing w:line="480" w:lineRule="auto"/>
        <w:jc w:val="both"/>
        <w:rPr>
          <w:rFonts w:ascii="Times New Roman" w:hAnsi="Times New Roman" w:cs="Times New Roman"/>
          <w:sz w:val="24"/>
          <w:szCs w:val="24"/>
        </w:rPr>
      </w:pPr>
      <w:r>
        <w:rPr>
          <w:rFonts w:ascii="Times New Roman" w:hAnsi="Times New Roman" w:cs="Times New Roman"/>
          <w:sz w:val="24"/>
          <w:szCs w:val="24"/>
        </w:rPr>
        <w:t>Korkmaz, Şimşek and Şahin (2025) explored the impact of emotional regulation problems on mental health and loneliness among telecommuters. The researchers discovered that working remotely can lead to increased feelings of isolation, which can be a major source of anxiety, stress and depression. Some of the social factors that affect mental wellbeing are highlighted by the study – limited social interaction and lack of support networks in the workplace.</w:t>
      </w:r>
    </w:p>
    <w:p w14:paraId="66C3841E" w14:textId="77777777" w:rsidR="00FC1053" w:rsidRDefault="00AE511F">
      <w:pPr>
        <w:spacing w:line="480" w:lineRule="auto"/>
        <w:jc w:val="both"/>
        <w:rPr>
          <w:rFonts w:ascii="Times New Roman" w:hAnsi="Times New Roman" w:cs="Times New Roman"/>
          <w:sz w:val="24"/>
          <w:szCs w:val="24"/>
        </w:rPr>
      </w:pPr>
      <w:r>
        <w:rPr>
          <w:rFonts w:ascii="Times New Roman" w:hAnsi="Times New Roman" w:cs="Times New Roman"/>
          <w:sz w:val="24"/>
          <w:szCs w:val="24"/>
        </w:rPr>
        <w:t>Research Article 2:</w:t>
      </w:r>
    </w:p>
    <w:p w14:paraId="75B04DC9" w14:textId="77777777" w:rsidR="00FC1053" w:rsidRDefault="00AE511F">
      <w:pPr>
        <w:spacing w:line="480" w:lineRule="auto"/>
        <w:jc w:val="both"/>
        <w:rPr>
          <w:rFonts w:ascii="Times New Roman" w:hAnsi="Times New Roman" w:cs="Times New Roman"/>
          <w:sz w:val="24"/>
          <w:szCs w:val="24"/>
        </w:rPr>
      </w:pPr>
      <w:r>
        <w:rPr>
          <w:rFonts w:ascii="Times New Roman" w:hAnsi="Times New Roman" w:cs="Times New Roman"/>
          <w:sz w:val="24"/>
          <w:szCs w:val="24"/>
        </w:rPr>
        <w:t>Bond et al. (2023) made a study on the digital transformation of mental health services. The study found that there was a greater need for mental health help, and that there were issues with stigma, lack of access to mental health services, and long waiting lists for mental health services. The authors found that digital platforms could be used to support access to support, as it provides the opportunity for interventions to be timely, accessible and less geographically restrictive. They also identified iss</w:t>
      </w:r>
      <w:r>
        <w:rPr>
          <w:rFonts w:ascii="Times New Roman" w:hAnsi="Times New Roman" w:cs="Times New Roman"/>
          <w:sz w:val="24"/>
          <w:szCs w:val="24"/>
        </w:rPr>
        <w:t>ues around digital inclusion and privacy issues. The study raised awareness around the increasing need for innovative digital solutions to address the unmet mental health needs</w:t>
      </w:r>
      <w:r>
        <w:rPr>
          <w:rFonts w:ascii="Times New Roman" w:hAnsi="Times New Roman" w:cs="Times New Roman"/>
          <w:sz w:val="24"/>
          <w:szCs w:val="24"/>
        </w:rPr>
        <w:t xml:space="preserve"> ( </w:t>
      </w:r>
      <w:r>
        <w:rPr>
          <w:rFonts w:ascii="Times New Roman" w:eastAsia="SimSun" w:hAnsi="Times New Roman" w:cs="Times New Roman"/>
          <w:color w:val="222222"/>
          <w:sz w:val="24"/>
          <w:szCs w:val="24"/>
          <w:shd w:val="clear" w:color="FFFFFF" w:fill="FFFFFF"/>
        </w:rPr>
        <w:t>Campos et al.,2004)</w:t>
      </w:r>
      <w:r>
        <w:rPr>
          <w:rFonts w:ascii="Times New Roman" w:hAnsi="Times New Roman" w:cs="Times New Roman"/>
          <w:sz w:val="24"/>
          <w:szCs w:val="24"/>
        </w:rPr>
        <w:t>.</w:t>
      </w:r>
    </w:p>
    <w:p w14:paraId="07A4FE86" w14:textId="77777777" w:rsidR="00FC1053" w:rsidRDefault="00AE511F">
      <w:pPr>
        <w:spacing w:line="480" w:lineRule="auto"/>
        <w:jc w:val="both"/>
        <w:rPr>
          <w:rFonts w:ascii="Times New Roman" w:hAnsi="Times New Roman" w:cs="Times New Roman"/>
          <w:sz w:val="24"/>
          <w:szCs w:val="24"/>
        </w:rPr>
      </w:pPr>
      <w:r>
        <w:rPr>
          <w:rFonts w:ascii="Times New Roman" w:hAnsi="Times New Roman" w:cs="Times New Roman"/>
          <w:sz w:val="24"/>
          <w:szCs w:val="24"/>
        </w:rPr>
        <w:t>All these studies speak to the social isolation, distance to regular services, and rising need for service among remote workers, and how this can affect mental health. The findings underscore the need for creative solutions to help address accessible, personalized, and preventive care for mental health, such as digital mental health platforms.</w:t>
      </w:r>
    </w:p>
    <w:p w14:paraId="5FC520BC" w14:textId="77777777" w:rsidR="00FC1053" w:rsidRDefault="00FC1053">
      <w:pPr>
        <w:spacing w:line="480" w:lineRule="auto"/>
        <w:jc w:val="both"/>
        <w:rPr>
          <w:rFonts w:ascii="Times New Roman" w:hAnsi="Times New Roman" w:cs="Times New Roman"/>
          <w:sz w:val="24"/>
          <w:szCs w:val="24"/>
        </w:rPr>
      </w:pPr>
    </w:p>
    <w:p w14:paraId="2885C622" w14:textId="77777777" w:rsidR="00FC1053" w:rsidRDefault="00AE511F">
      <w:pPr>
        <w:pStyle w:val="Heading1"/>
        <w:spacing w:line="48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Task 5 – Podcast </w:t>
      </w:r>
    </w:p>
    <w:p w14:paraId="2F0EC72A" w14:textId="77777777" w:rsidR="00FC1053" w:rsidRDefault="00AE511F">
      <w:pPr>
        <w:spacing w:line="480" w:lineRule="auto"/>
        <w:jc w:val="center"/>
        <w:rPr>
          <w:rFonts w:ascii="Times New Roman" w:hAnsi="Times New Roman" w:cs="Times New Roman"/>
          <w:sz w:val="24"/>
          <w:szCs w:val="24"/>
        </w:rPr>
      </w:pPr>
      <w:r>
        <w:rPr>
          <w:rFonts w:ascii="Times New Roman" w:hAnsi="Times New Roman" w:cs="Times New Roman"/>
          <w:noProof/>
          <w:sz w:val="24"/>
          <w:szCs w:val="24"/>
        </w:rPr>
      </w:r>
      <w:r w:rsidR="00AE511F">
        <w:rPr>
          <w:rFonts w:ascii="Times New Roman" w:hAnsi="Times New Roman" w:cs="Times New Roman"/>
          <w:noProof/>
          <w:sz w:val="24"/>
          <w:szCs w:val="24"/>
        </w:rPr>
        <w:object w:dxaOrig="1455" w:dyaOrig="13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1027" o:spid="_x0000_i1025" type="#_x0000_t75" style="width:72.7pt;height:65.95pt;visibility:visible;mso-wrap-distance-left:0;mso-wrap-distance-right:0" o:ole="">
            <v:imagedata r:id="rId7" o:title="" embosscolor="white"/>
          </v:shape>
          <o:OLEObject Type="Embed" ProgID="Package" ShapeID="1027" DrawAspect="Icon" ObjectID="_1843808303" r:id="rId8"/>
        </w:object>
      </w:r>
    </w:p>
    <w:p w14:paraId="64FB74AA" w14:textId="77777777" w:rsidR="00FC1053" w:rsidRDefault="00AE511F">
      <w:pPr>
        <w:pStyle w:val="Heading1"/>
        <w:spacing w:line="48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Task 6 – NHS Leadership Framework Analysis</w:t>
      </w:r>
    </w:p>
    <w:p w14:paraId="1DB798DE" w14:textId="77777777" w:rsidR="00FC1053" w:rsidRDefault="00AE511F">
      <w:pPr>
        <w:spacing w:line="480" w:lineRule="auto"/>
        <w:jc w:val="both"/>
        <w:rPr>
          <w:rFonts w:ascii="Times New Roman" w:hAnsi="Times New Roman" w:cs="Times New Roman"/>
          <w:sz w:val="24"/>
          <w:szCs w:val="24"/>
        </w:rPr>
      </w:pPr>
      <w:r>
        <w:rPr>
          <w:rFonts w:ascii="Times New Roman" w:hAnsi="Times New Roman" w:cs="Times New Roman"/>
          <w:sz w:val="24"/>
          <w:szCs w:val="24"/>
        </w:rPr>
        <w:t>The NHS Leadership Framework sets out behaviours and competencies needed for good leadership within health and social care organisations. Elements are: Demonstrate personal qualities, Team working, Manage services, Improve services and Develop vision and strategy. Patient centredness, working together, continuous improvement and innovation are some of the principles of the framework. Good leadership helps organisations to meet healthcare needs, maintaining quality and safety</w:t>
      </w:r>
      <w:r>
        <w:rPr>
          <w:rFonts w:ascii="Times New Roman" w:hAnsi="Times New Roman" w:cs="Times New Roman"/>
          <w:sz w:val="24"/>
          <w:szCs w:val="24"/>
        </w:rPr>
        <w:t xml:space="preserve"> (</w:t>
      </w:r>
      <w:r>
        <w:rPr>
          <w:rFonts w:ascii="Times New Roman" w:eastAsia="SimSun" w:hAnsi="Times New Roman" w:cs="Times New Roman"/>
          <w:color w:val="222222"/>
          <w:sz w:val="24"/>
          <w:szCs w:val="24"/>
          <w:shd w:val="clear" w:color="auto" w:fill="FFFFFF"/>
        </w:rPr>
        <w:t>Kline</w:t>
      </w:r>
      <w:r>
        <w:rPr>
          <w:rFonts w:ascii="Times New Roman" w:eastAsia="SimSun" w:hAnsi="Times New Roman" w:cs="Times New Roman"/>
          <w:color w:val="222222"/>
          <w:sz w:val="24"/>
          <w:szCs w:val="24"/>
          <w:shd w:val="clear" w:color="auto" w:fill="FFFFFF"/>
        </w:rPr>
        <w:t xml:space="preserve"> 2019)</w:t>
      </w:r>
      <w:r>
        <w:rPr>
          <w:rFonts w:ascii="Times New Roman" w:hAnsi="Times New Roman" w:cs="Times New Roman"/>
          <w:sz w:val="24"/>
          <w:szCs w:val="24"/>
        </w:rPr>
        <w:t>.</w:t>
      </w:r>
    </w:p>
    <w:p w14:paraId="277040D6" w14:textId="77777777" w:rsidR="00FC1053" w:rsidRDefault="00AE511F">
      <w:pPr>
        <w:spacing w:line="480" w:lineRule="auto"/>
        <w:jc w:val="both"/>
        <w:rPr>
          <w:rFonts w:ascii="Times New Roman" w:hAnsi="Times New Roman" w:cs="Times New Roman"/>
          <w:sz w:val="24"/>
          <w:szCs w:val="24"/>
        </w:rPr>
      </w:pPr>
      <w:r>
        <w:rPr>
          <w:rFonts w:ascii="Times New Roman" w:hAnsi="Times New Roman" w:cs="Times New Roman"/>
          <w:sz w:val="24"/>
          <w:szCs w:val="24"/>
        </w:rPr>
        <w:t>Selected Component: Improving Services</w:t>
      </w:r>
    </w:p>
    <w:p w14:paraId="18741076" w14:textId="77777777" w:rsidR="00FC1053" w:rsidRDefault="00AE511F">
      <w:pPr>
        <w:spacing w:line="480" w:lineRule="auto"/>
        <w:jc w:val="both"/>
        <w:rPr>
          <w:rFonts w:ascii="Times New Roman" w:hAnsi="Times New Roman" w:cs="Times New Roman"/>
          <w:sz w:val="24"/>
          <w:szCs w:val="24"/>
        </w:rPr>
      </w:pPr>
      <w:r>
        <w:rPr>
          <w:rFonts w:ascii="Times New Roman" w:hAnsi="Times New Roman" w:cs="Times New Roman"/>
          <w:sz w:val="24"/>
          <w:szCs w:val="24"/>
        </w:rPr>
        <w:t>Support for new ideas and fostering a culture of innovation in the ‘Improving Services' component facilitates innovation and creativity in the school</w:t>
      </w:r>
      <w:r>
        <w:rPr>
          <w:rFonts w:ascii="Times New Roman" w:hAnsi="Times New Roman" w:cs="Times New Roman"/>
          <w:sz w:val="24"/>
          <w:szCs w:val="24"/>
        </w:rPr>
        <w:t xml:space="preserve"> ( </w:t>
      </w:r>
      <w:r>
        <w:rPr>
          <w:rFonts w:ascii="Times New Roman" w:eastAsia="SimSun" w:hAnsi="Times New Roman" w:cs="Times New Roman"/>
          <w:color w:val="222222"/>
          <w:sz w:val="24"/>
          <w:szCs w:val="24"/>
          <w:shd w:val="clear" w:color="FFFFFF" w:fill="FFFFFF"/>
        </w:rPr>
        <w:t>Gross et al.,2015)</w:t>
      </w:r>
      <w:r>
        <w:rPr>
          <w:rFonts w:ascii="Times New Roman" w:hAnsi="Times New Roman" w:cs="Times New Roman"/>
          <w:sz w:val="24"/>
          <w:szCs w:val="24"/>
        </w:rPr>
        <w:t xml:space="preserve">. </w:t>
      </w:r>
    </w:p>
    <w:p w14:paraId="37A8339E" w14:textId="77777777" w:rsidR="00FC1053" w:rsidRDefault="00AE511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For instance, a leader can ask employees to recognize obstacles that are impacting patient care and engage in the problem-solving process for solutions. This could include telehealth technology, adding digital monitoring or optimizing patient workflows. </w:t>
      </w:r>
      <w:r>
        <w:rPr>
          <w:rFonts w:ascii="Times New Roman" w:hAnsi="Times New Roman" w:cs="Times New Roman"/>
          <w:sz w:val="24"/>
          <w:szCs w:val="24"/>
        </w:rPr>
        <w:t>Staff are involved in decision making and encouraged to try new things, so that a culture of appreciating creativity is fostered. These can increase efficiency, better patient experience and create better health outcomes. Sustained learning and reflection also can facilitate team members identifying opportunities for sustainable change and improvement</w:t>
      </w:r>
      <w:r>
        <w:rPr>
          <w:rFonts w:ascii="Times New Roman" w:hAnsi="Times New Roman" w:cs="Times New Roman"/>
          <w:sz w:val="24"/>
          <w:szCs w:val="24"/>
        </w:rPr>
        <w:t xml:space="preserve"> (</w:t>
      </w:r>
      <w:r>
        <w:rPr>
          <w:rFonts w:ascii="Times New Roman" w:eastAsia="SimSun" w:hAnsi="Times New Roman" w:cs="Times New Roman"/>
          <w:color w:val="222222"/>
          <w:sz w:val="24"/>
          <w:szCs w:val="24"/>
          <w:shd w:val="clear" w:color="FFFFFF" w:fill="FFFFFF"/>
        </w:rPr>
        <w:t>Osborn et al., 2022)</w:t>
      </w:r>
      <w:r>
        <w:rPr>
          <w:rFonts w:ascii="Times New Roman" w:hAnsi="Times New Roman" w:cs="Times New Roman"/>
          <w:sz w:val="24"/>
          <w:szCs w:val="24"/>
        </w:rPr>
        <w:t>.</w:t>
      </w:r>
    </w:p>
    <w:p w14:paraId="4AD10971" w14:textId="77777777" w:rsidR="00FC1053" w:rsidRDefault="00AE511F">
      <w:pPr>
        <w:pStyle w:val="Heading1"/>
        <w:spacing w:line="480" w:lineRule="auto"/>
        <w:jc w:val="both"/>
      </w:pPr>
      <w:r>
        <w:rPr>
          <w:rFonts w:ascii="Times New Roman" w:hAnsi="Times New Roman" w:cs="Times New Roman"/>
          <w:color w:val="auto"/>
          <w:sz w:val="24"/>
          <w:szCs w:val="24"/>
        </w:rPr>
        <w:t>Task 7 – Self-Reflection Journal Entry</w:t>
      </w:r>
    </w:p>
    <w:p w14:paraId="5064141C" w14:textId="77777777" w:rsidR="00FC1053" w:rsidRDefault="00AE511F">
      <w:pPr>
        <w:spacing w:line="480" w:lineRule="auto"/>
        <w:jc w:val="both"/>
        <w:rPr>
          <w:rFonts w:ascii="Times New Roman" w:hAnsi="Times New Roman" w:cs="Times New Roman"/>
          <w:sz w:val="24"/>
          <w:szCs w:val="24"/>
        </w:rPr>
      </w:pPr>
      <w:r>
        <w:rPr>
          <w:rFonts w:ascii="Times New Roman" w:hAnsi="Times New Roman" w:cs="Times New Roman"/>
          <w:sz w:val="24"/>
          <w:szCs w:val="24"/>
        </w:rPr>
        <w:t>I have gained an increased understanding of the role of creativity in adding value in health and social care throughout this module. At first, I saw creativity as only an approach to idea generation.</w:t>
      </w:r>
      <w:r>
        <w:rPr>
          <w:rFonts w:ascii="Times New Roman" w:hAnsi="Times New Roman" w:cs="Times New Roman"/>
          <w:sz w:val="24"/>
          <w:szCs w:val="24"/>
        </w:rPr>
        <w:t>However, I now understand that creativity also involves solving problems, improving services and creating meaningful outcomes for patients and communities.</w:t>
      </w:r>
      <w:r>
        <w:rPr>
          <w:rFonts w:ascii="Times New Roman" w:hAnsi="Times New Roman" w:cs="Times New Roman"/>
          <w:sz w:val="24"/>
          <w:szCs w:val="24"/>
        </w:rPr>
        <w:br/>
        <w:t xml:space="preserve">Learning about NHS innovation highlighted the importance of balancing creativity with evidence-based practice. </w:t>
      </w:r>
      <w:r>
        <w:rPr>
          <w:rFonts w:ascii="Times New Roman" w:hAnsi="Times New Roman" w:cs="Times New Roman"/>
          <w:sz w:val="24"/>
          <w:szCs w:val="24"/>
        </w:rPr>
        <w:t xml:space="preserve">The module highlighted the opportunities of using technologies like telehealth, AI, and digital mental health platforms to enhance access to care, and to tackle resource issues. </w:t>
      </w:r>
      <w:r>
        <w:rPr>
          <w:rFonts w:ascii="Times New Roman" w:hAnsi="Times New Roman" w:cs="Times New Roman"/>
          <w:sz w:val="24"/>
          <w:szCs w:val="24"/>
        </w:rPr>
        <w:t>I also gained insight into the role of leadership in encouraging innovation and supporting continuous improvement</w:t>
      </w:r>
      <w:r>
        <w:rPr>
          <w:rFonts w:ascii="Times New Roman" w:hAnsi="Times New Roman" w:cs="Times New Roman"/>
          <w:sz w:val="24"/>
          <w:szCs w:val="24"/>
        </w:rPr>
        <w:t xml:space="preserve"> (</w:t>
      </w:r>
      <w:r>
        <w:rPr>
          <w:rFonts w:ascii="Times New Roman" w:hAnsi="Times New Roman" w:cs="Times New Roman"/>
          <w:sz w:val="24"/>
          <w:szCs w:val="24"/>
        </w:rPr>
        <w:t xml:space="preserve">Olawade </w:t>
      </w:r>
      <w:r>
        <w:rPr>
          <w:rFonts w:ascii="Times New Roman" w:hAnsi="Times New Roman" w:cs="Times New Roman"/>
          <w:sz w:val="24"/>
          <w:szCs w:val="24"/>
        </w:rPr>
        <w:t>et al.,</w:t>
      </w:r>
      <w:r>
        <w:rPr>
          <w:rFonts w:ascii="Times New Roman" w:hAnsi="Times New Roman" w:cs="Times New Roman"/>
          <w:sz w:val="24"/>
          <w:szCs w:val="24"/>
        </w:rPr>
        <w:t>2024)</w:t>
      </w:r>
      <w:r>
        <w:rPr>
          <w:rFonts w:ascii="Times New Roman" w:hAnsi="Times New Roman" w:cs="Times New Roman"/>
          <w:sz w:val="24"/>
          <w:szCs w:val="24"/>
        </w:rPr>
        <w:t xml:space="preserve"> </w:t>
      </w:r>
      <w:r>
        <w:rPr>
          <w:rFonts w:ascii="Times New Roman" w:hAnsi="Times New Roman" w:cs="Times New Roman"/>
          <w:sz w:val="24"/>
          <w:szCs w:val="24"/>
        </w:rPr>
        <w:t>.</w:t>
      </w:r>
      <w:r>
        <w:rPr>
          <w:rFonts w:ascii="Times New Roman" w:hAnsi="Times New Roman" w:cs="Times New Roman"/>
          <w:sz w:val="24"/>
          <w:szCs w:val="24"/>
        </w:rPr>
        <w:br/>
      </w:r>
      <w:r>
        <w:rPr>
          <w:rFonts w:ascii="Times New Roman" w:hAnsi="Times New Roman" w:cs="Times New Roman"/>
          <w:sz w:val="24"/>
          <w:szCs w:val="24"/>
        </w:rPr>
        <w:t>The group activities and reflective exercises helped me appreciate the importance of collaboration, communication and critical thinking. I learned that innovative solutions are often developed through teamwork and diverse perspectives.</w:t>
      </w:r>
      <w:r>
        <w:rPr>
          <w:rFonts w:ascii="Times New Roman" w:hAnsi="Times New Roman" w:cs="Times New Roman"/>
          <w:sz w:val="24"/>
          <w:szCs w:val="24"/>
        </w:rPr>
        <w:br/>
      </w:r>
      <w:r>
        <w:rPr>
          <w:rFonts w:ascii="Times New Roman" w:hAnsi="Times New Roman" w:cs="Times New Roman"/>
          <w:sz w:val="24"/>
          <w:szCs w:val="24"/>
        </w:rPr>
        <w:t>This knowledge has informed my professional development by encouraging me to adopt a more creative and patient-centred approach to problem-solving.Moving forward in health and social care practice, I will be able to recognise opportunities for improvement and be able to contribute to innovative solutions that have a positive value to patients, service users and health and social care organisations.</w:t>
      </w:r>
    </w:p>
    <w:p w14:paraId="2A644AC4" w14:textId="77777777" w:rsidR="00FC1053" w:rsidRDefault="00FC1053">
      <w:pPr>
        <w:spacing w:line="480" w:lineRule="auto"/>
        <w:jc w:val="both"/>
      </w:pPr>
    </w:p>
    <w:p w14:paraId="64951DD0" w14:textId="77777777" w:rsidR="00FC1053" w:rsidRDefault="00FC1053">
      <w:pPr>
        <w:spacing w:line="480" w:lineRule="auto"/>
        <w:jc w:val="both"/>
      </w:pPr>
    </w:p>
    <w:p w14:paraId="47A5A1E2" w14:textId="77777777" w:rsidR="00FC1053" w:rsidRDefault="00FC1053">
      <w:pPr>
        <w:spacing w:line="480" w:lineRule="auto"/>
        <w:jc w:val="both"/>
      </w:pPr>
    </w:p>
    <w:p w14:paraId="38403577" w14:textId="77777777" w:rsidR="00FC1053" w:rsidRDefault="00FC1053">
      <w:pPr>
        <w:spacing w:line="480" w:lineRule="auto"/>
        <w:jc w:val="both"/>
      </w:pPr>
    </w:p>
    <w:p w14:paraId="124FF252" w14:textId="77777777" w:rsidR="00FC1053" w:rsidRDefault="00FC1053">
      <w:pPr>
        <w:spacing w:line="480" w:lineRule="auto"/>
        <w:jc w:val="both"/>
      </w:pPr>
    </w:p>
    <w:p w14:paraId="200FF055" w14:textId="77777777" w:rsidR="00FC1053" w:rsidRDefault="00FC1053">
      <w:pPr>
        <w:spacing w:line="480" w:lineRule="auto"/>
        <w:jc w:val="both"/>
      </w:pPr>
    </w:p>
    <w:p w14:paraId="1E83BDBB" w14:textId="77777777" w:rsidR="00FC1053" w:rsidRDefault="00FC1053">
      <w:pPr>
        <w:spacing w:line="480" w:lineRule="auto"/>
        <w:jc w:val="both"/>
      </w:pPr>
    </w:p>
    <w:p w14:paraId="3F126209" w14:textId="77777777" w:rsidR="00FC1053" w:rsidRDefault="00AE511F">
      <w:pPr>
        <w:pStyle w:val="Heading1"/>
        <w:spacing w:line="480" w:lineRule="auto"/>
        <w:jc w:val="both"/>
        <w:rPr>
          <w:rFonts w:ascii="Times New Roman" w:hAnsi="Times New Roman" w:cs="Times New Roman"/>
          <w:color w:val="auto"/>
        </w:rPr>
      </w:pPr>
      <w:r>
        <w:rPr>
          <w:rFonts w:ascii="Times New Roman" w:hAnsi="Times New Roman" w:cs="Times New Roman"/>
          <w:color w:val="auto"/>
        </w:rPr>
        <w:t>Reference List</w:t>
      </w:r>
    </w:p>
    <w:p w14:paraId="3F47C877" w14:textId="77777777" w:rsidR="00FC1053" w:rsidRDefault="00AE511F">
      <w:pPr>
        <w:spacing w:line="480" w:lineRule="auto"/>
        <w:jc w:val="both"/>
        <w:rPr>
          <w:rFonts w:ascii="Times New Roman" w:eastAsia="SimSun" w:hAnsi="Times New Roman" w:cs="Times New Roman"/>
          <w:color w:val="222222"/>
          <w:sz w:val="24"/>
          <w:szCs w:val="24"/>
          <w:shd w:val="clear" w:color="auto" w:fill="FFFFFF"/>
        </w:rPr>
      </w:pPr>
      <w:r>
        <w:rPr>
          <w:rFonts w:ascii="Times New Roman" w:hAnsi="Times New Roman" w:cs="Times New Roman"/>
        </w:rPr>
        <w:br/>
      </w:r>
      <w:r>
        <w:rPr>
          <w:rFonts w:ascii="Times New Roman" w:eastAsia="SimSun" w:hAnsi="Times New Roman" w:cs="Times New Roman"/>
          <w:color w:val="222222"/>
          <w:sz w:val="24"/>
          <w:szCs w:val="24"/>
          <w:shd w:val="clear" w:color="auto" w:fill="FFFFFF"/>
        </w:rPr>
        <w:t>Bond, R. R., Mulvenna, M. D., Potts, C., O’Neill, S., Ennis, E., &amp; Torous, J. (2023). Digital transformation of mental health services. </w:t>
      </w:r>
      <w:r>
        <w:rPr>
          <w:rFonts w:ascii="Times New Roman" w:eastAsia="SimSun" w:hAnsi="Times New Roman" w:cs="Times New Roman"/>
          <w:i/>
          <w:iCs/>
          <w:color w:val="222222"/>
          <w:sz w:val="24"/>
          <w:szCs w:val="24"/>
          <w:shd w:val="clear" w:color="auto" w:fill="FFFFFF"/>
        </w:rPr>
        <w:t>Npj Mental Health Research</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2</w:t>
      </w:r>
      <w:r>
        <w:rPr>
          <w:rFonts w:ascii="Times New Roman" w:eastAsia="SimSun" w:hAnsi="Times New Roman" w:cs="Times New Roman"/>
          <w:color w:val="222222"/>
          <w:sz w:val="24"/>
          <w:szCs w:val="24"/>
          <w:shd w:val="clear" w:color="auto" w:fill="FFFFFF"/>
        </w:rPr>
        <w:t>(1), 13.</w:t>
      </w:r>
    </w:p>
    <w:p w14:paraId="3FE244DD" w14:textId="77777777" w:rsidR="00FC1053" w:rsidRDefault="00AE511F">
      <w:pPr>
        <w:spacing w:line="480" w:lineRule="auto"/>
        <w:jc w:val="both"/>
        <w:rPr>
          <w:rFonts w:ascii="Times New Roman" w:eastAsia="SimSun" w:hAnsi="Times New Roman" w:cs="Times New Roman"/>
          <w:color w:val="222222"/>
          <w:sz w:val="24"/>
          <w:szCs w:val="24"/>
          <w:shd w:val="clear" w:color="auto" w:fill="FFFFFF"/>
        </w:rPr>
      </w:pPr>
      <w:r>
        <w:rPr>
          <w:rFonts w:ascii="Times New Roman" w:hAnsi="Times New Roman" w:cs="Times New Roman"/>
          <w:sz w:val="24"/>
          <w:szCs w:val="24"/>
        </w:rPr>
        <w:t xml:space="preserve">Gibbs, G. (1988) Learning by Doing: </w:t>
      </w:r>
      <w:r>
        <w:rPr>
          <w:rFonts w:ascii="Times New Roman" w:hAnsi="Times New Roman" w:cs="Times New Roman"/>
          <w:i/>
          <w:iCs/>
          <w:sz w:val="24"/>
          <w:szCs w:val="24"/>
        </w:rPr>
        <w:t>A Guide to Teaching and Learning Methods</w:t>
      </w:r>
      <w:r>
        <w:rPr>
          <w:rFonts w:ascii="Times New Roman" w:hAnsi="Times New Roman" w:cs="Times New Roman"/>
          <w:sz w:val="24"/>
          <w:szCs w:val="24"/>
        </w:rPr>
        <w:t>.</w:t>
      </w:r>
      <w:r>
        <w:rPr>
          <w:rFonts w:ascii="Times New Roman" w:hAnsi="Times New Roman" w:cs="Times New Roman"/>
          <w:sz w:val="24"/>
          <w:szCs w:val="24"/>
        </w:rPr>
        <w:br/>
        <w:t xml:space="preserve">Korkmaz, U., Şimşek, M.H. and Şahin, Ö.F. (2025) </w:t>
      </w:r>
      <w:r>
        <w:rPr>
          <w:rFonts w:ascii="Times New Roman" w:hAnsi="Times New Roman" w:cs="Times New Roman"/>
          <w:i/>
          <w:iCs/>
          <w:sz w:val="24"/>
          <w:szCs w:val="24"/>
        </w:rPr>
        <w:t>The effect of emotion regulation difficulties and loneliness on anxiety, depression and stress levels in remote workers</w:t>
      </w:r>
      <w:r>
        <w:rPr>
          <w:rFonts w:ascii="Times New Roman" w:hAnsi="Times New Roman" w:cs="Times New Roman"/>
          <w:sz w:val="24"/>
          <w:szCs w:val="24"/>
        </w:rPr>
        <w:t>.</w:t>
      </w:r>
      <w:r>
        <w:rPr>
          <w:rFonts w:ascii="Times New Roman" w:hAnsi="Times New Roman" w:cs="Times New Roman"/>
          <w:sz w:val="24"/>
          <w:szCs w:val="24"/>
        </w:rPr>
        <w:br/>
      </w:r>
      <w:r>
        <w:rPr>
          <w:rFonts w:ascii="Times New Roman" w:eastAsia="SimSun" w:hAnsi="Times New Roman" w:cs="Times New Roman"/>
          <w:color w:val="222222"/>
          <w:sz w:val="24"/>
          <w:szCs w:val="24"/>
          <w:shd w:val="clear" w:color="auto" w:fill="FFFFFF"/>
        </w:rPr>
        <w:t>Kline, R. (2019). Leadership in the NHS. </w:t>
      </w:r>
      <w:r>
        <w:rPr>
          <w:rFonts w:ascii="Times New Roman" w:eastAsia="SimSun" w:hAnsi="Times New Roman" w:cs="Times New Roman"/>
          <w:i/>
          <w:iCs/>
          <w:color w:val="222222"/>
          <w:sz w:val="24"/>
          <w:szCs w:val="24"/>
          <w:shd w:val="clear" w:color="auto" w:fill="FFFFFF"/>
        </w:rPr>
        <w:t>BMJ Leader</w:t>
      </w:r>
      <w:r>
        <w:rPr>
          <w:rFonts w:ascii="Times New Roman" w:eastAsia="SimSun" w:hAnsi="Times New Roman" w:cs="Times New Roman"/>
          <w:color w:val="222222"/>
          <w:sz w:val="24"/>
          <w:szCs w:val="24"/>
          <w:shd w:val="clear" w:color="auto" w:fill="FFFFFF"/>
        </w:rPr>
        <w:t>, leader-2019.</w:t>
      </w:r>
      <w:r>
        <w:rPr>
          <w:rFonts w:ascii="Times New Roman" w:hAnsi="Times New Roman" w:cs="Times New Roman"/>
          <w:sz w:val="24"/>
          <w:szCs w:val="24"/>
        </w:rPr>
        <w:br/>
      </w:r>
      <w:r>
        <w:rPr>
          <w:rFonts w:ascii="Times New Roman" w:eastAsia="SimSun" w:hAnsi="Times New Roman" w:cs="Times New Roman"/>
          <w:color w:val="222222"/>
          <w:sz w:val="24"/>
          <w:szCs w:val="24"/>
          <w:shd w:val="clear" w:color="auto" w:fill="FFFFFF"/>
        </w:rPr>
        <w:t>Olawade, D. B., Wada, O. Z., Odetayo, A., David-Olawade, A. C., Asaolu, F., &amp; Eberhardt, J. (2024). Enhancing mental health with Artificial Intelligence: Current trends and future prospects. </w:t>
      </w:r>
      <w:r>
        <w:rPr>
          <w:rFonts w:ascii="Times New Roman" w:eastAsia="SimSun" w:hAnsi="Times New Roman" w:cs="Times New Roman"/>
          <w:i/>
          <w:iCs/>
          <w:color w:val="222222"/>
          <w:sz w:val="24"/>
          <w:szCs w:val="24"/>
          <w:shd w:val="clear" w:color="auto" w:fill="FFFFFF"/>
        </w:rPr>
        <w:t>Journal of medicine, surgery, and public health</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3</w:t>
      </w:r>
      <w:r>
        <w:rPr>
          <w:rFonts w:ascii="Times New Roman" w:eastAsia="SimSun" w:hAnsi="Times New Roman" w:cs="Times New Roman"/>
          <w:color w:val="222222"/>
          <w:sz w:val="24"/>
          <w:szCs w:val="24"/>
          <w:shd w:val="clear" w:color="auto" w:fill="FFFFFF"/>
        </w:rPr>
        <w:t>, 100099.</w:t>
      </w:r>
    </w:p>
    <w:p w14:paraId="66789EA3" w14:textId="77777777" w:rsidR="00FC1053" w:rsidRDefault="00AE511F">
      <w:pPr>
        <w:spacing w:line="48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Osborn, T. G., Li, S., Saunders, R., &amp; Fonagy, P. (2022). University students’ use of mental health services: a systematic review and meta-analysis. International journal of mental health systems, 16(1), 57.</w:t>
      </w:r>
    </w:p>
    <w:p w14:paraId="3C6AB093" w14:textId="77777777" w:rsidR="00FC1053" w:rsidRDefault="00AE511F">
      <w:pPr>
        <w:spacing w:line="48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Gross, J. J. (2015). Emotion regulation: Current status and future prospects. Psychological inquiry, 26(1), 1-26.</w:t>
      </w:r>
    </w:p>
    <w:p w14:paraId="6404DDAD" w14:textId="77777777" w:rsidR="00FC1053" w:rsidRDefault="00AE511F">
      <w:pPr>
        <w:spacing w:line="48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Campos, J. J., Frankel, C. B., &amp; Camras, L. (2004). On the nature of emotion regulation. Child development, 75(2), 377-394.</w:t>
      </w:r>
    </w:p>
    <w:p w14:paraId="29B933BB" w14:textId="77777777" w:rsidR="00FC1053" w:rsidRDefault="00AE511F">
      <w:pPr>
        <w:spacing w:line="48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Thakkar, A., Gupta, A., &amp; De Sousa, A. (2024). Artificial intelligence in positive mental health: a narrative review. Frontiers in digital health, 6, 1280235.</w:t>
      </w:r>
    </w:p>
    <w:p w14:paraId="41024667" w14:textId="77777777" w:rsidR="00FC1053" w:rsidRDefault="00AE511F">
      <w:pPr>
        <w:spacing w:line="48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Tornero-Costa, R., Martinez-Millana, A., Azzopardi-Muscat, N., Lazeri, L., Traver, V., &amp; Novillo-Ortiz, D. (2023). Methodological and quality flaws in the use of artificial intelligence in mental health research: systematic review. JMIR Mental Health, 10(1), e42045.</w:t>
      </w:r>
    </w:p>
    <w:p w14:paraId="0F53C379" w14:textId="77777777" w:rsidR="00FC1053" w:rsidRDefault="00AE511F">
      <w:pPr>
        <w:spacing w:line="480" w:lineRule="auto"/>
        <w:jc w:val="both"/>
        <w:rPr>
          <w:rFonts w:ascii="Times New Roman" w:hAnsi="Times New Roman" w:cs="Times New Roman"/>
        </w:rPr>
      </w:pPr>
      <w:r>
        <w:rPr>
          <w:rFonts w:ascii="Times New Roman" w:hAnsi="Times New Roman" w:cs="Times New Roman"/>
        </w:rPr>
        <w:br/>
      </w:r>
    </w:p>
    <w:sectPr w:rsidR="00FC105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default"/>
    <w:sig w:usb0="00000000" w:usb1="00000000" w:usb2="00000000" w:usb3="00000000" w:csb0="80000000" w:csb1="00000000"/>
  </w:font>
  <w:font w:name="Times New Roman">
    <w:panose1 w:val="02020603050405020304"/>
    <w:charset w:val="00"/>
    <w:family w:val="roman"/>
    <w:pitch w:val="variable"/>
    <w:sig w:usb0="E0007EFF" w:usb1="C000785B" w:usb2="00000009" w:usb3="00000000" w:csb0="000001FF" w:csb1="00000000"/>
  </w:font>
  <w:font w:name="SimSun">
    <w:altName w:val="宋体"/>
    <w:panose1 w:val="02010600030101010101"/>
    <w:charset w:val="86"/>
    <w:family w:val="auto"/>
    <w:pitch w:val="default"/>
    <w:sig w:usb0="00000203" w:usb1="288F0000" w:usb2="00000006" w:usb3="00000000" w:csb0="00040001" w:csb1="00000000"/>
  </w:font>
  <w:font w:name="Cambria">
    <w:altName w:val="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default"/>
    <w:sig w:usb0="00000000" w:usb1="00000000" w:usb2="00000010" w:usb3="00000000" w:csb0="00020000"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auto"/>
    <w:pitch w:val="default"/>
    <w:sig w:usb0="E00002FF" w:usb1="6AC7FDFB" w:usb2="08000012" w:usb3="00000000" w:csb0="4002009F" w:csb1="DFD70000"/>
  </w:font>
  <w:font w:name="Courier">
    <w:panose1 w:val="02070409020205020404"/>
    <w:charset w:val="00"/>
    <w:family w:val="auto"/>
    <w:pitch w:val="default"/>
    <w:sig w:usb0="00000000"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multiLevelType w:val="singleLevel"/>
    <w:tmpl w:val="00000000"/>
    <w:lvl w:ilvl="0">
      <w:start w:val="1"/>
      <w:numFmt w:val="decimal"/>
      <w:pStyle w:val="ListNumber3"/>
      <w:lvlText w:val="%1."/>
      <w:lvlJc w:val="left"/>
      <w:pPr>
        <w:tabs>
          <w:tab w:val="left" w:pos="1080"/>
        </w:tabs>
        <w:ind w:left="1080" w:hanging="360"/>
      </w:pPr>
    </w:lvl>
  </w:abstractNum>
  <w:abstractNum w:abstractNumId="1" w15:restartNumberingAfterBreak="0">
    <w:nsid w:val="00000001"/>
    <w:multiLevelType w:val="singleLevel"/>
    <w:tmpl w:val="00000001"/>
    <w:lvl w:ilvl="0">
      <w:start w:val="1"/>
      <w:numFmt w:val="decimal"/>
      <w:pStyle w:val="ListNumber2"/>
      <w:lvlText w:val="%1."/>
      <w:lvlJc w:val="left"/>
      <w:pPr>
        <w:tabs>
          <w:tab w:val="left" w:pos="720"/>
        </w:tabs>
        <w:ind w:left="720" w:hanging="360"/>
      </w:pPr>
    </w:lvl>
  </w:abstractNum>
  <w:abstractNum w:abstractNumId="2" w15:restartNumberingAfterBreak="0">
    <w:nsid w:val="00000002"/>
    <w:multiLevelType w:val="singleLevel"/>
    <w:tmpl w:val="00000002"/>
    <w:lvl w:ilvl="0">
      <w:start w:val="1"/>
      <w:numFmt w:val="bullet"/>
      <w:pStyle w:val="ListBullet3"/>
      <w:lvlText w:val=""/>
      <w:lvlJc w:val="left"/>
      <w:pPr>
        <w:tabs>
          <w:tab w:val="left" w:pos="1080"/>
        </w:tabs>
        <w:ind w:left="1080" w:hanging="360"/>
      </w:pPr>
      <w:rPr>
        <w:rFonts w:ascii="Symbol" w:hAnsi="Symbol" w:hint="default"/>
      </w:rPr>
    </w:lvl>
  </w:abstractNum>
  <w:abstractNum w:abstractNumId="3" w15:restartNumberingAfterBreak="0">
    <w:nsid w:val="00000003"/>
    <w:multiLevelType w:val="singleLevel"/>
    <w:tmpl w:val="00000003"/>
    <w:lvl w:ilvl="0">
      <w:start w:val="1"/>
      <w:numFmt w:val="bullet"/>
      <w:pStyle w:val="ListBullet2"/>
      <w:lvlText w:val=""/>
      <w:lvlJc w:val="left"/>
      <w:pPr>
        <w:tabs>
          <w:tab w:val="left" w:pos="720"/>
        </w:tabs>
        <w:ind w:left="720" w:hanging="360"/>
      </w:pPr>
      <w:rPr>
        <w:rFonts w:ascii="Symbol" w:hAnsi="Symbol" w:hint="default"/>
      </w:rPr>
    </w:lvl>
  </w:abstractNum>
  <w:abstractNum w:abstractNumId="4" w15:restartNumberingAfterBreak="0">
    <w:nsid w:val="00000004"/>
    <w:multiLevelType w:val="singleLevel"/>
    <w:tmpl w:val="00000004"/>
    <w:lvl w:ilvl="0">
      <w:start w:val="1"/>
      <w:numFmt w:val="decimal"/>
      <w:pStyle w:val="ListNumber"/>
      <w:lvlText w:val="%1."/>
      <w:lvlJc w:val="left"/>
      <w:pPr>
        <w:tabs>
          <w:tab w:val="left" w:pos="360"/>
        </w:tabs>
        <w:ind w:left="360" w:hanging="360"/>
      </w:pPr>
    </w:lvl>
  </w:abstractNum>
  <w:abstractNum w:abstractNumId="5" w15:restartNumberingAfterBreak="0">
    <w:nsid w:val="00000005"/>
    <w:multiLevelType w:val="singleLevel"/>
    <w:tmpl w:val="00000005"/>
    <w:lvl w:ilvl="0">
      <w:start w:val="1"/>
      <w:numFmt w:val="bullet"/>
      <w:pStyle w:val="ListBullet"/>
      <w:lvlText w:val=""/>
      <w:lvlJc w:val="left"/>
      <w:pPr>
        <w:tabs>
          <w:tab w:val="left" w:pos="360"/>
        </w:tabs>
        <w:ind w:left="360" w:hanging="360"/>
      </w:pPr>
      <w:rPr>
        <w:rFonts w:ascii="Symbol" w:hAnsi="Symbol" w:hint="default"/>
      </w:rPr>
    </w:lvl>
  </w:abstractNum>
  <w:num w:numId="1" w16cid:durableId="1026753026">
    <w:abstractNumId w:val="5"/>
  </w:num>
  <w:num w:numId="2" w16cid:durableId="1675843477">
    <w:abstractNumId w:val="3"/>
  </w:num>
  <w:num w:numId="3" w16cid:durableId="817038449">
    <w:abstractNumId w:val="2"/>
  </w:num>
  <w:num w:numId="4" w16cid:durableId="1695887287">
    <w:abstractNumId w:val="4"/>
  </w:num>
  <w:num w:numId="5" w16cid:durableId="396516566">
    <w:abstractNumId w:val="1"/>
  </w:num>
  <w:num w:numId="6" w16cid:durableId="27948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noPunctuationKerning/>
  <w:characterSpacingControl w:val="doNotCompress"/>
  <w:compat>
    <w:doNotExpandShiftReturn/>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C1053"/>
    <w:rsid w:val="002F0070"/>
    <w:rsid w:val="00AE511F"/>
    <w:rsid w:val="00FC105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AB47C7B"/>
  <w15:docId w15:val="{90C9D293-E356-8A40-93D2-8017433C2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rFonts w:ascii="Cambria" w:eastAsia="MS Mincho" w:hAnsi="Cambria" w:cs="SimSun"/>
      <w:sz w:val="22"/>
      <w:szCs w:val="22"/>
      <w:lang w:val="en-US" w:eastAsia="en-US"/>
    </w:rPr>
  </w:style>
  <w:style w:type="paragraph" w:styleId="Heading1">
    <w:name w:val="heading 1"/>
    <w:basedOn w:val="Normal"/>
    <w:next w:val="Normal"/>
    <w:link w:val="Heading1Char"/>
    <w:uiPriority w:val="9"/>
    <w:qFormat/>
    <w:pPr>
      <w:keepNext/>
      <w:keepLines/>
      <w:spacing w:before="480" w:after="0"/>
      <w:outlineLvl w:val="0"/>
    </w:pPr>
    <w:rPr>
      <w:rFonts w:ascii="Calibri" w:eastAsia="MS Gothic" w:hAnsi="Calibri"/>
      <w:b/>
      <w:bCs/>
      <w:color w:val="376092"/>
      <w:sz w:val="28"/>
      <w:szCs w:val="28"/>
    </w:rPr>
  </w:style>
  <w:style w:type="paragraph" w:styleId="Heading2">
    <w:name w:val="heading 2"/>
    <w:basedOn w:val="Normal"/>
    <w:next w:val="Normal"/>
    <w:link w:val="Heading2Char"/>
    <w:uiPriority w:val="9"/>
    <w:semiHidden/>
    <w:unhideWhenUsed/>
    <w:qFormat/>
    <w:pPr>
      <w:keepNext/>
      <w:keepLines/>
      <w:spacing w:before="200" w:after="0"/>
      <w:outlineLvl w:val="1"/>
    </w:pPr>
    <w:rPr>
      <w:rFonts w:ascii="Calibri" w:eastAsia="MS Gothic" w:hAnsi="Calibri"/>
      <w:b/>
      <w:bCs/>
      <w:color w:val="4F81BD"/>
      <w:sz w:val="26"/>
      <w:szCs w:val="26"/>
    </w:rPr>
  </w:style>
  <w:style w:type="paragraph" w:styleId="Heading3">
    <w:name w:val="heading 3"/>
    <w:basedOn w:val="Normal"/>
    <w:next w:val="Normal"/>
    <w:link w:val="Heading3Char"/>
    <w:uiPriority w:val="9"/>
    <w:semiHidden/>
    <w:unhideWhenUsed/>
    <w:qFormat/>
    <w:pPr>
      <w:keepNext/>
      <w:keepLines/>
      <w:spacing w:before="200" w:after="0"/>
      <w:outlineLvl w:val="2"/>
    </w:pPr>
    <w:rPr>
      <w:rFonts w:ascii="Calibri" w:eastAsia="MS Gothic" w:hAnsi="Calibri"/>
      <w:b/>
      <w:bCs/>
      <w:color w:val="4F81BD"/>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Calibri" w:eastAsia="MS Gothic" w:hAnsi="Calibri"/>
      <w:b/>
      <w:bCs/>
      <w:i/>
      <w:iCs/>
      <w:color w:val="4F81BD"/>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Calibri" w:eastAsia="MS Gothic" w:hAnsi="Calibri"/>
      <w:color w:val="254061"/>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Calibri" w:eastAsia="MS Gothic" w:hAnsi="Calibri"/>
      <w:i/>
      <w:iCs/>
      <w:color w:val="254061"/>
    </w:rPr>
  </w:style>
  <w:style w:type="paragraph" w:styleId="Heading7">
    <w:name w:val="heading 7"/>
    <w:basedOn w:val="Normal"/>
    <w:next w:val="Normal"/>
    <w:link w:val="Heading7Char"/>
    <w:uiPriority w:val="9"/>
    <w:qFormat/>
    <w:pPr>
      <w:keepNext/>
      <w:keepLines/>
      <w:spacing w:before="200" w:after="0"/>
      <w:outlineLvl w:val="6"/>
    </w:pPr>
    <w:rPr>
      <w:rFonts w:ascii="Calibri" w:eastAsia="MS Gothic" w:hAnsi="Calibri"/>
      <w:i/>
      <w:iCs/>
      <w:color w:val="3F3F3F"/>
    </w:rPr>
  </w:style>
  <w:style w:type="paragraph" w:styleId="Heading8">
    <w:name w:val="heading 8"/>
    <w:basedOn w:val="Normal"/>
    <w:next w:val="Normal"/>
    <w:link w:val="Heading8Char"/>
    <w:uiPriority w:val="9"/>
    <w:qFormat/>
    <w:pPr>
      <w:keepNext/>
      <w:keepLines/>
      <w:spacing w:before="200" w:after="0"/>
      <w:outlineLvl w:val="7"/>
    </w:pPr>
    <w:rPr>
      <w:rFonts w:ascii="Calibri" w:eastAsia="MS Gothic" w:hAnsi="Calibri"/>
      <w:color w:val="4F81BD"/>
      <w:sz w:val="20"/>
      <w:szCs w:val="20"/>
    </w:rPr>
  </w:style>
  <w:style w:type="paragraph" w:styleId="Heading9">
    <w:name w:val="heading 9"/>
    <w:basedOn w:val="Normal"/>
    <w:next w:val="Normal"/>
    <w:link w:val="Heading9Char"/>
    <w:uiPriority w:val="9"/>
    <w:qFormat/>
    <w:pPr>
      <w:keepNext/>
      <w:keepLines/>
      <w:spacing w:before="200" w:after="0"/>
      <w:outlineLvl w:val="8"/>
    </w:pPr>
    <w:rPr>
      <w:rFonts w:ascii="Calibri" w:eastAsia="MS Gothic" w:hAnsi="Calibri"/>
      <w:i/>
      <w:iCs/>
      <w:color w:val="3F3F3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qFormat/>
    <w:pPr>
      <w:spacing w:after="120"/>
    </w:pPr>
  </w:style>
  <w:style w:type="paragraph" w:styleId="BodyText2">
    <w:name w:val="Body Text 2"/>
    <w:basedOn w:val="Normal"/>
    <w:link w:val="BodyText2Char"/>
    <w:uiPriority w:val="99"/>
    <w:qFormat/>
    <w:pPr>
      <w:spacing w:after="120" w:line="480" w:lineRule="auto"/>
    </w:pPr>
  </w:style>
  <w:style w:type="paragraph" w:styleId="BodyText3">
    <w:name w:val="Body Text 3"/>
    <w:basedOn w:val="Normal"/>
    <w:link w:val="BodyText3Char"/>
    <w:uiPriority w:val="99"/>
    <w:qFormat/>
    <w:pPr>
      <w:spacing w:after="120"/>
    </w:pPr>
    <w:rPr>
      <w:sz w:val="16"/>
      <w:szCs w:val="16"/>
    </w:rPr>
  </w:style>
  <w:style w:type="paragraph" w:styleId="Caption">
    <w:name w:val="caption"/>
    <w:basedOn w:val="Normal"/>
    <w:next w:val="Normal"/>
    <w:uiPriority w:val="35"/>
    <w:qFormat/>
    <w:pPr>
      <w:spacing w:line="240" w:lineRule="auto"/>
    </w:pPr>
    <w:rPr>
      <w:b/>
      <w:bCs/>
      <w:color w:val="4F81BD"/>
      <w:sz w:val="18"/>
      <w:szCs w:val="18"/>
    </w:rPr>
  </w:style>
  <w:style w:type="character" w:styleId="Emphasis">
    <w:name w:val="Emphasis"/>
    <w:basedOn w:val="DefaultParagraphFont"/>
    <w:uiPriority w:val="20"/>
    <w:qFormat/>
    <w:rPr>
      <w:i/>
      <w:iCs/>
    </w:rPr>
  </w:style>
  <w:style w:type="paragraph" w:styleId="Footer">
    <w:name w:val="footer"/>
    <w:basedOn w:val="Normal"/>
    <w:link w:val="FooterChar"/>
    <w:uiPriority w:val="99"/>
    <w:qFormat/>
    <w:pPr>
      <w:tabs>
        <w:tab w:val="center" w:pos="4680"/>
        <w:tab w:val="right" w:pos="9360"/>
      </w:tabs>
      <w:spacing w:after="0" w:line="240" w:lineRule="auto"/>
    </w:pPr>
  </w:style>
  <w:style w:type="paragraph" w:styleId="Header">
    <w:name w:val="header"/>
    <w:basedOn w:val="Normal"/>
    <w:link w:val="HeaderChar"/>
    <w:uiPriority w:val="99"/>
    <w:qFormat/>
    <w:pPr>
      <w:tabs>
        <w:tab w:val="center" w:pos="4680"/>
        <w:tab w:val="right" w:pos="9360"/>
      </w:tabs>
      <w:spacing w:after="0" w:line="240" w:lineRule="auto"/>
    </w:pPr>
  </w:style>
  <w:style w:type="paragraph" w:styleId="List">
    <w:name w:val="List"/>
    <w:basedOn w:val="Normal"/>
    <w:uiPriority w:val="99"/>
    <w:qFormat/>
    <w:pPr>
      <w:ind w:left="360" w:hanging="360"/>
      <w:contextualSpacing/>
    </w:pPr>
  </w:style>
  <w:style w:type="paragraph" w:styleId="List2">
    <w:name w:val="List 2"/>
    <w:basedOn w:val="Normal"/>
    <w:uiPriority w:val="99"/>
    <w:qFormat/>
    <w:pPr>
      <w:ind w:left="720" w:hanging="360"/>
      <w:contextualSpacing/>
    </w:pPr>
  </w:style>
  <w:style w:type="paragraph" w:styleId="List3">
    <w:name w:val="List 3"/>
    <w:basedOn w:val="Normal"/>
    <w:uiPriority w:val="99"/>
    <w:qFormat/>
    <w:pPr>
      <w:ind w:left="1080" w:hanging="360"/>
      <w:contextualSpacing/>
    </w:pPr>
  </w:style>
  <w:style w:type="paragraph" w:styleId="ListBullet">
    <w:name w:val="List Bullet"/>
    <w:basedOn w:val="Normal"/>
    <w:uiPriority w:val="99"/>
    <w:qFormat/>
    <w:pPr>
      <w:numPr>
        <w:numId w:val="1"/>
      </w:numPr>
      <w:contextualSpacing/>
    </w:pPr>
  </w:style>
  <w:style w:type="paragraph" w:styleId="ListBullet2">
    <w:name w:val="List Bullet 2"/>
    <w:basedOn w:val="Normal"/>
    <w:uiPriority w:val="99"/>
    <w:qFormat/>
    <w:pPr>
      <w:numPr>
        <w:numId w:val="2"/>
      </w:numPr>
      <w:contextualSpacing/>
    </w:pPr>
  </w:style>
  <w:style w:type="paragraph" w:styleId="ListBullet3">
    <w:name w:val="List Bullet 3"/>
    <w:basedOn w:val="Normal"/>
    <w:uiPriority w:val="99"/>
    <w:qFormat/>
    <w:pPr>
      <w:numPr>
        <w:numId w:val="3"/>
      </w:numPr>
      <w:contextualSpacing/>
    </w:pPr>
  </w:style>
  <w:style w:type="paragraph" w:styleId="ListContinue">
    <w:name w:val="List Continue"/>
    <w:basedOn w:val="Normal"/>
    <w:uiPriority w:val="99"/>
    <w:qFormat/>
    <w:pPr>
      <w:spacing w:after="120"/>
      <w:ind w:left="360"/>
      <w:contextualSpacing/>
    </w:pPr>
  </w:style>
  <w:style w:type="paragraph" w:styleId="ListContinue2">
    <w:name w:val="List Continue 2"/>
    <w:basedOn w:val="Normal"/>
    <w:uiPriority w:val="99"/>
    <w:qFormat/>
    <w:pPr>
      <w:spacing w:after="120"/>
      <w:ind w:left="720"/>
      <w:contextualSpacing/>
    </w:pPr>
  </w:style>
  <w:style w:type="paragraph" w:styleId="ListContinue3">
    <w:name w:val="List Continue 3"/>
    <w:basedOn w:val="Normal"/>
    <w:uiPriority w:val="99"/>
    <w:qFormat/>
    <w:pPr>
      <w:spacing w:after="120"/>
      <w:ind w:left="1080"/>
      <w:contextualSpacing/>
    </w:pPr>
  </w:style>
  <w:style w:type="paragraph" w:styleId="ListNumber">
    <w:name w:val="List Number"/>
    <w:basedOn w:val="Normal"/>
    <w:uiPriority w:val="99"/>
    <w:qFormat/>
    <w:pPr>
      <w:numPr>
        <w:numId w:val="4"/>
      </w:numPr>
      <w:contextualSpacing/>
    </w:pPr>
  </w:style>
  <w:style w:type="paragraph" w:styleId="ListNumber2">
    <w:name w:val="List Number 2"/>
    <w:basedOn w:val="Normal"/>
    <w:uiPriority w:val="99"/>
    <w:qFormat/>
    <w:pPr>
      <w:numPr>
        <w:numId w:val="5"/>
      </w:numPr>
      <w:contextualSpacing/>
    </w:pPr>
  </w:style>
  <w:style w:type="paragraph" w:styleId="ListNumber3">
    <w:name w:val="List Number 3"/>
    <w:basedOn w:val="Normal"/>
    <w:uiPriority w:val="99"/>
    <w:qFormat/>
    <w:pPr>
      <w:numPr>
        <w:numId w:val="6"/>
      </w:numPr>
      <w:contextualSpacing/>
    </w:pPr>
  </w:style>
  <w:style w:type="paragraph" w:styleId="MacroText">
    <w:name w:val="macro"/>
    <w:link w:val="MacroTextChar"/>
    <w:uiPriority w:val="99"/>
    <w:qFormat/>
    <w:pPr>
      <w:tabs>
        <w:tab w:val="left" w:pos="576"/>
        <w:tab w:val="left" w:pos="1152"/>
        <w:tab w:val="left" w:pos="1728"/>
        <w:tab w:val="left" w:pos="2304"/>
        <w:tab w:val="left" w:pos="2880"/>
        <w:tab w:val="left" w:pos="3456"/>
        <w:tab w:val="left" w:pos="4032"/>
      </w:tabs>
      <w:spacing w:after="200" w:line="276" w:lineRule="auto"/>
    </w:pPr>
    <w:rPr>
      <w:rFonts w:ascii="Courier" w:eastAsia="MS Mincho" w:hAnsi="Courier" w:cs="SimSun"/>
      <w:lang w:val="en-US" w:eastAsia="en-US"/>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rPr>
      <w:rFonts w:ascii="Calibri" w:eastAsia="MS Gothic" w:hAnsi="Calibri"/>
      <w:i/>
      <w:iCs/>
      <w:color w:val="4F81BD"/>
      <w:spacing w:val="15"/>
      <w:sz w:val="24"/>
      <w:szCs w:val="24"/>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pBdr>
        <w:bottom w:val="single" w:sz="8" w:space="4" w:color="4F81BD"/>
      </w:pBdr>
      <w:spacing w:after="300" w:line="240" w:lineRule="auto"/>
      <w:contextualSpacing/>
    </w:pPr>
    <w:rPr>
      <w:rFonts w:ascii="Calibri" w:eastAsia="MS Gothic" w:hAnsi="Calibri"/>
      <w:color w:val="17375E"/>
      <w:spacing w:val="5"/>
      <w:kern w:val="28"/>
      <w:sz w:val="52"/>
      <w:szCs w:val="52"/>
    </w:rPr>
  </w:style>
  <w:style w:type="table" w:styleId="LightShading">
    <w:name w:val="Light Shading"/>
    <w:basedOn w:val="TableNormal"/>
    <w:uiPriority w:val="60"/>
    <w:qFormat/>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cPr>
    </w:tblStylePr>
    <w:tblStylePr w:type="band1Horz">
      <w:tblPr/>
      <w:tcPr>
        <w:tcBorders>
          <w:left w:val="nil"/>
          <w:right w:val="nil"/>
          <w:insideH w:val="nil"/>
          <w:insideV w:val="nil"/>
        </w:tcBorders>
        <w:shd w:val="clear" w:color="auto" w:fill="BFBFBF"/>
      </w:tcPr>
    </w:tblStylePr>
  </w:style>
  <w:style w:type="table" w:styleId="LightShading-Accent1">
    <w:name w:val="Light Shading Accent 1"/>
    <w:basedOn w:val="TableNormal"/>
    <w:uiPriority w:val="60"/>
    <w:qFormat/>
    <w:rPr>
      <w:color w:val="376092"/>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nil"/>
          <w:bottom w:val="single" w:sz="8" w:space="0" w:color="4F81BD"/>
          <w:right w:val="nil"/>
          <w:insideH w:val="nil"/>
          <w:insideV w:val="nil"/>
        </w:tcBorders>
      </w:tcPr>
    </w:tblStylePr>
    <w:tblStylePr w:type="lastRow">
      <w:pPr>
        <w:spacing w:before="0" w:after="0" w:line="240" w:lineRule="auto"/>
      </w:pPr>
      <w:rPr>
        <w:b/>
        <w:bCs/>
      </w:rPr>
      <w:tblPr/>
      <w:tcPr>
        <w:tcBorders>
          <w:top w:val="single" w:sz="8" w:space="0" w:color="4F81BD"/>
          <w:left w:val="nil"/>
          <w:bottom w:val="single" w:sz="8" w:space="0" w:color="4F81BD"/>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cPr>
    </w:tblStylePr>
    <w:tblStylePr w:type="band1Horz">
      <w:tblPr/>
      <w:tcPr>
        <w:tcBorders>
          <w:left w:val="nil"/>
          <w:right w:val="nil"/>
          <w:insideH w:val="nil"/>
          <w:insideV w:val="nil"/>
        </w:tcBorders>
        <w:shd w:val="clear" w:color="auto" w:fill="D3DFEE"/>
      </w:tcPr>
    </w:tblStylePr>
  </w:style>
  <w:style w:type="table" w:styleId="LightShading-Accent2">
    <w:name w:val="Light Shading Accent 2"/>
    <w:basedOn w:val="TableNormal"/>
    <w:uiPriority w:val="60"/>
    <w:qFormat/>
    <w:rPr>
      <w:color w:val="953735"/>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nil"/>
          <w:bottom w:val="single" w:sz="8" w:space="0" w:color="C0504D"/>
          <w:right w:val="nil"/>
          <w:insideH w:val="nil"/>
          <w:insideV w:val="nil"/>
        </w:tcBorders>
      </w:tcPr>
    </w:tblStylePr>
    <w:tblStylePr w:type="lastRow">
      <w:pPr>
        <w:spacing w:before="0" w:after="0" w:line="240" w:lineRule="auto"/>
      </w:pPr>
      <w:rPr>
        <w:b/>
        <w:bCs/>
      </w:rPr>
      <w:tblPr/>
      <w:tcPr>
        <w:tcBorders>
          <w:top w:val="single" w:sz="8" w:space="0" w:color="C0504D"/>
          <w:left w:val="nil"/>
          <w:bottom w:val="single" w:sz="8" w:space="0" w:color="C0504D"/>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cPr>
    </w:tblStylePr>
    <w:tblStylePr w:type="band1Horz">
      <w:tblPr/>
      <w:tcPr>
        <w:tcBorders>
          <w:left w:val="nil"/>
          <w:right w:val="nil"/>
          <w:insideH w:val="nil"/>
          <w:insideV w:val="nil"/>
        </w:tcBorders>
        <w:shd w:val="clear" w:color="auto" w:fill="EFD3D3"/>
      </w:tcPr>
    </w:tblStylePr>
  </w:style>
  <w:style w:type="table" w:styleId="LightShading-Accent3">
    <w:name w:val="Light Shading Accent 3"/>
    <w:basedOn w:val="TableNormal"/>
    <w:uiPriority w:val="60"/>
    <w:qFormat/>
    <w:rPr>
      <w:color w:val="7793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nil"/>
          <w:bottom w:val="single" w:sz="8" w:space="0" w:color="9BBB59"/>
          <w:right w:val="nil"/>
          <w:insideH w:val="nil"/>
          <w:insideV w:val="nil"/>
        </w:tcBorders>
      </w:tcPr>
    </w:tblStylePr>
    <w:tblStylePr w:type="lastRow">
      <w:pPr>
        <w:spacing w:before="0" w:after="0" w:line="240" w:lineRule="auto"/>
      </w:pPr>
      <w:rPr>
        <w:b/>
        <w:bCs/>
      </w:rPr>
      <w:tblPr/>
      <w:tcPr>
        <w:tcBorders>
          <w:top w:val="single" w:sz="8" w:space="0" w:color="9BBB59"/>
          <w:left w:val="nil"/>
          <w:bottom w:val="single" w:sz="8" w:space="0" w:color="9BBB59"/>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cPr>
    </w:tblStylePr>
    <w:tblStylePr w:type="band1Horz">
      <w:tblPr/>
      <w:tcPr>
        <w:tcBorders>
          <w:left w:val="nil"/>
          <w:right w:val="nil"/>
          <w:insideH w:val="nil"/>
          <w:insideV w:val="nil"/>
        </w:tcBorders>
        <w:shd w:val="clear" w:color="auto" w:fill="E6EED5"/>
      </w:tcPr>
    </w:tblStylePr>
  </w:style>
  <w:style w:type="table" w:styleId="LightShading-Accent4">
    <w:name w:val="Light Shading Accent 4"/>
    <w:basedOn w:val="TableNormal"/>
    <w:uiPriority w:val="60"/>
    <w:qFormat/>
    <w:rPr>
      <w:color w:val="604A7B"/>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nil"/>
          <w:bottom w:val="single" w:sz="8" w:space="0" w:color="8064A2"/>
          <w:right w:val="nil"/>
          <w:insideH w:val="nil"/>
          <w:insideV w:val="nil"/>
        </w:tcBorders>
      </w:tcPr>
    </w:tblStylePr>
    <w:tblStylePr w:type="lastRow">
      <w:pPr>
        <w:spacing w:before="0" w:after="0" w:line="240" w:lineRule="auto"/>
      </w:pPr>
      <w:rPr>
        <w:b/>
        <w:bCs/>
      </w:rPr>
      <w:tblPr/>
      <w:tcPr>
        <w:tcBorders>
          <w:top w:val="single" w:sz="8" w:space="0" w:color="8064A2"/>
          <w:left w:val="nil"/>
          <w:bottom w:val="single" w:sz="8" w:space="0" w:color="8064A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cPr>
    </w:tblStylePr>
    <w:tblStylePr w:type="band1Horz">
      <w:tblPr/>
      <w:tcPr>
        <w:tcBorders>
          <w:left w:val="nil"/>
          <w:right w:val="nil"/>
          <w:insideH w:val="nil"/>
          <w:insideV w:val="nil"/>
        </w:tcBorders>
        <w:shd w:val="clear" w:color="auto" w:fill="DFD8E8"/>
      </w:tcPr>
    </w:tblStylePr>
  </w:style>
  <w:style w:type="table" w:styleId="LightShading-Accent5">
    <w:name w:val="Light Shading Accent 5"/>
    <w:basedOn w:val="TableNormal"/>
    <w:uiPriority w:val="60"/>
    <w:qFormat/>
    <w:rPr>
      <w:color w:val="31859C"/>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la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cPr>
    </w:tblStylePr>
    <w:tblStylePr w:type="band1Horz">
      <w:tblPr/>
      <w:tcPr>
        <w:tcBorders>
          <w:left w:val="nil"/>
          <w:right w:val="nil"/>
          <w:insideH w:val="nil"/>
          <w:insideV w:val="nil"/>
        </w:tcBorders>
        <w:shd w:val="clear" w:color="auto" w:fill="D2EAF0"/>
      </w:tcPr>
    </w:tblStylePr>
  </w:style>
  <w:style w:type="table" w:styleId="LightShading-Accent6">
    <w:name w:val="Light Shading Accent 6"/>
    <w:basedOn w:val="TableNormal"/>
    <w:uiPriority w:val="60"/>
    <w:qFormat/>
    <w:rPr>
      <w:color w:val="E4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nil"/>
          <w:bottom w:val="single" w:sz="8" w:space="0" w:color="F79646"/>
          <w:right w:val="nil"/>
          <w:insideH w:val="nil"/>
          <w:insideV w:val="nil"/>
        </w:tcBorders>
      </w:tcPr>
    </w:tblStylePr>
    <w:tblStylePr w:type="lastRow">
      <w:pPr>
        <w:spacing w:before="0" w:after="0" w:line="240" w:lineRule="auto"/>
      </w:pPr>
      <w:rPr>
        <w:b/>
        <w:bCs/>
      </w:rPr>
      <w:tblPr/>
      <w:tcPr>
        <w:tcBorders>
          <w:top w:val="single" w:sz="8" w:space="0" w:color="F79646"/>
          <w:left w:val="nil"/>
          <w:bottom w:val="single" w:sz="8" w:space="0" w:color="F7964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cPr>
    </w:tblStylePr>
    <w:tblStylePr w:type="band1Horz">
      <w:tblPr/>
      <w:tcPr>
        <w:tcBorders>
          <w:left w:val="nil"/>
          <w:right w:val="nil"/>
          <w:insideH w:val="nil"/>
          <w:insideV w:val="nil"/>
        </w:tcBorders>
        <w:shd w:val="clear" w:color="auto" w:fill="FDE5D1"/>
      </w:tcPr>
    </w:tblStylePr>
  </w:style>
  <w:style w:type="table" w:styleId="LightList">
    <w:name w:val="Light List"/>
    <w:basedOn w:val="TableNormal"/>
    <w:uiPriority w:val="61"/>
    <w:qFormat/>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qFormat/>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qFormat/>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qFormat/>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qFormat/>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qFormat/>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qFormat/>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qFormat/>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ascii="Calibri" w:eastAsia="MS Gothic" w:hAnsi="Calibri" w:cs="SimSun"/>
        <w:b/>
        <w:bCs/>
      </w:rPr>
      <w:tblPr/>
      <w:tcPr>
        <w:tcBorders>
          <w:top w:val="single" w:sz="8" w:space="0" w:color="000000"/>
          <w:left w:val="single" w:sz="8" w:space="0" w:color="000000"/>
          <w:bottom w:val="single" w:sz="18" w:space="0" w:color="000000"/>
          <w:right w:val="single" w:sz="8" w:space="0" w:color="000000"/>
          <w:insideH w:val="nil"/>
          <w:insideV w:val="single" w:sz="8" w:space="0" w:color="auto"/>
        </w:tcBorders>
      </w:tcPr>
    </w:tblStylePr>
    <w:tblStylePr w:type="lastRow">
      <w:pPr>
        <w:spacing w:before="0" w:after="0" w:line="240" w:lineRule="auto"/>
      </w:pPr>
      <w:rPr>
        <w:rFonts w:ascii="Calibri" w:eastAsia="MS Gothic" w:hAnsi="Calibri" w:cs="SimSu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BFBFBF"/>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BFBFBF"/>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qFormat/>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ascii="Calibri" w:eastAsia="MS Gothic" w:hAnsi="Calibri" w:cs="SimSun"/>
        <w:b/>
        <w:bCs/>
      </w:rPr>
      <w:tblPr/>
      <w:tcPr>
        <w:tcBorders>
          <w:top w:val="single" w:sz="8" w:space="0" w:color="4F81BD"/>
          <w:left w:val="single" w:sz="8" w:space="0" w:color="4F81BD"/>
          <w:bottom w:val="single" w:sz="18" w:space="0" w:color="4F81BD"/>
          <w:right w:val="single" w:sz="8" w:space="0" w:color="4F81BD"/>
          <w:insideH w:val="nil"/>
          <w:insideV w:val="single" w:sz="8" w:space="0" w:color="auto"/>
        </w:tcBorders>
      </w:tcPr>
    </w:tblStylePr>
    <w:tblStylePr w:type="lastRow">
      <w:pPr>
        <w:spacing w:before="0" w:after="0" w:line="240" w:lineRule="auto"/>
      </w:pPr>
      <w:rPr>
        <w:rFonts w:ascii="Calibri" w:eastAsia="MS Gothic" w:hAnsi="Calibri" w:cs="SimSu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qFormat/>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ascii="Calibri" w:eastAsia="MS Gothic" w:hAnsi="Calibri" w:cs="SimSun"/>
        <w:b/>
        <w:bCs/>
      </w:rPr>
      <w:tblPr/>
      <w:tcPr>
        <w:tcBorders>
          <w:top w:val="single" w:sz="8" w:space="0" w:color="C0504D"/>
          <w:left w:val="single" w:sz="8" w:space="0" w:color="C0504D"/>
          <w:bottom w:val="single" w:sz="18" w:space="0" w:color="C0504D"/>
          <w:right w:val="single" w:sz="8" w:space="0" w:color="C0504D"/>
          <w:insideH w:val="nil"/>
          <w:insideV w:val="single" w:sz="8" w:space="0" w:color="auto"/>
        </w:tcBorders>
      </w:tcPr>
    </w:tblStylePr>
    <w:tblStylePr w:type="lastRow">
      <w:pPr>
        <w:spacing w:before="0" w:after="0" w:line="240" w:lineRule="auto"/>
      </w:pPr>
      <w:rPr>
        <w:rFonts w:ascii="Calibri" w:eastAsia="MS Gothic" w:hAnsi="Calibri" w:cs="SimSu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3"/>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3"/>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ascii="Calibri" w:eastAsia="MS Gothic" w:hAnsi="Calibri" w:cs="SimSun"/>
        <w:b/>
        <w:bCs/>
      </w:rPr>
      <w:tblPr/>
      <w:tcPr>
        <w:tcBorders>
          <w:top w:val="single" w:sz="8" w:space="0" w:color="9BBB59"/>
          <w:left w:val="single" w:sz="8" w:space="0" w:color="9BBB59"/>
          <w:bottom w:val="single" w:sz="18" w:space="0" w:color="9BBB59"/>
          <w:right w:val="single" w:sz="8" w:space="0" w:color="9BBB59"/>
          <w:insideH w:val="nil"/>
          <w:insideV w:val="single" w:sz="8" w:space="0" w:color="auto"/>
        </w:tcBorders>
      </w:tcPr>
    </w:tblStylePr>
    <w:tblStylePr w:type="lastRow">
      <w:pPr>
        <w:spacing w:before="0" w:after="0" w:line="240" w:lineRule="auto"/>
      </w:pPr>
      <w:rPr>
        <w:rFonts w:ascii="Calibri" w:eastAsia="MS Gothic" w:hAnsi="Calibri" w:cs="SimSu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qFormat/>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ascii="Calibri" w:eastAsia="MS Gothic" w:hAnsi="Calibri" w:cs="SimSun"/>
        <w:b/>
        <w:bCs/>
      </w:rPr>
      <w:tblPr/>
      <w:tcPr>
        <w:tcBorders>
          <w:top w:val="single" w:sz="8" w:space="0" w:color="8064A2"/>
          <w:left w:val="single" w:sz="8" w:space="0" w:color="8064A2"/>
          <w:bottom w:val="single" w:sz="18" w:space="0" w:color="8064A2"/>
          <w:right w:val="single" w:sz="8" w:space="0" w:color="8064A2"/>
          <w:insideH w:val="nil"/>
          <w:insideV w:val="single" w:sz="8" w:space="0" w:color="auto"/>
        </w:tcBorders>
      </w:tcPr>
    </w:tblStylePr>
    <w:tblStylePr w:type="lastRow">
      <w:pPr>
        <w:spacing w:before="0" w:after="0" w:line="240" w:lineRule="auto"/>
      </w:pPr>
      <w:rPr>
        <w:rFonts w:ascii="Calibri" w:eastAsia="MS Gothic" w:hAnsi="Calibri" w:cs="SimSu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qFormat/>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ascii="Calibri" w:eastAsia="MS Gothic" w:hAnsi="Calibri" w:cs="SimSun"/>
        <w:b/>
        <w:bCs/>
      </w:rPr>
      <w:tblPr/>
      <w:tcPr>
        <w:tcBorders>
          <w:top w:val="single" w:sz="8" w:space="0" w:color="4BACC6"/>
          <w:left w:val="single" w:sz="8" w:space="0" w:color="4BACC6"/>
          <w:bottom w:val="single" w:sz="18" w:space="0" w:color="4BACC6"/>
          <w:right w:val="single" w:sz="8" w:space="0" w:color="4BACC6"/>
          <w:insideH w:val="nil"/>
          <w:insideV w:val="single" w:sz="8" w:space="0" w:color="auto"/>
        </w:tcBorders>
      </w:tcPr>
    </w:tblStylePr>
    <w:tblStylePr w:type="lastRow">
      <w:pPr>
        <w:spacing w:before="0" w:after="0" w:line="240" w:lineRule="auto"/>
      </w:pPr>
      <w:rPr>
        <w:rFonts w:ascii="Calibri" w:eastAsia="MS Gothic" w:hAnsi="Calibri" w:cs="SimSu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0"/>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0"/>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qFormat/>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ascii="Calibri" w:eastAsia="MS Gothic" w:hAnsi="Calibri" w:cs="SimSun"/>
        <w:b/>
        <w:bCs/>
      </w:rPr>
      <w:tblPr/>
      <w:tcPr>
        <w:tcBorders>
          <w:top w:val="single" w:sz="8" w:space="0" w:color="F79646"/>
          <w:left w:val="single" w:sz="8" w:space="0" w:color="F79646"/>
          <w:bottom w:val="single" w:sz="18" w:space="0" w:color="F79646"/>
          <w:right w:val="single" w:sz="8" w:space="0" w:color="F79646"/>
          <w:insideH w:val="nil"/>
          <w:insideV w:val="single" w:sz="8" w:space="0" w:color="auto"/>
        </w:tcBorders>
      </w:tcPr>
    </w:tblStylePr>
    <w:tblStylePr w:type="lastRow">
      <w:pPr>
        <w:spacing w:before="0" w:after="0" w:line="240" w:lineRule="auto"/>
      </w:pPr>
      <w:rPr>
        <w:rFonts w:ascii="Calibri" w:eastAsia="MS Gothic" w:hAnsi="Calibri" w:cs="SimSu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5D1"/>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5D1"/>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qFormat/>
    <w:tblPr>
      <w:tblBorders>
        <w:top w:val="single" w:sz="8" w:space="0" w:color="3F3F3F"/>
        <w:left w:val="single" w:sz="8" w:space="0" w:color="3F3F3F"/>
        <w:bottom w:val="single" w:sz="8" w:space="0" w:color="3F3F3F"/>
        <w:right w:val="single" w:sz="8" w:space="0" w:color="3F3F3F"/>
        <w:insideH w:val="single" w:sz="8" w:space="0" w:color="3F3F3F"/>
      </w:tblBorders>
    </w:tblPr>
    <w:tblStylePr w:type="firstRow">
      <w:pPr>
        <w:spacing w:before="0" w:after="0" w:line="240" w:lineRule="auto"/>
      </w:pPr>
      <w:rPr>
        <w:b/>
        <w:bCs/>
        <w:color w:val="FFFFFF"/>
      </w:rPr>
      <w:tblPr/>
      <w:tcPr>
        <w:tcBorders>
          <w:top w:val="single" w:sz="8" w:space="0" w:color="3F3F3F"/>
          <w:left w:val="single" w:sz="8" w:space="0" w:color="3F3F3F"/>
          <w:bottom w:val="single" w:sz="8" w:space="0" w:color="3F3F3F"/>
          <w:right w:val="single" w:sz="8" w:space="0" w:color="3F3F3F"/>
          <w:insideH w:val="nil"/>
          <w:insideV w:val="nil"/>
        </w:tcBorders>
        <w:shd w:val="clear" w:color="auto" w:fill="000000"/>
      </w:tcPr>
    </w:tblStylePr>
    <w:tblStylePr w:type="lastRow">
      <w:pPr>
        <w:spacing w:before="0" w:after="0" w:line="240" w:lineRule="auto"/>
      </w:pPr>
      <w:rPr>
        <w:b/>
        <w:bCs/>
      </w:rPr>
      <w:tblPr/>
      <w:tcPr>
        <w:tcBorders>
          <w:top w:val="double" w:sz="6" w:space="0" w:color="3F3F3F"/>
          <w:left w:val="single" w:sz="8" w:space="0" w:color="3F3F3F"/>
          <w:bottom w:val="single" w:sz="8" w:space="0" w:color="3F3F3F"/>
          <w:right w:val="single" w:sz="8" w:space="0" w:color="3F3F3F"/>
          <w:insideH w:val="nil"/>
          <w:insideV w:val="nil"/>
        </w:tcBorders>
      </w:tcPr>
    </w:tblStylePr>
    <w:tblStylePr w:type="firstCol">
      <w:rPr>
        <w:b/>
        <w:bCs/>
      </w:rPr>
    </w:tblStylePr>
    <w:tblStylePr w:type="lastCol">
      <w:rPr>
        <w:b/>
        <w:bCs/>
      </w:rPr>
    </w:tblStylePr>
    <w:tblStylePr w:type="band1Vert">
      <w:tblPr/>
      <w:tcPr>
        <w:shd w:val="clear" w:color="auto" w:fill="BFBFBF"/>
      </w:tcPr>
    </w:tblStylePr>
    <w:tblStylePr w:type="band1Horz">
      <w:tblPr/>
      <w:tcPr>
        <w:tcBorders>
          <w:insideH w:val="nil"/>
          <w:insideV w:val="nil"/>
        </w:tcBorders>
        <w:shd w:val="clear" w:color="auto" w:fill="BFBFBF"/>
      </w:tcPr>
    </w:tblStylePr>
    <w:tblStylePr w:type="band2Horz">
      <w:tblPr/>
      <w:tcPr>
        <w:tcBorders>
          <w:insideH w:val="nil"/>
          <w:insideV w:val="nil"/>
        </w:tcBorders>
      </w:tcPr>
    </w:tblStylePr>
  </w:style>
  <w:style w:type="table" w:styleId="MediumShading1-Accent1">
    <w:name w:val="Medium Shading 1 Accent 1"/>
    <w:basedOn w:val="TableNormal"/>
    <w:uiPriority w:val="63"/>
    <w:qFormat/>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qFormat/>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3"/>
      </w:tcPr>
    </w:tblStylePr>
    <w:tblStylePr w:type="band1Horz">
      <w:tblPr/>
      <w:tcPr>
        <w:tcBorders>
          <w:insideH w:val="nil"/>
          <w:insideV w:val="nil"/>
        </w:tcBorders>
        <w:shd w:val="clear" w:color="auto" w:fill="EFD3D3"/>
      </w:tcPr>
    </w:tblStylePr>
    <w:tblStylePr w:type="band2Horz">
      <w:tblPr/>
      <w:tcPr>
        <w:tcBorders>
          <w:insideH w:val="nil"/>
          <w:insideV w:val="nil"/>
        </w:tcBorders>
      </w:tcPr>
    </w:tblStylePr>
  </w:style>
  <w:style w:type="table" w:styleId="MediumShading1-Accent3">
    <w:name w:val="Medium Shading 1 Accent 3"/>
    <w:basedOn w:val="TableNormal"/>
    <w:uiPriority w:val="63"/>
    <w:tblPr>
      <w:tblBorders>
        <w:top w:val="single" w:sz="8" w:space="0" w:color="B4CC82"/>
        <w:left w:val="single" w:sz="8" w:space="0" w:color="B4CC82"/>
        <w:bottom w:val="single" w:sz="8" w:space="0" w:color="B4CC82"/>
        <w:right w:val="single" w:sz="8" w:space="0" w:color="B4CC82"/>
        <w:insideH w:val="single" w:sz="8" w:space="0" w:color="B4CC82"/>
      </w:tblBorders>
    </w:tblPr>
    <w:tblStylePr w:type="firstRow">
      <w:pPr>
        <w:spacing w:before="0" w:after="0" w:line="240" w:lineRule="auto"/>
      </w:pPr>
      <w:rPr>
        <w:b/>
        <w:bCs/>
        <w:color w:val="FFFFFF"/>
      </w:rPr>
      <w:tblPr/>
      <w:tcPr>
        <w:tcBorders>
          <w:top w:val="single" w:sz="8" w:space="0" w:color="B4CC82"/>
          <w:left w:val="single" w:sz="8" w:space="0" w:color="B4CC82"/>
          <w:bottom w:val="single" w:sz="8" w:space="0" w:color="B4CC82"/>
          <w:right w:val="single" w:sz="8" w:space="0" w:color="B4CC82"/>
          <w:insideH w:val="nil"/>
          <w:insideV w:val="nil"/>
        </w:tcBorders>
        <w:shd w:val="clear" w:color="auto" w:fill="9BBB59"/>
      </w:tcPr>
    </w:tblStylePr>
    <w:tblStylePr w:type="lastRow">
      <w:pPr>
        <w:spacing w:before="0" w:after="0" w:line="240" w:lineRule="auto"/>
      </w:pPr>
      <w:rPr>
        <w:b/>
        <w:bCs/>
      </w:rPr>
      <w:tblPr/>
      <w:tcPr>
        <w:tcBorders>
          <w:top w:val="double" w:sz="6" w:space="0" w:color="B4CC82"/>
          <w:left w:val="single" w:sz="8" w:space="0" w:color="B4CC82"/>
          <w:bottom w:val="single" w:sz="8" w:space="0" w:color="B4CC82"/>
          <w:right w:val="single" w:sz="8" w:space="0" w:color="B4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qFormat/>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qFormat/>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0"/>
      </w:tcPr>
    </w:tblStylePr>
    <w:tblStylePr w:type="band1Horz">
      <w:tblPr/>
      <w:tcPr>
        <w:tcBorders>
          <w:insideH w:val="nil"/>
          <w:insideV w:val="nil"/>
        </w:tcBorders>
        <w:shd w:val="clear" w:color="auto" w:fill="D2EAF0"/>
      </w:tcPr>
    </w:tblStylePr>
    <w:tblStylePr w:type="band2Horz">
      <w:tblPr/>
      <w:tcPr>
        <w:tcBorders>
          <w:insideH w:val="nil"/>
          <w:insideV w:val="nil"/>
        </w:tcBorders>
      </w:tcPr>
    </w:tblStylePr>
  </w:style>
  <w:style w:type="table" w:styleId="MediumShading1-Accent6">
    <w:name w:val="Medium Shading 1 Accent 6"/>
    <w:basedOn w:val="TableNormal"/>
    <w:uiPriority w:val="63"/>
    <w:qFormat/>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5D1"/>
      </w:tcPr>
    </w:tblStylePr>
    <w:tblStylePr w:type="band1Horz">
      <w:tblPr/>
      <w:tcPr>
        <w:tcBorders>
          <w:insideH w:val="nil"/>
          <w:insideV w:val="nil"/>
        </w:tcBorders>
        <w:shd w:val="clear" w:color="auto" w:fill="FDE5D1"/>
      </w:tcPr>
    </w:tblStylePr>
    <w:tblStylePr w:type="band2Horz">
      <w:tblPr/>
      <w:tcPr>
        <w:tcBorders>
          <w:insideH w:val="nil"/>
          <w:insideV w:val="nil"/>
        </w:tcBorders>
      </w:tcPr>
    </w:tblStylePr>
  </w:style>
  <w:style w:type="table" w:styleId="MediumShading2">
    <w:name w:val="Medium Shading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000000"/>
      </w:tcPr>
    </w:tblStylePr>
    <w:tblStylePr w:type="lastCol">
      <w:rPr>
        <w:b/>
        <w:bCs/>
        <w:color w:val="FFFFFF"/>
      </w:rPr>
      <w:tblPr/>
      <w:tcPr>
        <w:tcBorders>
          <w:left w:val="nil"/>
          <w:right w:val="nil"/>
          <w:insideH w:val="nil"/>
          <w:insideV w:val="nil"/>
        </w:tcBorders>
        <w:shd w:val="clear" w:color="auto" w:fill="000000"/>
      </w:tcPr>
    </w:tblStylePr>
    <w:tblStylePr w:type="band1Vert">
      <w:tblPr/>
      <w:tcPr>
        <w:tcBorders>
          <w:left w:val="nil"/>
          <w:right w:val="nil"/>
          <w:insideH w:val="nil"/>
          <w:insideV w:val="nil"/>
        </w:tcBorders>
        <w:shd w:val="clear" w:color="auto" w:fill="D7D7D7"/>
      </w:tcPr>
    </w:tblStylePr>
    <w:tblStylePr w:type="band1Horz">
      <w:tblPr/>
      <w:tcPr>
        <w:shd w:val="clear" w:color="auto" w:fill="D7D7D7"/>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F81BD"/>
      </w:tcPr>
    </w:tblStylePr>
    <w:tblStylePr w:type="lastCol">
      <w:rPr>
        <w:b/>
        <w:bCs/>
        <w:color w:val="FFFFFF"/>
      </w:rPr>
      <w:tblPr/>
      <w:tcPr>
        <w:tcBorders>
          <w:left w:val="nil"/>
          <w:right w:val="nil"/>
          <w:insideH w:val="nil"/>
          <w:insideV w:val="nil"/>
        </w:tcBorders>
        <w:shd w:val="clear" w:color="auto" w:fill="4F81BD"/>
      </w:tcPr>
    </w:tblStylePr>
    <w:tblStylePr w:type="band1Vert">
      <w:tblPr/>
      <w:tcPr>
        <w:tcBorders>
          <w:left w:val="nil"/>
          <w:right w:val="nil"/>
          <w:insideH w:val="nil"/>
          <w:insideV w:val="nil"/>
        </w:tcBorders>
        <w:shd w:val="clear" w:color="auto" w:fill="D7D7D7"/>
      </w:tcPr>
    </w:tblStylePr>
    <w:tblStylePr w:type="band1Horz">
      <w:tblPr/>
      <w:tcPr>
        <w:shd w:val="clear" w:color="auto" w:fill="D7D7D7"/>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C0504D"/>
      </w:tcPr>
    </w:tblStylePr>
    <w:tblStylePr w:type="lastCol">
      <w:rPr>
        <w:b/>
        <w:bCs/>
        <w:color w:val="FFFFFF"/>
      </w:rPr>
      <w:tblPr/>
      <w:tcPr>
        <w:tcBorders>
          <w:left w:val="nil"/>
          <w:right w:val="nil"/>
          <w:insideH w:val="nil"/>
          <w:insideV w:val="nil"/>
        </w:tcBorders>
        <w:shd w:val="clear" w:color="auto" w:fill="C0504D"/>
      </w:tcPr>
    </w:tblStylePr>
    <w:tblStylePr w:type="band1Vert">
      <w:tblPr/>
      <w:tcPr>
        <w:tcBorders>
          <w:left w:val="nil"/>
          <w:right w:val="nil"/>
          <w:insideH w:val="nil"/>
          <w:insideV w:val="nil"/>
        </w:tcBorders>
        <w:shd w:val="clear" w:color="auto" w:fill="D7D7D7"/>
      </w:tcPr>
    </w:tblStylePr>
    <w:tblStylePr w:type="band1Horz">
      <w:tblPr/>
      <w:tcPr>
        <w:shd w:val="clear" w:color="auto" w:fill="D7D7D7"/>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9BBB59"/>
      </w:tcPr>
    </w:tblStylePr>
    <w:tblStylePr w:type="lastCol">
      <w:rPr>
        <w:b/>
        <w:bCs/>
        <w:color w:val="FFFFFF"/>
      </w:rPr>
      <w:tblPr/>
      <w:tcPr>
        <w:tcBorders>
          <w:left w:val="nil"/>
          <w:right w:val="nil"/>
          <w:insideH w:val="nil"/>
          <w:insideV w:val="nil"/>
        </w:tcBorders>
        <w:shd w:val="clear" w:color="auto" w:fill="9BBB59"/>
      </w:tcPr>
    </w:tblStylePr>
    <w:tblStylePr w:type="band1Vert">
      <w:tblPr/>
      <w:tcPr>
        <w:tcBorders>
          <w:left w:val="nil"/>
          <w:right w:val="nil"/>
          <w:insideH w:val="nil"/>
          <w:insideV w:val="nil"/>
        </w:tcBorders>
        <w:shd w:val="clear" w:color="auto" w:fill="D7D7D7"/>
      </w:tcPr>
    </w:tblStylePr>
    <w:tblStylePr w:type="band1Horz">
      <w:tblPr/>
      <w:tcPr>
        <w:shd w:val="clear" w:color="auto" w:fill="D7D7D7"/>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8064A2"/>
      </w:tcPr>
    </w:tblStylePr>
    <w:tblStylePr w:type="lastCol">
      <w:rPr>
        <w:b/>
        <w:bCs/>
        <w:color w:val="FFFFFF"/>
      </w:rPr>
      <w:tblPr/>
      <w:tcPr>
        <w:tcBorders>
          <w:left w:val="nil"/>
          <w:right w:val="nil"/>
          <w:insideH w:val="nil"/>
          <w:insideV w:val="nil"/>
        </w:tcBorders>
        <w:shd w:val="clear" w:color="auto" w:fill="8064A2"/>
      </w:tcPr>
    </w:tblStylePr>
    <w:tblStylePr w:type="band1Vert">
      <w:tblPr/>
      <w:tcPr>
        <w:tcBorders>
          <w:left w:val="nil"/>
          <w:right w:val="nil"/>
          <w:insideH w:val="nil"/>
          <w:insideV w:val="nil"/>
        </w:tcBorders>
        <w:shd w:val="clear" w:color="auto" w:fill="D7D7D7"/>
      </w:tcPr>
    </w:tblStylePr>
    <w:tblStylePr w:type="band1Horz">
      <w:tblPr/>
      <w:tcPr>
        <w:shd w:val="clear" w:color="auto" w:fill="D7D7D7"/>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BACC6"/>
      </w:tcPr>
    </w:tblStylePr>
    <w:tblStylePr w:type="lastCol">
      <w:rPr>
        <w:b/>
        <w:bCs/>
        <w:color w:val="FFFFFF"/>
      </w:rPr>
      <w:tblPr/>
      <w:tcPr>
        <w:tcBorders>
          <w:left w:val="nil"/>
          <w:right w:val="nil"/>
          <w:insideH w:val="nil"/>
          <w:insideV w:val="nil"/>
        </w:tcBorders>
        <w:shd w:val="clear" w:color="auto" w:fill="4BACC6"/>
      </w:tcPr>
    </w:tblStylePr>
    <w:tblStylePr w:type="band1Vert">
      <w:tblPr/>
      <w:tcPr>
        <w:tcBorders>
          <w:left w:val="nil"/>
          <w:right w:val="nil"/>
          <w:insideH w:val="nil"/>
          <w:insideV w:val="nil"/>
        </w:tcBorders>
        <w:shd w:val="clear" w:color="auto" w:fill="D7D7D7"/>
      </w:tcPr>
    </w:tblStylePr>
    <w:tblStylePr w:type="band1Horz">
      <w:tblPr/>
      <w:tcPr>
        <w:shd w:val="clear" w:color="auto" w:fill="D7D7D7"/>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F79646"/>
      </w:tcPr>
    </w:tblStylePr>
    <w:tblStylePr w:type="lastCol">
      <w:rPr>
        <w:b/>
        <w:bCs/>
        <w:color w:val="FFFFFF"/>
      </w:rPr>
      <w:tblPr/>
      <w:tcPr>
        <w:tcBorders>
          <w:left w:val="nil"/>
          <w:right w:val="nil"/>
          <w:insideH w:val="nil"/>
          <w:insideV w:val="nil"/>
        </w:tcBorders>
        <w:shd w:val="clear" w:color="auto" w:fill="F79646"/>
      </w:tcPr>
    </w:tblStylePr>
    <w:tblStylePr w:type="band1Vert">
      <w:tblPr/>
      <w:tcPr>
        <w:tcBorders>
          <w:left w:val="nil"/>
          <w:right w:val="nil"/>
          <w:insideH w:val="nil"/>
          <w:insideV w:val="nil"/>
        </w:tcBorders>
        <w:shd w:val="clear" w:color="auto" w:fill="D7D7D7"/>
      </w:tcPr>
    </w:tblStylePr>
    <w:tblStylePr w:type="band1Horz">
      <w:tblPr/>
      <w:tcPr>
        <w:shd w:val="clear" w:color="auto" w:fill="D7D7D7"/>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qFormat/>
    <w:rPr>
      <w:color w:val="000000"/>
    </w:rPr>
    <w:tblPr>
      <w:tblBorders>
        <w:top w:val="single" w:sz="8" w:space="0" w:color="000000"/>
        <w:bottom w:val="single" w:sz="8" w:space="0" w:color="000000"/>
      </w:tblBorders>
    </w:tblPr>
    <w:tblStylePr w:type="firstRow">
      <w:rPr>
        <w:rFonts w:ascii="Calibri" w:eastAsia="MS Gothic" w:hAnsi="Calibri" w:cs="SimSun"/>
      </w:rPr>
      <w:tblPr/>
      <w:tcPr>
        <w:tcBorders>
          <w:top w:val="nil"/>
          <w:bottom w:val="single" w:sz="8" w:space="0" w:color="000000"/>
        </w:tcBorders>
      </w:tcPr>
    </w:tblStylePr>
    <w:tblStylePr w:type="lastRow">
      <w:rPr>
        <w:b/>
        <w:bCs/>
        <w:color w:val="1F497D"/>
      </w:rPr>
      <w:tblPr/>
      <w:tcPr>
        <w:tcBorders>
          <w:top w:val="single" w:sz="8" w:space="0" w:color="000000"/>
          <w:bottom w:val="single" w:sz="8" w:space="0" w:color="000000"/>
        </w:tcBorders>
      </w:tcPr>
    </w:tblStylePr>
    <w:tblStylePr w:type="firstCol">
      <w:rPr>
        <w:b/>
        <w:bCs/>
      </w:rPr>
    </w:tblStylePr>
    <w:tblStylePr w:type="lastCol">
      <w:rPr>
        <w:b/>
        <w:bCs/>
      </w:rPr>
      <w:tblPr/>
      <w:tcPr>
        <w:tcBorders>
          <w:top w:val="single" w:sz="8" w:space="0" w:color="000000"/>
          <w:bottom w:val="single" w:sz="8" w:space="0" w:color="000000"/>
        </w:tcBorders>
      </w:tcPr>
    </w:tblStylePr>
    <w:tblStylePr w:type="band1Vert">
      <w:tblPr/>
      <w:tcPr>
        <w:shd w:val="clear" w:color="auto" w:fill="BFBFBF"/>
      </w:tcPr>
    </w:tblStylePr>
    <w:tblStylePr w:type="band1Horz">
      <w:tblPr/>
      <w:tcPr>
        <w:shd w:val="clear" w:color="auto" w:fill="BFBFBF"/>
      </w:tcPr>
    </w:tblStylePr>
  </w:style>
  <w:style w:type="table" w:styleId="MediumList1-Accent1">
    <w:name w:val="Medium List 1 Accent 1"/>
    <w:basedOn w:val="TableNormal"/>
    <w:uiPriority w:val="65"/>
    <w:qFormat/>
    <w:rPr>
      <w:color w:val="000000"/>
    </w:rPr>
    <w:tblPr>
      <w:tblBorders>
        <w:top w:val="single" w:sz="8" w:space="0" w:color="4F81BD"/>
        <w:bottom w:val="single" w:sz="8" w:space="0" w:color="4F81BD"/>
      </w:tblBorders>
    </w:tblPr>
    <w:tblStylePr w:type="firstRow">
      <w:rPr>
        <w:rFonts w:ascii="Calibri" w:eastAsia="MS Gothic" w:hAnsi="Calibri" w:cs="SimSun"/>
      </w:rPr>
      <w:tblPr/>
      <w:tcPr>
        <w:tcBorders>
          <w:top w:val="nil"/>
          <w:bottom w:val="single" w:sz="8" w:space="0" w:color="4F81BD"/>
        </w:tcBorders>
      </w:tcPr>
    </w:tblStylePr>
    <w:tblStylePr w:type="lastRow">
      <w:rPr>
        <w:b/>
        <w:bCs/>
        <w:color w:val="1F497D"/>
      </w:rPr>
      <w:tblPr/>
      <w:tcPr>
        <w:tcBorders>
          <w:top w:val="single" w:sz="8" w:space="0" w:color="4F81BD"/>
          <w:bottom w:val="single" w:sz="8" w:space="0" w:color="4F81BD"/>
        </w:tcBorders>
      </w:tcPr>
    </w:tblStylePr>
    <w:tblStylePr w:type="firstCol">
      <w:rPr>
        <w:b/>
        <w:bCs/>
      </w:rPr>
    </w:tblStylePr>
    <w:tblStylePr w:type="lastCol">
      <w:rPr>
        <w:b/>
        <w:bCs/>
      </w:rPr>
      <w:tblPr/>
      <w:tcPr>
        <w:tcBorders>
          <w:top w:val="single" w:sz="8" w:space="0" w:color="4F81BD"/>
          <w:bottom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rPr>
      <w:color w:val="000000"/>
    </w:rPr>
    <w:tblPr>
      <w:tblBorders>
        <w:top w:val="single" w:sz="8" w:space="0" w:color="C0504D"/>
        <w:bottom w:val="single" w:sz="8" w:space="0" w:color="C0504D"/>
      </w:tblBorders>
    </w:tblPr>
    <w:tblStylePr w:type="firstRow">
      <w:rPr>
        <w:rFonts w:ascii="Calibri" w:eastAsia="MS Gothic" w:hAnsi="Calibri" w:cs="SimSun"/>
      </w:rPr>
      <w:tblPr/>
      <w:tcPr>
        <w:tcBorders>
          <w:top w:val="nil"/>
          <w:bottom w:val="single" w:sz="8" w:space="0" w:color="C0504D"/>
        </w:tcBorders>
      </w:tcPr>
    </w:tblStylePr>
    <w:tblStylePr w:type="lastRow">
      <w:rPr>
        <w:b/>
        <w:bCs/>
        <w:color w:val="1F497D"/>
      </w:rPr>
      <w:tblPr/>
      <w:tcPr>
        <w:tcBorders>
          <w:top w:val="single" w:sz="8" w:space="0" w:color="C0504D"/>
          <w:bottom w:val="single" w:sz="8" w:space="0" w:color="C0504D"/>
        </w:tcBorders>
      </w:tcPr>
    </w:tblStylePr>
    <w:tblStylePr w:type="firstCol">
      <w:rPr>
        <w:b/>
        <w:bCs/>
      </w:rPr>
    </w:tblStylePr>
    <w:tblStylePr w:type="lastCol">
      <w:rPr>
        <w:b/>
        <w:bCs/>
      </w:rPr>
      <w:tblPr/>
      <w:tcPr>
        <w:tcBorders>
          <w:top w:val="single" w:sz="8" w:space="0" w:color="C0504D"/>
          <w:bottom w:val="single" w:sz="8" w:space="0" w:color="C0504D"/>
        </w:tcBorders>
      </w:tcPr>
    </w:tblStylePr>
    <w:tblStylePr w:type="band1Vert">
      <w:tblPr/>
      <w:tcPr>
        <w:shd w:val="clear" w:color="auto" w:fill="EFD3D3"/>
      </w:tcPr>
    </w:tblStylePr>
    <w:tblStylePr w:type="band1Horz">
      <w:tblPr/>
      <w:tcPr>
        <w:shd w:val="clear" w:color="auto" w:fill="EFD3D3"/>
      </w:tcPr>
    </w:tblStylePr>
  </w:style>
  <w:style w:type="table" w:styleId="MediumList1-Accent3">
    <w:name w:val="Medium List 1 Accent 3"/>
    <w:basedOn w:val="TableNormal"/>
    <w:uiPriority w:val="65"/>
    <w:qFormat/>
    <w:rPr>
      <w:color w:val="000000"/>
    </w:rPr>
    <w:tblPr>
      <w:tblBorders>
        <w:top w:val="single" w:sz="8" w:space="0" w:color="9BBB59"/>
        <w:bottom w:val="single" w:sz="8" w:space="0" w:color="9BBB59"/>
      </w:tblBorders>
    </w:tblPr>
    <w:tblStylePr w:type="firstRow">
      <w:rPr>
        <w:rFonts w:ascii="Calibri" w:eastAsia="MS Gothic" w:hAnsi="Calibri" w:cs="SimSun"/>
      </w:rPr>
      <w:tblPr/>
      <w:tcPr>
        <w:tcBorders>
          <w:top w:val="nil"/>
          <w:bottom w:val="single" w:sz="8" w:space="0" w:color="9BBB59"/>
        </w:tcBorders>
      </w:tcPr>
    </w:tblStylePr>
    <w:tblStylePr w:type="lastRow">
      <w:rPr>
        <w:b/>
        <w:bCs/>
        <w:color w:val="1F497D"/>
      </w:rPr>
      <w:tblPr/>
      <w:tcPr>
        <w:tcBorders>
          <w:top w:val="single" w:sz="8" w:space="0" w:color="9BBB59"/>
          <w:bottom w:val="single" w:sz="8" w:space="0" w:color="9BBB59"/>
        </w:tcBorders>
      </w:tcPr>
    </w:tblStylePr>
    <w:tblStylePr w:type="firstCol">
      <w:rPr>
        <w:b/>
        <w:bCs/>
      </w:rPr>
    </w:tblStylePr>
    <w:tblStylePr w:type="lastCol">
      <w:rPr>
        <w:b/>
        <w:bCs/>
      </w:rPr>
      <w:tblPr/>
      <w:tcPr>
        <w:tcBorders>
          <w:top w:val="single" w:sz="8" w:space="0" w:color="9BBB59"/>
          <w:bottom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qFormat/>
    <w:rPr>
      <w:color w:val="000000"/>
    </w:rPr>
    <w:tblPr>
      <w:tblBorders>
        <w:top w:val="single" w:sz="8" w:space="0" w:color="8064A2"/>
        <w:bottom w:val="single" w:sz="8" w:space="0" w:color="8064A2"/>
      </w:tblBorders>
    </w:tblPr>
    <w:tblStylePr w:type="firstRow">
      <w:rPr>
        <w:rFonts w:ascii="Calibri" w:eastAsia="MS Gothic" w:hAnsi="Calibri" w:cs="SimSun"/>
      </w:rPr>
      <w:tblPr/>
      <w:tcPr>
        <w:tcBorders>
          <w:top w:val="nil"/>
          <w:bottom w:val="single" w:sz="8" w:space="0" w:color="8064A2"/>
        </w:tcBorders>
      </w:tcPr>
    </w:tblStylePr>
    <w:tblStylePr w:type="lastRow">
      <w:rPr>
        <w:b/>
        <w:bCs/>
        <w:color w:val="1F497D"/>
      </w:rPr>
      <w:tblPr/>
      <w:tcPr>
        <w:tcBorders>
          <w:top w:val="single" w:sz="8" w:space="0" w:color="8064A2"/>
          <w:bottom w:val="single" w:sz="8" w:space="0" w:color="8064A2"/>
        </w:tcBorders>
      </w:tcPr>
    </w:tblStylePr>
    <w:tblStylePr w:type="firstCol">
      <w:rPr>
        <w:b/>
        <w:bCs/>
      </w:rPr>
    </w:tblStylePr>
    <w:tblStylePr w:type="lastCol">
      <w:rPr>
        <w:b/>
        <w:bCs/>
      </w:rPr>
      <w:tblPr/>
      <w:tcPr>
        <w:tcBorders>
          <w:top w:val="single" w:sz="8" w:space="0" w:color="8064A2"/>
          <w:bottom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qFormat/>
    <w:rPr>
      <w:color w:val="000000"/>
    </w:rPr>
    <w:tblPr>
      <w:tblBorders>
        <w:top w:val="single" w:sz="8" w:space="0" w:color="4BACC6"/>
        <w:bottom w:val="single" w:sz="8" w:space="0" w:color="4BACC6"/>
      </w:tblBorders>
    </w:tblPr>
    <w:tblStylePr w:type="firstRow">
      <w:rPr>
        <w:rFonts w:ascii="Calibri" w:eastAsia="MS Gothic" w:hAnsi="Calibri" w:cs="SimSu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0"/>
      </w:tcPr>
    </w:tblStylePr>
    <w:tblStylePr w:type="band1Horz">
      <w:tblPr/>
      <w:tcPr>
        <w:shd w:val="clear" w:color="auto" w:fill="D2EAF0"/>
      </w:tcPr>
    </w:tblStylePr>
  </w:style>
  <w:style w:type="table" w:styleId="MediumList1-Accent6">
    <w:name w:val="Medium List 1 Accent 6"/>
    <w:basedOn w:val="TableNormal"/>
    <w:uiPriority w:val="65"/>
    <w:qFormat/>
    <w:rPr>
      <w:color w:val="000000"/>
    </w:rPr>
    <w:tblPr>
      <w:tblBorders>
        <w:top w:val="single" w:sz="8" w:space="0" w:color="F79646"/>
        <w:bottom w:val="single" w:sz="8" w:space="0" w:color="F79646"/>
      </w:tblBorders>
    </w:tblPr>
    <w:tblStylePr w:type="firstRow">
      <w:rPr>
        <w:rFonts w:ascii="Calibri" w:eastAsia="MS Gothic" w:hAnsi="Calibri" w:cs="SimSun"/>
      </w:rPr>
      <w:tblPr/>
      <w:tcPr>
        <w:tcBorders>
          <w:top w:val="nil"/>
          <w:bottom w:val="single" w:sz="8" w:space="0" w:color="F79646"/>
        </w:tcBorders>
      </w:tcPr>
    </w:tblStylePr>
    <w:tblStylePr w:type="lastRow">
      <w:rPr>
        <w:b/>
        <w:bCs/>
        <w:color w:val="1F497D"/>
      </w:rPr>
      <w:tblPr/>
      <w:tcPr>
        <w:tcBorders>
          <w:top w:val="single" w:sz="8" w:space="0" w:color="F79646"/>
          <w:bottom w:val="single" w:sz="8" w:space="0" w:color="F79646"/>
        </w:tcBorders>
      </w:tcPr>
    </w:tblStylePr>
    <w:tblStylePr w:type="firstCol">
      <w:rPr>
        <w:b/>
        <w:bCs/>
      </w:rPr>
    </w:tblStylePr>
    <w:tblStylePr w:type="lastCol">
      <w:rPr>
        <w:b/>
        <w:bCs/>
      </w:rPr>
      <w:tblPr/>
      <w:tcPr>
        <w:tcBorders>
          <w:top w:val="single" w:sz="8" w:space="0" w:color="F79646"/>
          <w:bottom w:val="single" w:sz="8" w:space="0" w:color="F79646"/>
        </w:tcBorders>
      </w:tcPr>
    </w:tblStylePr>
    <w:tblStylePr w:type="band1Vert">
      <w:tblPr/>
      <w:tcPr>
        <w:shd w:val="clear" w:color="auto" w:fill="FDE5D1"/>
      </w:tcPr>
    </w:tblStylePr>
    <w:tblStylePr w:type="band1Horz">
      <w:tblPr/>
      <w:tcPr>
        <w:shd w:val="clear" w:color="auto" w:fill="FDE5D1"/>
      </w:tcPr>
    </w:tblStylePr>
  </w:style>
  <w:style w:type="table" w:styleId="MediumList2">
    <w:name w:val="Medium List 2"/>
    <w:basedOn w:val="TableNormal"/>
    <w:uiPriority w:val="66"/>
    <w:rPr>
      <w:rFonts w:ascii="Calibri" w:eastAsia="MS Gothic" w:hAnsi="Calibri" w:cs="SimSu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nil"/>
          <w:bottom w:val="single" w:sz="24" w:space="0" w:color="000000"/>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single" w:sz="8" w:space="0" w:color="000000"/>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BFBFBF"/>
      </w:tcPr>
    </w:tblStylePr>
    <w:tblStylePr w:type="band1Horz">
      <w:tblPr/>
      <w:tcPr>
        <w:tcBorders>
          <w:top w:val="nil"/>
          <w:bottom w:val="nil"/>
          <w:insideH w:val="nil"/>
          <w:insideV w:val="nil"/>
        </w:tcBorders>
        <w:shd w:val="clear" w:color="auto" w:fill="BFBFBF"/>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rPr>
      <w:rFonts w:ascii="Calibri" w:eastAsia="MS Gothic" w:hAnsi="Calibri" w:cs="SimSu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nil"/>
          <w:bottom w:val="single" w:sz="24" w:space="0" w:color="4F81BD"/>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single" w:sz="8" w:space="0" w:color="4F81BD"/>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3DFEE"/>
      </w:tcPr>
    </w:tblStylePr>
    <w:tblStylePr w:type="band1Horz">
      <w:tblPr/>
      <w:tcPr>
        <w:tcBorders>
          <w:top w:val="nil"/>
          <w:bottom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qFormat/>
    <w:rPr>
      <w:rFonts w:ascii="Calibri" w:eastAsia="MS Gothic" w:hAnsi="Calibri" w:cs="SimSu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nil"/>
          <w:bottom w:val="single" w:sz="24" w:space="0" w:color="C0504D"/>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single" w:sz="8" w:space="0" w:color="C0504D"/>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EFD3D3"/>
      </w:tcPr>
    </w:tblStylePr>
    <w:tblStylePr w:type="band1Horz">
      <w:tblPr/>
      <w:tcPr>
        <w:tcBorders>
          <w:top w:val="nil"/>
          <w:bottom w:val="nil"/>
          <w:insideH w:val="nil"/>
          <w:insideV w:val="nil"/>
        </w:tcBorders>
        <w:shd w:val="clear" w:color="auto" w:fill="EFD3D3"/>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qFormat/>
    <w:rPr>
      <w:rFonts w:ascii="Calibri" w:eastAsia="MS Gothic" w:hAnsi="Calibri" w:cs="SimSu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nil"/>
          <w:bottom w:val="single" w:sz="24" w:space="0" w:color="9BBB59"/>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single" w:sz="8" w:space="0" w:color="9BBB59"/>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E6EED5"/>
      </w:tcPr>
    </w:tblStylePr>
    <w:tblStylePr w:type="band1Horz">
      <w:tblPr/>
      <w:tcPr>
        <w:tcBorders>
          <w:top w:val="nil"/>
          <w:bottom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qFormat/>
    <w:rPr>
      <w:rFonts w:ascii="Calibri" w:eastAsia="MS Gothic" w:hAnsi="Calibri" w:cs="SimSu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nil"/>
          <w:bottom w:val="single" w:sz="24" w:space="0" w:color="8064A2"/>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single" w:sz="8" w:space="0" w:color="8064A2"/>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FD8E8"/>
      </w:tcPr>
    </w:tblStylePr>
    <w:tblStylePr w:type="band1Horz">
      <w:tblPr/>
      <w:tcPr>
        <w:tcBorders>
          <w:top w:val="nil"/>
          <w:bottom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qFormat/>
    <w:rPr>
      <w:rFonts w:ascii="Calibri" w:eastAsia="MS Gothic" w:hAnsi="Calibri" w:cs="SimSu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nil"/>
          <w:bottom w:val="single" w:sz="24" w:space="0" w:color="4BACC6"/>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single" w:sz="8" w:space="0" w:color="4BACC6"/>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2EAF0"/>
      </w:tcPr>
    </w:tblStylePr>
    <w:tblStylePr w:type="band1Horz">
      <w:tblPr/>
      <w:tcPr>
        <w:tcBorders>
          <w:top w:val="nil"/>
          <w:bottom w:val="nil"/>
          <w:insideH w:val="nil"/>
          <w:insideV w:val="nil"/>
        </w:tcBorders>
        <w:shd w:val="clear" w:color="auto" w:fill="D2EAF0"/>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qFormat/>
    <w:rPr>
      <w:rFonts w:ascii="Calibri" w:eastAsia="MS Gothic" w:hAnsi="Calibri" w:cs="SimSu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nil"/>
          <w:bottom w:val="single" w:sz="24" w:space="0" w:color="F79646"/>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single" w:sz="8" w:space="0" w:color="F79646"/>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FDE5D1"/>
      </w:tcPr>
    </w:tblStylePr>
    <w:tblStylePr w:type="band1Horz">
      <w:tblPr/>
      <w:tcPr>
        <w:tcBorders>
          <w:top w:val="nil"/>
          <w:bottom w:val="nil"/>
          <w:insideH w:val="nil"/>
          <w:insideV w:val="nil"/>
        </w:tcBorders>
        <w:shd w:val="clear" w:color="auto" w:fill="FDE5D1"/>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qFormat/>
    <w:tblPr>
      <w:tblBorders>
        <w:top w:val="single" w:sz="8" w:space="0" w:color="3F3F3F"/>
        <w:left w:val="single" w:sz="8" w:space="0" w:color="3F3F3F"/>
        <w:bottom w:val="single" w:sz="8" w:space="0" w:color="3F3F3F"/>
        <w:right w:val="single" w:sz="8" w:space="0" w:color="3F3F3F"/>
        <w:insideH w:val="single" w:sz="8" w:space="0" w:color="3F3F3F"/>
        <w:insideV w:val="single" w:sz="8" w:space="0" w:color="3F3F3F"/>
      </w:tblBorders>
      <w:shd w:val="clear" w:color="auto" w:fill="BFBFBF"/>
    </w:tblPr>
    <w:tcPr>
      <w:shd w:val="clear" w:color="auto" w:fill="BFBFBF"/>
    </w:tcPr>
    <w:tblStylePr w:type="firstRow">
      <w:rPr>
        <w:b/>
        <w:bCs/>
      </w:rPr>
    </w:tblStylePr>
    <w:tblStylePr w:type="lastRow">
      <w:rPr>
        <w:b/>
        <w:bCs/>
      </w:rPr>
      <w:tblPr/>
      <w:tcPr>
        <w:tcBorders>
          <w:top w:val="single" w:sz="18" w:space="0" w:color="3F3F3F"/>
        </w:tcBorders>
      </w:tcPr>
    </w:tblStylePr>
    <w:tblStylePr w:type="firstCol">
      <w:rPr>
        <w:b/>
        <w:bCs/>
      </w:rPr>
    </w:tblStylePr>
    <w:tblStylePr w:type="lastCol">
      <w:rPr>
        <w:b/>
        <w:bCs/>
      </w:rPr>
    </w:tblStylePr>
    <w:tblStylePr w:type="band1Vert">
      <w:tblPr/>
      <w:tcPr>
        <w:shd w:val="clear" w:color="auto" w:fill="7F7F7F"/>
      </w:tcPr>
    </w:tblStylePr>
    <w:tblStylePr w:type="band1Horz">
      <w:tblPr/>
      <w:tcPr>
        <w:shd w:val="clear" w:color="auto" w:fill="7F7F7F"/>
      </w:tcPr>
    </w:tblStylePr>
  </w:style>
  <w:style w:type="table" w:styleId="MediumGrid1-Accent1">
    <w:name w:val="Medium Grid 1 Accent 1"/>
    <w:basedOn w:val="TableNormal"/>
    <w:uiPriority w:val="67"/>
    <w:qFormat/>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shd w:val="clear" w:color="auto" w:fill="D3DFEE"/>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C0DE"/>
      </w:tcPr>
    </w:tblStylePr>
    <w:tblStylePr w:type="band1Horz">
      <w:tblPr/>
      <w:tcPr>
        <w:shd w:val="clear" w:color="auto" w:fill="A7C0DE"/>
      </w:tcPr>
    </w:tblStylePr>
  </w:style>
  <w:style w:type="table" w:styleId="MediumGrid1-Accent2">
    <w:name w:val="Medium Grid 1 Accent 2"/>
    <w:basedOn w:val="TableNormal"/>
    <w:uiPriority w:val="67"/>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shd w:val="clear" w:color="auto" w:fill="EFD3D3"/>
    </w:tblPr>
    <w:tcPr>
      <w:shd w:val="clear" w:color="auto" w:fill="EFD3D3"/>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tblPr>
      <w:tblBorders>
        <w:top w:val="single" w:sz="8" w:space="0" w:color="B4CC82"/>
        <w:left w:val="single" w:sz="8" w:space="0" w:color="B4CC82"/>
        <w:bottom w:val="single" w:sz="8" w:space="0" w:color="B4CC82"/>
        <w:right w:val="single" w:sz="8" w:space="0" w:color="B4CC82"/>
        <w:insideH w:val="single" w:sz="8" w:space="0" w:color="B4CC82"/>
        <w:insideV w:val="single" w:sz="8" w:space="0" w:color="B4CC82"/>
      </w:tblBorders>
      <w:shd w:val="clear" w:color="auto" w:fill="E6EED5"/>
    </w:tblPr>
    <w:tcPr>
      <w:shd w:val="clear" w:color="auto" w:fill="E6EED5"/>
    </w:tcPr>
    <w:tblStylePr w:type="firstRow">
      <w:rPr>
        <w:b/>
        <w:bCs/>
      </w:rPr>
    </w:tblStylePr>
    <w:tblStylePr w:type="lastRow">
      <w:rPr>
        <w:b/>
        <w:bCs/>
      </w:rPr>
      <w:tblPr/>
      <w:tcPr>
        <w:tcBorders>
          <w:top w:val="single" w:sz="18" w:space="0" w:color="B4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shd w:val="clear" w:color="auto" w:fill="DFD8E8"/>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shd w:val="clear" w:color="auto" w:fill="D2EAF0"/>
    </w:tblPr>
    <w:tcPr>
      <w:shd w:val="clear" w:color="auto" w:fill="D2EAF0"/>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shd w:val="clear" w:color="auto" w:fill="FDE5D1"/>
    </w:tblPr>
    <w:tcPr>
      <w:shd w:val="clear" w:color="auto" w:fill="FDE5D1"/>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qFormat/>
    <w:rPr>
      <w:rFonts w:ascii="Calibri" w:eastAsia="MS Gothic" w:hAnsi="Calibri" w:cs="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BFBFBF"/>
    </w:tblPr>
    <w:tcPr>
      <w:shd w:val="clear" w:color="auto" w:fill="BFBFBF"/>
    </w:tcPr>
    <w:tblStylePr w:type="firstRow">
      <w:rPr>
        <w:b/>
        <w:bCs/>
        <w:color w:val="000000"/>
      </w:rPr>
      <w:tblPr/>
      <w:tcPr>
        <w:shd w:val="clear" w:color="auto" w:fill="E5E5E5"/>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7F7F7F"/>
      </w:tcPr>
    </w:tblStylePr>
    <w:tblStylePr w:type="band1Horz">
      <w:tblPr/>
      <w:tcPr>
        <w:tcBorders>
          <w:insideH w:val="single" w:sz="6" w:space="0" w:color="auto"/>
          <w:insideV w:val="single" w:sz="6" w:space="0" w:color="auto"/>
        </w:tcBorders>
        <w:shd w:val="clear" w:color="auto" w:fill="7F7F7F"/>
      </w:tcPr>
    </w:tblStylePr>
    <w:tblStylePr w:type="nwCell">
      <w:tblPr/>
      <w:tcPr>
        <w:shd w:val="clear" w:color="auto" w:fill="FFFFFF"/>
      </w:tcPr>
    </w:tblStylePr>
  </w:style>
  <w:style w:type="table" w:styleId="MediumGrid2-Accent1">
    <w:name w:val="Medium Grid 2 Accent 1"/>
    <w:basedOn w:val="TableNormal"/>
    <w:uiPriority w:val="68"/>
    <w:qFormat/>
    <w:rPr>
      <w:rFonts w:ascii="Calibri" w:eastAsia="MS Gothic" w:hAnsi="Calibri" w:cs="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shd w:val="clear" w:color="auto" w:fill="D3DFEE"/>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C0DE"/>
      </w:tcPr>
    </w:tblStylePr>
    <w:tblStylePr w:type="band1Horz">
      <w:tblPr/>
      <w:tcPr>
        <w:tcBorders>
          <w:insideH w:val="single" w:sz="6" w:space="0" w:color="auto"/>
          <w:insideV w:val="single" w:sz="6" w:space="0" w:color="auto"/>
        </w:tcBorders>
        <w:shd w:val="clear" w:color="auto" w:fill="A7C0DE"/>
      </w:tcPr>
    </w:tblStylePr>
    <w:tblStylePr w:type="nwCell">
      <w:tblPr/>
      <w:tcPr>
        <w:shd w:val="clear" w:color="auto" w:fill="FFFFFF"/>
      </w:tcPr>
    </w:tblStylePr>
  </w:style>
  <w:style w:type="table" w:styleId="MediumGrid2-Accent2">
    <w:name w:val="Medium Grid 2 Accent 2"/>
    <w:basedOn w:val="TableNormal"/>
    <w:uiPriority w:val="68"/>
    <w:rPr>
      <w:rFonts w:ascii="Calibri" w:eastAsia="MS Gothic" w:hAnsi="Calibri" w:cs="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shd w:val="clear" w:color="auto" w:fill="EFD3D3"/>
    </w:tblPr>
    <w:tcPr>
      <w:shd w:val="clear" w:color="auto" w:fill="EFD3D3"/>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qFormat/>
    <w:rPr>
      <w:rFonts w:ascii="Calibri" w:eastAsia="MS Gothic" w:hAnsi="Calibri" w:cs="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shd w:val="clear" w:color="auto" w:fill="E6EED5"/>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qFormat/>
    <w:rPr>
      <w:rFonts w:ascii="Calibri" w:eastAsia="MS Gothic" w:hAnsi="Calibri" w:cs="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shd w:val="clear" w:color="auto" w:fill="DFD8E8"/>
    </w:tblPr>
    <w:tcPr>
      <w:shd w:val="clear" w:color="auto" w:fill="DFD8E8"/>
    </w:tcPr>
    <w:tblStylePr w:type="firstRow">
      <w:rPr>
        <w:b/>
        <w:bCs/>
        <w:color w:val="000000"/>
      </w:rPr>
      <w:tblPr/>
      <w:tcPr>
        <w:shd w:val="clear" w:color="auto" w:fill="F2EFF5"/>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qFormat/>
    <w:rPr>
      <w:rFonts w:ascii="Calibri" w:eastAsia="MS Gothic" w:hAnsi="Calibri" w:cs="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shd w:val="clear" w:color="auto" w:fill="D2EAF0"/>
    </w:tblPr>
    <w:tcPr>
      <w:shd w:val="clear" w:color="auto" w:fill="D2EAF0"/>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qFormat/>
    <w:rPr>
      <w:rFonts w:ascii="Calibri" w:eastAsia="MS Gothic" w:hAnsi="Calibri" w:cs="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shd w:val="clear" w:color="auto" w:fill="FDE5D1"/>
    </w:tblPr>
    <w:tcPr>
      <w:shd w:val="clear" w:color="auto" w:fill="FDE5D1"/>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BFBFBF"/>
    </w:tblPr>
    <w:tcPr>
      <w:shd w:val="clear" w:color="auto" w:fill="BFBFBF"/>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7F7F7F"/>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7F7F7F"/>
      </w:tcPr>
    </w:tblStylePr>
  </w:style>
  <w:style w:type="table" w:styleId="MediumGrid3-Accent1">
    <w:name w:val="Medium Grid 3 Accent 1"/>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3DFEE"/>
    </w:tblPr>
    <w:tcPr>
      <w:shd w:val="clear" w:color="auto" w:fill="D3DFEE"/>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C0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C0DE"/>
      </w:tcPr>
    </w:tblStylePr>
  </w:style>
  <w:style w:type="table" w:styleId="MediumGrid3-Accent2">
    <w:name w:val="Medium Grid 3 Accent 2"/>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EFD3D3"/>
    </w:tblPr>
    <w:tcPr>
      <w:shd w:val="clear" w:color="auto" w:fill="EFD3D3"/>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E6EED5"/>
    </w:tblPr>
    <w:tcPr>
      <w:shd w:val="clear" w:color="auto" w:fill="E6EED5"/>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FD8E8"/>
    </w:tblPr>
    <w:tcPr>
      <w:shd w:val="clear" w:color="auto" w:fill="DFD8E8"/>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2EAF0"/>
    </w:tblPr>
    <w:tcPr>
      <w:shd w:val="clear" w:color="auto" w:fill="D2EAF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FDE5D1"/>
    </w:tblPr>
    <w:tcPr>
      <w:shd w:val="clear" w:color="auto" w:fill="FDE5D1"/>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qFormat/>
    <w:rPr>
      <w:color w:val="FFFFFF"/>
    </w:rPr>
    <w:tblPr>
      <w:shd w:val="clear" w:color="auto" w:fill="000000"/>
    </w:tblPr>
    <w:tcPr>
      <w:shd w:val="clear" w:color="auto" w:fill="000000"/>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single" w:sz="18" w:space="0" w:color="FFFFFF"/>
          <w:bottom w:val="nil"/>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qFormat/>
    <w:rPr>
      <w:color w:val="FFFFFF"/>
    </w:rPr>
    <w:tblPr>
      <w:shd w:val="clear" w:color="auto" w:fill="4F81BD"/>
    </w:tblPr>
    <w:tcPr>
      <w:shd w:val="clear" w:color="auto" w:fill="4F81BD"/>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1"/>
      </w:tcPr>
    </w:tblStylePr>
    <w:tblStylePr w:type="firstCol">
      <w:tblPr/>
      <w:tcPr>
        <w:tcBorders>
          <w:top w:val="nil"/>
          <w:left w:val="nil"/>
          <w:bottom w:val="nil"/>
          <w:right w:val="single" w:sz="18" w:space="0" w:color="FFFFFF"/>
          <w:insideH w:val="nil"/>
          <w:insideV w:val="nil"/>
        </w:tcBorders>
        <w:shd w:val="clear" w:color="auto" w:fill="366091"/>
      </w:tcPr>
    </w:tblStylePr>
    <w:tblStylePr w:type="lastCol">
      <w:tblPr/>
      <w:tcPr>
        <w:tcBorders>
          <w:top w:val="nil"/>
          <w:left w:val="single" w:sz="18" w:space="0" w:color="FFFFFF"/>
          <w:bottom w:val="nil"/>
          <w:right w:val="nil"/>
          <w:insideH w:val="nil"/>
          <w:insideV w:val="nil"/>
        </w:tcBorders>
        <w:shd w:val="clear" w:color="auto" w:fill="366091"/>
      </w:tcPr>
    </w:tblStylePr>
    <w:tblStylePr w:type="band1Vert">
      <w:tblPr/>
      <w:tcPr>
        <w:tcBorders>
          <w:top w:val="nil"/>
          <w:left w:val="nil"/>
          <w:bottom w:val="nil"/>
          <w:right w:val="nil"/>
          <w:insideH w:val="nil"/>
          <w:insideV w:val="nil"/>
        </w:tcBorders>
        <w:shd w:val="clear" w:color="auto" w:fill="366091"/>
      </w:tcPr>
    </w:tblStylePr>
    <w:tblStylePr w:type="band1Horz">
      <w:tblPr/>
      <w:tcPr>
        <w:tcBorders>
          <w:top w:val="nil"/>
          <w:left w:val="nil"/>
          <w:bottom w:val="nil"/>
          <w:right w:val="nil"/>
          <w:insideH w:val="nil"/>
          <w:insideV w:val="nil"/>
        </w:tcBorders>
        <w:shd w:val="clear" w:color="auto" w:fill="366091"/>
      </w:tcPr>
    </w:tblStylePr>
  </w:style>
  <w:style w:type="table" w:styleId="DarkList-Accent2">
    <w:name w:val="Dark List Accent 2"/>
    <w:basedOn w:val="TableNormal"/>
    <w:uiPriority w:val="70"/>
    <w:qFormat/>
    <w:rPr>
      <w:color w:val="FFFFFF"/>
    </w:rPr>
    <w:tblPr>
      <w:shd w:val="clear" w:color="auto" w:fill="C0504D"/>
    </w:tblPr>
    <w:tcPr>
      <w:shd w:val="clear" w:color="auto" w:fill="C0504D"/>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734"/>
      </w:tcPr>
    </w:tblStylePr>
    <w:tblStylePr w:type="lastCol">
      <w:tblPr/>
      <w:tcPr>
        <w:tcBorders>
          <w:top w:val="nil"/>
          <w:left w:val="single" w:sz="18" w:space="0" w:color="FFFFFF"/>
          <w:bottom w:val="nil"/>
          <w:right w:val="nil"/>
          <w:insideH w:val="nil"/>
          <w:insideV w:val="nil"/>
        </w:tcBorders>
        <w:shd w:val="clear" w:color="auto" w:fill="943734"/>
      </w:tcPr>
    </w:tblStylePr>
    <w:tblStylePr w:type="band1Vert">
      <w:tblPr/>
      <w:tcPr>
        <w:tcBorders>
          <w:top w:val="nil"/>
          <w:left w:val="nil"/>
          <w:bottom w:val="nil"/>
          <w:right w:val="nil"/>
          <w:insideH w:val="nil"/>
          <w:insideV w:val="nil"/>
        </w:tcBorders>
        <w:shd w:val="clear" w:color="auto" w:fill="943734"/>
      </w:tcPr>
    </w:tblStylePr>
    <w:tblStylePr w:type="band1Horz">
      <w:tblPr/>
      <w:tcPr>
        <w:tcBorders>
          <w:top w:val="nil"/>
          <w:left w:val="nil"/>
          <w:bottom w:val="nil"/>
          <w:right w:val="nil"/>
          <w:insideH w:val="nil"/>
          <w:insideV w:val="nil"/>
        </w:tcBorders>
        <w:shd w:val="clear" w:color="auto" w:fill="943734"/>
      </w:tcPr>
    </w:tblStylePr>
  </w:style>
  <w:style w:type="table" w:styleId="DarkList-Accent3">
    <w:name w:val="Dark List Accent 3"/>
    <w:basedOn w:val="TableNormal"/>
    <w:uiPriority w:val="70"/>
    <w:qFormat/>
    <w:rPr>
      <w:color w:val="FFFFFF"/>
    </w:rPr>
    <w:tblPr>
      <w:shd w:val="clear" w:color="auto" w:fill="9BBB59"/>
    </w:tblPr>
    <w:tcPr>
      <w:shd w:val="clear" w:color="auto" w:fill="9BBB59"/>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7"/>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single" w:sz="18" w:space="0" w:color="FFFFFF"/>
          <w:bottom w:val="nil"/>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qFormat/>
    <w:rPr>
      <w:color w:val="FFFFFF"/>
    </w:rPr>
    <w:tblPr>
      <w:shd w:val="clear" w:color="auto" w:fill="8064A2"/>
    </w:tblPr>
    <w:tcPr>
      <w:shd w:val="clear" w:color="auto" w:fill="8064A2"/>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0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single" w:sz="18" w:space="0" w:color="FFFFFF"/>
          <w:bottom w:val="nil"/>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qFormat/>
    <w:rPr>
      <w:color w:val="FFFFFF"/>
    </w:rPr>
    <w:tblPr>
      <w:shd w:val="clear" w:color="auto" w:fill="4BACC6"/>
    </w:tblPr>
    <w:tcPr>
      <w:shd w:val="clear" w:color="auto" w:fill="4BACC6"/>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single" w:sz="18" w:space="0" w:color="FFFFFF"/>
          <w:bottom w:val="nil"/>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qFormat/>
    <w:rPr>
      <w:color w:val="FFFFFF"/>
    </w:rPr>
    <w:tblPr>
      <w:shd w:val="clear" w:color="auto" w:fill="F79646"/>
    </w:tblPr>
    <w:tcPr>
      <w:shd w:val="clear" w:color="auto" w:fill="F79646"/>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9"/>
      </w:tcPr>
    </w:tblStylePr>
    <w:tblStylePr w:type="lastCol">
      <w:tblPr/>
      <w:tcPr>
        <w:tcBorders>
          <w:top w:val="nil"/>
          <w:left w:val="single" w:sz="18" w:space="0" w:color="FFFFFF"/>
          <w:bottom w:val="nil"/>
          <w:right w:val="nil"/>
          <w:insideH w:val="nil"/>
          <w:insideV w:val="nil"/>
        </w:tcBorders>
        <w:shd w:val="clear" w:color="auto" w:fill="E36C09"/>
      </w:tcPr>
    </w:tblStylePr>
    <w:tblStylePr w:type="band1Vert">
      <w:tblPr/>
      <w:tcPr>
        <w:tcBorders>
          <w:top w:val="nil"/>
          <w:left w:val="nil"/>
          <w:bottom w:val="nil"/>
          <w:right w:val="nil"/>
          <w:insideH w:val="nil"/>
          <w:insideV w:val="nil"/>
        </w:tcBorders>
        <w:shd w:val="clear" w:color="auto" w:fill="E36C09"/>
      </w:tcPr>
    </w:tblStylePr>
    <w:tblStylePr w:type="band1Horz">
      <w:tblPr/>
      <w:tcPr>
        <w:tcBorders>
          <w:top w:val="nil"/>
          <w:left w:val="nil"/>
          <w:bottom w:val="nil"/>
          <w:right w:val="nil"/>
          <w:insideH w:val="nil"/>
          <w:insideV w:val="nil"/>
        </w:tcBorders>
        <w:shd w:val="clear" w:color="auto" w:fill="E36C09"/>
      </w:tcPr>
    </w:tblStylePr>
  </w:style>
  <w:style w:type="table" w:styleId="ColourfulShading">
    <w:name w:val="Colorful Shading"/>
    <w:basedOn w:val="TableNormal"/>
    <w:uiPriority w:val="71"/>
    <w:qFormat/>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shd w:val="clear" w:color="auto" w:fill="E5E5E5"/>
    </w:tblPr>
    <w:tcPr>
      <w:shd w:val="clear" w:color="auto" w:fill="E5E5E5"/>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7F7F7F"/>
      </w:tcPr>
    </w:tblStylePr>
    <w:tblStylePr w:type="neCell">
      <w:rPr>
        <w:color w:val="000000"/>
      </w:rPr>
    </w:tblStylePr>
    <w:tblStylePr w:type="nwCell">
      <w:rPr>
        <w:color w:val="000000"/>
      </w:rPr>
    </w:tblStylePr>
  </w:style>
  <w:style w:type="table" w:styleId="ColourfulShadingAccent1">
    <w:name w:val="Colorful Shading Accent 1"/>
    <w:basedOn w:val="TableNormal"/>
    <w:uiPriority w:val="71"/>
    <w:qFormat/>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shd w:val="clear" w:color="auto" w:fill="EDF2F8"/>
    </w:tblPr>
    <w:tcPr>
      <w:shd w:val="clear" w:color="auto" w:fill="EDF2F8"/>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B4D74"/>
      </w:tcPr>
    </w:tblStylePr>
    <w:tblStylePr w:type="firstCol">
      <w:rPr>
        <w:color w:val="FFFFFF"/>
      </w:rPr>
      <w:tblPr/>
      <w:tcPr>
        <w:tcBorders>
          <w:top w:val="nil"/>
          <w:left w:val="nil"/>
          <w:bottom w:val="nil"/>
          <w:right w:val="nil"/>
          <w:insideH w:val="single" w:sz="4" w:space="0" w:color="auto"/>
          <w:insideV w:val="nil"/>
        </w:tcBorders>
        <w:shd w:val="clear" w:color="auto" w:fill="2B4D74"/>
      </w:tcPr>
    </w:tblStylePr>
    <w:tblStylePr w:type="lastCol">
      <w:rPr>
        <w:color w:val="FFFFFF"/>
      </w:rPr>
      <w:tblPr/>
      <w:tcPr>
        <w:tcBorders>
          <w:top w:val="nil"/>
          <w:left w:val="nil"/>
          <w:bottom w:val="nil"/>
          <w:right w:val="nil"/>
          <w:insideH w:val="nil"/>
          <w:insideV w:val="nil"/>
        </w:tcBorders>
        <w:shd w:val="clear" w:color="auto" w:fill="2B4D74"/>
      </w:tcPr>
    </w:tblStylePr>
    <w:tblStylePr w:type="band1Vert">
      <w:tblPr/>
      <w:tcPr>
        <w:shd w:val="clear" w:color="auto" w:fill="B8CCE4"/>
      </w:tcPr>
    </w:tblStylePr>
    <w:tblStylePr w:type="band1Horz">
      <w:tblPr/>
      <w:tcPr>
        <w:shd w:val="clear" w:color="auto" w:fill="A7C0DE"/>
      </w:tcPr>
    </w:tblStylePr>
    <w:tblStylePr w:type="neCell">
      <w:rPr>
        <w:color w:val="000000"/>
      </w:rPr>
    </w:tblStylePr>
    <w:tblStylePr w:type="nwCell">
      <w:rPr>
        <w:color w:val="000000"/>
      </w:rPr>
    </w:tblStylePr>
  </w:style>
  <w:style w:type="table" w:styleId="ColourfulShadingAccent2">
    <w:name w:val="Colorful Shading Accent 2"/>
    <w:basedOn w:val="TableNormal"/>
    <w:uiPriority w:val="71"/>
    <w:qFormat/>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shd w:val="clear" w:color="auto" w:fill="F8EDED"/>
    </w:tblPr>
    <w:tcPr>
      <w:shd w:val="clear" w:color="auto" w:fill="F8EDED"/>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urfulShadingAccent3">
    <w:name w:val="Colorful Shading Accent 3"/>
    <w:basedOn w:val="TableNormal"/>
    <w:uiPriority w:val="71"/>
    <w:qFormat/>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shd w:val="clear" w:color="auto" w:fill="F5F8EE"/>
    </w:tblPr>
    <w:tcPr>
      <w:shd w:val="clear" w:color="auto" w:fill="F5F8EE"/>
    </w:tcPr>
    <w:tblStylePr w:type="firstRow">
      <w:rPr>
        <w:b/>
        <w:bCs/>
      </w:rPr>
      <w:tblPr/>
      <w:tcPr>
        <w:tcBorders>
          <w:top w:val="nil"/>
          <w:left w:val="nil"/>
          <w:bottom w:val="single" w:sz="24" w:space="0" w:color="8064A2"/>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urfulShadingAccent4">
    <w:name w:val="Colorful Shading Accent 4"/>
    <w:basedOn w:val="TableNormal"/>
    <w:uiPriority w:val="71"/>
    <w:qFormat/>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shd w:val="clear" w:color="auto" w:fill="F2EFF5"/>
    </w:tblPr>
    <w:tcPr>
      <w:shd w:val="clear" w:color="auto" w:fill="F2EFF5"/>
    </w:tcPr>
    <w:tblStylePr w:type="firstRow">
      <w:rPr>
        <w:b/>
        <w:bCs/>
      </w:rPr>
      <w:tblPr/>
      <w:tcPr>
        <w:tcBorders>
          <w:top w:val="nil"/>
          <w:left w:val="nil"/>
          <w:bottom w:val="single" w:sz="24" w:space="0" w:color="9BBB59"/>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A62"/>
      </w:tcPr>
    </w:tblStylePr>
    <w:tblStylePr w:type="firstCol">
      <w:rPr>
        <w:color w:val="FFFFFF"/>
      </w:rPr>
      <w:tblPr/>
      <w:tcPr>
        <w:tcBorders>
          <w:top w:val="nil"/>
          <w:left w:val="nil"/>
          <w:bottom w:val="nil"/>
          <w:right w:val="nil"/>
          <w:insideH w:val="single" w:sz="4" w:space="0" w:color="auto"/>
          <w:insideV w:val="nil"/>
        </w:tcBorders>
        <w:shd w:val="clear" w:color="auto" w:fill="4C3A62"/>
      </w:tcPr>
    </w:tblStylePr>
    <w:tblStylePr w:type="lastCol">
      <w:rPr>
        <w:color w:val="FFFFFF"/>
      </w:rPr>
      <w:tblPr/>
      <w:tcPr>
        <w:tcBorders>
          <w:top w:val="nil"/>
          <w:left w:val="nil"/>
          <w:bottom w:val="nil"/>
          <w:right w:val="nil"/>
          <w:insideH w:val="nil"/>
          <w:insideV w:val="nil"/>
        </w:tcBorders>
        <w:shd w:val="clear" w:color="auto" w:fill="4C3A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urfulShadingAccent5">
    <w:name w:val="Colorful Shading Accent 5"/>
    <w:basedOn w:val="TableNormal"/>
    <w:uiPriority w:val="71"/>
    <w:qFormat/>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shd w:val="clear" w:color="auto" w:fill="EDF6F9"/>
    </w:tblPr>
    <w:tcPr>
      <w:shd w:val="clear" w:color="auto" w:fill="EDF6F9"/>
    </w:tcPr>
    <w:tblStylePr w:type="firstRow">
      <w:rPr>
        <w:b/>
        <w:bCs/>
      </w:rPr>
      <w:tblPr/>
      <w:tcPr>
        <w:tcBorders>
          <w:top w:val="nil"/>
          <w:left w:val="nil"/>
          <w:bottom w:val="single" w:sz="24" w:space="0" w:color="F79646"/>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urfulShadingAccent6">
    <w:name w:val="Colorful Shading Accent 6"/>
    <w:basedOn w:val="TableNormal"/>
    <w:uiPriority w:val="71"/>
    <w:qFormat/>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shd w:val="clear" w:color="auto" w:fill="FEF4EC"/>
    </w:tblPr>
    <w:tcPr>
      <w:shd w:val="clear" w:color="auto" w:fill="FEF4EC"/>
    </w:tcPr>
    <w:tblStylePr w:type="firstRow">
      <w:rPr>
        <w:b/>
        <w:bCs/>
      </w:rPr>
      <w:tblPr/>
      <w:tcPr>
        <w:tcBorders>
          <w:top w:val="nil"/>
          <w:left w:val="nil"/>
          <w:bottom w:val="single" w:sz="24" w:space="0" w:color="4BACC6"/>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7"/>
      </w:tcPr>
    </w:tblStylePr>
    <w:tblStylePr w:type="firstCol">
      <w:rPr>
        <w:color w:val="FFFFFF"/>
      </w:rPr>
      <w:tblPr/>
      <w:tcPr>
        <w:tcBorders>
          <w:top w:val="nil"/>
          <w:left w:val="nil"/>
          <w:bottom w:val="nil"/>
          <w:right w:val="nil"/>
          <w:insideH w:val="single" w:sz="4" w:space="0" w:color="auto"/>
          <w:insideV w:val="nil"/>
        </w:tcBorders>
        <w:shd w:val="clear" w:color="auto" w:fill="B65607"/>
      </w:tcPr>
    </w:tblStylePr>
    <w:tblStylePr w:type="lastCol">
      <w:rPr>
        <w:color w:val="FFFFFF"/>
      </w:rPr>
      <w:tblPr/>
      <w:tcPr>
        <w:tcBorders>
          <w:top w:val="nil"/>
          <w:left w:val="nil"/>
          <w:bottom w:val="nil"/>
          <w:right w:val="nil"/>
          <w:insideH w:val="nil"/>
          <w:insideV w:val="nil"/>
        </w:tcBorders>
        <w:shd w:val="clear" w:color="auto" w:fill="B65607"/>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urfulList">
    <w:name w:val="Colorful List"/>
    <w:basedOn w:val="TableNormal"/>
    <w:uiPriority w:val="72"/>
    <w:qFormat/>
    <w:rPr>
      <w:color w:val="000000"/>
    </w:rPr>
    <w:tblPr>
      <w:shd w:val="clear" w:color="auto" w:fill="E5E5E5"/>
    </w:tblPr>
    <w:tcPr>
      <w:shd w:val="clear" w:color="auto" w:fill="E5E5E5"/>
    </w:tcPr>
    <w:tblStylePr w:type="firstRow">
      <w:rPr>
        <w:b/>
        <w:bCs/>
        <w:color w:val="FFFFFF"/>
      </w:rPr>
      <w:tblPr/>
      <w:tcPr>
        <w:tcBorders>
          <w:bottom w:val="single" w:sz="12" w:space="0" w:color="FFFFFF"/>
        </w:tcBorders>
        <w:shd w:val="clear" w:color="auto" w:fill="9E3A38"/>
      </w:tcPr>
    </w:tblStylePr>
    <w:tblStylePr w:type="lastRow">
      <w:rPr>
        <w:b/>
        <w:bCs/>
        <w:color w:val="9F3B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cPr>
    </w:tblStylePr>
    <w:tblStylePr w:type="band1Horz">
      <w:tblPr/>
      <w:tcPr>
        <w:shd w:val="clear" w:color="auto" w:fill="CCCCCC"/>
      </w:tcPr>
    </w:tblStylePr>
  </w:style>
  <w:style w:type="table" w:styleId="ColourfulListAccent1">
    <w:name w:val="Colorful List Accent 1"/>
    <w:basedOn w:val="TableNormal"/>
    <w:uiPriority w:val="72"/>
    <w:qFormat/>
    <w:rPr>
      <w:color w:val="000000"/>
    </w:rPr>
    <w:tblPr>
      <w:shd w:val="clear" w:color="auto" w:fill="EDF2F8"/>
    </w:tblPr>
    <w:tcPr>
      <w:shd w:val="clear" w:color="auto" w:fill="EDF2F8"/>
    </w:tcPr>
    <w:tblStylePr w:type="firstRow">
      <w:rPr>
        <w:b/>
        <w:bCs/>
        <w:color w:val="FFFFFF"/>
      </w:rPr>
      <w:tblPr/>
      <w:tcPr>
        <w:tcBorders>
          <w:bottom w:val="single" w:sz="12" w:space="0" w:color="FFFFFF"/>
        </w:tcBorders>
        <w:shd w:val="clear" w:color="auto" w:fill="9E3A38"/>
      </w:tcPr>
    </w:tblStylePr>
    <w:tblStylePr w:type="lastRow">
      <w:rPr>
        <w:b/>
        <w:bCs/>
        <w:color w:val="9F3B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urfulListAccent2">
    <w:name w:val="Colorful List Accent 2"/>
    <w:basedOn w:val="TableNormal"/>
    <w:uiPriority w:val="72"/>
    <w:qFormat/>
    <w:rPr>
      <w:color w:val="000000"/>
    </w:rPr>
    <w:tblPr>
      <w:shd w:val="clear" w:color="auto" w:fill="F8EDED"/>
    </w:tblPr>
    <w:tcPr>
      <w:shd w:val="clear" w:color="auto" w:fill="F8EDED"/>
    </w:tcPr>
    <w:tblStylePr w:type="firstRow">
      <w:rPr>
        <w:b/>
        <w:bCs/>
        <w:color w:val="FFFFFF"/>
      </w:rPr>
      <w:tblPr/>
      <w:tcPr>
        <w:tcBorders>
          <w:bottom w:val="single" w:sz="12" w:space="0" w:color="FFFFFF"/>
        </w:tcBorders>
        <w:shd w:val="clear" w:color="auto" w:fill="9E3A38"/>
      </w:tcPr>
    </w:tblStylePr>
    <w:tblStylePr w:type="lastRow">
      <w:rPr>
        <w:b/>
        <w:bCs/>
        <w:color w:val="9F3B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cPr>
    </w:tblStylePr>
    <w:tblStylePr w:type="band1Horz">
      <w:tblPr/>
      <w:tcPr>
        <w:shd w:val="clear" w:color="auto" w:fill="F2DBDB"/>
      </w:tcPr>
    </w:tblStylePr>
  </w:style>
  <w:style w:type="table" w:styleId="ColourfulListAccent3">
    <w:name w:val="Colorful List Accent 3"/>
    <w:basedOn w:val="TableNormal"/>
    <w:uiPriority w:val="72"/>
    <w:qFormat/>
    <w:rPr>
      <w:color w:val="000000"/>
    </w:rPr>
    <w:tblPr>
      <w:shd w:val="clear" w:color="auto" w:fill="F5F8EE"/>
    </w:tblPr>
    <w:tcPr>
      <w:shd w:val="clear" w:color="auto" w:fill="F5F8EE"/>
    </w:tcPr>
    <w:tblStylePr w:type="firstRow">
      <w:rPr>
        <w:b/>
        <w:bCs/>
        <w:color w:val="FFFFFF"/>
      </w:rPr>
      <w:tblPr/>
      <w:tcPr>
        <w:tcBorders>
          <w:bottom w:val="single" w:sz="12" w:space="0" w:color="FFFFFF"/>
        </w:tcBorders>
        <w:shd w:val="clear" w:color="auto" w:fill="664E82"/>
      </w:tcPr>
    </w:tblStylePr>
    <w:tblStylePr w:type="lastRow">
      <w:rPr>
        <w:b/>
        <w:bCs/>
        <w:color w:val="664F83"/>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urfulListAccent4">
    <w:name w:val="Colorful List Accent 4"/>
    <w:basedOn w:val="TableNormal"/>
    <w:uiPriority w:val="72"/>
    <w:qFormat/>
    <w:rPr>
      <w:color w:val="000000"/>
    </w:rPr>
    <w:tblPr>
      <w:shd w:val="clear" w:color="auto" w:fill="F2EFF5"/>
    </w:tblPr>
    <w:tcPr>
      <w:shd w:val="clear" w:color="auto" w:fill="F2EFF5"/>
    </w:tcPr>
    <w:tblStylePr w:type="firstRow">
      <w:rPr>
        <w:b/>
        <w:bCs/>
        <w:color w:val="FFFFFF"/>
      </w:rPr>
      <w:tblPr/>
      <w:tcPr>
        <w:tcBorders>
          <w:bottom w:val="single" w:sz="12" w:space="0" w:color="FFFFFF"/>
        </w:tcBorders>
        <w:shd w:val="clear" w:color="auto" w:fill="7E9C40"/>
      </w:tcPr>
    </w:tblStylePr>
    <w:tblStylePr w:type="lastRow">
      <w:rPr>
        <w:b/>
        <w:bCs/>
        <w:color w:val="7E9D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urfulListAccent5">
    <w:name w:val="Colorful List Accent 5"/>
    <w:basedOn w:val="TableNormal"/>
    <w:uiPriority w:val="72"/>
    <w:qFormat/>
    <w:rPr>
      <w:color w:val="000000"/>
    </w:rPr>
    <w:tblPr>
      <w:shd w:val="clear" w:color="auto" w:fill="EDF6F9"/>
    </w:tblPr>
    <w:tcPr>
      <w:shd w:val="clear" w:color="auto" w:fill="EDF6F9"/>
    </w:tcPr>
    <w:tblStylePr w:type="firstRow">
      <w:rPr>
        <w:b/>
        <w:bCs/>
        <w:color w:val="FFFFFF"/>
      </w:rPr>
      <w:tblPr/>
      <w:tcPr>
        <w:tcBorders>
          <w:bottom w:val="single" w:sz="12" w:space="0" w:color="FFFFFF"/>
        </w:tcBorders>
        <w:shd w:val="clear" w:color="auto" w:fill="F3730A"/>
      </w:tcPr>
    </w:tblStylePr>
    <w:tblStylePr w:type="lastRow">
      <w:rPr>
        <w:b/>
        <w:bCs/>
        <w:color w:val="F3740B"/>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cPr>
    </w:tblStylePr>
    <w:tblStylePr w:type="band1Horz">
      <w:tblPr/>
      <w:tcPr>
        <w:shd w:val="clear" w:color="auto" w:fill="DAEEF3"/>
      </w:tcPr>
    </w:tblStylePr>
  </w:style>
  <w:style w:type="table" w:styleId="ColourfulListAccent6">
    <w:name w:val="Colorful List Accent 6"/>
    <w:basedOn w:val="TableNormal"/>
    <w:uiPriority w:val="72"/>
    <w:qFormat/>
    <w:rPr>
      <w:color w:val="000000"/>
    </w:rPr>
    <w:tblPr>
      <w:shd w:val="clear" w:color="auto" w:fill="FEF4EC"/>
    </w:tblPr>
    <w:tcPr>
      <w:shd w:val="clear" w:color="auto" w:fill="FEF4EC"/>
    </w:tcPr>
    <w:tblStylePr w:type="firstRow">
      <w:rPr>
        <w:b/>
        <w:bCs/>
        <w:color w:val="FFFFFF"/>
      </w:rPr>
      <w:tblPr/>
      <w:tcPr>
        <w:tcBorders>
          <w:bottom w:val="single" w:sz="12" w:space="0" w:color="FFFFFF"/>
        </w:tcBorders>
        <w:shd w:val="clear" w:color="auto" w:fill="348DA5"/>
      </w:tcPr>
    </w:tblStylePr>
    <w:tblStylePr w:type="lastRow">
      <w:rPr>
        <w:b/>
        <w:bCs/>
        <w:color w:val="358EA6"/>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cPr>
    </w:tblStylePr>
    <w:tblStylePr w:type="band1Horz">
      <w:tblPr/>
      <w:tcPr>
        <w:shd w:val="clear" w:color="auto" w:fill="FDE9D9"/>
      </w:tcPr>
    </w:tblStylePr>
  </w:style>
  <w:style w:type="table" w:styleId="ColourfulGrid">
    <w:name w:val="Colorful Grid"/>
    <w:basedOn w:val="TableNormal"/>
    <w:uiPriority w:val="73"/>
    <w:qFormat/>
    <w:rPr>
      <w:color w:val="000000"/>
    </w:rPr>
    <w:tblPr>
      <w:tblBorders>
        <w:insideH w:val="single" w:sz="4" w:space="0" w:color="FFFFFF"/>
      </w:tblBorders>
      <w:shd w:val="clear" w:color="auto" w:fill="CCCCCC"/>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7F7F7F"/>
      </w:tcPr>
    </w:tblStylePr>
    <w:tblStylePr w:type="band1Horz">
      <w:tblPr/>
      <w:tcPr>
        <w:shd w:val="clear" w:color="auto" w:fill="7F7F7F"/>
      </w:tcPr>
    </w:tblStylePr>
  </w:style>
  <w:style w:type="table" w:styleId="ColourfulGridAccent1">
    <w:name w:val="Colorful Grid Accent 1"/>
    <w:basedOn w:val="TableNormal"/>
    <w:uiPriority w:val="73"/>
    <w:qFormat/>
    <w:rPr>
      <w:color w:val="000000"/>
    </w:rPr>
    <w:tblPr>
      <w:tblBorders>
        <w:insideH w:val="single" w:sz="4" w:space="0" w:color="FFFFFF"/>
      </w:tblBorders>
      <w:shd w:val="clear" w:color="auto" w:fill="DBE5F1"/>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6091"/>
      </w:tcPr>
    </w:tblStylePr>
    <w:tblStylePr w:type="lastCol">
      <w:rPr>
        <w:color w:val="FFFFFF"/>
      </w:rPr>
      <w:tblPr/>
      <w:tcPr>
        <w:shd w:val="clear" w:color="auto" w:fill="366091"/>
      </w:tcPr>
    </w:tblStylePr>
    <w:tblStylePr w:type="band1Vert">
      <w:tblPr/>
      <w:tcPr>
        <w:shd w:val="clear" w:color="auto" w:fill="A7C0DE"/>
      </w:tcPr>
    </w:tblStylePr>
    <w:tblStylePr w:type="band1Horz">
      <w:tblPr/>
      <w:tcPr>
        <w:shd w:val="clear" w:color="auto" w:fill="A7C0DE"/>
      </w:tcPr>
    </w:tblStylePr>
  </w:style>
  <w:style w:type="table" w:styleId="ColourfulGridAccent2">
    <w:name w:val="Colorful Grid Accent 2"/>
    <w:basedOn w:val="TableNormal"/>
    <w:uiPriority w:val="73"/>
    <w:qFormat/>
    <w:rPr>
      <w:color w:val="000000"/>
    </w:rPr>
    <w:tblPr>
      <w:tblBorders>
        <w:insideH w:val="single" w:sz="4" w:space="0" w:color="FFFFFF"/>
      </w:tblBorders>
      <w:shd w:val="clear" w:color="auto" w:fill="F2DBDB"/>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734"/>
      </w:tcPr>
    </w:tblStylePr>
    <w:tblStylePr w:type="lastCol">
      <w:rPr>
        <w:color w:val="FFFFFF"/>
      </w:rPr>
      <w:tblPr/>
      <w:tcPr>
        <w:shd w:val="clear" w:color="auto" w:fill="943734"/>
      </w:tcPr>
    </w:tblStylePr>
    <w:tblStylePr w:type="band1Vert">
      <w:tblPr/>
      <w:tcPr>
        <w:shd w:val="clear" w:color="auto" w:fill="DFA7A6"/>
      </w:tcPr>
    </w:tblStylePr>
    <w:tblStylePr w:type="band1Horz">
      <w:tblPr/>
      <w:tcPr>
        <w:shd w:val="clear" w:color="auto" w:fill="DFA7A6"/>
      </w:tcPr>
    </w:tblStylePr>
  </w:style>
  <w:style w:type="table" w:styleId="ColourfulGridAccent3">
    <w:name w:val="Colorful Grid Accent 3"/>
    <w:basedOn w:val="TableNormal"/>
    <w:uiPriority w:val="73"/>
    <w:qFormat/>
    <w:rPr>
      <w:color w:val="000000"/>
    </w:rPr>
    <w:tblPr>
      <w:tblBorders>
        <w:insideH w:val="single" w:sz="4" w:space="0" w:color="FFFFFF"/>
      </w:tblBorders>
      <w:shd w:val="clear" w:color="auto" w:fill="EAF1DD"/>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urfulGridAccent4">
    <w:name w:val="Colorful Grid Accent 4"/>
    <w:basedOn w:val="TableNormal"/>
    <w:uiPriority w:val="73"/>
    <w:qFormat/>
    <w:rPr>
      <w:color w:val="000000"/>
    </w:rPr>
    <w:tblPr>
      <w:tblBorders>
        <w:insideH w:val="single" w:sz="4" w:space="0" w:color="FFFFFF"/>
      </w:tblBorders>
      <w:shd w:val="clear" w:color="auto" w:fill="E5DFEC"/>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urfulGridAccent5">
    <w:name w:val="Colorful Grid Accent 5"/>
    <w:basedOn w:val="TableNormal"/>
    <w:uiPriority w:val="73"/>
    <w:qFormat/>
    <w:rPr>
      <w:color w:val="000000"/>
    </w:rPr>
    <w:tblPr>
      <w:tblBorders>
        <w:insideH w:val="single" w:sz="4" w:space="0" w:color="FFFFFF"/>
      </w:tblBorders>
      <w:shd w:val="clear" w:color="auto" w:fill="DAEEF3"/>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urfulGridAccent6">
    <w:name w:val="Colorful Grid Accent 6"/>
    <w:basedOn w:val="TableNormal"/>
    <w:uiPriority w:val="73"/>
    <w:qFormat/>
    <w:rPr>
      <w:color w:val="000000"/>
    </w:rPr>
    <w:tblPr>
      <w:tblBorders>
        <w:insideH w:val="single" w:sz="4" w:space="0" w:color="FFFFFF"/>
      </w:tblBorders>
      <w:shd w:val="clear" w:color="auto" w:fill="FDE9D9"/>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9"/>
      </w:tcPr>
    </w:tblStylePr>
    <w:tblStylePr w:type="lastCol">
      <w:rPr>
        <w:color w:val="FFFFFF"/>
      </w:rPr>
      <w:tblPr/>
      <w:tcPr>
        <w:shd w:val="clear" w:color="auto" w:fill="E36C09"/>
      </w:tcPr>
    </w:tblStylePr>
    <w:tblStylePr w:type="band1Vert">
      <w:tblPr/>
      <w:tcPr>
        <w:shd w:val="clear" w:color="auto" w:fill="FBCAA2"/>
      </w:tcPr>
    </w:tblStylePr>
    <w:tblStylePr w:type="band1Horz">
      <w:tblPr/>
      <w:tcPr>
        <w:shd w:val="clear" w:color="auto" w:fill="FBCAA2"/>
      </w:tcPr>
    </w:tblStylePr>
  </w:style>
  <w:style w:type="character" w:customStyle="1" w:styleId="Heading1Char">
    <w:name w:val="Heading 1 Char"/>
    <w:basedOn w:val="DefaultParagraphFont"/>
    <w:link w:val="Heading1"/>
    <w:uiPriority w:val="9"/>
    <w:rPr>
      <w:rFonts w:ascii="Calibri" w:eastAsia="MS Gothic" w:hAnsi="Calibri" w:cs="SimSun"/>
      <w:b/>
      <w:bCs/>
      <w:color w:val="376092"/>
      <w:sz w:val="28"/>
      <w:szCs w:val="28"/>
    </w:rPr>
  </w:style>
  <w:style w:type="character" w:customStyle="1" w:styleId="Heading2Char">
    <w:name w:val="Heading 2 Char"/>
    <w:basedOn w:val="DefaultParagraphFont"/>
    <w:link w:val="Heading2"/>
    <w:uiPriority w:val="9"/>
    <w:rPr>
      <w:rFonts w:ascii="Calibri" w:eastAsia="MS Gothic" w:hAnsi="Calibri" w:cs="SimSun"/>
      <w:b/>
      <w:bCs/>
      <w:color w:val="4F81BD"/>
      <w:sz w:val="26"/>
      <w:szCs w:val="26"/>
    </w:rPr>
  </w:style>
  <w:style w:type="character" w:customStyle="1" w:styleId="Heading3Char">
    <w:name w:val="Heading 3 Char"/>
    <w:basedOn w:val="DefaultParagraphFont"/>
    <w:link w:val="Heading3"/>
    <w:uiPriority w:val="9"/>
    <w:rPr>
      <w:rFonts w:ascii="Calibri" w:eastAsia="MS Gothic" w:hAnsi="Calibri" w:cs="SimSun"/>
      <w:b/>
      <w:bCs/>
      <w:color w:val="4F81BD"/>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styleId="NoSpacing">
    <w:name w:val="No Spacing"/>
    <w:uiPriority w:val="1"/>
    <w:qFormat/>
    <w:rPr>
      <w:rFonts w:ascii="Cambria" w:eastAsia="MS Mincho" w:hAnsi="Cambria" w:cs="SimSun"/>
      <w:sz w:val="22"/>
      <w:szCs w:val="22"/>
      <w:lang w:val="en-US" w:eastAsia="en-US"/>
    </w:rPr>
  </w:style>
  <w:style w:type="character" w:customStyle="1" w:styleId="TitleChar">
    <w:name w:val="Title Char"/>
    <w:basedOn w:val="DefaultParagraphFont"/>
    <w:link w:val="Title"/>
    <w:uiPriority w:val="10"/>
    <w:qFormat/>
    <w:rPr>
      <w:rFonts w:ascii="Calibri" w:eastAsia="MS Gothic" w:hAnsi="Calibri" w:cs="SimSun"/>
      <w:color w:val="17375E"/>
      <w:spacing w:val="5"/>
      <w:kern w:val="28"/>
      <w:sz w:val="52"/>
      <w:szCs w:val="52"/>
    </w:rPr>
  </w:style>
  <w:style w:type="character" w:customStyle="1" w:styleId="SubtitleChar">
    <w:name w:val="Subtitle Char"/>
    <w:basedOn w:val="DefaultParagraphFont"/>
    <w:link w:val="Subtitle"/>
    <w:uiPriority w:val="11"/>
    <w:qFormat/>
    <w:rPr>
      <w:rFonts w:ascii="Calibri" w:eastAsia="MS Gothic" w:hAnsi="Calibri" w:cs="SimSun"/>
      <w:i/>
      <w:iCs/>
      <w:color w:val="4F81BD"/>
      <w:spacing w:val="15"/>
      <w:sz w:val="24"/>
      <w:szCs w:val="24"/>
    </w:rPr>
  </w:style>
  <w:style w:type="paragraph" w:styleId="ListParagraph">
    <w:name w:val="List Paragraph"/>
    <w:basedOn w:val="Normal"/>
    <w:uiPriority w:val="34"/>
    <w:qFormat/>
    <w:pPr>
      <w:ind w:left="720"/>
      <w:contextualSpacing/>
    </w:pPr>
  </w:style>
  <w:style w:type="character" w:customStyle="1" w:styleId="BodyTextChar">
    <w:name w:val="Body Text Char"/>
    <w:basedOn w:val="DefaultParagraphFont"/>
    <w:link w:val="BodyText"/>
    <w:uiPriority w:val="99"/>
    <w:qFormat/>
  </w:style>
  <w:style w:type="character" w:customStyle="1" w:styleId="BodyText2Char">
    <w:name w:val="Body Text 2 Char"/>
    <w:basedOn w:val="DefaultParagraphFont"/>
    <w:link w:val="BodyText2"/>
    <w:uiPriority w:val="99"/>
    <w:qFormat/>
  </w:style>
  <w:style w:type="character" w:customStyle="1" w:styleId="BodyText3Char">
    <w:name w:val="Body Text 3 Char"/>
    <w:basedOn w:val="DefaultParagraphFont"/>
    <w:link w:val="BodyText3"/>
    <w:uiPriority w:val="99"/>
    <w:qFormat/>
    <w:rPr>
      <w:sz w:val="16"/>
      <w:szCs w:val="16"/>
    </w:rPr>
  </w:style>
  <w:style w:type="character" w:customStyle="1" w:styleId="MacroTextChar">
    <w:name w:val="Macro Text Char"/>
    <w:basedOn w:val="DefaultParagraphFont"/>
    <w:link w:val="MacroText"/>
    <w:uiPriority w:val="99"/>
    <w:qFormat/>
    <w:rPr>
      <w:rFonts w:ascii="Courier" w:hAnsi="Courier"/>
      <w:sz w:val="20"/>
      <w:szCs w:val="20"/>
    </w:rPr>
  </w:style>
  <w:style w:type="paragraph" w:styleId="Quote">
    <w:name w:val="Quote"/>
    <w:basedOn w:val="Normal"/>
    <w:next w:val="Normal"/>
    <w:link w:val="QuoteChar"/>
    <w:uiPriority w:val="29"/>
    <w:qFormat/>
    <w:rPr>
      <w:i/>
      <w:iCs/>
      <w:color w:val="000000"/>
    </w:rPr>
  </w:style>
  <w:style w:type="character" w:customStyle="1" w:styleId="QuoteChar">
    <w:name w:val="Quote Char"/>
    <w:basedOn w:val="DefaultParagraphFont"/>
    <w:link w:val="Quote"/>
    <w:uiPriority w:val="29"/>
    <w:rPr>
      <w:i/>
      <w:iCs/>
      <w:color w:val="000000"/>
    </w:rPr>
  </w:style>
  <w:style w:type="character" w:customStyle="1" w:styleId="Heading4Char">
    <w:name w:val="Heading 4 Char"/>
    <w:basedOn w:val="DefaultParagraphFont"/>
    <w:link w:val="Heading4"/>
    <w:uiPriority w:val="9"/>
    <w:qFormat/>
    <w:rPr>
      <w:rFonts w:ascii="Calibri" w:eastAsia="MS Gothic" w:hAnsi="Calibri" w:cs="SimSun"/>
      <w:b/>
      <w:bCs/>
      <w:i/>
      <w:iCs/>
      <w:color w:val="4F81BD"/>
    </w:rPr>
  </w:style>
  <w:style w:type="character" w:customStyle="1" w:styleId="Heading5Char">
    <w:name w:val="Heading 5 Char"/>
    <w:basedOn w:val="DefaultParagraphFont"/>
    <w:link w:val="Heading5"/>
    <w:uiPriority w:val="9"/>
    <w:qFormat/>
    <w:rPr>
      <w:rFonts w:ascii="Calibri" w:eastAsia="MS Gothic" w:hAnsi="Calibri" w:cs="SimSun"/>
      <w:color w:val="254061"/>
    </w:rPr>
  </w:style>
  <w:style w:type="character" w:customStyle="1" w:styleId="Heading6Char">
    <w:name w:val="Heading 6 Char"/>
    <w:basedOn w:val="DefaultParagraphFont"/>
    <w:link w:val="Heading6"/>
    <w:uiPriority w:val="9"/>
    <w:rPr>
      <w:rFonts w:ascii="Calibri" w:eastAsia="MS Gothic" w:hAnsi="Calibri" w:cs="SimSun"/>
      <w:i/>
      <w:iCs/>
      <w:color w:val="254061"/>
    </w:rPr>
  </w:style>
  <w:style w:type="character" w:customStyle="1" w:styleId="Heading7Char">
    <w:name w:val="Heading 7 Char"/>
    <w:basedOn w:val="DefaultParagraphFont"/>
    <w:link w:val="Heading7"/>
    <w:uiPriority w:val="9"/>
    <w:rPr>
      <w:rFonts w:ascii="Calibri" w:eastAsia="MS Gothic" w:hAnsi="Calibri" w:cs="SimSun"/>
      <w:i/>
      <w:iCs/>
      <w:color w:val="3F3F3F"/>
    </w:rPr>
  </w:style>
  <w:style w:type="character" w:customStyle="1" w:styleId="Heading8Char">
    <w:name w:val="Heading 8 Char"/>
    <w:basedOn w:val="DefaultParagraphFont"/>
    <w:link w:val="Heading8"/>
    <w:uiPriority w:val="9"/>
    <w:rPr>
      <w:rFonts w:ascii="Calibri" w:eastAsia="MS Gothic" w:hAnsi="Calibri" w:cs="SimSun"/>
      <w:color w:val="4F81BD"/>
      <w:sz w:val="20"/>
      <w:szCs w:val="20"/>
    </w:rPr>
  </w:style>
  <w:style w:type="character" w:customStyle="1" w:styleId="Heading9Char">
    <w:name w:val="Heading 9 Char"/>
    <w:basedOn w:val="DefaultParagraphFont"/>
    <w:link w:val="Heading9"/>
    <w:uiPriority w:val="9"/>
    <w:rPr>
      <w:rFonts w:ascii="Calibri" w:eastAsia="MS Gothic" w:hAnsi="Calibri" w:cs="SimSun"/>
      <w:i/>
      <w:iCs/>
      <w:color w:val="3F3F3F"/>
      <w:sz w:val="20"/>
      <w:szCs w:val="20"/>
    </w:rPr>
  </w:style>
  <w:style w:type="paragraph" w:styleId="IntenseQuote">
    <w:name w:val="Intense Quote"/>
    <w:basedOn w:val="Normal"/>
    <w:next w:val="Normal"/>
    <w:link w:val="IntenseQuoteChar"/>
    <w:uiPriority w:val="30"/>
    <w:qFormat/>
    <w:pPr>
      <w:pBdr>
        <w:bottom w:val="single" w:sz="4" w:space="4" w:color="4F81BD"/>
      </w:pBdr>
      <w:spacing w:before="200" w:after="280"/>
      <w:ind w:left="936" w:right="936"/>
    </w:pPr>
    <w:rPr>
      <w:b/>
      <w:bCs/>
      <w:i/>
      <w:iCs/>
      <w:color w:val="4F81BD"/>
    </w:rPr>
  </w:style>
  <w:style w:type="character" w:customStyle="1" w:styleId="IntenseQuoteChar">
    <w:name w:val="Intense Quote Char"/>
    <w:basedOn w:val="DefaultParagraphFont"/>
    <w:link w:val="IntenseQuote"/>
    <w:uiPriority w:val="30"/>
    <w:qFormat/>
    <w:rPr>
      <w:b/>
      <w:bCs/>
      <w:i/>
      <w:iCs/>
      <w:color w:val="4F81BD"/>
    </w:rPr>
  </w:style>
  <w:style w:type="character" w:customStyle="1" w:styleId="SubtleEmphasis17a5edb8-c2cf-4c8a-8c98-05b1e5e0a206">
    <w:name w:val="Subtle Emphasis_17a5edb8-c2cf-4c8a-8c98-05b1e5e0a206"/>
    <w:basedOn w:val="DefaultParagraphFont"/>
    <w:uiPriority w:val="19"/>
    <w:qFormat/>
    <w:rPr>
      <w:i/>
      <w:iCs/>
      <w:color w:val="7F7F7F"/>
    </w:rPr>
  </w:style>
  <w:style w:type="character" w:customStyle="1" w:styleId="IntenseEmphasis57dab329-1f4d-418f-a396-16b8368da0c2">
    <w:name w:val="Intense Emphasis_57dab329-1f4d-418f-a396-16b8368da0c2"/>
    <w:basedOn w:val="DefaultParagraphFont"/>
    <w:uiPriority w:val="21"/>
    <w:qFormat/>
    <w:rPr>
      <w:b/>
      <w:bCs/>
      <w:i/>
      <w:iCs/>
      <w:color w:val="4F81BD"/>
    </w:rPr>
  </w:style>
  <w:style w:type="character" w:customStyle="1" w:styleId="SubtleReference58126c6c-55c0-4540-aecb-14eff71eac19">
    <w:name w:val="Subtle Reference_58126c6c-55c0-4540-aecb-14eff71eac19"/>
    <w:basedOn w:val="DefaultParagraphFont"/>
    <w:uiPriority w:val="31"/>
    <w:qFormat/>
    <w:rPr>
      <w:smallCaps/>
      <w:color w:val="C0504D"/>
      <w:u w:val="single"/>
    </w:rPr>
  </w:style>
  <w:style w:type="character" w:customStyle="1" w:styleId="IntenseReference26f6b3b2-7bba-4f63-95d7-db04ce13b0a6">
    <w:name w:val="Intense Reference_26f6b3b2-7bba-4f63-95d7-db04ce13b0a6"/>
    <w:basedOn w:val="DefaultParagraphFont"/>
    <w:uiPriority w:val="32"/>
    <w:qFormat/>
    <w:rPr>
      <w:b/>
      <w:bCs/>
      <w:smallCaps/>
      <w:color w:val="C0504D"/>
      <w:spacing w:val="5"/>
      <w:u w:val="single"/>
    </w:rPr>
  </w:style>
  <w:style w:type="character" w:customStyle="1" w:styleId="BookTitle2a4aea2f-cf0d-4bc1-a137-6ade06e4a13d">
    <w:name w:val="Book Title_2a4aea2f-cf0d-4bc1-a137-6ade06e4a13d"/>
    <w:basedOn w:val="DefaultParagraphFont"/>
    <w:uiPriority w:val="33"/>
    <w:qFormat/>
    <w:rPr>
      <w:b/>
      <w:bCs/>
      <w:smallCaps/>
      <w:spacing w:val="5"/>
    </w:rPr>
  </w:style>
  <w:style w:type="paragraph" w:customStyle="1" w:styleId="TOCHeadingeca991b7-43d1-462d-94bd-8605cd1663af">
    <w:name w:val="TOC Heading_eca991b7-43d1-462d-94bd-8605cd1663af"/>
    <w:basedOn w:val="Heading1"/>
    <w:next w:val="Normal"/>
    <w:uiPriority w:val="39"/>
    <w:qFormat/>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oleObject" Target="embeddings/oleObject1.bin" /><Relationship Id="rId3" Type="http://schemas.openxmlformats.org/officeDocument/2006/relationships/styles" Target="styles.xml" /><Relationship Id="rId7" Type="http://schemas.openxmlformats.org/officeDocument/2006/relationships/image" Target="media/image2.emf"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1802</Words>
  <Characters>10275</Characters>
  <Application>Microsoft Office Word</Application>
  <DocSecurity>0</DocSecurity>
  <Lines>85</Lines>
  <Paragraphs>24</Paragraphs>
  <ScaleCrop>false</ScaleCrop>
  <Company/>
  <LinksUpToDate>false</LinksUpToDate>
  <CharactersWithSpaces>12053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dc:description>generated by python-docx</dc:description>
  <cp:lastModifiedBy>Mohammed Junaid</cp:lastModifiedBy>
  <cp:revision>2</cp:revision>
  <dcterms:created xsi:type="dcterms:W3CDTF">2026-06-24T11:12:00Z</dcterms:created>
  <dcterms:modified xsi:type="dcterms:W3CDTF">2026-06-24T11:12:00Z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eyJoZGlkIjoiYjY4MGZiN2NhNDk4Y2RiODRiNGFlMmQ3ZTFlYTFjMDAiLCJ1c2VySWQiOiI4ODEzNzAxMzI5OTgxIn0=</vt:lpwstr>
  </property>
  <property fmtid="{D5CDD505-2E9C-101B-9397-08002B2CF9AE}" pid="3" name="KSOProductBuildVer">
    <vt:lpwstr>1033-12.1.0.26880</vt:lpwstr>
  </property>
  <property fmtid="{D5CDD505-2E9C-101B-9397-08002B2CF9AE}" pid="4" name="ICV">
    <vt:lpwstr>8b5e8e8b9f8845dfabfeb90e52e4ffa3_23</vt:lpwstr>
  </property>
</Properties>
</file>