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02C8" w14:textId="77777777" w:rsidR="005E29AE" w:rsidRPr="0024122E" w:rsidRDefault="005E29AE" w:rsidP="005E29AE">
      <w:pPr>
        <w:jc w:val="center"/>
        <w:rPr>
          <w:rFonts w:ascii="Arial" w:hAnsi="Arial" w:cs="Arial"/>
          <w:b/>
          <w:bCs/>
          <w:color w:val="4472C4" w:themeColor="accent1"/>
          <w:sz w:val="34"/>
          <w:szCs w:val="34"/>
        </w:rPr>
      </w:pPr>
      <w:r w:rsidRPr="0024122E">
        <w:rPr>
          <w:rFonts w:ascii="Arial" w:hAnsi="Arial" w:cs="Arial"/>
          <w:b/>
          <w:bCs/>
          <w:color w:val="4472C4" w:themeColor="accent1"/>
          <w:sz w:val="34"/>
          <w:szCs w:val="34"/>
        </w:rPr>
        <w:t>Part 1 – Descriptive statistics and Forest Plot table regarding the distribution of disease incidence in Wales</w:t>
      </w:r>
    </w:p>
    <w:p w14:paraId="3F3972DF" w14:textId="77777777" w:rsidR="005E29AE" w:rsidRPr="00B84CBB" w:rsidRDefault="005E29AE" w:rsidP="005E29AE">
      <w:pPr>
        <w:rPr>
          <w:rFonts w:ascii="Arial" w:hAnsi="Arial" w:cs="Arial"/>
          <w:b/>
          <w:bCs/>
          <w:sz w:val="28"/>
          <w:szCs w:val="28"/>
          <w:u w:val="single"/>
        </w:rPr>
      </w:pPr>
      <w:r w:rsidRPr="00B84CBB">
        <w:rPr>
          <w:rFonts w:ascii="Arial" w:hAnsi="Arial" w:cs="Arial"/>
          <w:b/>
          <w:bCs/>
          <w:sz w:val="28"/>
          <w:szCs w:val="28"/>
          <w:u w:val="single"/>
        </w:rPr>
        <w:t>Descriptive Statistics</w:t>
      </w:r>
    </w:p>
    <w:p w14:paraId="19F8A20A" w14:textId="77777777" w:rsidR="005E29AE" w:rsidRPr="00714D18" w:rsidRDefault="005E29AE" w:rsidP="005E29AE">
      <w:pPr>
        <w:jc w:val="both"/>
        <w:rPr>
          <w:rFonts w:ascii="Arial" w:hAnsi="Arial" w:cs="Arial"/>
          <w:sz w:val="24"/>
          <w:szCs w:val="24"/>
        </w:rPr>
      </w:pPr>
      <w:r w:rsidRPr="00714D18">
        <w:rPr>
          <w:rFonts w:ascii="Arial" w:hAnsi="Arial" w:cs="Arial"/>
          <w:sz w:val="24"/>
          <w:szCs w:val="24"/>
        </w:rPr>
        <w:t xml:space="preserve">Fig. 1 shows the descriptive statistics for disease occurrence in Wales. Descriptive Statistics </w:t>
      </w:r>
      <w:r>
        <w:rPr>
          <w:rFonts w:ascii="Arial" w:hAnsi="Arial" w:cs="Arial"/>
          <w:sz w:val="24"/>
          <w:szCs w:val="24"/>
        </w:rPr>
        <w:t>provide</w:t>
      </w:r>
      <w:r w:rsidRPr="00714D18">
        <w:rPr>
          <w:rFonts w:ascii="Arial" w:hAnsi="Arial" w:cs="Arial"/>
          <w:sz w:val="24"/>
          <w:szCs w:val="24"/>
        </w:rPr>
        <w:t xml:space="preserve"> quick observations to be made (Kent State University, 2023). The descriptive statistics table (Fig. 1) shows us that the biggest disease from those included within Wales is the population having a BMI that is classed as overweight or obese. The BMI metrics sustain the highest score for the mean, minimum and maximum. It also shows that the population with a BMI that is overweight or obese is over double the mean to any other disease in Wales. Diabetes has the smallest presence as it scores the lowest score in all three metrics of mean, minimum and maximum.</w:t>
      </w:r>
    </w:p>
    <w:p w14:paraId="726D28FB" w14:textId="568816DB" w:rsidR="005E29AE" w:rsidRPr="00714D18" w:rsidRDefault="00083494" w:rsidP="005E29AE">
      <w:pPr>
        <w:jc w:val="both"/>
        <w:rPr>
          <w:rFonts w:ascii="Arial" w:hAnsi="Arial" w:cs="Arial"/>
          <w:sz w:val="24"/>
          <w:szCs w:val="24"/>
        </w:rPr>
      </w:pPr>
      <w:r w:rsidRPr="00083494">
        <w:rPr>
          <w:rFonts w:ascii="Arial" w:hAnsi="Arial" w:cs="Arial"/>
          <w:sz w:val="24"/>
          <w:szCs w:val="24"/>
        </w:rPr>
        <w:t>The standard deviation displays the dataset's average level of variability</w:t>
      </w:r>
      <w:r>
        <w:rPr>
          <w:rFonts w:ascii="Arial" w:hAnsi="Arial" w:cs="Arial"/>
          <w:sz w:val="24"/>
          <w:szCs w:val="24"/>
        </w:rPr>
        <w:t xml:space="preserve"> </w:t>
      </w:r>
      <w:r w:rsidRPr="00714D18">
        <w:rPr>
          <w:rFonts w:ascii="Arial" w:hAnsi="Arial" w:cs="Arial"/>
          <w:sz w:val="24"/>
          <w:szCs w:val="24"/>
        </w:rPr>
        <w:t xml:space="preserve">(Bhandari, 2023). </w:t>
      </w:r>
      <w:r w:rsidR="005E29AE" w:rsidRPr="00714D18">
        <w:rPr>
          <w:rFonts w:ascii="Arial" w:hAnsi="Arial" w:cs="Arial"/>
          <w:sz w:val="24"/>
          <w:szCs w:val="24"/>
        </w:rPr>
        <w:t>It indicates the average deviation of each result from the mean (Bhandari, 2023). The smallest standard deviation with the descriptive statistics is diabetes. A low standard deviation suggests that values for diabetes are therefore concentrated around the mean (Bhandari, 2023).</w:t>
      </w:r>
    </w:p>
    <w:p w14:paraId="60CA0CBC" w14:textId="77777777" w:rsidR="005E29AE" w:rsidRDefault="005E29AE" w:rsidP="005E29AE">
      <w:pPr>
        <w:jc w:val="both"/>
        <w:rPr>
          <w:rFonts w:ascii="Arial" w:hAnsi="Arial" w:cs="Arial"/>
          <w:sz w:val="24"/>
          <w:szCs w:val="24"/>
        </w:rPr>
      </w:pPr>
    </w:p>
    <w:tbl>
      <w:tblPr>
        <w:tblW w:w="0" w:type="auto"/>
        <w:tblInd w:w="10" w:type="dxa"/>
        <w:tblLayout w:type="fixed"/>
        <w:tblCellMar>
          <w:left w:w="10" w:type="dxa"/>
          <w:right w:w="10" w:type="dxa"/>
        </w:tblCellMar>
        <w:tblLook w:val="0000" w:firstRow="0" w:lastRow="0" w:firstColumn="0" w:lastColumn="0" w:noHBand="0" w:noVBand="0"/>
      </w:tblPr>
      <w:tblGrid>
        <w:gridCol w:w="2686"/>
        <w:gridCol w:w="1156"/>
        <w:gridCol w:w="1156"/>
        <w:gridCol w:w="1156"/>
        <w:gridCol w:w="1156"/>
        <w:gridCol w:w="1513"/>
      </w:tblGrid>
      <w:tr w:rsidR="005E29AE" w14:paraId="2D8AA852" w14:textId="77777777" w:rsidTr="007B17DF">
        <w:tc>
          <w:tcPr>
            <w:tcW w:w="8823" w:type="dxa"/>
            <w:gridSpan w:val="6"/>
            <w:shd w:val="clear" w:color="auto" w:fill="FFFFFF"/>
            <w:vAlign w:val="center"/>
          </w:tcPr>
          <w:p w14:paraId="42576356" w14:textId="77777777" w:rsidR="005E29AE" w:rsidRDefault="005E29AE" w:rsidP="007B17DF">
            <w:pPr>
              <w:spacing w:before="5" w:after="30"/>
              <w:ind w:left="30" w:right="40"/>
              <w:jc w:val="center"/>
            </w:pPr>
            <w:r>
              <w:rPr>
                <w:rFonts w:ascii="Arial" w:eastAsia="Arial" w:hAnsi="Arial" w:cs="Arial"/>
                <w:b/>
                <w:color w:val="010205"/>
                <w:sz w:val="28"/>
              </w:rPr>
              <w:t>Descriptive Statistics</w:t>
            </w:r>
          </w:p>
        </w:tc>
      </w:tr>
      <w:tr w:rsidR="005E29AE" w14:paraId="1F5334FC" w14:textId="77777777" w:rsidTr="007B17DF">
        <w:tc>
          <w:tcPr>
            <w:tcW w:w="2686" w:type="dxa"/>
            <w:tcBorders>
              <w:top w:val="none" w:sz="1" w:space="0" w:color="152935"/>
              <w:left w:val="none" w:sz="1" w:space="0" w:color="152935"/>
              <w:bottom w:val="single" w:sz="1" w:space="0" w:color="152935"/>
              <w:right w:val="none" w:sz="1" w:space="0" w:color="152935"/>
            </w:tcBorders>
            <w:shd w:val="clear" w:color="auto" w:fill="FFFFFF"/>
            <w:vAlign w:val="bottom"/>
          </w:tcPr>
          <w:p w14:paraId="3B680F9B" w14:textId="77777777" w:rsidR="005E29AE" w:rsidRDefault="005E29AE" w:rsidP="007B17DF">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222B8188" w14:textId="77777777" w:rsidR="005E29AE" w:rsidRDefault="005E29AE" w:rsidP="007B17DF">
            <w:pPr>
              <w:spacing w:before="10" w:after="10"/>
              <w:ind w:left="30" w:right="40"/>
              <w:jc w:val="center"/>
            </w:pPr>
            <w:r>
              <w:rPr>
                <w:rFonts w:ascii="Arial" w:eastAsia="Arial" w:hAnsi="Arial" w:cs="Arial"/>
                <w:color w:val="264A60"/>
                <w:sz w:val="24"/>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14F82C" w14:textId="77777777" w:rsidR="005E29AE" w:rsidRDefault="005E29AE" w:rsidP="007B17DF">
            <w:pPr>
              <w:spacing w:before="10" w:after="10"/>
              <w:ind w:left="30" w:right="40"/>
              <w:jc w:val="center"/>
            </w:pPr>
            <w:r>
              <w:rPr>
                <w:rFonts w:ascii="Arial" w:eastAsia="Arial" w:hAnsi="Arial" w:cs="Arial"/>
                <w:color w:val="264A60"/>
                <w:sz w:val="24"/>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181B1EA" w14:textId="77777777" w:rsidR="005E29AE" w:rsidRDefault="005E29AE" w:rsidP="007B17DF">
            <w:pPr>
              <w:spacing w:before="10" w:after="10"/>
              <w:ind w:left="30" w:right="40"/>
              <w:jc w:val="center"/>
            </w:pPr>
            <w:r>
              <w:rPr>
                <w:rFonts w:ascii="Arial" w:eastAsia="Arial" w:hAnsi="Arial" w:cs="Arial"/>
                <w:color w:val="264A60"/>
                <w:sz w:val="24"/>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7931049" w14:textId="77777777" w:rsidR="005E29AE" w:rsidRDefault="005E29AE" w:rsidP="007B17DF">
            <w:pPr>
              <w:spacing w:before="10" w:after="10"/>
              <w:ind w:left="30" w:right="40"/>
              <w:jc w:val="center"/>
            </w:pPr>
            <w:r>
              <w:rPr>
                <w:rFonts w:ascii="Arial" w:eastAsia="Arial" w:hAnsi="Arial" w:cs="Arial"/>
                <w:color w:val="264A60"/>
                <w:sz w:val="24"/>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1FE495CA" w14:textId="77777777" w:rsidR="005E29AE" w:rsidRDefault="005E29AE" w:rsidP="007B17DF">
            <w:pPr>
              <w:spacing w:before="10" w:after="10"/>
              <w:ind w:left="30" w:right="40"/>
              <w:jc w:val="center"/>
            </w:pPr>
            <w:r>
              <w:rPr>
                <w:rFonts w:ascii="Arial" w:eastAsia="Arial" w:hAnsi="Arial" w:cs="Arial"/>
                <w:color w:val="264A60"/>
                <w:sz w:val="24"/>
              </w:rPr>
              <w:t>Std. Deviation</w:t>
            </w:r>
          </w:p>
        </w:tc>
      </w:tr>
      <w:tr w:rsidR="005E29AE" w14:paraId="5EE6B69D" w14:textId="77777777" w:rsidTr="007B17DF">
        <w:tc>
          <w:tcPr>
            <w:tcW w:w="2686" w:type="dxa"/>
            <w:tcBorders>
              <w:top w:val="single" w:sz="1" w:space="0" w:color="152935"/>
              <w:left w:val="none" w:sz="1" w:space="0" w:color="152935"/>
              <w:bottom w:val="single" w:sz="1" w:space="0" w:color="AEAEAE"/>
              <w:right w:val="none" w:sz="1" w:space="0" w:color="152935"/>
            </w:tcBorders>
            <w:shd w:val="clear" w:color="auto" w:fill="E0E0E0"/>
          </w:tcPr>
          <w:p w14:paraId="56246FC7" w14:textId="77777777" w:rsidR="005E29AE" w:rsidRDefault="005E29AE" w:rsidP="007B17DF">
            <w:pPr>
              <w:spacing w:before="15" w:after="10"/>
              <w:ind w:left="30" w:right="40"/>
            </w:pPr>
            <w:r>
              <w:rPr>
                <w:rFonts w:ascii="Arial" w:eastAsia="Arial" w:hAnsi="Arial" w:cs="Arial"/>
                <w:color w:val="264A60"/>
                <w:sz w:val="24"/>
              </w:rPr>
              <w:t>High Blood Pressure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4EE10307"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93E064D" w14:textId="77777777" w:rsidR="005E29AE" w:rsidRDefault="005E29AE" w:rsidP="007B17DF">
            <w:pPr>
              <w:spacing w:before="15" w:after="10"/>
              <w:ind w:left="30" w:right="40"/>
              <w:jc w:val="right"/>
            </w:pPr>
            <w:r>
              <w:rPr>
                <w:rFonts w:ascii="Arial" w:eastAsia="Arial" w:hAnsi="Arial" w:cs="Arial"/>
                <w:color w:val="010205"/>
                <w:sz w:val="24"/>
              </w:rPr>
              <w:t>15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B847AE2" w14:textId="77777777" w:rsidR="005E29AE" w:rsidRDefault="005E29AE" w:rsidP="007B17DF">
            <w:pPr>
              <w:spacing w:before="15" w:after="10"/>
              <w:ind w:left="30" w:right="40"/>
              <w:jc w:val="right"/>
            </w:pPr>
            <w:r>
              <w:rPr>
                <w:rFonts w:ascii="Arial" w:eastAsia="Arial" w:hAnsi="Arial" w:cs="Arial"/>
                <w:color w:val="010205"/>
                <w:sz w:val="24"/>
              </w:rPr>
              <w:t>25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46B11CF" w14:textId="77777777" w:rsidR="005E29AE" w:rsidRDefault="005E29AE" w:rsidP="007B17DF">
            <w:pPr>
              <w:spacing w:before="15" w:after="10"/>
              <w:ind w:left="30" w:right="40"/>
              <w:jc w:val="right"/>
            </w:pPr>
            <w:r>
              <w:rPr>
                <w:rFonts w:ascii="Arial" w:eastAsia="Arial" w:hAnsi="Arial" w:cs="Arial"/>
                <w:color w:val="010205"/>
                <w:sz w:val="24"/>
              </w:rPr>
              <w:t>19.41</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0A9706A6" w14:textId="77777777" w:rsidR="005E29AE" w:rsidRDefault="005E29AE" w:rsidP="007B17DF">
            <w:pPr>
              <w:spacing w:before="15" w:after="10"/>
              <w:ind w:left="30" w:right="40"/>
              <w:jc w:val="right"/>
            </w:pPr>
            <w:r>
              <w:rPr>
                <w:rFonts w:ascii="Arial" w:eastAsia="Arial" w:hAnsi="Arial" w:cs="Arial"/>
                <w:color w:val="010205"/>
                <w:sz w:val="24"/>
              </w:rPr>
              <w:t>2.649</w:t>
            </w:r>
          </w:p>
        </w:tc>
      </w:tr>
      <w:tr w:rsidR="005E29AE" w14:paraId="52FC21B4"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53F89A99" w14:textId="77777777" w:rsidR="005E29AE" w:rsidRDefault="005E29AE" w:rsidP="007B17DF">
            <w:pPr>
              <w:spacing w:before="15" w:after="10"/>
              <w:ind w:left="30" w:right="40"/>
            </w:pPr>
            <w:r>
              <w:rPr>
                <w:rFonts w:ascii="Arial" w:eastAsia="Arial" w:hAnsi="Arial" w:cs="Arial"/>
                <w:color w:val="264A60"/>
                <w:sz w:val="24"/>
              </w:rPr>
              <w:t>Respiratory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34FB933"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80964C" w14:textId="77777777" w:rsidR="005E29AE" w:rsidRDefault="005E29AE" w:rsidP="007B17DF">
            <w:pPr>
              <w:spacing w:before="15" w:after="10"/>
              <w:ind w:left="30" w:right="40"/>
              <w:jc w:val="right"/>
            </w:pPr>
            <w:r>
              <w:rPr>
                <w:rFonts w:ascii="Arial" w:eastAsia="Arial" w:hAnsi="Arial" w:cs="Arial"/>
                <w:color w:val="010205"/>
                <w:sz w:val="24"/>
              </w:rPr>
              <w:t>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12A100" w14:textId="77777777" w:rsidR="005E29AE" w:rsidRDefault="005E29AE" w:rsidP="007B17DF">
            <w:pPr>
              <w:spacing w:before="15" w:after="10"/>
              <w:ind w:left="30" w:right="40"/>
              <w:jc w:val="right"/>
            </w:pPr>
            <w:r>
              <w:rPr>
                <w:rFonts w:ascii="Arial" w:eastAsia="Arial" w:hAnsi="Arial" w:cs="Arial"/>
                <w:color w:val="010205"/>
                <w:sz w:val="24"/>
              </w:rPr>
              <w:t>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B7611C" w14:textId="77777777" w:rsidR="005E29AE" w:rsidRDefault="005E29AE" w:rsidP="007B17DF">
            <w:pPr>
              <w:spacing w:before="15" w:after="10"/>
              <w:ind w:left="30" w:right="40"/>
              <w:jc w:val="right"/>
            </w:pPr>
            <w:r>
              <w:rPr>
                <w:rFonts w:ascii="Arial" w:eastAsia="Arial" w:hAnsi="Arial" w:cs="Arial"/>
                <w:color w:val="010205"/>
                <w:sz w:val="24"/>
              </w:rPr>
              <w:t>13.76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B15160F" w14:textId="77777777" w:rsidR="005E29AE" w:rsidRDefault="005E29AE" w:rsidP="007B17DF">
            <w:pPr>
              <w:spacing w:before="15" w:after="10"/>
              <w:ind w:left="30" w:right="40"/>
              <w:jc w:val="right"/>
            </w:pPr>
            <w:r>
              <w:rPr>
                <w:rFonts w:ascii="Arial" w:eastAsia="Arial" w:hAnsi="Arial" w:cs="Arial"/>
                <w:color w:val="010205"/>
                <w:sz w:val="24"/>
              </w:rPr>
              <w:t>2.430</w:t>
            </w:r>
          </w:p>
        </w:tc>
      </w:tr>
      <w:tr w:rsidR="005E29AE" w14:paraId="3450D0CA"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2DA5D194" w14:textId="77777777" w:rsidR="005E29AE" w:rsidRDefault="005E29AE" w:rsidP="007B17DF">
            <w:pPr>
              <w:spacing w:before="15" w:after="10"/>
              <w:ind w:left="30" w:right="40"/>
            </w:pPr>
            <w:r>
              <w:rPr>
                <w:rFonts w:ascii="Arial" w:eastAsia="Arial" w:hAnsi="Arial" w:cs="Arial"/>
                <w:color w:val="264A60"/>
                <w:sz w:val="24"/>
              </w:rPr>
              <w:t>Mental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D65F6C7"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B90C3B" w14:textId="77777777" w:rsidR="005E29AE" w:rsidRDefault="005E29AE" w:rsidP="007B17DF">
            <w:pPr>
              <w:spacing w:before="15" w:after="10"/>
              <w:ind w:left="30" w:right="40"/>
              <w:jc w:val="right"/>
            </w:pPr>
            <w:r>
              <w:rPr>
                <w:rFonts w:ascii="Arial" w:eastAsia="Arial" w:hAnsi="Arial" w:cs="Arial"/>
                <w:color w:val="010205"/>
                <w:sz w:val="24"/>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5170866"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AA3082" w14:textId="77777777" w:rsidR="005E29AE" w:rsidRDefault="005E29AE" w:rsidP="007B17DF">
            <w:pPr>
              <w:spacing w:before="15" w:after="10"/>
              <w:ind w:left="30" w:right="40"/>
              <w:jc w:val="right"/>
            </w:pPr>
            <w:r>
              <w:rPr>
                <w:rFonts w:ascii="Arial" w:eastAsia="Arial" w:hAnsi="Arial" w:cs="Arial"/>
                <w:color w:val="010205"/>
                <w:sz w:val="24"/>
              </w:rPr>
              <w:t>9.62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F13C3F0" w14:textId="77777777" w:rsidR="005E29AE" w:rsidRDefault="005E29AE" w:rsidP="007B17DF">
            <w:pPr>
              <w:spacing w:before="15" w:after="10"/>
              <w:ind w:left="30" w:right="40"/>
              <w:jc w:val="right"/>
            </w:pPr>
            <w:r>
              <w:rPr>
                <w:rFonts w:ascii="Arial" w:eastAsia="Arial" w:hAnsi="Arial" w:cs="Arial"/>
                <w:color w:val="010205"/>
                <w:sz w:val="24"/>
              </w:rPr>
              <w:t>2.338</w:t>
            </w:r>
          </w:p>
        </w:tc>
      </w:tr>
      <w:tr w:rsidR="005E29AE" w14:paraId="274C554E"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1B669FF0" w14:textId="77777777" w:rsidR="005E29AE" w:rsidRDefault="005E29AE" w:rsidP="007B17DF">
            <w:pPr>
              <w:spacing w:before="15" w:after="10"/>
              <w:ind w:left="30" w:right="40"/>
            </w:pPr>
            <w:r>
              <w:rPr>
                <w:rFonts w:ascii="Arial" w:eastAsia="Arial" w:hAnsi="Arial" w:cs="Arial"/>
                <w:color w:val="264A60"/>
                <w:sz w:val="24"/>
              </w:rPr>
              <w:t>Diabetes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B1289C3"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13BD3EF" w14:textId="77777777" w:rsidR="005E29AE" w:rsidRDefault="005E29AE" w:rsidP="007B17DF">
            <w:pPr>
              <w:spacing w:before="15" w:after="10"/>
              <w:ind w:left="30" w:right="40"/>
              <w:jc w:val="right"/>
            </w:pPr>
            <w:r>
              <w:rPr>
                <w:rFonts w:ascii="Arial" w:eastAsia="Arial" w:hAnsi="Arial" w:cs="Arial"/>
                <w:color w:val="010205"/>
                <w:sz w:val="24"/>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3E465A" w14:textId="77777777" w:rsidR="005E29AE" w:rsidRDefault="005E29AE" w:rsidP="007B17DF">
            <w:pPr>
              <w:spacing w:before="15" w:after="10"/>
              <w:ind w:left="30" w:right="40"/>
              <w:jc w:val="right"/>
            </w:pPr>
            <w:r>
              <w:rPr>
                <w:rFonts w:ascii="Arial" w:eastAsia="Arial" w:hAnsi="Arial" w:cs="Arial"/>
                <w:color w:val="010205"/>
                <w:sz w:val="24"/>
              </w:rPr>
              <w:t>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1DABF5" w14:textId="77777777" w:rsidR="005E29AE" w:rsidRDefault="005E29AE" w:rsidP="007B17DF">
            <w:pPr>
              <w:spacing w:before="15" w:after="10"/>
              <w:ind w:left="30" w:right="40"/>
              <w:jc w:val="right"/>
            </w:pPr>
            <w:r>
              <w:rPr>
                <w:rFonts w:ascii="Arial" w:eastAsia="Arial" w:hAnsi="Arial" w:cs="Arial"/>
                <w:color w:val="010205"/>
                <w:sz w:val="24"/>
              </w:rPr>
              <w:t>5.94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45AB7DD" w14:textId="77777777" w:rsidR="005E29AE" w:rsidRDefault="005E29AE" w:rsidP="007B17DF">
            <w:pPr>
              <w:spacing w:before="15" w:after="10"/>
              <w:ind w:left="30" w:right="40"/>
              <w:jc w:val="right"/>
            </w:pPr>
            <w:r>
              <w:rPr>
                <w:rFonts w:ascii="Arial" w:eastAsia="Arial" w:hAnsi="Arial" w:cs="Arial"/>
                <w:color w:val="010205"/>
                <w:sz w:val="24"/>
              </w:rPr>
              <w:t>1.343</w:t>
            </w:r>
          </w:p>
        </w:tc>
      </w:tr>
      <w:tr w:rsidR="005E29AE" w14:paraId="285DA7A3"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367157C5" w14:textId="77777777" w:rsidR="005E29AE" w:rsidRDefault="005E29AE" w:rsidP="007B17DF">
            <w:pPr>
              <w:spacing w:before="15" w:after="10"/>
              <w:ind w:left="30" w:right="40"/>
            </w:pPr>
            <w:r>
              <w:rPr>
                <w:rFonts w:ascii="Arial" w:eastAsia="Arial" w:hAnsi="Arial" w:cs="Arial"/>
                <w:color w:val="264A60"/>
                <w:sz w:val="24"/>
              </w:rPr>
              <w:t>Health Status: Poor or Fair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540F084"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57CA87"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E0156F7" w14:textId="77777777" w:rsidR="005E29AE" w:rsidRDefault="005E29AE" w:rsidP="007B17DF">
            <w:pPr>
              <w:spacing w:before="15" w:after="10"/>
              <w:ind w:left="30" w:right="40"/>
              <w:jc w:val="right"/>
            </w:pPr>
            <w:r>
              <w:rPr>
                <w:rFonts w:ascii="Arial" w:eastAsia="Arial" w:hAnsi="Arial" w:cs="Arial"/>
                <w:color w:val="010205"/>
                <w:sz w:val="24"/>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47204DE" w14:textId="77777777" w:rsidR="005E29AE" w:rsidRDefault="005E29AE" w:rsidP="007B17DF">
            <w:pPr>
              <w:spacing w:before="15" w:after="10"/>
              <w:ind w:left="30" w:right="40"/>
              <w:jc w:val="right"/>
            </w:pPr>
            <w:r>
              <w:rPr>
                <w:rFonts w:ascii="Arial" w:eastAsia="Arial" w:hAnsi="Arial" w:cs="Arial"/>
                <w:color w:val="010205"/>
                <w:sz w:val="24"/>
              </w:rPr>
              <w:t>21.47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53188E6" w14:textId="77777777" w:rsidR="005E29AE" w:rsidRDefault="005E29AE" w:rsidP="007B17DF">
            <w:pPr>
              <w:spacing w:before="15" w:after="10"/>
              <w:ind w:left="30" w:right="40"/>
              <w:jc w:val="right"/>
            </w:pPr>
            <w:r>
              <w:rPr>
                <w:rFonts w:ascii="Arial" w:eastAsia="Arial" w:hAnsi="Arial" w:cs="Arial"/>
                <w:color w:val="010205"/>
                <w:sz w:val="24"/>
              </w:rPr>
              <w:t>5.054</w:t>
            </w:r>
          </w:p>
        </w:tc>
      </w:tr>
      <w:tr w:rsidR="005E29AE" w14:paraId="7B2586DB"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2BF4E804" w14:textId="77777777" w:rsidR="005E29AE" w:rsidRDefault="005E29AE" w:rsidP="007B17DF">
            <w:pPr>
              <w:spacing w:before="15" w:after="10"/>
              <w:ind w:left="30" w:right="40"/>
            </w:pPr>
            <w:r>
              <w:rPr>
                <w:rFonts w:ascii="Arial" w:eastAsia="Arial" w:hAnsi="Arial" w:cs="Arial"/>
                <w:color w:val="264A60"/>
                <w:sz w:val="24"/>
              </w:rPr>
              <w:t>Smoker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D75A616"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5718284"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A8EAC6" w14:textId="77777777" w:rsidR="005E29AE" w:rsidRDefault="005E29AE" w:rsidP="007B17DF">
            <w:pPr>
              <w:spacing w:before="15" w:after="10"/>
              <w:ind w:left="30" w:right="40"/>
              <w:jc w:val="right"/>
            </w:pPr>
            <w:r>
              <w:rPr>
                <w:rFonts w:ascii="Arial" w:eastAsia="Arial" w:hAnsi="Arial" w:cs="Arial"/>
                <w:color w:val="010205"/>
                <w:sz w:val="24"/>
              </w:rPr>
              <w:t>36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43B28E" w14:textId="77777777" w:rsidR="005E29AE" w:rsidRDefault="005E29AE" w:rsidP="007B17DF">
            <w:pPr>
              <w:spacing w:before="15" w:after="10"/>
              <w:ind w:left="30" w:right="40"/>
              <w:jc w:val="right"/>
            </w:pPr>
            <w:r>
              <w:rPr>
                <w:rFonts w:ascii="Arial" w:eastAsia="Arial" w:hAnsi="Arial" w:cs="Arial"/>
                <w:color w:val="010205"/>
                <w:sz w:val="24"/>
              </w:rPr>
              <w:t>25.37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D25B88C" w14:textId="77777777" w:rsidR="005E29AE" w:rsidRDefault="005E29AE" w:rsidP="007B17DF">
            <w:pPr>
              <w:spacing w:before="15" w:after="10"/>
              <w:ind w:left="30" w:right="40"/>
              <w:jc w:val="right"/>
            </w:pPr>
            <w:r>
              <w:rPr>
                <w:rFonts w:ascii="Arial" w:eastAsia="Arial" w:hAnsi="Arial" w:cs="Arial"/>
                <w:color w:val="010205"/>
                <w:sz w:val="24"/>
              </w:rPr>
              <w:t>4.207</w:t>
            </w:r>
          </w:p>
        </w:tc>
      </w:tr>
      <w:tr w:rsidR="005E29AE" w14:paraId="4F4CB9D4"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69B38202" w14:textId="77777777" w:rsidR="005E29AE" w:rsidRDefault="005E29AE" w:rsidP="007B17DF">
            <w:pPr>
              <w:spacing w:before="15" w:after="10"/>
              <w:ind w:left="30" w:right="40"/>
            </w:pPr>
            <w:r>
              <w:rPr>
                <w:rFonts w:ascii="Arial" w:eastAsia="Arial" w:hAnsi="Arial" w:cs="Arial"/>
                <w:color w:val="264A60"/>
                <w:sz w:val="24"/>
              </w:rPr>
              <w:t>BMI Overweight or Obese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68F69B5"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6D71C91" w14:textId="77777777" w:rsidR="005E29AE" w:rsidRDefault="005E29AE" w:rsidP="007B17DF">
            <w:pPr>
              <w:spacing w:before="15" w:after="10"/>
              <w:ind w:left="30" w:right="40"/>
              <w:jc w:val="right"/>
            </w:pPr>
            <w:r>
              <w:rPr>
                <w:rFonts w:ascii="Arial" w:eastAsia="Arial" w:hAnsi="Arial" w:cs="Arial"/>
                <w:color w:val="010205"/>
                <w:sz w:val="24"/>
              </w:rPr>
              <w:t>48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56FE261" w14:textId="77777777" w:rsidR="005E29AE" w:rsidRDefault="005E29AE" w:rsidP="007B17DF">
            <w:pPr>
              <w:spacing w:before="15" w:after="10"/>
              <w:ind w:left="30" w:right="40"/>
              <w:jc w:val="right"/>
            </w:pPr>
            <w:r>
              <w:rPr>
                <w:rFonts w:ascii="Arial" w:eastAsia="Arial" w:hAnsi="Arial" w:cs="Arial"/>
                <w:color w:val="010205"/>
                <w:sz w:val="24"/>
              </w:rPr>
              <w:t>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4C9F2C" w14:textId="77777777" w:rsidR="005E29AE" w:rsidRDefault="005E29AE" w:rsidP="007B17DF">
            <w:pPr>
              <w:spacing w:before="15" w:after="10"/>
              <w:ind w:left="30" w:right="40"/>
              <w:jc w:val="right"/>
            </w:pPr>
            <w:r>
              <w:rPr>
                <w:rFonts w:ascii="Arial" w:eastAsia="Arial" w:hAnsi="Arial" w:cs="Arial"/>
                <w:color w:val="010205"/>
                <w:sz w:val="24"/>
              </w:rPr>
              <w:t>55.81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6831F18" w14:textId="77777777" w:rsidR="005E29AE" w:rsidRDefault="005E29AE" w:rsidP="007B17DF">
            <w:pPr>
              <w:spacing w:before="15" w:after="10"/>
              <w:ind w:left="30" w:right="40"/>
              <w:jc w:val="right"/>
            </w:pPr>
            <w:r>
              <w:rPr>
                <w:rFonts w:ascii="Arial" w:eastAsia="Arial" w:hAnsi="Arial" w:cs="Arial"/>
                <w:color w:val="010205"/>
                <w:sz w:val="24"/>
              </w:rPr>
              <w:t>3.952</w:t>
            </w:r>
          </w:p>
        </w:tc>
      </w:tr>
      <w:tr w:rsidR="005E29AE" w14:paraId="6C3FB3E7" w14:textId="77777777" w:rsidTr="007B17DF">
        <w:tc>
          <w:tcPr>
            <w:tcW w:w="2686" w:type="dxa"/>
            <w:tcBorders>
              <w:top w:val="single" w:sz="1" w:space="0" w:color="AEAEAE"/>
              <w:left w:val="none" w:sz="1" w:space="0" w:color="152935"/>
              <w:bottom w:val="single" w:sz="1" w:space="0" w:color="152935"/>
              <w:right w:val="none" w:sz="1" w:space="0" w:color="152935"/>
            </w:tcBorders>
            <w:shd w:val="clear" w:color="auto" w:fill="E0E0E0"/>
          </w:tcPr>
          <w:p w14:paraId="4D81D940" w14:textId="77777777" w:rsidR="005E29AE" w:rsidRDefault="005E29AE" w:rsidP="007B17DF">
            <w:pPr>
              <w:spacing w:before="15" w:after="10"/>
              <w:ind w:left="30" w:right="40"/>
            </w:pPr>
            <w:r>
              <w:rPr>
                <w:rFonts w:ascii="Arial" w:eastAsia="Arial" w:hAnsi="Arial" w:cs="Arial"/>
                <w:color w:val="264A60"/>
                <w:sz w:val="24"/>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97840EC"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55F5AF3"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631057B"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1ABF40E" w14:textId="77777777" w:rsidR="005E29AE" w:rsidRDefault="005E29AE" w:rsidP="007B17DF"/>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6CBEBC03" w14:textId="77777777" w:rsidR="005E29AE" w:rsidRDefault="005E29AE" w:rsidP="007B17DF"/>
        </w:tc>
      </w:tr>
    </w:tbl>
    <w:p w14:paraId="62E585A6" w14:textId="77777777" w:rsidR="005E29AE" w:rsidRDefault="005E29AE" w:rsidP="005E29AE">
      <w:pPr>
        <w:jc w:val="center"/>
        <w:rPr>
          <w:rFonts w:ascii="Arial" w:hAnsi="Arial" w:cs="Arial"/>
          <w:b/>
          <w:bCs/>
          <w:sz w:val="24"/>
          <w:szCs w:val="24"/>
        </w:rPr>
      </w:pPr>
      <w:r w:rsidRPr="0099576C">
        <w:rPr>
          <w:rFonts w:ascii="Arial" w:hAnsi="Arial" w:cs="Arial"/>
          <w:b/>
          <w:bCs/>
          <w:sz w:val="24"/>
          <w:szCs w:val="24"/>
        </w:rPr>
        <w:t>Fig. 1</w:t>
      </w:r>
    </w:p>
    <w:p w14:paraId="349159E8" w14:textId="77777777" w:rsidR="005F3B48" w:rsidRDefault="005F3B48" w:rsidP="005E29AE">
      <w:pPr>
        <w:rPr>
          <w:rFonts w:ascii="Arial" w:hAnsi="Arial" w:cs="Arial"/>
          <w:b/>
          <w:bCs/>
          <w:sz w:val="24"/>
          <w:szCs w:val="24"/>
          <w:u w:val="single"/>
        </w:rPr>
      </w:pPr>
    </w:p>
    <w:p w14:paraId="06ABD4B3" w14:textId="77777777" w:rsidR="005F3B48" w:rsidRDefault="005F3B48" w:rsidP="005E29AE">
      <w:pPr>
        <w:rPr>
          <w:rFonts w:ascii="Arial" w:hAnsi="Arial" w:cs="Arial"/>
          <w:b/>
          <w:bCs/>
          <w:sz w:val="24"/>
          <w:szCs w:val="24"/>
          <w:u w:val="single"/>
        </w:rPr>
      </w:pPr>
    </w:p>
    <w:p w14:paraId="1A320F85" w14:textId="77777777" w:rsidR="005F3B48" w:rsidRDefault="005F3B48" w:rsidP="005E29AE">
      <w:pPr>
        <w:rPr>
          <w:rFonts w:ascii="Arial" w:hAnsi="Arial" w:cs="Arial"/>
          <w:b/>
          <w:bCs/>
          <w:sz w:val="24"/>
          <w:szCs w:val="24"/>
          <w:u w:val="single"/>
        </w:rPr>
      </w:pPr>
    </w:p>
    <w:p w14:paraId="09D5CD2D" w14:textId="77777777" w:rsidR="005F3B48" w:rsidRDefault="005F3B48" w:rsidP="005E29AE">
      <w:pPr>
        <w:rPr>
          <w:rFonts w:ascii="Arial" w:hAnsi="Arial" w:cs="Arial"/>
          <w:b/>
          <w:bCs/>
          <w:sz w:val="24"/>
          <w:szCs w:val="24"/>
          <w:u w:val="single"/>
        </w:rPr>
      </w:pPr>
    </w:p>
    <w:p w14:paraId="55DDCD7B" w14:textId="77777777" w:rsidR="005F3B48" w:rsidRDefault="005F3B48" w:rsidP="005E29AE">
      <w:pPr>
        <w:rPr>
          <w:rFonts w:ascii="Arial" w:hAnsi="Arial" w:cs="Arial"/>
          <w:b/>
          <w:bCs/>
          <w:sz w:val="24"/>
          <w:szCs w:val="24"/>
          <w:u w:val="single"/>
        </w:rPr>
      </w:pPr>
    </w:p>
    <w:p w14:paraId="1A451E54" w14:textId="6A2CDB16" w:rsidR="005E29AE" w:rsidRPr="009B59F5" w:rsidRDefault="005E29AE" w:rsidP="005E29AE">
      <w:pPr>
        <w:rPr>
          <w:rFonts w:ascii="Arial" w:hAnsi="Arial" w:cs="Arial"/>
          <w:b/>
          <w:bCs/>
          <w:sz w:val="24"/>
          <w:szCs w:val="24"/>
          <w:u w:val="single"/>
        </w:rPr>
      </w:pPr>
      <w:r w:rsidRPr="009B59F5">
        <w:rPr>
          <w:rFonts w:ascii="Arial" w:hAnsi="Arial" w:cs="Arial"/>
          <w:b/>
          <w:bCs/>
          <w:sz w:val="24"/>
          <w:szCs w:val="24"/>
          <w:u w:val="single"/>
        </w:rPr>
        <w:lastRenderedPageBreak/>
        <w:t>Z-</w:t>
      </w:r>
      <w:r>
        <w:rPr>
          <w:rFonts w:ascii="Arial" w:hAnsi="Arial" w:cs="Arial"/>
          <w:b/>
          <w:bCs/>
          <w:sz w:val="24"/>
          <w:szCs w:val="24"/>
          <w:u w:val="single"/>
        </w:rPr>
        <w:t xml:space="preserve">score </w:t>
      </w:r>
      <w:r w:rsidRPr="009B59F5">
        <w:rPr>
          <w:rFonts w:ascii="Arial" w:hAnsi="Arial" w:cs="Arial"/>
          <w:b/>
          <w:bCs/>
          <w:sz w:val="24"/>
          <w:szCs w:val="24"/>
          <w:u w:val="single"/>
        </w:rPr>
        <w:t>table</w:t>
      </w:r>
    </w:p>
    <w:p w14:paraId="68A93B01" w14:textId="77777777" w:rsidR="005E29AE" w:rsidRPr="00714D18" w:rsidRDefault="005E29AE" w:rsidP="005E29AE">
      <w:pPr>
        <w:jc w:val="both"/>
        <w:rPr>
          <w:rFonts w:ascii="Arial" w:hAnsi="Arial" w:cs="Arial"/>
          <w:sz w:val="24"/>
          <w:szCs w:val="24"/>
        </w:rPr>
      </w:pPr>
      <w:r w:rsidRPr="00714D18">
        <w:rPr>
          <w:rFonts w:ascii="Arial" w:hAnsi="Arial" w:cs="Arial"/>
          <w:sz w:val="24"/>
          <w:szCs w:val="24"/>
        </w:rPr>
        <w:t>To expand on the descriptive statistics table, a z-score table has been created (Fig. 2). A z-score table is the abbreviation for a standard normal table (Statistics How To, 2023). A z-score table is used within hypothesis testing (Statistics How To, 2023). This includes tests on proportions and the difference between two means (Statistics How To, 2023). A normal distribution curve has a total area under it of 1, or 100%. By displaying the percentage under the curve at each location, the z-table is useful (Statistics How To, 2023).</w:t>
      </w:r>
    </w:p>
    <w:tbl>
      <w:tblPr>
        <w:tblW w:w="0" w:type="auto"/>
        <w:tblInd w:w="10" w:type="dxa"/>
        <w:tblLayout w:type="fixed"/>
        <w:tblCellMar>
          <w:left w:w="10" w:type="dxa"/>
          <w:right w:w="10" w:type="dxa"/>
        </w:tblCellMar>
        <w:tblLook w:val="0000" w:firstRow="0" w:lastRow="0" w:firstColumn="0" w:lastColumn="0" w:noHBand="0" w:noVBand="0"/>
      </w:tblPr>
      <w:tblGrid>
        <w:gridCol w:w="2788"/>
        <w:gridCol w:w="1156"/>
        <w:gridCol w:w="1156"/>
        <w:gridCol w:w="1156"/>
        <w:gridCol w:w="1156"/>
        <w:gridCol w:w="1513"/>
      </w:tblGrid>
      <w:tr w:rsidR="005E29AE" w14:paraId="020A8F3C" w14:textId="77777777" w:rsidTr="007B17DF">
        <w:tc>
          <w:tcPr>
            <w:tcW w:w="8925" w:type="dxa"/>
            <w:gridSpan w:val="6"/>
            <w:shd w:val="clear" w:color="auto" w:fill="FFFFFF"/>
            <w:vAlign w:val="center"/>
          </w:tcPr>
          <w:p w14:paraId="3F4981EF" w14:textId="77777777" w:rsidR="005E29AE" w:rsidRDefault="005E29AE" w:rsidP="007B17DF">
            <w:pPr>
              <w:spacing w:before="5" w:after="30"/>
              <w:ind w:left="30" w:right="40"/>
              <w:jc w:val="center"/>
            </w:pPr>
            <w:r>
              <w:rPr>
                <w:rFonts w:ascii="Arial" w:eastAsia="Arial" w:hAnsi="Arial" w:cs="Arial"/>
                <w:b/>
                <w:color w:val="010205"/>
                <w:sz w:val="28"/>
              </w:rPr>
              <w:t>Descriptive Statistics</w:t>
            </w:r>
          </w:p>
        </w:tc>
      </w:tr>
      <w:tr w:rsidR="005E29AE" w14:paraId="63BC43DD" w14:textId="77777777" w:rsidTr="007B17DF">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6A25A95E" w14:textId="77777777" w:rsidR="005E29AE" w:rsidRDefault="005E29AE" w:rsidP="007B17DF">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41DF5A4F" w14:textId="77777777" w:rsidR="005E29AE" w:rsidRDefault="005E29AE" w:rsidP="007B17DF">
            <w:pPr>
              <w:spacing w:before="10" w:after="10"/>
              <w:ind w:left="30" w:right="40"/>
              <w:jc w:val="center"/>
            </w:pPr>
            <w:r>
              <w:rPr>
                <w:rFonts w:ascii="Arial" w:eastAsia="Arial" w:hAnsi="Arial" w:cs="Arial"/>
                <w:color w:val="264A60"/>
                <w:sz w:val="24"/>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0986D67" w14:textId="77777777" w:rsidR="005E29AE" w:rsidRDefault="005E29AE" w:rsidP="007B17DF">
            <w:pPr>
              <w:spacing w:before="10" w:after="10"/>
              <w:ind w:left="30" w:right="40"/>
              <w:jc w:val="center"/>
            </w:pPr>
            <w:r>
              <w:rPr>
                <w:rFonts w:ascii="Arial" w:eastAsia="Arial" w:hAnsi="Arial" w:cs="Arial"/>
                <w:color w:val="264A60"/>
                <w:sz w:val="24"/>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2A9E70D" w14:textId="77777777" w:rsidR="005E29AE" w:rsidRDefault="005E29AE" w:rsidP="007B17DF">
            <w:pPr>
              <w:spacing w:before="10" w:after="10"/>
              <w:ind w:left="30" w:right="40"/>
              <w:jc w:val="center"/>
            </w:pPr>
            <w:r>
              <w:rPr>
                <w:rFonts w:ascii="Arial" w:eastAsia="Arial" w:hAnsi="Arial" w:cs="Arial"/>
                <w:color w:val="264A60"/>
                <w:sz w:val="24"/>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B11C760" w14:textId="77777777" w:rsidR="005E29AE" w:rsidRDefault="005E29AE" w:rsidP="007B17DF">
            <w:pPr>
              <w:spacing w:before="10" w:after="10"/>
              <w:ind w:left="30" w:right="40"/>
              <w:jc w:val="center"/>
            </w:pPr>
            <w:r>
              <w:rPr>
                <w:rFonts w:ascii="Arial" w:eastAsia="Arial" w:hAnsi="Arial" w:cs="Arial"/>
                <w:color w:val="264A60"/>
                <w:sz w:val="24"/>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641A65B2" w14:textId="77777777" w:rsidR="005E29AE" w:rsidRDefault="005E29AE" w:rsidP="007B17DF">
            <w:pPr>
              <w:spacing w:before="10" w:after="10"/>
              <w:ind w:left="30" w:right="40"/>
              <w:jc w:val="center"/>
            </w:pPr>
            <w:r>
              <w:rPr>
                <w:rFonts w:ascii="Arial" w:eastAsia="Arial" w:hAnsi="Arial" w:cs="Arial"/>
                <w:color w:val="264A60"/>
                <w:sz w:val="24"/>
              </w:rPr>
              <w:t>Std. Deviation</w:t>
            </w:r>
          </w:p>
        </w:tc>
      </w:tr>
      <w:tr w:rsidR="005E29AE" w14:paraId="681BFE4C" w14:textId="77777777" w:rsidTr="007B17DF">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8846C32" w14:textId="77777777" w:rsidR="005E29AE" w:rsidRDefault="005E29AE" w:rsidP="007B17DF">
            <w:pPr>
              <w:spacing w:before="15" w:after="10"/>
              <w:ind w:left="30" w:right="40"/>
            </w:pPr>
            <w:r>
              <w:rPr>
                <w:rFonts w:ascii="Arial" w:eastAsia="Arial" w:hAnsi="Arial" w:cs="Arial"/>
                <w:color w:val="264A60"/>
                <w:sz w:val="24"/>
              </w:rPr>
              <w:t>Zscore:  High Blood Pressure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B379E1F"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FB9CA94" w14:textId="77777777" w:rsidR="005E29AE" w:rsidRDefault="005E29AE" w:rsidP="007B17DF">
            <w:pPr>
              <w:spacing w:before="15" w:after="10"/>
              <w:ind w:left="30" w:right="40"/>
              <w:jc w:val="right"/>
            </w:pPr>
            <w:r>
              <w:rPr>
                <w:rFonts w:ascii="Arial" w:eastAsia="Arial" w:hAnsi="Arial" w:cs="Arial"/>
                <w:color w:val="010205"/>
                <w:sz w:val="24"/>
              </w:rPr>
              <w:t>-1.66635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59D55E6" w14:textId="77777777" w:rsidR="005E29AE" w:rsidRDefault="005E29AE" w:rsidP="007B17DF">
            <w:pPr>
              <w:spacing w:before="15" w:after="10"/>
              <w:ind w:left="30" w:right="40"/>
              <w:jc w:val="right"/>
            </w:pPr>
            <w:r>
              <w:rPr>
                <w:rFonts w:ascii="Arial" w:eastAsia="Arial" w:hAnsi="Arial" w:cs="Arial"/>
                <w:color w:val="010205"/>
                <w:sz w:val="24"/>
              </w:rPr>
              <w:t>2.10803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FF532FF"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4CB21D54"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2757ABF2"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4F7A133" w14:textId="77777777" w:rsidR="005E29AE" w:rsidRDefault="005E29AE" w:rsidP="007B17DF">
            <w:pPr>
              <w:spacing w:before="15" w:after="10"/>
              <w:ind w:left="30" w:right="40"/>
            </w:pPr>
            <w:r>
              <w:rPr>
                <w:rFonts w:ascii="Arial" w:eastAsia="Arial" w:hAnsi="Arial" w:cs="Arial"/>
                <w:color w:val="264A60"/>
                <w:sz w:val="24"/>
              </w:rPr>
              <w:t>Zscore:  Respiratory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AEFD11B"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35DFC2" w14:textId="77777777" w:rsidR="005E29AE" w:rsidRDefault="005E29AE" w:rsidP="007B17DF">
            <w:pPr>
              <w:spacing w:before="15" w:after="10"/>
              <w:ind w:left="30" w:right="40"/>
              <w:jc w:val="right"/>
            </w:pPr>
            <w:r>
              <w:rPr>
                <w:rFonts w:ascii="Arial" w:eastAsia="Arial" w:hAnsi="Arial" w:cs="Arial"/>
                <w:color w:val="010205"/>
                <w:sz w:val="24"/>
              </w:rPr>
              <w:t>-2.36798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6D6057E" w14:textId="77777777" w:rsidR="005E29AE" w:rsidRDefault="005E29AE" w:rsidP="007B17DF">
            <w:pPr>
              <w:spacing w:before="15" w:after="10"/>
              <w:ind w:left="30" w:right="40"/>
              <w:jc w:val="right"/>
            </w:pPr>
            <w:r>
              <w:rPr>
                <w:rFonts w:ascii="Arial" w:eastAsia="Arial" w:hAnsi="Arial" w:cs="Arial"/>
                <w:color w:val="010205"/>
                <w:sz w:val="24"/>
              </w:rPr>
              <w:t>2.56932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B9DA1D2"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955B042"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33095BA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96C1FD4" w14:textId="77777777" w:rsidR="005E29AE" w:rsidRDefault="005E29AE" w:rsidP="007B17DF">
            <w:pPr>
              <w:spacing w:before="15" w:after="10"/>
              <w:ind w:left="30" w:right="40"/>
            </w:pPr>
            <w:r>
              <w:rPr>
                <w:rFonts w:ascii="Arial" w:eastAsia="Arial" w:hAnsi="Arial" w:cs="Arial"/>
                <w:color w:val="264A60"/>
                <w:sz w:val="24"/>
              </w:rPr>
              <w:t>Zscore:  Mental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40DFBB4"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7E139D" w14:textId="77777777" w:rsidR="005E29AE" w:rsidRDefault="005E29AE" w:rsidP="007B17DF">
            <w:pPr>
              <w:spacing w:before="15" w:after="10"/>
              <w:ind w:left="30" w:right="40"/>
              <w:jc w:val="right"/>
            </w:pPr>
            <w:r>
              <w:rPr>
                <w:rFonts w:ascii="Arial" w:eastAsia="Arial" w:hAnsi="Arial" w:cs="Arial"/>
                <w:color w:val="010205"/>
                <w:sz w:val="24"/>
              </w:rPr>
              <w:t>-2.40284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C3452E" w14:textId="77777777" w:rsidR="005E29AE" w:rsidRDefault="005E29AE" w:rsidP="007B17DF">
            <w:pPr>
              <w:spacing w:before="15" w:after="10"/>
              <w:ind w:left="30" w:right="40"/>
              <w:jc w:val="right"/>
            </w:pPr>
            <w:r>
              <w:rPr>
                <w:rFonts w:ascii="Arial" w:eastAsia="Arial" w:hAnsi="Arial" w:cs="Arial"/>
                <w:color w:val="010205"/>
                <w:sz w:val="24"/>
              </w:rPr>
              <w:t>1.87494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41B2B4"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37177B0"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7DBCE17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0ED34B" w14:textId="77777777" w:rsidR="005E29AE" w:rsidRDefault="005E29AE" w:rsidP="007B17DF">
            <w:pPr>
              <w:spacing w:before="15" w:after="10"/>
              <w:ind w:left="30" w:right="40"/>
            </w:pPr>
            <w:r>
              <w:rPr>
                <w:rFonts w:ascii="Arial" w:eastAsia="Arial" w:hAnsi="Arial" w:cs="Arial"/>
                <w:color w:val="264A60"/>
                <w:sz w:val="24"/>
              </w:rPr>
              <w:t>Zscore:  Diabetes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8CC96C0"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BC0078F" w14:textId="77777777" w:rsidR="005E29AE" w:rsidRDefault="005E29AE" w:rsidP="007B17DF">
            <w:pPr>
              <w:spacing w:before="15" w:after="10"/>
              <w:ind w:left="30" w:right="40"/>
              <w:jc w:val="right"/>
            </w:pPr>
            <w:r>
              <w:rPr>
                <w:rFonts w:ascii="Arial" w:eastAsia="Arial" w:hAnsi="Arial" w:cs="Arial"/>
                <w:color w:val="010205"/>
                <w:sz w:val="24"/>
              </w:rPr>
              <w:t>-2.18707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EEE18D" w14:textId="77777777" w:rsidR="005E29AE" w:rsidRDefault="005E29AE" w:rsidP="007B17DF">
            <w:pPr>
              <w:spacing w:before="15" w:after="10"/>
              <w:ind w:left="30" w:right="40"/>
              <w:jc w:val="right"/>
            </w:pPr>
            <w:r>
              <w:rPr>
                <w:rFonts w:ascii="Arial" w:eastAsia="Arial" w:hAnsi="Arial" w:cs="Arial"/>
                <w:color w:val="010205"/>
                <w:sz w:val="24"/>
              </w:rPr>
              <w:t>3.02704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74FA794"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5DCABF1"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3920FBE6"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223674E" w14:textId="77777777" w:rsidR="005E29AE" w:rsidRDefault="005E29AE" w:rsidP="007B17DF">
            <w:pPr>
              <w:spacing w:before="15" w:after="10"/>
              <w:ind w:left="30" w:right="40"/>
            </w:pPr>
            <w:r>
              <w:rPr>
                <w:rFonts w:ascii="Arial" w:eastAsia="Arial" w:hAnsi="Arial" w:cs="Arial"/>
                <w:color w:val="264A60"/>
                <w:sz w:val="24"/>
              </w:rPr>
              <w:t>Zscore:  Health Status: Poor or Fair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33EEE95"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539C67" w14:textId="77777777" w:rsidR="005E29AE" w:rsidRDefault="005E29AE" w:rsidP="007B17DF">
            <w:pPr>
              <w:spacing w:before="15" w:after="10"/>
              <w:ind w:left="30" w:right="40"/>
              <w:jc w:val="right"/>
            </w:pPr>
            <w:r>
              <w:rPr>
                <w:rFonts w:ascii="Arial" w:eastAsia="Arial" w:hAnsi="Arial" w:cs="Arial"/>
                <w:color w:val="010205"/>
                <w:sz w:val="24"/>
              </w:rPr>
              <w:t>-1.47769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A3DFD3" w14:textId="77777777" w:rsidR="005E29AE" w:rsidRDefault="005E29AE" w:rsidP="007B17DF">
            <w:pPr>
              <w:spacing w:before="15" w:after="10"/>
              <w:ind w:left="30" w:right="40"/>
              <w:jc w:val="right"/>
            </w:pPr>
            <w:r>
              <w:rPr>
                <w:rFonts w:ascii="Arial" w:eastAsia="Arial" w:hAnsi="Arial" w:cs="Arial"/>
                <w:color w:val="010205"/>
                <w:sz w:val="24"/>
              </w:rPr>
              <w:t>2.47965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3CE9BA3"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8358AF6"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6D3F538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16C7C33" w14:textId="77777777" w:rsidR="005E29AE" w:rsidRDefault="005E29AE" w:rsidP="007B17DF">
            <w:pPr>
              <w:spacing w:before="15" w:after="10"/>
              <w:ind w:left="30" w:right="40"/>
            </w:pPr>
            <w:r>
              <w:rPr>
                <w:rFonts w:ascii="Arial" w:eastAsia="Arial" w:hAnsi="Arial" w:cs="Arial"/>
                <w:color w:val="264A60"/>
                <w:sz w:val="24"/>
              </w:rPr>
              <w:t>Zscore:  Smoker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9E57B9A"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3C3C34B" w14:textId="77777777" w:rsidR="005E29AE" w:rsidRDefault="005E29AE" w:rsidP="007B17DF">
            <w:pPr>
              <w:spacing w:before="15" w:after="10"/>
              <w:ind w:left="30" w:right="40"/>
              <w:jc w:val="right"/>
            </w:pPr>
            <w:r>
              <w:rPr>
                <w:rFonts w:ascii="Arial" w:eastAsia="Arial" w:hAnsi="Arial" w:cs="Arial"/>
                <w:color w:val="010205"/>
                <w:sz w:val="24"/>
              </w:rPr>
              <w:t>-2.70322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281A4B" w14:textId="77777777" w:rsidR="005E29AE" w:rsidRDefault="005E29AE" w:rsidP="007B17DF">
            <w:pPr>
              <w:spacing w:before="15" w:after="10"/>
              <w:ind w:left="30" w:right="40"/>
              <w:jc w:val="right"/>
            </w:pPr>
            <w:r>
              <w:rPr>
                <w:rFonts w:ascii="Arial" w:eastAsia="Arial" w:hAnsi="Arial" w:cs="Arial"/>
                <w:color w:val="010205"/>
                <w:sz w:val="24"/>
              </w:rPr>
              <w:t>2.52620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585876F"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EA9A583"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76AAE82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1753492" w14:textId="77777777" w:rsidR="005E29AE" w:rsidRDefault="005E29AE" w:rsidP="007B17DF">
            <w:pPr>
              <w:spacing w:before="15" w:after="10"/>
              <w:ind w:left="30" w:right="40"/>
            </w:pPr>
            <w:r>
              <w:rPr>
                <w:rFonts w:ascii="Arial" w:eastAsia="Arial" w:hAnsi="Arial" w:cs="Arial"/>
                <w:color w:val="264A60"/>
                <w:sz w:val="24"/>
              </w:rPr>
              <w:t>Zscore:  BMI Overweight or Obese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86E91B0"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4D8062C" w14:textId="77777777" w:rsidR="005E29AE" w:rsidRDefault="005E29AE" w:rsidP="007B17DF">
            <w:pPr>
              <w:spacing w:before="15" w:after="10"/>
              <w:ind w:left="30" w:right="40"/>
              <w:jc w:val="right"/>
            </w:pPr>
            <w:r>
              <w:rPr>
                <w:rFonts w:ascii="Arial" w:eastAsia="Arial" w:hAnsi="Arial" w:cs="Arial"/>
                <w:color w:val="010205"/>
                <w:sz w:val="24"/>
              </w:rPr>
              <w:t>-1.97580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E719BEE" w14:textId="77777777" w:rsidR="005E29AE" w:rsidRDefault="005E29AE" w:rsidP="007B17DF">
            <w:pPr>
              <w:spacing w:before="15" w:after="10"/>
              <w:ind w:left="30" w:right="40"/>
              <w:jc w:val="right"/>
            </w:pPr>
            <w:r>
              <w:rPr>
                <w:rFonts w:ascii="Arial" w:eastAsia="Arial" w:hAnsi="Arial" w:cs="Arial"/>
                <w:color w:val="010205"/>
                <w:sz w:val="24"/>
              </w:rPr>
              <w:t>1.81968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77BA0C"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7294E3B"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50334FF7" w14:textId="77777777" w:rsidTr="007B17DF">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599EFC6" w14:textId="77777777" w:rsidR="005E29AE" w:rsidRDefault="005E29AE" w:rsidP="007B17DF">
            <w:pPr>
              <w:spacing w:before="15" w:after="10"/>
              <w:ind w:left="30" w:right="40"/>
            </w:pPr>
            <w:r>
              <w:rPr>
                <w:rFonts w:ascii="Arial" w:eastAsia="Arial" w:hAnsi="Arial" w:cs="Arial"/>
                <w:color w:val="264A60"/>
                <w:sz w:val="24"/>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4D904849"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331EBB1"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D2BB09B"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022F2D7" w14:textId="77777777" w:rsidR="005E29AE" w:rsidRDefault="005E29AE" w:rsidP="007B17DF"/>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47CAF55A" w14:textId="77777777" w:rsidR="005E29AE" w:rsidRDefault="005E29AE" w:rsidP="007B17DF"/>
        </w:tc>
      </w:tr>
    </w:tbl>
    <w:p w14:paraId="5B8FA180" w14:textId="77777777" w:rsidR="005E29AE" w:rsidRDefault="005E29AE" w:rsidP="005E29AE">
      <w:pPr>
        <w:jc w:val="center"/>
        <w:rPr>
          <w:rFonts w:ascii="Arial" w:hAnsi="Arial" w:cs="Arial"/>
          <w:b/>
          <w:bCs/>
          <w:sz w:val="24"/>
          <w:szCs w:val="24"/>
        </w:rPr>
      </w:pPr>
      <w:r w:rsidRPr="00AE26D3">
        <w:rPr>
          <w:rFonts w:ascii="Arial" w:hAnsi="Arial" w:cs="Arial"/>
          <w:b/>
          <w:bCs/>
          <w:sz w:val="24"/>
          <w:szCs w:val="24"/>
        </w:rPr>
        <w:t>Fig. 2</w:t>
      </w:r>
    </w:p>
    <w:p w14:paraId="3033A57C" w14:textId="77777777" w:rsidR="005E29AE" w:rsidRPr="009B59F5" w:rsidRDefault="005E29AE" w:rsidP="005E29AE">
      <w:pPr>
        <w:rPr>
          <w:rFonts w:ascii="Arial" w:hAnsi="Arial" w:cs="Arial"/>
          <w:b/>
          <w:bCs/>
          <w:sz w:val="24"/>
          <w:szCs w:val="24"/>
          <w:u w:val="single"/>
        </w:rPr>
      </w:pPr>
      <w:r w:rsidRPr="009B59F5">
        <w:rPr>
          <w:rFonts w:ascii="Arial" w:hAnsi="Arial" w:cs="Arial"/>
          <w:b/>
          <w:bCs/>
          <w:sz w:val="24"/>
          <w:szCs w:val="24"/>
          <w:u w:val="single"/>
        </w:rPr>
        <w:t>Histograms</w:t>
      </w:r>
    </w:p>
    <w:p w14:paraId="066BF227" w14:textId="08286607" w:rsidR="005F3B48" w:rsidRPr="005F3B48" w:rsidRDefault="005F3B48" w:rsidP="005F3B48">
      <w:pPr>
        <w:jc w:val="both"/>
        <w:rPr>
          <w:rFonts w:ascii="Arial" w:hAnsi="Arial" w:cs="Arial"/>
          <w:sz w:val="24"/>
          <w:szCs w:val="24"/>
        </w:rPr>
      </w:pPr>
      <w:r w:rsidRPr="005F3B48">
        <w:rPr>
          <w:rFonts w:ascii="Arial" w:hAnsi="Arial" w:cs="Arial"/>
          <w:sz w:val="24"/>
          <w:szCs w:val="24"/>
        </w:rPr>
        <w:t xml:space="preserve">Histograms have been produced to visualise the occurrence of each disease (Fig. 3-9). Histograms are a useful tool, </w:t>
      </w:r>
      <w:r w:rsidR="00083494" w:rsidRPr="00083494">
        <w:rPr>
          <w:rFonts w:ascii="Arial" w:hAnsi="Arial" w:cs="Arial"/>
          <w:sz w:val="24"/>
          <w:szCs w:val="24"/>
        </w:rPr>
        <w:t>as a graph illustrates the distribution of values for a numerical variable as an assortment of bars</w:t>
      </w:r>
      <w:r w:rsidR="00083494" w:rsidRPr="00083494">
        <w:rPr>
          <w:rFonts w:ascii="Arial" w:hAnsi="Arial" w:cs="Arial"/>
          <w:sz w:val="24"/>
          <w:szCs w:val="24"/>
        </w:rPr>
        <w:t xml:space="preserve"> </w:t>
      </w:r>
      <w:r w:rsidRPr="005F3B48">
        <w:rPr>
          <w:rFonts w:ascii="Arial" w:hAnsi="Arial" w:cs="Arial"/>
          <w:sz w:val="24"/>
          <w:szCs w:val="24"/>
        </w:rPr>
        <w:t>(Yi, 2021). A histogram is useful in this instance, as it demonstrates the general distribution of each disease in Wales (Yi, 2021).</w:t>
      </w:r>
    </w:p>
    <w:p w14:paraId="32A1EC47" w14:textId="77777777" w:rsidR="005E29AE" w:rsidRDefault="005E29AE" w:rsidP="005E29AE">
      <w:r>
        <w:rPr>
          <w:noProof/>
        </w:rPr>
        <w:lastRenderedPageBreak/>
        <w:drawing>
          <wp:inline distT="0" distB="0" distL="0" distR="0" wp14:anchorId="01A9B411" wp14:editId="666DA7FF">
            <wp:extent cx="5731920" cy="3368938"/>
            <wp:effectExtent l="19050" t="19050" r="21590" b="22225"/>
            <wp:docPr id="372559070"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a:blip r:embed="rId8"/>
                    <a:stretch>
                      <a:fillRect/>
                    </a:stretch>
                  </pic:blipFill>
                  <pic:spPr>
                    <a:xfrm>
                      <a:off x="0" y="0"/>
                      <a:ext cx="5731920" cy="3368938"/>
                    </a:xfrm>
                    <a:prstGeom prst="rect">
                      <a:avLst/>
                    </a:prstGeom>
                    <a:ln>
                      <a:solidFill>
                        <a:schemeClr val="accent1"/>
                      </a:solidFill>
                    </a:ln>
                  </pic:spPr>
                </pic:pic>
              </a:graphicData>
            </a:graphic>
          </wp:inline>
        </w:drawing>
      </w:r>
    </w:p>
    <w:p w14:paraId="08F2354A"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Fig. 3</w:t>
      </w:r>
    </w:p>
    <w:p w14:paraId="4EF31506" w14:textId="77777777" w:rsidR="005E29AE" w:rsidRDefault="005E29AE" w:rsidP="005E29AE"/>
    <w:p w14:paraId="5E7A6969" w14:textId="77777777" w:rsidR="005E29AE" w:rsidRDefault="005E29AE" w:rsidP="005E29AE">
      <w:r>
        <w:rPr>
          <w:noProof/>
        </w:rPr>
        <w:drawing>
          <wp:inline distT="0" distB="0" distL="0" distR="0" wp14:anchorId="17D2C7D8" wp14:editId="0C495F1F">
            <wp:extent cx="5731920" cy="3368938"/>
            <wp:effectExtent l="19050" t="19050" r="21590" b="22225"/>
            <wp:docPr id="1" name="Drawing 1" descr="img.emf"/>
            <wp:cNvGraphicFramePr/>
            <a:graphic xmlns:a="http://schemas.openxmlformats.org/drawingml/2006/main">
              <a:graphicData uri="http://schemas.openxmlformats.org/drawingml/2006/picture">
                <pic:pic xmlns:pic="http://schemas.openxmlformats.org/drawingml/2006/picture">
                  <pic:nvPicPr>
                    <pic:cNvPr id="0" name="Picture 1" descr="img.emf"/>
                    <pic:cNvPicPr>
                      <a:picLocks noChangeAspect="1"/>
                    </pic:cNvPicPr>
                  </pic:nvPicPr>
                  <pic:blipFill>
                    <a:blip r:embed="rId9"/>
                    <a:stretch>
                      <a:fillRect/>
                    </a:stretch>
                  </pic:blipFill>
                  <pic:spPr>
                    <a:xfrm>
                      <a:off x="0" y="0"/>
                      <a:ext cx="5731920" cy="3368938"/>
                    </a:xfrm>
                    <a:prstGeom prst="rect">
                      <a:avLst/>
                    </a:prstGeom>
                    <a:ln>
                      <a:solidFill>
                        <a:schemeClr val="accent1"/>
                      </a:solidFill>
                    </a:ln>
                  </pic:spPr>
                </pic:pic>
              </a:graphicData>
            </a:graphic>
          </wp:inline>
        </w:drawing>
      </w:r>
    </w:p>
    <w:p w14:paraId="192AC002"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4</w:t>
      </w:r>
    </w:p>
    <w:p w14:paraId="1814BE8F" w14:textId="77777777" w:rsidR="005E29AE" w:rsidRDefault="005E29AE" w:rsidP="005E29AE">
      <w:r>
        <w:rPr>
          <w:noProof/>
        </w:rPr>
        <w:lastRenderedPageBreak/>
        <w:drawing>
          <wp:inline distT="0" distB="0" distL="0" distR="0" wp14:anchorId="75D2DDD5" wp14:editId="35952FB6">
            <wp:extent cx="5731920" cy="3368938"/>
            <wp:effectExtent l="19050" t="19050" r="21590" b="22225"/>
            <wp:docPr id="2" name="Drawing 2" descr="img.emf"/>
            <wp:cNvGraphicFramePr/>
            <a:graphic xmlns:a="http://schemas.openxmlformats.org/drawingml/2006/main">
              <a:graphicData uri="http://schemas.openxmlformats.org/drawingml/2006/picture">
                <pic:pic xmlns:pic="http://schemas.openxmlformats.org/drawingml/2006/picture">
                  <pic:nvPicPr>
                    <pic:cNvPr id="0" name="Picture 2" descr="img.emf"/>
                    <pic:cNvPicPr>
                      <a:picLocks noChangeAspect="1"/>
                    </pic:cNvPicPr>
                  </pic:nvPicPr>
                  <pic:blipFill>
                    <a:blip r:embed="rId10"/>
                    <a:stretch>
                      <a:fillRect/>
                    </a:stretch>
                  </pic:blipFill>
                  <pic:spPr>
                    <a:xfrm>
                      <a:off x="0" y="0"/>
                      <a:ext cx="5731920" cy="3368938"/>
                    </a:xfrm>
                    <a:prstGeom prst="rect">
                      <a:avLst/>
                    </a:prstGeom>
                    <a:ln>
                      <a:solidFill>
                        <a:schemeClr val="accent1"/>
                      </a:solidFill>
                    </a:ln>
                  </pic:spPr>
                </pic:pic>
              </a:graphicData>
            </a:graphic>
          </wp:inline>
        </w:drawing>
      </w:r>
    </w:p>
    <w:p w14:paraId="6EDF1F68"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5</w:t>
      </w:r>
    </w:p>
    <w:p w14:paraId="00C4C01D" w14:textId="77777777" w:rsidR="005E29AE" w:rsidRDefault="005E29AE" w:rsidP="005E29AE"/>
    <w:p w14:paraId="170AB83C" w14:textId="77777777" w:rsidR="005E29AE" w:rsidRDefault="005E29AE" w:rsidP="005E29AE">
      <w:r>
        <w:rPr>
          <w:noProof/>
        </w:rPr>
        <w:drawing>
          <wp:inline distT="0" distB="0" distL="0" distR="0" wp14:anchorId="3754325C" wp14:editId="341CB3B6">
            <wp:extent cx="5731920" cy="3368938"/>
            <wp:effectExtent l="19050" t="19050" r="21590" b="22225"/>
            <wp:docPr id="3" name="Drawing 3" descr="img.emf"/>
            <wp:cNvGraphicFramePr/>
            <a:graphic xmlns:a="http://schemas.openxmlformats.org/drawingml/2006/main">
              <a:graphicData uri="http://schemas.openxmlformats.org/drawingml/2006/picture">
                <pic:pic xmlns:pic="http://schemas.openxmlformats.org/drawingml/2006/picture">
                  <pic:nvPicPr>
                    <pic:cNvPr id="0" name="Picture 3" descr="img.emf"/>
                    <pic:cNvPicPr>
                      <a:picLocks noChangeAspect="1"/>
                    </pic:cNvPicPr>
                  </pic:nvPicPr>
                  <pic:blipFill>
                    <a:blip r:embed="rId11"/>
                    <a:stretch>
                      <a:fillRect/>
                    </a:stretch>
                  </pic:blipFill>
                  <pic:spPr>
                    <a:xfrm>
                      <a:off x="0" y="0"/>
                      <a:ext cx="5731920" cy="3368938"/>
                    </a:xfrm>
                    <a:prstGeom prst="rect">
                      <a:avLst/>
                    </a:prstGeom>
                    <a:ln>
                      <a:solidFill>
                        <a:schemeClr val="accent1"/>
                      </a:solidFill>
                    </a:ln>
                  </pic:spPr>
                </pic:pic>
              </a:graphicData>
            </a:graphic>
          </wp:inline>
        </w:drawing>
      </w:r>
    </w:p>
    <w:p w14:paraId="114A82E8"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6</w:t>
      </w:r>
    </w:p>
    <w:p w14:paraId="728CCA98" w14:textId="77777777" w:rsidR="005E29AE" w:rsidRDefault="005E29AE" w:rsidP="005E29AE"/>
    <w:p w14:paraId="1E451647" w14:textId="77777777" w:rsidR="005E29AE" w:rsidRDefault="005E29AE" w:rsidP="005E29AE">
      <w:r>
        <w:rPr>
          <w:noProof/>
        </w:rPr>
        <w:lastRenderedPageBreak/>
        <w:drawing>
          <wp:inline distT="0" distB="0" distL="0" distR="0" wp14:anchorId="4C27211D" wp14:editId="142E20C4">
            <wp:extent cx="5731920" cy="3368938"/>
            <wp:effectExtent l="19050" t="19050" r="21590" b="22225"/>
            <wp:docPr id="4" name="Drawing 4" descr="img.emf"/>
            <wp:cNvGraphicFramePr/>
            <a:graphic xmlns:a="http://schemas.openxmlformats.org/drawingml/2006/main">
              <a:graphicData uri="http://schemas.openxmlformats.org/drawingml/2006/picture">
                <pic:pic xmlns:pic="http://schemas.openxmlformats.org/drawingml/2006/picture">
                  <pic:nvPicPr>
                    <pic:cNvPr id="0" name="Picture 4" descr="img.emf"/>
                    <pic:cNvPicPr>
                      <a:picLocks noChangeAspect="1"/>
                    </pic:cNvPicPr>
                  </pic:nvPicPr>
                  <pic:blipFill>
                    <a:blip r:embed="rId12"/>
                    <a:stretch>
                      <a:fillRect/>
                    </a:stretch>
                  </pic:blipFill>
                  <pic:spPr>
                    <a:xfrm>
                      <a:off x="0" y="0"/>
                      <a:ext cx="5731920" cy="3368938"/>
                    </a:xfrm>
                    <a:prstGeom prst="rect">
                      <a:avLst/>
                    </a:prstGeom>
                    <a:ln>
                      <a:solidFill>
                        <a:schemeClr val="accent1"/>
                      </a:solidFill>
                    </a:ln>
                  </pic:spPr>
                </pic:pic>
              </a:graphicData>
            </a:graphic>
          </wp:inline>
        </w:drawing>
      </w:r>
    </w:p>
    <w:p w14:paraId="5B7476FC"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7</w:t>
      </w:r>
    </w:p>
    <w:p w14:paraId="1E058F8B" w14:textId="77777777" w:rsidR="005E29AE" w:rsidRDefault="005E29AE" w:rsidP="005E29AE"/>
    <w:p w14:paraId="566093D9" w14:textId="77777777" w:rsidR="005E29AE" w:rsidRDefault="005E29AE" w:rsidP="005E29AE">
      <w:r>
        <w:rPr>
          <w:noProof/>
        </w:rPr>
        <w:drawing>
          <wp:inline distT="0" distB="0" distL="0" distR="0" wp14:anchorId="48ABC0C4" wp14:editId="000EF693">
            <wp:extent cx="5731920" cy="3368938"/>
            <wp:effectExtent l="19050" t="19050" r="21590" b="22225"/>
            <wp:docPr id="5" name="Drawing 5" descr="img.emf"/>
            <wp:cNvGraphicFramePr/>
            <a:graphic xmlns:a="http://schemas.openxmlformats.org/drawingml/2006/main">
              <a:graphicData uri="http://schemas.openxmlformats.org/drawingml/2006/picture">
                <pic:pic xmlns:pic="http://schemas.openxmlformats.org/drawingml/2006/picture">
                  <pic:nvPicPr>
                    <pic:cNvPr id="0" name="Picture 5" descr="img.emf"/>
                    <pic:cNvPicPr>
                      <a:picLocks noChangeAspect="1"/>
                    </pic:cNvPicPr>
                  </pic:nvPicPr>
                  <pic:blipFill>
                    <a:blip r:embed="rId13"/>
                    <a:stretch>
                      <a:fillRect/>
                    </a:stretch>
                  </pic:blipFill>
                  <pic:spPr>
                    <a:xfrm>
                      <a:off x="0" y="0"/>
                      <a:ext cx="5731920" cy="3368938"/>
                    </a:xfrm>
                    <a:prstGeom prst="rect">
                      <a:avLst/>
                    </a:prstGeom>
                    <a:ln>
                      <a:solidFill>
                        <a:schemeClr val="accent1"/>
                      </a:solidFill>
                    </a:ln>
                  </pic:spPr>
                </pic:pic>
              </a:graphicData>
            </a:graphic>
          </wp:inline>
        </w:drawing>
      </w:r>
    </w:p>
    <w:p w14:paraId="5214C931"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8</w:t>
      </w:r>
    </w:p>
    <w:p w14:paraId="02774315" w14:textId="77777777" w:rsidR="005E29AE" w:rsidRDefault="005E29AE" w:rsidP="005E29AE"/>
    <w:p w14:paraId="34552DC8" w14:textId="77777777" w:rsidR="005E29AE" w:rsidRDefault="005E29AE" w:rsidP="005E29AE">
      <w:r>
        <w:rPr>
          <w:noProof/>
        </w:rPr>
        <w:lastRenderedPageBreak/>
        <w:drawing>
          <wp:inline distT="0" distB="0" distL="0" distR="0" wp14:anchorId="591610EF" wp14:editId="3E948F1F">
            <wp:extent cx="5731920" cy="3368938"/>
            <wp:effectExtent l="19050" t="19050" r="21590" b="22225"/>
            <wp:docPr id="6" name="Drawing 6" descr="img.emf"/>
            <wp:cNvGraphicFramePr/>
            <a:graphic xmlns:a="http://schemas.openxmlformats.org/drawingml/2006/main">
              <a:graphicData uri="http://schemas.openxmlformats.org/drawingml/2006/picture">
                <pic:pic xmlns:pic="http://schemas.openxmlformats.org/drawingml/2006/picture">
                  <pic:nvPicPr>
                    <pic:cNvPr id="0" name="Picture 6" descr="img.emf"/>
                    <pic:cNvPicPr>
                      <a:picLocks noChangeAspect="1"/>
                    </pic:cNvPicPr>
                  </pic:nvPicPr>
                  <pic:blipFill>
                    <a:blip r:embed="rId14"/>
                    <a:stretch>
                      <a:fillRect/>
                    </a:stretch>
                  </pic:blipFill>
                  <pic:spPr>
                    <a:xfrm>
                      <a:off x="0" y="0"/>
                      <a:ext cx="5731920" cy="3368938"/>
                    </a:xfrm>
                    <a:prstGeom prst="rect">
                      <a:avLst/>
                    </a:prstGeom>
                    <a:ln>
                      <a:solidFill>
                        <a:schemeClr val="accent1"/>
                      </a:solidFill>
                    </a:ln>
                  </pic:spPr>
                </pic:pic>
              </a:graphicData>
            </a:graphic>
          </wp:inline>
        </w:drawing>
      </w:r>
    </w:p>
    <w:p w14:paraId="42CA317E"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9</w:t>
      </w:r>
    </w:p>
    <w:p w14:paraId="3BD1DF24" w14:textId="77777777" w:rsidR="005F3B48" w:rsidRDefault="005F3B48" w:rsidP="005E29AE">
      <w:pPr>
        <w:rPr>
          <w:rFonts w:ascii="Arial" w:hAnsi="Arial" w:cs="Arial"/>
          <w:b/>
          <w:bCs/>
          <w:sz w:val="28"/>
          <w:szCs w:val="28"/>
          <w:u w:val="single"/>
        </w:rPr>
      </w:pPr>
    </w:p>
    <w:p w14:paraId="1D09663A" w14:textId="3920D681" w:rsidR="005E29AE" w:rsidRDefault="005E29AE" w:rsidP="005E29AE">
      <w:pPr>
        <w:rPr>
          <w:rFonts w:ascii="Arial" w:hAnsi="Arial" w:cs="Arial"/>
          <w:b/>
          <w:bCs/>
          <w:sz w:val="28"/>
          <w:szCs w:val="28"/>
          <w:u w:val="single"/>
        </w:rPr>
      </w:pPr>
      <w:r w:rsidRPr="00B84CBB">
        <w:rPr>
          <w:rFonts w:ascii="Arial" w:hAnsi="Arial" w:cs="Arial"/>
          <w:b/>
          <w:bCs/>
          <w:sz w:val="28"/>
          <w:szCs w:val="28"/>
          <w:u w:val="single"/>
        </w:rPr>
        <w:t>Forest Plot</w:t>
      </w:r>
    </w:p>
    <w:p w14:paraId="0CA38C40" w14:textId="77777777" w:rsidR="005E29AE" w:rsidRPr="00D54BE2" w:rsidRDefault="005E29AE" w:rsidP="005E29AE">
      <w:pPr>
        <w:jc w:val="both"/>
        <w:rPr>
          <w:rFonts w:ascii="Arial" w:hAnsi="Arial" w:cs="Arial"/>
          <w:sz w:val="24"/>
          <w:szCs w:val="24"/>
        </w:rPr>
      </w:pPr>
      <w:r w:rsidRPr="00D54BE2">
        <w:rPr>
          <w:rFonts w:ascii="Arial" w:hAnsi="Arial" w:cs="Arial"/>
          <w:sz w:val="24"/>
          <w:szCs w:val="24"/>
        </w:rPr>
        <w:t xml:space="preserve">Four forest plots have been produced to signify the disease rate in Wales for respiratory illness. A forest plot </w:t>
      </w:r>
      <w:r>
        <w:rPr>
          <w:rFonts w:ascii="Arial" w:hAnsi="Arial" w:cs="Arial"/>
          <w:sz w:val="24"/>
          <w:szCs w:val="24"/>
        </w:rPr>
        <w:t>displays</w:t>
      </w:r>
      <w:r w:rsidRPr="00D54BE2">
        <w:rPr>
          <w:rFonts w:ascii="Arial" w:hAnsi="Arial" w:cs="Arial"/>
          <w:sz w:val="24"/>
          <w:szCs w:val="24"/>
        </w:rPr>
        <w:t xml:space="preserve"> the comparison between what the research demonstrates and the quality of the outcome in one location directly (Cantley, 2016). Fig. 10 forest plot includes </w:t>
      </w:r>
      <w:r>
        <w:rPr>
          <w:rFonts w:ascii="Arial" w:hAnsi="Arial" w:cs="Arial"/>
          <w:sz w:val="24"/>
          <w:szCs w:val="24"/>
        </w:rPr>
        <w:t>the ’</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rate of 14 represented by the green circle. However, it was felt that this made the diagram hard to interpret. To Improve on this Fig. 11 removes </w:t>
      </w:r>
      <w:r>
        <w:rPr>
          <w:rFonts w:ascii="Arial" w:hAnsi="Arial" w:cs="Arial"/>
          <w:sz w:val="24"/>
          <w:szCs w:val="24"/>
        </w:rPr>
        <w:t>the ‘</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rate as a plot point and instead represented by a yellow line. This </w:t>
      </w:r>
      <w:r>
        <w:rPr>
          <w:rFonts w:ascii="Arial" w:hAnsi="Arial" w:cs="Arial"/>
          <w:sz w:val="24"/>
          <w:szCs w:val="24"/>
        </w:rPr>
        <w:t>enables</w:t>
      </w:r>
      <w:r w:rsidRPr="00D54BE2">
        <w:rPr>
          <w:rFonts w:ascii="Arial" w:hAnsi="Arial" w:cs="Arial"/>
          <w:sz w:val="24"/>
          <w:szCs w:val="24"/>
        </w:rPr>
        <w:t xml:space="preserve"> better interpretation of the respiratory illness rate along with the high and low confidence interval. Fig. 12 and Fig. 13 repeat the process; however, the results are shown in descending order of respiratory illness.</w:t>
      </w:r>
    </w:p>
    <w:p w14:paraId="79482A2B" w14:textId="77777777" w:rsidR="005E29AE" w:rsidRDefault="005E29AE" w:rsidP="005E29AE">
      <w:pPr>
        <w:rPr>
          <w:rFonts w:ascii="Arial" w:hAnsi="Arial" w:cs="Arial"/>
          <w:sz w:val="24"/>
          <w:szCs w:val="24"/>
        </w:rPr>
      </w:pPr>
      <w:r>
        <w:rPr>
          <w:noProof/>
        </w:rPr>
        <w:lastRenderedPageBreak/>
        <w:drawing>
          <wp:inline distT="0" distB="0" distL="0" distR="0" wp14:anchorId="644367C2" wp14:editId="08F072F8">
            <wp:extent cx="5731510" cy="3638550"/>
            <wp:effectExtent l="19050" t="19050" r="21590" b="19050"/>
            <wp:docPr id="2101262414"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a:blip r:embed="rId15"/>
                    <a:stretch>
                      <a:fillRect/>
                    </a:stretch>
                  </pic:blipFill>
                  <pic:spPr>
                    <a:xfrm>
                      <a:off x="0" y="0"/>
                      <a:ext cx="5731510" cy="3638550"/>
                    </a:xfrm>
                    <a:prstGeom prst="rect">
                      <a:avLst/>
                    </a:prstGeom>
                    <a:ln>
                      <a:solidFill>
                        <a:schemeClr val="accent1"/>
                      </a:solidFill>
                    </a:ln>
                  </pic:spPr>
                </pic:pic>
              </a:graphicData>
            </a:graphic>
          </wp:inline>
        </w:drawing>
      </w:r>
    </w:p>
    <w:p w14:paraId="6086B94B" w14:textId="77777777" w:rsidR="005E29AE" w:rsidRPr="00D97EB5" w:rsidRDefault="005E29AE" w:rsidP="005E29AE">
      <w:pPr>
        <w:jc w:val="center"/>
        <w:rPr>
          <w:rFonts w:ascii="Arial" w:hAnsi="Arial" w:cs="Arial"/>
          <w:b/>
          <w:bCs/>
          <w:sz w:val="24"/>
          <w:szCs w:val="24"/>
        </w:rPr>
      </w:pPr>
      <w:r>
        <w:rPr>
          <w:rFonts w:ascii="Arial" w:hAnsi="Arial" w:cs="Arial"/>
          <w:b/>
          <w:bCs/>
          <w:sz w:val="24"/>
          <w:szCs w:val="24"/>
        </w:rPr>
        <w:t>Fig. 10</w:t>
      </w:r>
    </w:p>
    <w:p w14:paraId="2B7F4DE3" w14:textId="77777777" w:rsidR="005E29AE" w:rsidRDefault="005E29AE" w:rsidP="005E29AE">
      <w:pPr>
        <w:rPr>
          <w:rFonts w:ascii="Arial" w:hAnsi="Arial" w:cs="Arial"/>
          <w:sz w:val="24"/>
          <w:szCs w:val="24"/>
        </w:rPr>
      </w:pPr>
      <w:r>
        <w:rPr>
          <w:noProof/>
        </w:rPr>
        <w:drawing>
          <wp:inline distT="0" distB="0" distL="0" distR="0" wp14:anchorId="0B774061" wp14:editId="78ED8A1F">
            <wp:extent cx="5731510" cy="3638550"/>
            <wp:effectExtent l="19050" t="19050" r="21590" b="19050"/>
            <wp:docPr id="930347733" name="Picture 930347733" descr="img.emf"/>
            <wp:cNvGraphicFramePr/>
            <a:graphic xmlns:a="http://schemas.openxmlformats.org/drawingml/2006/main">
              <a:graphicData uri="http://schemas.openxmlformats.org/drawingml/2006/picture">
                <pic:pic xmlns:pic="http://schemas.openxmlformats.org/drawingml/2006/picture">
                  <pic:nvPicPr>
                    <pic:cNvPr id="0" name="Picture 1" descr="img.emf"/>
                    <pic:cNvPicPr>
                      <a:picLocks noChangeAspect="1"/>
                    </pic:cNvPicPr>
                  </pic:nvPicPr>
                  <pic:blipFill>
                    <a:blip r:embed="rId16"/>
                    <a:stretch>
                      <a:fillRect/>
                    </a:stretch>
                  </pic:blipFill>
                  <pic:spPr>
                    <a:xfrm>
                      <a:off x="0" y="0"/>
                      <a:ext cx="5731510" cy="3638550"/>
                    </a:xfrm>
                    <a:prstGeom prst="rect">
                      <a:avLst/>
                    </a:prstGeom>
                    <a:ln>
                      <a:solidFill>
                        <a:schemeClr val="accent1"/>
                      </a:solidFill>
                    </a:ln>
                  </pic:spPr>
                </pic:pic>
              </a:graphicData>
            </a:graphic>
          </wp:inline>
        </w:drawing>
      </w:r>
    </w:p>
    <w:p w14:paraId="4DDBB68F" w14:textId="77777777" w:rsidR="005E29AE" w:rsidRPr="00D97EB5" w:rsidRDefault="005E29AE" w:rsidP="005E29AE">
      <w:pPr>
        <w:jc w:val="center"/>
        <w:rPr>
          <w:rFonts w:ascii="Arial" w:hAnsi="Arial" w:cs="Arial"/>
          <w:b/>
          <w:bCs/>
          <w:sz w:val="24"/>
          <w:szCs w:val="24"/>
        </w:rPr>
      </w:pPr>
      <w:r w:rsidRPr="00D97EB5">
        <w:rPr>
          <w:rFonts w:ascii="Arial" w:hAnsi="Arial" w:cs="Arial"/>
          <w:b/>
          <w:bCs/>
          <w:sz w:val="24"/>
          <w:szCs w:val="24"/>
        </w:rPr>
        <w:t>Fig. 11</w:t>
      </w:r>
    </w:p>
    <w:p w14:paraId="00F77587" w14:textId="77777777" w:rsidR="005E29AE" w:rsidRDefault="005E29AE" w:rsidP="005E29AE">
      <w:pPr>
        <w:rPr>
          <w:rFonts w:ascii="Arial" w:hAnsi="Arial" w:cs="Arial"/>
          <w:sz w:val="24"/>
          <w:szCs w:val="24"/>
        </w:rPr>
      </w:pPr>
      <w:r>
        <w:rPr>
          <w:noProof/>
        </w:rPr>
        <w:lastRenderedPageBreak/>
        <w:drawing>
          <wp:inline distT="0" distB="0" distL="0" distR="0" wp14:anchorId="4BD8D301" wp14:editId="58239E0F">
            <wp:extent cx="5731510" cy="3638550"/>
            <wp:effectExtent l="19050" t="19050" r="21590" b="19050"/>
            <wp:docPr id="1823279915" name="Picture 1823279915" descr="img.emf"/>
            <wp:cNvGraphicFramePr/>
            <a:graphic xmlns:a="http://schemas.openxmlformats.org/drawingml/2006/main">
              <a:graphicData uri="http://schemas.openxmlformats.org/drawingml/2006/picture">
                <pic:pic xmlns:pic="http://schemas.openxmlformats.org/drawingml/2006/picture">
                  <pic:nvPicPr>
                    <pic:cNvPr id="0" name="Picture 2" descr="img.emf"/>
                    <pic:cNvPicPr>
                      <a:picLocks noChangeAspect="1"/>
                    </pic:cNvPicPr>
                  </pic:nvPicPr>
                  <pic:blipFill>
                    <a:blip r:embed="rId17"/>
                    <a:stretch>
                      <a:fillRect/>
                    </a:stretch>
                  </pic:blipFill>
                  <pic:spPr>
                    <a:xfrm>
                      <a:off x="0" y="0"/>
                      <a:ext cx="5731510" cy="3638550"/>
                    </a:xfrm>
                    <a:prstGeom prst="rect">
                      <a:avLst/>
                    </a:prstGeom>
                    <a:ln>
                      <a:solidFill>
                        <a:schemeClr val="accent1"/>
                      </a:solidFill>
                    </a:ln>
                  </pic:spPr>
                </pic:pic>
              </a:graphicData>
            </a:graphic>
          </wp:inline>
        </w:drawing>
      </w:r>
    </w:p>
    <w:p w14:paraId="30646CE6" w14:textId="77777777" w:rsidR="005E29AE" w:rsidRPr="00D97EB5" w:rsidRDefault="005E29AE" w:rsidP="005E29AE">
      <w:pPr>
        <w:jc w:val="center"/>
        <w:rPr>
          <w:rFonts w:ascii="Arial" w:hAnsi="Arial" w:cs="Arial"/>
          <w:b/>
          <w:bCs/>
          <w:sz w:val="24"/>
          <w:szCs w:val="24"/>
        </w:rPr>
      </w:pPr>
      <w:r w:rsidRPr="00D97EB5">
        <w:rPr>
          <w:rFonts w:ascii="Arial" w:hAnsi="Arial" w:cs="Arial"/>
          <w:b/>
          <w:bCs/>
          <w:sz w:val="24"/>
          <w:szCs w:val="24"/>
        </w:rPr>
        <w:t>Fig. 12</w:t>
      </w:r>
    </w:p>
    <w:p w14:paraId="17B27785" w14:textId="77777777" w:rsidR="005E29AE" w:rsidRDefault="005E29AE" w:rsidP="005E29AE">
      <w:pPr>
        <w:rPr>
          <w:rFonts w:ascii="Arial" w:hAnsi="Arial" w:cs="Arial"/>
          <w:sz w:val="24"/>
          <w:szCs w:val="24"/>
        </w:rPr>
      </w:pPr>
      <w:r>
        <w:rPr>
          <w:noProof/>
        </w:rPr>
        <w:drawing>
          <wp:inline distT="0" distB="0" distL="0" distR="0" wp14:anchorId="69739757" wp14:editId="1281C20B">
            <wp:extent cx="5731510" cy="3638550"/>
            <wp:effectExtent l="19050" t="19050" r="21590" b="19050"/>
            <wp:docPr id="460303644" name="Picture 460303644" descr="img.emf"/>
            <wp:cNvGraphicFramePr/>
            <a:graphic xmlns:a="http://schemas.openxmlformats.org/drawingml/2006/main">
              <a:graphicData uri="http://schemas.openxmlformats.org/drawingml/2006/picture">
                <pic:pic xmlns:pic="http://schemas.openxmlformats.org/drawingml/2006/picture">
                  <pic:nvPicPr>
                    <pic:cNvPr id="0" name="Picture 3" descr="img.emf"/>
                    <pic:cNvPicPr>
                      <a:picLocks noChangeAspect="1"/>
                    </pic:cNvPicPr>
                  </pic:nvPicPr>
                  <pic:blipFill>
                    <a:blip r:embed="rId18"/>
                    <a:stretch>
                      <a:fillRect/>
                    </a:stretch>
                  </pic:blipFill>
                  <pic:spPr>
                    <a:xfrm>
                      <a:off x="0" y="0"/>
                      <a:ext cx="5731510" cy="3638550"/>
                    </a:xfrm>
                    <a:prstGeom prst="rect">
                      <a:avLst/>
                    </a:prstGeom>
                    <a:ln>
                      <a:solidFill>
                        <a:schemeClr val="accent1"/>
                      </a:solidFill>
                    </a:ln>
                  </pic:spPr>
                </pic:pic>
              </a:graphicData>
            </a:graphic>
          </wp:inline>
        </w:drawing>
      </w:r>
    </w:p>
    <w:p w14:paraId="349FDEA1" w14:textId="77777777" w:rsidR="005E29AE" w:rsidRDefault="005E29AE" w:rsidP="005E29AE">
      <w:pPr>
        <w:jc w:val="center"/>
        <w:rPr>
          <w:rFonts w:ascii="Arial" w:hAnsi="Arial" w:cs="Arial"/>
          <w:b/>
          <w:bCs/>
          <w:sz w:val="24"/>
          <w:szCs w:val="24"/>
        </w:rPr>
      </w:pPr>
      <w:r>
        <w:rPr>
          <w:rFonts w:ascii="Arial" w:hAnsi="Arial" w:cs="Arial"/>
          <w:b/>
          <w:bCs/>
          <w:sz w:val="24"/>
          <w:szCs w:val="24"/>
        </w:rPr>
        <w:t>Fig. 13</w:t>
      </w:r>
    </w:p>
    <w:p w14:paraId="359AC66A" w14:textId="77777777" w:rsidR="005F3B48" w:rsidRDefault="005F3B48" w:rsidP="005E29AE">
      <w:pPr>
        <w:jc w:val="both"/>
        <w:rPr>
          <w:rFonts w:ascii="Arial" w:hAnsi="Arial" w:cs="Arial"/>
          <w:sz w:val="24"/>
          <w:szCs w:val="24"/>
        </w:rPr>
      </w:pPr>
    </w:p>
    <w:p w14:paraId="4E95D973" w14:textId="77777777" w:rsidR="005F3B48" w:rsidRDefault="005F3B48" w:rsidP="005E29AE">
      <w:pPr>
        <w:jc w:val="both"/>
        <w:rPr>
          <w:rFonts w:ascii="Arial" w:hAnsi="Arial" w:cs="Arial"/>
          <w:sz w:val="24"/>
          <w:szCs w:val="24"/>
        </w:rPr>
      </w:pPr>
    </w:p>
    <w:p w14:paraId="742C963F" w14:textId="0DBAB3F1" w:rsidR="005E29AE" w:rsidRPr="00D54BE2" w:rsidRDefault="005E29AE" w:rsidP="005E29AE">
      <w:pPr>
        <w:jc w:val="both"/>
        <w:rPr>
          <w:rFonts w:ascii="Arial" w:hAnsi="Arial" w:cs="Arial"/>
          <w:sz w:val="24"/>
          <w:szCs w:val="24"/>
        </w:rPr>
      </w:pPr>
      <w:r w:rsidRPr="00D54BE2">
        <w:rPr>
          <w:rFonts w:ascii="Arial" w:hAnsi="Arial" w:cs="Arial"/>
          <w:sz w:val="24"/>
          <w:szCs w:val="24"/>
        </w:rPr>
        <w:lastRenderedPageBreak/>
        <w:t xml:space="preserve">The forest plots </w:t>
      </w:r>
      <w:r>
        <w:rPr>
          <w:rFonts w:ascii="Arial" w:hAnsi="Arial" w:cs="Arial"/>
          <w:sz w:val="24"/>
          <w:szCs w:val="24"/>
        </w:rPr>
        <w:t>for</w:t>
      </w:r>
      <w:r w:rsidRPr="00D54BE2">
        <w:rPr>
          <w:rFonts w:ascii="Arial" w:hAnsi="Arial" w:cs="Arial"/>
          <w:sz w:val="24"/>
          <w:szCs w:val="24"/>
        </w:rPr>
        <w:t xml:space="preserve"> respiratory illness within Wales indicate that the majority of the age-standardised percentiles are not statistically significant </w:t>
      </w:r>
      <w:r>
        <w:rPr>
          <w:rFonts w:ascii="Arial" w:hAnsi="Arial" w:cs="Arial"/>
          <w:sz w:val="24"/>
          <w:szCs w:val="24"/>
        </w:rPr>
        <w:t>because</w:t>
      </w:r>
      <w:r w:rsidRPr="00D54BE2">
        <w:rPr>
          <w:rFonts w:ascii="Arial" w:hAnsi="Arial" w:cs="Arial"/>
          <w:sz w:val="24"/>
          <w:szCs w:val="24"/>
        </w:rPr>
        <w:t xml:space="preserve"> the confidence intervals cross</w:t>
      </w:r>
      <w:r>
        <w:rPr>
          <w:rFonts w:ascii="Arial" w:hAnsi="Arial" w:cs="Arial"/>
          <w:sz w:val="24"/>
          <w:szCs w:val="24"/>
        </w:rPr>
        <w:t xml:space="preserve"> the</w:t>
      </w:r>
      <w:r w:rsidRPr="00D54BE2">
        <w:rPr>
          <w:rFonts w:ascii="Arial" w:hAnsi="Arial" w:cs="Arial"/>
          <w:sz w:val="24"/>
          <w:szCs w:val="24"/>
        </w:rPr>
        <w:t xml:space="preserv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(Public Health Wales Observatory, 2012, p. 10). However, there are a few that can be seen clearer in Fig. 13 that are both below and above the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a higher percentage </w:t>
      </w:r>
      <w:r>
        <w:rPr>
          <w:rFonts w:ascii="Arial" w:hAnsi="Arial" w:cs="Arial"/>
          <w:sz w:val="24"/>
          <w:szCs w:val="24"/>
        </w:rPr>
        <w:t xml:space="preserve">is </w:t>
      </w:r>
      <w:r w:rsidRPr="00D54BE2">
        <w:rPr>
          <w:rFonts w:ascii="Arial" w:hAnsi="Arial" w:cs="Arial"/>
          <w:sz w:val="24"/>
          <w:szCs w:val="24"/>
        </w:rPr>
        <w:t>below the average of 14. </w:t>
      </w:r>
      <w:r>
        <w:rPr>
          <w:rFonts w:ascii="Arial" w:hAnsi="Arial" w:cs="Arial"/>
          <w:sz w:val="24"/>
          <w:szCs w:val="24"/>
        </w:rPr>
        <w:t>S</w:t>
      </w:r>
      <w:r w:rsidRPr="00D54BE2">
        <w:rPr>
          <w:rFonts w:ascii="Arial" w:hAnsi="Arial" w:cs="Arial"/>
          <w:sz w:val="24"/>
          <w:szCs w:val="24"/>
        </w:rPr>
        <w:t xml:space="preserve">uggesting that the age-standardisation for the USOA code is significantly lower than the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(Public Health Wales Observatory, 2012, p. 10). The fact that none of the included studies alone can be used as the basis for determining the status of the expected effect is a crucial point to keep in mind, even though the data from each of the included studies presented in the forest plot can help us understand the overall estimate of the outcome (Alavi, 2021, p. 1099).</w:t>
      </w:r>
    </w:p>
    <w:p w14:paraId="6D8CE994" w14:textId="77777777" w:rsidR="005E29AE" w:rsidRPr="000B13AB" w:rsidRDefault="005E29AE" w:rsidP="005E29AE">
      <w:pPr>
        <w:rPr>
          <w:rFonts w:ascii="Arial" w:hAnsi="Arial" w:cs="Arial"/>
          <w:b/>
          <w:color w:val="000000"/>
          <w:sz w:val="24"/>
          <w:szCs w:val="24"/>
          <w:u w:val="single"/>
          <w:shd w:val="clear" w:color="auto" w:fill="FFFFFF"/>
        </w:rPr>
      </w:pPr>
      <w:r>
        <w:rPr>
          <w:rFonts w:ascii="Arial" w:hAnsi="Arial" w:cs="Arial"/>
          <w:b/>
          <w:color w:val="000000"/>
          <w:sz w:val="24"/>
          <w:szCs w:val="24"/>
          <w:u w:val="single"/>
          <w:shd w:val="clear" w:color="auto" w:fill="FFFFFF"/>
        </w:rPr>
        <w:t>Further Analysis</w:t>
      </w:r>
    </w:p>
    <w:p w14:paraId="51E9D092" w14:textId="77777777" w:rsidR="005E29AE" w:rsidRPr="00D54BE2" w:rsidRDefault="005E29AE" w:rsidP="005E29AE">
      <w:pPr>
        <w:jc w:val="both"/>
        <w:rPr>
          <w:rFonts w:ascii="Arial" w:hAnsi="Arial" w:cs="Arial"/>
          <w:sz w:val="24"/>
          <w:szCs w:val="24"/>
        </w:rPr>
      </w:pPr>
      <w:r w:rsidRPr="00D54BE2">
        <w:rPr>
          <w:rFonts w:ascii="Arial" w:hAnsi="Arial" w:cs="Arial"/>
          <w:sz w:val="24"/>
          <w:szCs w:val="24"/>
        </w:rPr>
        <w:t xml:space="preserve">Most of the time, factors like where people live, the quality of the environment, genetics, level of education and income all have significant effects on a person’s health (World Health Organization, 2017). </w:t>
      </w:r>
      <w:r>
        <w:rPr>
          <w:rFonts w:ascii="Arial" w:hAnsi="Arial" w:cs="Arial"/>
          <w:sz w:val="24"/>
          <w:szCs w:val="24"/>
        </w:rPr>
        <w:t>O</w:t>
      </w:r>
      <w:r w:rsidRPr="00D54BE2">
        <w:rPr>
          <w:rFonts w:ascii="Arial" w:hAnsi="Arial" w:cs="Arial"/>
          <w:sz w:val="24"/>
          <w:szCs w:val="24"/>
        </w:rPr>
        <w:t>ther factors that could analyse the data to explore further patterns or correlations include health equality, genetics, residence, air pollution, occupation, wage, and age.</w:t>
      </w:r>
    </w:p>
    <w:p w14:paraId="11F349FB" w14:textId="77777777" w:rsidR="005E29AE" w:rsidRDefault="005E29AE" w:rsidP="005E29AE">
      <w:pPr>
        <w:rPr>
          <w:rFonts w:ascii="Arial" w:hAnsi="Arial" w:cs="Arial"/>
          <w:b/>
          <w:bCs/>
          <w:sz w:val="28"/>
          <w:szCs w:val="24"/>
          <w:u w:val="single"/>
        </w:rPr>
      </w:pPr>
    </w:p>
    <w:p w14:paraId="3D69ECF6" w14:textId="77777777" w:rsidR="005E29AE" w:rsidRDefault="005E29AE" w:rsidP="005E29AE">
      <w:pPr>
        <w:rPr>
          <w:rFonts w:ascii="Arial" w:hAnsi="Arial" w:cs="Arial"/>
          <w:b/>
          <w:bCs/>
          <w:sz w:val="28"/>
          <w:szCs w:val="24"/>
          <w:u w:val="single"/>
        </w:rPr>
      </w:pPr>
    </w:p>
    <w:p w14:paraId="23B47DD9" w14:textId="77777777" w:rsidR="005E29AE" w:rsidRDefault="005E29AE" w:rsidP="005E29AE">
      <w:pPr>
        <w:rPr>
          <w:rFonts w:ascii="Arial" w:hAnsi="Arial" w:cs="Arial"/>
          <w:b/>
          <w:bCs/>
          <w:sz w:val="28"/>
          <w:szCs w:val="24"/>
          <w:u w:val="single"/>
        </w:rPr>
      </w:pPr>
    </w:p>
    <w:p w14:paraId="5E4CB78F" w14:textId="77777777" w:rsidR="005E29AE" w:rsidRDefault="005E29AE" w:rsidP="005E29AE">
      <w:pPr>
        <w:rPr>
          <w:rFonts w:ascii="Arial" w:hAnsi="Arial" w:cs="Arial"/>
          <w:b/>
          <w:bCs/>
          <w:sz w:val="28"/>
          <w:szCs w:val="24"/>
          <w:u w:val="single"/>
        </w:rPr>
      </w:pPr>
    </w:p>
    <w:p w14:paraId="1D021B8F" w14:textId="77777777" w:rsidR="0095338C" w:rsidRDefault="0095338C" w:rsidP="005E29AE">
      <w:pPr>
        <w:rPr>
          <w:rFonts w:ascii="Arial" w:hAnsi="Arial" w:cs="Arial"/>
          <w:b/>
          <w:bCs/>
          <w:sz w:val="28"/>
          <w:szCs w:val="24"/>
          <w:u w:val="single"/>
        </w:rPr>
      </w:pPr>
    </w:p>
    <w:p w14:paraId="00F6B7A9" w14:textId="77777777" w:rsidR="0095338C" w:rsidRDefault="0095338C" w:rsidP="005E29AE">
      <w:pPr>
        <w:rPr>
          <w:rFonts w:ascii="Arial" w:hAnsi="Arial" w:cs="Arial"/>
          <w:b/>
          <w:bCs/>
          <w:sz w:val="28"/>
          <w:szCs w:val="24"/>
          <w:u w:val="single"/>
        </w:rPr>
      </w:pPr>
    </w:p>
    <w:p w14:paraId="0E7F04FF" w14:textId="77777777" w:rsidR="0095338C" w:rsidRDefault="0095338C" w:rsidP="005E29AE">
      <w:pPr>
        <w:rPr>
          <w:rFonts w:ascii="Arial" w:hAnsi="Arial" w:cs="Arial"/>
          <w:b/>
          <w:bCs/>
          <w:sz w:val="28"/>
          <w:szCs w:val="24"/>
          <w:u w:val="single"/>
        </w:rPr>
      </w:pPr>
    </w:p>
    <w:p w14:paraId="2F8E598C" w14:textId="77777777" w:rsidR="0095338C" w:rsidRDefault="0095338C" w:rsidP="005E29AE">
      <w:pPr>
        <w:rPr>
          <w:rFonts w:ascii="Arial" w:hAnsi="Arial" w:cs="Arial"/>
          <w:b/>
          <w:bCs/>
          <w:sz w:val="28"/>
          <w:szCs w:val="24"/>
          <w:u w:val="single"/>
        </w:rPr>
      </w:pPr>
    </w:p>
    <w:p w14:paraId="51206CAC" w14:textId="77777777" w:rsidR="0095338C" w:rsidRDefault="0095338C" w:rsidP="005E29AE">
      <w:pPr>
        <w:rPr>
          <w:rFonts w:ascii="Arial" w:hAnsi="Arial" w:cs="Arial"/>
          <w:b/>
          <w:bCs/>
          <w:sz w:val="28"/>
          <w:szCs w:val="24"/>
          <w:u w:val="single"/>
        </w:rPr>
      </w:pPr>
    </w:p>
    <w:p w14:paraId="6CB5C66F" w14:textId="77777777" w:rsidR="0095338C" w:rsidRDefault="0095338C" w:rsidP="005E29AE">
      <w:pPr>
        <w:rPr>
          <w:rFonts w:ascii="Arial" w:hAnsi="Arial" w:cs="Arial"/>
          <w:b/>
          <w:bCs/>
          <w:sz w:val="28"/>
          <w:szCs w:val="24"/>
          <w:u w:val="single"/>
        </w:rPr>
      </w:pPr>
    </w:p>
    <w:p w14:paraId="2002FD62" w14:textId="77777777" w:rsidR="0095338C" w:rsidRDefault="0095338C" w:rsidP="005E29AE">
      <w:pPr>
        <w:rPr>
          <w:rFonts w:ascii="Arial" w:hAnsi="Arial" w:cs="Arial"/>
          <w:b/>
          <w:bCs/>
          <w:sz w:val="28"/>
          <w:szCs w:val="24"/>
          <w:u w:val="single"/>
        </w:rPr>
      </w:pPr>
    </w:p>
    <w:p w14:paraId="2037FD08" w14:textId="77777777" w:rsidR="0095338C" w:rsidRDefault="0095338C" w:rsidP="005E29AE">
      <w:pPr>
        <w:rPr>
          <w:rFonts w:ascii="Arial" w:hAnsi="Arial" w:cs="Arial"/>
          <w:b/>
          <w:bCs/>
          <w:sz w:val="28"/>
          <w:szCs w:val="24"/>
          <w:u w:val="single"/>
        </w:rPr>
      </w:pPr>
    </w:p>
    <w:p w14:paraId="687FE0EE" w14:textId="77777777" w:rsidR="0095338C" w:rsidRDefault="0095338C" w:rsidP="005E29AE">
      <w:pPr>
        <w:rPr>
          <w:rFonts w:ascii="Arial" w:hAnsi="Arial" w:cs="Arial"/>
          <w:b/>
          <w:bCs/>
          <w:sz w:val="28"/>
          <w:szCs w:val="24"/>
          <w:u w:val="single"/>
        </w:rPr>
      </w:pPr>
    </w:p>
    <w:p w14:paraId="460E3903" w14:textId="77777777" w:rsidR="0095338C" w:rsidRDefault="0095338C" w:rsidP="005E29AE">
      <w:pPr>
        <w:rPr>
          <w:rFonts w:ascii="Arial" w:hAnsi="Arial" w:cs="Arial"/>
          <w:b/>
          <w:bCs/>
          <w:sz w:val="28"/>
          <w:szCs w:val="24"/>
          <w:u w:val="single"/>
        </w:rPr>
      </w:pPr>
    </w:p>
    <w:p w14:paraId="71A3AC96" w14:textId="77777777" w:rsidR="0095338C" w:rsidRDefault="0095338C" w:rsidP="005E29AE">
      <w:pPr>
        <w:rPr>
          <w:rFonts w:ascii="Arial" w:hAnsi="Arial" w:cs="Arial"/>
          <w:b/>
          <w:bCs/>
          <w:sz w:val="28"/>
          <w:szCs w:val="24"/>
          <w:u w:val="single"/>
        </w:rPr>
      </w:pPr>
    </w:p>
    <w:p w14:paraId="1C299912" w14:textId="77777777" w:rsidR="0095338C" w:rsidRDefault="0095338C" w:rsidP="005E29AE">
      <w:pPr>
        <w:rPr>
          <w:rFonts w:ascii="Arial" w:hAnsi="Arial" w:cs="Arial"/>
          <w:b/>
          <w:bCs/>
          <w:sz w:val="28"/>
          <w:szCs w:val="24"/>
          <w:u w:val="single"/>
        </w:rPr>
      </w:pPr>
    </w:p>
    <w:p w14:paraId="402ADEF6" w14:textId="2F20E623" w:rsidR="005E29AE" w:rsidRDefault="005E29AE" w:rsidP="005E29AE">
      <w:pPr>
        <w:rPr>
          <w:rFonts w:ascii="Arial" w:hAnsi="Arial" w:cs="Arial"/>
          <w:b/>
          <w:bCs/>
          <w:sz w:val="28"/>
          <w:szCs w:val="24"/>
          <w:u w:val="single"/>
        </w:rPr>
      </w:pPr>
      <w:r w:rsidRPr="000B13AB">
        <w:rPr>
          <w:rFonts w:ascii="Arial" w:hAnsi="Arial" w:cs="Arial"/>
          <w:b/>
          <w:bCs/>
          <w:sz w:val="28"/>
          <w:szCs w:val="24"/>
          <w:u w:val="single"/>
        </w:rPr>
        <w:lastRenderedPageBreak/>
        <w:t>References</w:t>
      </w:r>
    </w:p>
    <w:p w14:paraId="47B8606E" w14:textId="77777777" w:rsidR="005E29AE" w:rsidRPr="005E29AE" w:rsidRDefault="005E29AE" w:rsidP="005E29AE">
      <w:pPr>
        <w:rPr>
          <w:rFonts w:ascii="Arial" w:hAnsi="Arial" w:cs="Arial"/>
          <w:sz w:val="24"/>
          <w:szCs w:val="24"/>
          <w:shd w:val="clear" w:color="auto" w:fill="FFFFFF"/>
        </w:rPr>
      </w:pPr>
      <w:r w:rsidRPr="005E29AE">
        <w:rPr>
          <w:rFonts w:ascii="Arial" w:hAnsi="Arial" w:cs="Arial"/>
          <w:sz w:val="24"/>
          <w:szCs w:val="24"/>
          <w:shd w:val="clear" w:color="auto" w:fill="FFFFFF"/>
        </w:rPr>
        <w:t>Alavi, M., Hunt, G.E., Visentin, D.C., Watson, R., Thapa, D.K. and Cleary, M. (2021) 'Seeing the forest for the trees: How to interpret a meta</w:t>
      </w:r>
      <w:r w:rsidRPr="005E29AE">
        <w:rPr>
          <w:rFonts w:ascii="Cambria Math" w:hAnsi="Cambria Math" w:cs="Cambria Math"/>
          <w:sz w:val="24"/>
          <w:szCs w:val="24"/>
          <w:shd w:val="clear" w:color="auto" w:fill="FFFFFF"/>
        </w:rPr>
        <w:t>‐</w:t>
      </w:r>
      <w:r w:rsidRPr="005E29AE">
        <w:rPr>
          <w:rFonts w:ascii="Arial" w:hAnsi="Arial" w:cs="Arial"/>
          <w:sz w:val="24"/>
          <w:szCs w:val="24"/>
          <w:shd w:val="clear" w:color="auto" w:fill="FFFFFF"/>
        </w:rPr>
        <w:t>analysis forest plot', </w:t>
      </w:r>
      <w:r w:rsidRPr="005E29AE">
        <w:rPr>
          <w:rFonts w:ascii="Arial" w:hAnsi="Arial" w:cs="Arial"/>
          <w:i/>
          <w:iCs/>
          <w:sz w:val="24"/>
          <w:szCs w:val="24"/>
          <w:shd w:val="clear" w:color="auto" w:fill="FFFFFF"/>
        </w:rPr>
        <w:t>Journal of advanced nursing; J Adv Nurs, </w:t>
      </w:r>
      <w:r w:rsidRPr="005E29AE">
        <w:rPr>
          <w:rFonts w:ascii="Arial" w:hAnsi="Arial" w:cs="Arial"/>
          <w:sz w:val="24"/>
          <w:szCs w:val="24"/>
          <w:shd w:val="clear" w:color="auto" w:fill="FFFFFF"/>
        </w:rPr>
        <w:t xml:space="preserve">77(3), pp. 1097-1101. </w:t>
      </w:r>
      <w:r w:rsidRPr="005E29AE">
        <w:rPr>
          <w:rFonts w:ascii="Arial" w:hAnsi="Arial" w:cs="Arial"/>
          <w:sz w:val="24"/>
          <w:szCs w:val="24"/>
        </w:rPr>
        <w:t xml:space="preserve">Available at: </w:t>
      </w:r>
      <w:hyperlink r:id="rId19" w:history="1">
        <w:r w:rsidRPr="005E29AE">
          <w:rPr>
            <w:rStyle w:val="Hyperlink"/>
            <w:rFonts w:ascii="Arial" w:hAnsi="Arial" w:cs="Arial"/>
            <w:color w:val="auto"/>
            <w:sz w:val="24"/>
            <w:szCs w:val="24"/>
          </w:rPr>
          <w:t>https://doi.org/1</w:t>
        </w:r>
        <w:r w:rsidRPr="005E29AE">
          <w:rPr>
            <w:rStyle w:val="Hyperlink"/>
            <w:rFonts w:ascii="Arial" w:hAnsi="Arial" w:cs="Arial"/>
            <w:color w:val="auto"/>
            <w:sz w:val="24"/>
            <w:szCs w:val="24"/>
            <w:shd w:val="clear" w:color="auto" w:fill="FFFFFF"/>
          </w:rPr>
          <w:t>0.1111/jan.14721</w:t>
        </w:r>
      </w:hyperlink>
      <w:r w:rsidRPr="005E29AE">
        <w:rPr>
          <w:rFonts w:ascii="Arial" w:hAnsi="Arial" w:cs="Arial"/>
          <w:sz w:val="24"/>
          <w:szCs w:val="24"/>
          <w:shd w:val="clear" w:color="auto" w:fill="FFFFFF"/>
        </w:rPr>
        <w:t>.</w:t>
      </w:r>
    </w:p>
    <w:p w14:paraId="0758265E" w14:textId="77777777" w:rsidR="005E29AE" w:rsidRPr="005E29AE" w:rsidRDefault="00000000" w:rsidP="005E29AE">
      <w:pPr>
        <w:rPr>
          <w:rFonts w:ascii="Arial" w:hAnsi="Arial" w:cs="Arial"/>
          <w:sz w:val="24"/>
          <w:szCs w:val="24"/>
        </w:rPr>
      </w:pPr>
      <w:hyperlink r:id="rId20" w:tooltip="All articles by Pritha Bhandari" w:history="1">
        <w:r w:rsidR="005E29AE" w:rsidRPr="005E29AE">
          <w:rPr>
            <w:rStyle w:val="Hyperlink"/>
            <w:rFonts w:ascii="Arial" w:hAnsi="Arial" w:cs="Arial"/>
            <w:color w:val="auto"/>
            <w:sz w:val="24"/>
            <w:szCs w:val="24"/>
          </w:rPr>
          <w:t>Bhandari</w:t>
        </w:r>
      </w:hyperlink>
      <w:r w:rsidR="005E29AE" w:rsidRPr="005E29AE">
        <w:rPr>
          <w:rFonts w:ascii="Arial" w:hAnsi="Arial" w:cs="Arial"/>
          <w:sz w:val="24"/>
          <w:szCs w:val="24"/>
        </w:rPr>
        <w:t xml:space="preserve">, P. (2023) </w:t>
      </w:r>
      <w:r w:rsidR="005E29AE" w:rsidRPr="005E29AE">
        <w:rPr>
          <w:rFonts w:ascii="Arial" w:hAnsi="Arial" w:cs="Arial"/>
          <w:i/>
          <w:iCs/>
          <w:sz w:val="24"/>
          <w:szCs w:val="24"/>
        </w:rPr>
        <w:t xml:space="preserve">How to Calculate Standard Deviation (Guide) | Calculator &amp; Examples. </w:t>
      </w:r>
      <w:r w:rsidR="005E29AE" w:rsidRPr="005E29AE">
        <w:rPr>
          <w:rFonts w:ascii="Arial" w:hAnsi="Arial" w:cs="Arial"/>
          <w:sz w:val="24"/>
          <w:szCs w:val="24"/>
          <w:lang w:eastAsia="en-GB"/>
        </w:rPr>
        <w:t xml:space="preserve">Available at: </w:t>
      </w:r>
      <w:hyperlink r:id="rId21" w:anchor="What%20Does%20Standard%20Deviation%20Tell%20You?" w:history="1">
        <w:r w:rsidR="005E29AE" w:rsidRPr="005E29AE">
          <w:rPr>
            <w:rStyle w:val="Hyperlink"/>
            <w:rFonts w:ascii="Arial" w:hAnsi="Arial" w:cs="Arial"/>
            <w:color w:val="auto"/>
            <w:sz w:val="24"/>
            <w:szCs w:val="24"/>
          </w:rPr>
          <w:t>How to Calculate Standard Deviation (Guide) | Calculator &amp; Examples (scribbr.com)</w:t>
        </w:r>
      </w:hyperlink>
      <w:r w:rsidR="005E29AE" w:rsidRPr="005E29AE">
        <w:rPr>
          <w:rFonts w:ascii="Arial" w:hAnsi="Arial" w:cs="Arial"/>
          <w:sz w:val="24"/>
          <w:szCs w:val="24"/>
        </w:rPr>
        <w:t xml:space="preserve"> (Accessed: 08 May 2023).</w:t>
      </w:r>
    </w:p>
    <w:p w14:paraId="5BC4A5C9"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Cantley, N. (2016) </w:t>
      </w:r>
      <w:r w:rsidRPr="005E29AE">
        <w:rPr>
          <w:rFonts w:ascii="Arial" w:hAnsi="Arial" w:cs="Arial"/>
          <w:i/>
          <w:iCs/>
          <w:sz w:val="24"/>
          <w:szCs w:val="24"/>
        </w:rPr>
        <w:t xml:space="preserve">Tutorial: How to read a forest plot. </w:t>
      </w:r>
      <w:r w:rsidRPr="005E29AE">
        <w:rPr>
          <w:rFonts w:ascii="Arial" w:hAnsi="Arial" w:cs="Arial"/>
          <w:sz w:val="24"/>
          <w:szCs w:val="24"/>
        </w:rPr>
        <w:t xml:space="preserve">Available at: </w:t>
      </w:r>
      <w:hyperlink r:id="rId22" w:history="1">
        <w:r w:rsidRPr="005E29AE">
          <w:rPr>
            <w:rStyle w:val="Hyperlink"/>
            <w:rFonts w:ascii="Arial" w:hAnsi="Arial" w:cs="Arial"/>
            <w:color w:val="auto"/>
            <w:sz w:val="24"/>
            <w:szCs w:val="24"/>
          </w:rPr>
          <w:t>Tutorial: How to read a forest plot - Students 4 Best Evidence (cochrane.org)</w:t>
        </w:r>
      </w:hyperlink>
      <w:r w:rsidRPr="005E29AE">
        <w:rPr>
          <w:rFonts w:ascii="Arial" w:hAnsi="Arial" w:cs="Arial"/>
          <w:sz w:val="24"/>
          <w:szCs w:val="24"/>
        </w:rPr>
        <w:t xml:space="preserve"> (Accessed: 08 May 2023).</w:t>
      </w:r>
    </w:p>
    <w:p w14:paraId="2218EE5B"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Kent State University (2023) </w:t>
      </w:r>
      <w:r w:rsidRPr="005E29AE">
        <w:rPr>
          <w:rFonts w:ascii="Arial" w:hAnsi="Arial" w:cs="Arial"/>
          <w:i/>
          <w:iCs/>
          <w:sz w:val="24"/>
          <w:szCs w:val="24"/>
          <w:lang w:eastAsia="en-GB"/>
        </w:rPr>
        <w:t xml:space="preserve">SPSS TUTORIALS: DESCRIPTIVE STATS FOR MANY NUMERIC VARIABLES (DESCRIPTIVES). </w:t>
      </w:r>
      <w:r w:rsidRPr="005E29AE">
        <w:rPr>
          <w:rFonts w:ascii="Arial" w:hAnsi="Arial" w:cs="Arial"/>
          <w:sz w:val="24"/>
          <w:szCs w:val="24"/>
          <w:lang w:eastAsia="en-GB"/>
        </w:rPr>
        <w:t xml:space="preserve">Available at: </w:t>
      </w:r>
      <w:hyperlink r:id="rId23" w:history="1">
        <w:r w:rsidRPr="005E29AE">
          <w:rPr>
            <w:rStyle w:val="Hyperlink"/>
            <w:rFonts w:ascii="Arial" w:hAnsi="Arial" w:cs="Arial"/>
            <w:color w:val="auto"/>
            <w:sz w:val="24"/>
            <w:szCs w:val="24"/>
          </w:rPr>
          <w:t>Descriptive Stats for Many Numeric Variables (Descriptives) - SPSS Tutorials - LibGuides at Kent State University</w:t>
        </w:r>
      </w:hyperlink>
      <w:r w:rsidRPr="005E29AE">
        <w:rPr>
          <w:rFonts w:ascii="Arial" w:hAnsi="Arial" w:cs="Arial"/>
          <w:sz w:val="24"/>
          <w:szCs w:val="24"/>
        </w:rPr>
        <w:t xml:space="preserve"> (Accessed: 08 May 2023).</w:t>
      </w:r>
    </w:p>
    <w:p w14:paraId="317CE6D6"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Public Health Wales Observatory (2012) </w:t>
      </w:r>
      <w:r w:rsidRPr="005E29AE">
        <w:rPr>
          <w:rFonts w:ascii="Arial" w:hAnsi="Arial" w:cs="Arial"/>
          <w:i/>
          <w:sz w:val="24"/>
          <w:szCs w:val="24"/>
        </w:rPr>
        <w:t xml:space="preserve">Sub-local authority analysis of the Welsh Health Survey. </w:t>
      </w:r>
      <w:r w:rsidRPr="005E29AE">
        <w:rPr>
          <w:rFonts w:ascii="Arial" w:hAnsi="Arial" w:cs="Arial"/>
          <w:sz w:val="24"/>
          <w:szCs w:val="24"/>
        </w:rPr>
        <w:t>Available at: https://phw.nhs.wales/services-and-teams/observatory/data-and-analysis/publication-documents/sub-local-authority-analysis-of-the-welsh-health-survey/whs-usoa-analysis-report-v1-eng-pdf/ (Accessed: 09 May 2023).</w:t>
      </w:r>
    </w:p>
    <w:p w14:paraId="1FB0680D"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Statistics How To (2023) </w:t>
      </w:r>
      <w:r w:rsidRPr="005E29AE">
        <w:rPr>
          <w:rFonts w:ascii="Arial" w:hAnsi="Arial" w:cs="Arial"/>
          <w:i/>
          <w:iCs/>
          <w:sz w:val="24"/>
          <w:szCs w:val="24"/>
        </w:rPr>
        <w:t>Z-table (Right of Curve or Left).</w:t>
      </w:r>
      <w:r w:rsidRPr="005E29AE">
        <w:rPr>
          <w:rFonts w:ascii="Arial" w:hAnsi="Arial" w:cs="Arial"/>
          <w:sz w:val="24"/>
          <w:szCs w:val="24"/>
        </w:rPr>
        <w:t xml:space="preserve"> Available at: </w:t>
      </w:r>
      <w:hyperlink r:id="rId24" w:history="1">
        <w:r w:rsidRPr="005E29AE">
          <w:rPr>
            <w:rStyle w:val="Hyperlink"/>
            <w:rFonts w:ascii="Arial" w:hAnsi="Arial" w:cs="Arial"/>
            <w:color w:val="auto"/>
            <w:sz w:val="24"/>
            <w:szCs w:val="24"/>
          </w:rPr>
          <w:t>Z-table (Right of Curve or Left) - Statistics How To</w:t>
        </w:r>
      </w:hyperlink>
      <w:r w:rsidRPr="005E29AE">
        <w:rPr>
          <w:rFonts w:ascii="Arial" w:hAnsi="Arial" w:cs="Arial"/>
          <w:sz w:val="24"/>
          <w:szCs w:val="24"/>
        </w:rPr>
        <w:t xml:space="preserve"> (Accessed: 08 May 2023).</w:t>
      </w:r>
    </w:p>
    <w:p w14:paraId="4D947910"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World Health Organization (2017) </w:t>
      </w:r>
      <w:r w:rsidRPr="005E29AE">
        <w:rPr>
          <w:rFonts w:ascii="Arial" w:hAnsi="Arial" w:cs="Arial"/>
          <w:i/>
          <w:sz w:val="24"/>
          <w:szCs w:val="24"/>
        </w:rPr>
        <w:t xml:space="preserve">Determinants of health. </w:t>
      </w:r>
      <w:r w:rsidRPr="005E29AE">
        <w:rPr>
          <w:rFonts w:ascii="Arial" w:hAnsi="Arial" w:cs="Arial"/>
          <w:sz w:val="24"/>
          <w:szCs w:val="24"/>
        </w:rPr>
        <w:t xml:space="preserve">Available at: </w:t>
      </w:r>
      <w:hyperlink r:id="rId25" w:anchor=":~:text=To%20a%20large%20extent%2C%20factors%20such%20as%20where,care%20services%20often%20have%20less%20of%20an%20impact." w:history="1">
        <w:r w:rsidRPr="005E29AE">
          <w:rPr>
            <w:rStyle w:val="Hyperlink"/>
            <w:rFonts w:ascii="Arial" w:hAnsi="Arial" w:cs="Arial"/>
            <w:color w:val="auto"/>
            <w:sz w:val="24"/>
            <w:szCs w:val="24"/>
          </w:rPr>
          <w:t>Determinants of health (who.int)</w:t>
        </w:r>
      </w:hyperlink>
      <w:r w:rsidRPr="005E29AE">
        <w:rPr>
          <w:rFonts w:ascii="Arial" w:hAnsi="Arial" w:cs="Arial"/>
          <w:sz w:val="24"/>
          <w:szCs w:val="24"/>
        </w:rPr>
        <w:t xml:space="preserve"> (Accessed: 09 May 2023).</w:t>
      </w:r>
    </w:p>
    <w:p w14:paraId="53F53972"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Yi, M. (2021) </w:t>
      </w:r>
      <w:r w:rsidRPr="005E29AE">
        <w:rPr>
          <w:rFonts w:ascii="Arial" w:hAnsi="Arial" w:cs="Arial"/>
          <w:i/>
          <w:sz w:val="24"/>
          <w:szCs w:val="24"/>
        </w:rPr>
        <w:t>A Complete Guide to Histograms</w:t>
      </w:r>
      <w:r w:rsidRPr="005E29AE">
        <w:rPr>
          <w:rFonts w:ascii="Arial" w:hAnsi="Arial" w:cs="Arial"/>
          <w:sz w:val="24"/>
          <w:szCs w:val="24"/>
        </w:rPr>
        <w:t xml:space="preserve">. Available at: </w:t>
      </w:r>
      <w:hyperlink r:id="rId26" w:history="1">
        <w:r w:rsidRPr="005E29AE">
          <w:rPr>
            <w:rStyle w:val="Hyperlink"/>
            <w:rFonts w:ascii="Arial" w:hAnsi="Arial" w:cs="Arial"/>
            <w:color w:val="auto"/>
            <w:sz w:val="24"/>
            <w:szCs w:val="24"/>
          </w:rPr>
          <w:t>A Complete Guide to Histograms | Tutorial by Chartio</w:t>
        </w:r>
      </w:hyperlink>
      <w:r w:rsidRPr="005E29AE">
        <w:rPr>
          <w:rFonts w:ascii="Arial" w:hAnsi="Arial" w:cs="Arial"/>
          <w:sz w:val="24"/>
          <w:szCs w:val="24"/>
        </w:rPr>
        <w:t xml:space="preserve"> (Accessed: 09 May 2023).</w:t>
      </w:r>
    </w:p>
    <w:p w14:paraId="2F8FDC9B" w14:textId="77777777" w:rsidR="005F3A0F" w:rsidRDefault="005F3A0F" w:rsidP="005E29AE"/>
    <w:p w14:paraId="5E2E6F88" w14:textId="77777777" w:rsidR="00401252" w:rsidRDefault="00401252" w:rsidP="005E29AE"/>
    <w:p w14:paraId="73387731" w14:textId="77777777" w:rsidR="00401252" w:rsidRDefault="00401252" w:rsidP="005E29AE"/>
    <w:p w14:paraId="62840F38" w14:textId="77777777" w:rsidR="00401252" w:rsidRDefault="00401252" w:rsidP="005E29AE"/>
    <w:p w14:paraId="2382C115" w14:textId="77777777" w:rsidR="00401252" w:rsidRDefault="00401252" w:rsidP="005E29AE"/>
    <w:p w14:paraId="37BE46FA" w14:textId="77777777" w:rsidR="00401252" w:rsidRDefault="00401252" w:rsidP="005E29AE"/>
    <w:p w14:paraId="68C85473" w14:textId="77777777" w:rsidR="00401252" w:rsidRDefault="00401252" w:rsidP="005E29AE"/>
    <w:p w14:paraId="4594BC04" w14:textId="77777777" w:rsidR="00401252" w:rsidRDefault="00401252" w:rsidP="005E29AE"/>
    <w:p w14:paraId="22ABF167" w14:textId="77777777" w:rsidR="00401252" w:rsidRDefault="00401252" w:rsidP="005E29AE"/>
    <w:p w14:paraId="3B543D10" w14:textId="77777777" w:rsidR="00401252" w:rsidRDefault="00401252" w:rsidP="005E29AE"/>
    <w:p w14:paraId="79E6F4FF" w14:textId="77777777" w:rsidR="00401252" w:rsidRPr="004C7A81" w:rsidRDefault="00401252" w:rsidP="00401252">
      <w:pPr>
        <w:jc w:val="center"/>
        <w:rPr>
          <w:rFonts w:ascii="Arial" w:hAnsi="Arial" w:cs="Arial"/>
          <w:b/>
          <w:color w:val="4472C4" w:themeColor="accent1"/>
          <w:sz w:val="34"/>
          <w:szCs w:val="34"/>
        </w:rPr>
      </w:pPr>
      <w:r w:rsidRPr="004C7A81">
        <w:rPr>
          <w:rFonts w:ascii="Arial" w:hAnsi="Arial" w:cs="Arial"/>
          <w:b/>
          <w:color w:val="4472C4" w:themeColor="accent1"/>
          <w:sz w:val="34"/>
          <w:szCs w:val="34"/>
        </w:rPr>
        <w:lastRenderedPageBreak/>
        <w:t>Part 2 – Data Analysis Plan for Patient Participation Booking</w:t>
      </w:r>
    </w:p>
    <w:p w14:paraId="2C51D8E4" w14:textId="77777777" w:rsidR="00401252" w:rsidRPr="00957EE7" w:rsidRDefault="00401252" w:rsidP="00401252">
      <w:pPr>
        <w:rPr>
          <w:rFonts w:ascii="Arial" w:hAnsi="Arial" w:cs="Arial"/>
          <w:b/>
          <w:sz w:val="28"/>
          <w:szCs w:val="24"/>
          <w:u w:val="single"/>
        </w:rPr>
      </w:pPr>
      <w:r w:rsidRPr="00957EE7">
        <w:rPr>
          <w:rFonts w:ascii="Arial" w:hAnsi="Arial" w:cs="Arial"/>
          <w:b/>
          <w:sz w:val="28"/>
          <w:szCs w:val="24"/>
          <w:u w:val="single"/>
        </w:rPr>
        <w:t>Introduction</w:t>
      </w:r>
    </w:p>
    <w:p w14:paraId="5AFA7F37" w14:textId="77777777" w:rsidR="00401252" w:rsidRPr="00957EE7" w:rsidRDefault="00401252" w:rsidP="00401252">
      <w:pPr>
        <w:rPr>
          <w:rFonts w:ascii="Arial" w:hAnsi="Arial" w:cs="Arial"/>
          <w:b/>
          <w:sz w:val="24"/>
          <w:szCs w:val="24"/>
          <w:u w:val="single"/>
        </w:rPr>
      </w:pPr>
      <w:r w:rsidRPr="00957EE7">
        <w:rPr>
          <w:rFonts w:ascii="Arial" w:hAnsi="Arial" w:cs="Arial"/>
          <w:b/>
          <w:sz w:val="24"/>
          <w:szCs w:val="24"/>
          <w:u w:val="single"/>
        </w:rPr>
        <w:t>Current situation</w:t>
      </w:r>
    </w:p>
    <w:p w14:paraId="56EF3965"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Cardiff and Vale University Health Board (C&amp;VUHB) suspended automated booking (AB) in March 2020. C&amp;VUHB originally suspended AB due to the high reduction of outpatient appointments during the immediate start of the pandemic (Welsh Government, 2021a, p. 1). C&amp;VUHB decided not to reintroduce the AB system due to it no longer being fit for purpose in a post pandemic world. The previous system known as Fully Automated Booking (FAB) could only book selected new outpatient appointment slots that were face to face (F2F). This system is no longer viable with the new hybrid approach to outpatient appointments, because of a greater focus on virtual appointments (Welsh Government, 2021b, p. 23).</w:t>
      </w:r>
    </w:p>
    <w:p w14:paraId="3279BE6B"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The removal of an AB system within C&amp;VUHB has led to regression back to manual booking (MB) of appointments. MB has led to an increase in patients that do not attend (DNA) their appointment. An increase in the DNA rate leads to wasted time, appointment slots and money to the National Health Service (NHS) (NHS Benchmarking Network, 2019). This impacts on waiting list (W/L) times (Cheng et al., 2010, p. S37). Negatively affecting W/L already impacted heavily by the pandemic, setting record highs for patient wait (Welsh Government, 2021a, p. 25).</w:t>
      </w:r>
    </w:p>
    <w:p w14:paraId="038AE9D7"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MB also leads to a burden on administrative teams within C&amp;VUHB to book all new outpatient appointments. This leaves administrative time not being used wisely. It also leads to issues with patient satisfaction, as patients must wait endless hours to get through to the appointment booking centre (ABC) to rearrange or cancel (Tan et al., 2017, p. 1). This impacts on patients who are trying to get through to the ABC regarding other queries. Anxious patients waiting to speak to an operator can put further pressure on the administrative staff with complaints regarding the long wait times, leading to staff burnout (Johnson et al., 2020, p. 6).</w:t>
      </w:r>
    </w:p>
    <w:p w14:paraId="03397DDA" w14:textId="77777777" w:rsidR="00401252" w:rsidRPr="00813712" w:rsidRDefault="00401252" w:rsidP="00401252">
      <w:pPr>
        <w:jc w:val="both"/>
        <w:rPr>
          <w:rFonts w:ascii="Arial" w:hAnsi="Arial" w:cs="Arial"/>
          <w:b/>
          <w:sz w:val="24"/>
          <w:szCs w:val="24"/>
          <w:u w:val="single"/>
        </w:rPr>
      </w:pPr>
      <w:r w:rsidRPr="00813712">
        <w:rPr>
          <w:rFonts w:ascii="Arial" w:hAnsi="Arial" w:cs="Arial"/>
          <w:b/>
          <w:sz w:val="24"/>
          <w:szCs w:val="24"/>
          <w:u w:val="single"/>
        </w:rPr>
        <w:t>Project Solution</w:t>
      </w:r>
    </w:p>
    <w:p w14:paraId="4F9DD62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The dissertation project will focus on the introduction of Patient Participation Booking (PPB) within C&amp;VUHB. PPB will incorporate the automation of the booking and cancelling of new outpatient appointments within C&amp;VUHB. Alleviating a lot of the problems caused by the MB process. PPB will look to include all new acute appointments, incorporating timely and multiple opportunities, as well as ways for patients to engage with the booking process. An emphasis on patient participation and choice in the process at the core of PPB and seen as essential (Welsh Government, 2021a, p. 27).</w:t>
      </w:r>
    </w:p>
    <w:p w14:paraId="752CAA3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 xml:space="preserve">PPB will prioritise a reduction in DNA rates for outpatient activity that will help in W/L volume reductions. C&amp;VUHB will do this through requesting patients to confirm, cancel or rebook their appointment prior to attendance. In addition to appointments that have </w:t>
      </w:r>
      <w:r w:rsidRPr="00813712">
        <w:rPr>
          <w:rFonts w:ascii="Arial" w:hAnsi="Arial" w:cs="Arial"/>
          <w:sz w:val="24"/>
          <w:szCs w:val="24"/>
        </w:rPr>
        <w:lastRenderedPageBreak/>
        <w:t xml:space="preserve">had no response from patients released six days prior to allow the appointments to be reutilised. </w:t>
      </w:r>
    </w:p>
    <w:p w14:paraId="4D8A3AD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 xml:space="preserve">The solution will align with C&amp;VUHB policies by integrating a digital first approach to communication where patients are able and wish to engage (Cardiff &amp; Vale University Health Board, 2020, p. 6). </w:t>
      </w:r>
    </w:p>
    <w:p w14:paraId="4AFF7177" w14:textId="77777777" w:rsidR="00401252" w:rsidRPr="00813712" w:rsidRDefault="00401252" w:rsidP="00401252">
      <w:pPr>
        <w:jc w:val="both"/>
        <w:rPr>
          <w:rFonts w:ascii="Arial" w:hAnsi="Arial" w:cs="Arial"/>
          <w:b/>
          <w:sz w:val="24"/>
          <w:u w:val="single"/>
        </w:rPr>
      </w:pPr>
      <w:r w:rsidRPr="00813712">
        <w:rPr>
          <w:rFonts w:ascii="Arial" w:hAnsi="Arial" w:cs="Arial"/>
          <w:b/>
          <w:sz w:val="24"/>
          <w:u w:val="single"/>
        </w:rPr>
        <w:t>Project Scope</w:t>
      </w:r>
    </w:p>
    <w:p w14:paraId="44B0C0A4"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PPB will only incorporate new outpatient appointments booked on the C&amp;VUHB patient management system (PMS). The first phase of PPB will not look to include non-acute and follow-up appointments; however, these appointments will look to be added in subsequent phases. The project in its first iteration will only look to book patients that can fit the AB process of booking slots six weeks in advance. This will mean exception may exclude some slots in the first phase to allow the booking to continue for urgent and urgent suspected cancers outside of PPB. Ensuring the appropriate care is being provided to each cohort of patients (Cardiff and Vale University Health Board, 2021).</w:t>
      </w:r>
    </w:p>
    <w:p w14:paraId="1B56E301" w14:textId="77777777" w:rsidR="00DB09EE" w:rsidRPr="009808A1" w:rsidRDefault="00DB09EE" w:rsidP="00DB09EE">
      <w:pPr>
        <w:rPr>
          <w:rFonts w:ascii="Arial" w:hAnsi="Arial" w:cs="Arial"/>
          <w:b/>
          <w:bCs/>
          <w:sz w:val="28"/>
          <w:szCs w:val="28"/>
          <w:u w:val="single"/>
        </w:rPr>
      </w:pPr>
      <w:r w:rsidRPr="009808A1">
        <w:rPr>
          <w:rFonts w:ascii="Arial" w:hAnsi="Arial" w:cs="Arial"/>
          <w:b/>
          <w:bCs/>
          <w:sz w:val="28"/>
          <w:szCs w:val="28"/>
          <w:u w:val="single"/>
        </w:rPr>
        <w:t>Project’s Aim and Objectives</w:t>
      </w:r>
    </w:p>
    <w:p w14:paraId="6F4F6EE2" w14:textId="77777777" w:rsidR="00DB09EE" w:rsidRPr="009808A1" w:rsidRDefault="00DB09EE" w:rsidP="00DB09EE">
      <w:pPr>
        <w:rPr>
          <w:rFonts w:ascii="Arial" w:hAnsi="Arial" w:cs="Arial"/>
          <w:b/>
          <w:bCs/>
          <w:sz w:val="24"/>
          <w:szCs w:val="24"/>
          <w:u w:val="single"/>
        </w:rPr>
      </w:pPr>
      <w:r w:rsidRPr="009808A1">
        <w:rPr>
          <w:rFonts w:ascii="Arial" w:hAnsi="Arial" w:cs="Arial"/>
          <w:b/>
          <w:bCs/>
          <w:sz w:val="24"/>
          <w:szCs w:val="24"/>
          <w:u w:val="single"/>
        </w:rPr>
        <w:t>PPB Aim</w:t>
      </w:r>
    </w:p>
    <w:p w14:paraId="555DC5EB" w14:textId="3FF04030" w:rsidR="00DB09EE" w:rsidRPr="000726F6" w:rsidRDefault="00DB09EE" w:rsidP="00DB09EE">
      <w:pPr>
        <w:jc w:val="both"/>
        <w:rPr>
          <w:rFonts w:ascii="Arial" w:hAnsi="Arial" w:cs="Arial"/>
          <w:sz w:val="24"/>
          <w:szCs w:val="24"/>
        </w:rPr>
      </w:pPr>
      <w:r w:rsidRPr="000726F6">
        <w:rPr>
          <w:rFonts w:ascii="Arial" w:hAnsi="Arial" w:cs="Arial"/>
          <w:sz w:val="24"/>
          <w:szCs w:val="24"/>
        </w:rPr>
        <w:t xml:space="preserve">DNA rates are currently higher than pre-pandemic levels with an average at </w:t>
      </w:r>
      <w:r w:rsidR="001725FD">
        <w:rPr>
          <w:rFonts w:ascii="Arial" w:hAnsi="Arial" w:cs="Arial"/>
          <w:sz w:val="24"/>
          <w:szCs w:val="24"/>
        </w:rPr>
        <w:t>around</w:t>
      </w:r>
      <w:r w:rsidRPr="000726F6">
        <w:rPr>
          <w:rFonts w:ascii="Arial" w:hAnsi="Arial" w:cs="Arial"/>
          <w:sz w:val="24"/>
          <w:szCs w:val="24"/>
        </w:rPr>
        <w:t xml:space="preserve"> 12% for 2022 (Fig. 1). This has affected the recovery for C&amp;VUHB post pandemic. The W/L’s in Wales are still altered from the impact of the pandemic. Some patients have been waiting over 2 years for their first appointment (Welsh Government, 2023a). However, these numbers are beginning to fall from their peak in March 2022 (Welsh Government, 2023a). The project’s aim is to boost the outpatient W/L recovery further, by reducing the DNA to under 6% with PPB for new outpatient appointments. This will aid in waiting time reduction.</w:t>
      </w:r>
    </w:p>
    <w:p w14:paraId="097E9EEB" w14:textId="77777777" w:rsidR="00DB09EE" w:rsidRDefault="00DB09EE" w:rsidP="00DB09EE">
      <w:pPr>
        <w:jc w:val="both"/>
        <w:rPr>
          <w:rFonts w:ascii="Arial" w:hAnsi="Arial" w:cs="Arial"/>
          <w:sz w:val="24"/>
          <w:szCs w:val="24"/>
        </w:rPr>
      </w:pPr>
      <w:r>
        <w:rPr>
          <w:rFonts w:ascii="Arial" w:hAnsi="Arial" w:cs="Arial"/>
          <w:noProof/>
          <w:sz w:val="24"/>
          <w:szCs w:val="24"/>
        </w:rPr>
        <w:drawing>
          <wp:inline distT="0" distB="0" distL="0" distR="0" wp14:anchorId="4467D1EA" wp14:editId="5DECDF6A">
            <wp:extent cx="5731510" cy="2326640"/>
            <wp:effectExtent l="0" t="0" r="2540" b="0"/>
            <wp:docPr id="961113667" name="Picture 96111366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326640"/>
                    </a:xfrm>
                    <a:prstGeom prst="rect">
                      <a:avLst/>
                    </a:prstGeom>
                  </pic:spPr>
                </pic:pic>
              </a:graphicData>
            </a:graphic>
          </wp:inline>
        </w:drawing>
      </w:r>
    </w:p>
    <w:p w14:paraId="59A348FA" w14:textId="77777777" w:rsidR="00DB09EE" w:rsidRPr="00871913" w:rsidRDefault="00DB09EE" w:rsidP="00DB09EE">
      <w:pPr>
        <w:jc w:val="center"/>
        <w:rPr>
          <w:rFonts w:ascii="Arial" w:hAnsi="Arial" w:cs="Arial"/>
          <w:b/>
          <w:bCs/>
          <w:sz w:val="24"/>
          <w:szCs w:val="24"/>
        </w:rPr>
      </w:pPr>
      <w:r w:rsidRPr="00871913">
        <w:rPr>
          <w:rFonts w:ascii="Arial" w:hAnsi="Arial" w:cs="Arial"/>
          <w:b/>
          <w:bCs/>
          <w:sz w:val="24"/>
          <w:szCs w:val="24"/>
        </w:rPr>
        <w:t>Fig. 1</w:t>
      </w:r>
    </w:p>
    <w:p w14:paraId="68339415"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 xml:space="preserve">Reducing the DNA rate is a major necessity for C&amp;VUHB due to wasted money, resources, and outpatient slots. By having the aim of PPB to deliver a reduction in the DNA rate, C&amp;VUHB will achieve its own goals, and align them with the Welsh </w:t>
      </w:r>
      <w:r w:rsidRPr="000726F6">
        <w:rPr>
          <w:rFonts w:ascii="Arial" w:hAnsi="Arial" w:cs="Arial"/>
          <w:sz w:val="24"/>
          <w:szCs w:val="24"/>
        </w:rPr>
        <w:lastRenderedPageBreak/>
        <w:t>Government policy of reducing DNA rates of all outpatient appointments to 5% (Welsh Government, 2020, p. 21).</w:t>
      </w:r>
    </w:p>
    <w:p w14:paraId="1DC4CDBC"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The precursor to PPB, known as FAB, showed that it was beneficial to reducing the DNA rate by averaging a DNA rate of 5.9%. This shows that a rate of under 6% is achievable for an AB solution with new outpatient appointments. By having this data available on FAB the projects aim can be realistic and a benchmark to be set for the new AB process.</w:t>
      </w:r>
    </w:p>
    <w:p w14:paraId="2215728D"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The aim of reducing DNA rates will also be of benefit in achieving the project objectives of increasing clinic utilisation (CU), a higher compliance with referral to treatment (RTT) times and a reduction in W/L times which is a requirement by Welsh Government (2022, p. 3).</w:t>
      </w:r>
    </w:p>
    <w:p w14:paraId="7E5AD947" w14:textId="77777777" w:rsidR="00DB09EE" w:rsidRPr="009808A1" w:rsidRDefault="00DB09EE" w:rsidP="00DB09EE">
      <w:pPr>
        <w:rPr>
          <w:rFonts w:ascii="Arial" w:hAnsi="Arial" w:cs="Arial"/>
          <w:b/>
          <w:bCs/>
          <w:sz w:val="24"/>
          <w:szCs w:val="24"/>
          <w:u w:val="single"/>
        </w:rPr>
      </w:pPr>
      <w:r w:rsidRPr="009808A1">
        <w:rPr>
          <w:rFonts w:ascii="Arial" w:hAnsi="Arial" w:cs="Arial"/>
          <w:b/>
          <w:bCs/>
          <w:sz w:val="24"/>
          <w:szCs w:val="24"/>
          <w:u w:val="single"/>
        </w:rPr>
        <w:t>PPB Objectives</w:t>
      </w:r>
    </w:p>
    <w:p w14:paraId="7E4E741F" w14:textId="77777777" w:rsidR="00DB09EE" w:rsidRDefault="00DB09EE" w:rsidP="00DB09EE">
      <w:pPr>
        <w:rPr>
          <w:rFonts w:ascii="Arial" w:hAnsi="Arial" w:cs="Arial"/>
          <w:b/>
          <w:bCs/>
          <w:sz w:val="24"/>
          <w:szCs w:val="24"/>
        </w:rPr>
      </w:pPr>
      <w:r>
        <w:rPr>
          <w:rFonts w:ascii="Arial" w:hAnsi="Arial" w:cs="Arial"/>
          <w:b/>
          <w:bCs/>
          <w:sz w:val="24"/>
          <w:szCs w:val="24"/>
        </w:rPr>
        <w:t>Waiting List Reduction and RTT Compliance</w:t>
      </w:r>
    </w:p>
    <w:p w14:paraId="22C9C8DE" w14:textId="77777777" w:rsidR="00DB09EE" w:rsidRDefault="00DB09EE" w:rsidP="00DB09EE">
      <w:pPr>
        <w:jc w:val="both"/>
        <w:rPr>
          <w:rFonts w:ascii="Arial" w:hAnsi="Arial" w:cs="Arial"/>
          <w:sz w:val="24"/>
          <w:szCs w:val="24"/>
        </w:rPr>
      </w:pPr>
      <w:r w:rsidRPr="009808A1">
        <w:rPr>
          <w:rFonts w:ascii="Arial" w:hAnsi="Arial" w:cs="Arial"/>
          <w:sz w:val="24"/>
          <w:szCs w:val="24"/>
        </w:rPr>
        <w:t>The Welsh Government (2022, p. 3) has made reducing W/L times a key requirement for all health boards. As Fig. 2 shows in December 2022, the NHS in Wales currently still has around 75,000 patients waiting over a year for their first appointment (Welsh Government, 2023b, p. 5). Failing the planned care recovery target set out by the Welsh Government (2022, p. 4). Coupled with W/L times being one of the main areas of concern for patients (Appleby et al., 2020, p. 3). Therefore, a key objective of PPB is to reduce W/L times for outpatient appointments and ensure patients are receiving their first outpatient appointment within a year. C&amp;VUHB will achieve this by ensuring slots are better utilised through the repurpose of appointment slots not required by appointed patients.</w:t>
      </w:r>
    </w:p>
    <w:p w14:paraId="322BAD03" w14:textId="77777777" w:rsidR="00DB09EE" w:rsidRDefault="00DB09EE" w:rsidP="00DB09EE">
      <w:pPr>
        <w:jc w:val="center"/>
        <w:rPr>
          <w:rFonts w:ascii="Arial" w:hAnsi="Arial" w:cs="Arial"/>
          <w:b/>
          <w:bCs/>
          <w:sz w:val="24"/>
          <w:szCs w:val="24"/>
        </w:rPr>
      </w:pPr>
      <w:r>
        <w:rPr>
          <w:rFonts w:ascii="Arial" w:hAnsi="Arial" w:cs="Arial"/>
          <w:b/>
          <w:bCs/>
          <w:noProof/>
          <w:sz w:val="24"/>
          <w:szCs w:val="24"/>
        </w:rPr>
        <w:drawing>
          <wp:inline distT="0" distB="0" distL="0" distR="0" wp14:anchorId="6343C471" wp14:editId="39D40236">
            <wp:extent cx="5731510" cy="3380740"/>
            <wp:effectExtent l="19050" t="19050" r="21590" b="10160"/>
            <wp:docPr id="931626612" name="Picture 931626612"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26612" name="Picture 931626612" descr="A picture containing text, screenshot, plot, li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380740"/>
                    </a:xfrm>
                    <a:prstGeom prst="rect">
                      <a:avLst/>
                    </a:prstGeom>
                    <a:ln>
                      <a:solidFill>
                        <a:schemeClr val="tx1"/>
                      </a:solidFill>
                    </a:ln>
                  </pic:spPr>
                </pic:pic>
              </a:graphicData>
            </a:graphic>
          </wp:inline>
        </w:drawing>
      </w:r>
    </w:p>
    <w:p w14:paraId="738CD765" w14:textId="77777777" w:rsidR="00DB09EE" w:rsidRDefault="00DB09EE" w:rsidP="00DB09EE">
      <w:pPr>
        <w:jc w:val="both"/>
        <w:rPr>
          <w:rFonts w:ascii="Arial" w:hAnsi="Arial" w:cs="Arial"/>
          <w:sz w:val="24"/>
          <w:szCs w:val="24"/>
        </w:rPr>
      </w:pPr>
    </w:p>
    <w:p w14:paraId="5099270D" w14:textId="7CBC173D" w:rsidR="00DB09EE" w:rsidRPr="000726F6" w:rsidRDefault="00DB09EE" w:rsidP="00DB09EE">
      <w:pPr>
        <w:jc w:val="both"/>
        <w:rPr>
          <w:rFonts w:ascii="Arial" w:hAnsi="Arial" w:cs="Arial"/>
          <w:sz w:val="24"/>
          <w:szCs w:val="24"/>
        </w:rPr>
      </w:pPr>
      <w:r w:rsidRPr="000726F6">
        <w:rPr>
          <w:rFonts w:ascii="Arial" w:hAnsi="Arial" w:cs="Arial"/>
          <w:sz w:val="24"/>
          <w:szCs w:val="24"/>
        </w:rPr>
        <w:lastRenderedPageBreak/>
        <w:t xml:space="preserve">The current high wait times for patients to receive their first appointment have impacted on RTT compliance (Welsh Government, 2022, p. 25). This has led to </w:t>
      </w:r>
      <w:r w:rsidR="001725FD" w:rsidRPr="000726F6">
        <w:rPr>
          <w:rFonts w:ascii="Arial" w:hAnsi="Arial" w:cs="Arial"/>
          <w:sz w:val="24"/>
          <w:szCs w:val="24"/>
        </w:rPr>
        <w:t>45%</w:t>
      </w:r>
      <w:r w:rsidRPr="000726F6">
        <w:rPr>
          <w:rFonts w:ascii="Arial" w:hAnsi="Arial" w:cs="Arial"/>
          <w:sz w:val="24"/>
          <w:szCs w:val="24"/>
        </w:rPr>
        <w:t xml:space="preserve"> of patients waiting over 26 weeks, which is significantly high to pre-pandemic levels (Welsh Government, 2023b, p. 4). Currently, the average wait time for treatment is roughly 22 weeks (Welsh Government, 2023b, p. 5). By improving the DNA rate and increasing CU, more patients can receive their first appointment sooner. Helping achieve the Welsh Government’s (2022, p. 26) plans and objectives.</w:t>
      </w:r>
    </w:p>
    <w:p w14:paraId="1E7C0B32" w14:textId="77777777" w:rsidR="00DB09EE" w:rsidRDefault="00DB09EE" w:rsidP="00DB09EE">
      <w:pPr>
        <w:rPr>
          <w:rFonts w:ascii="Arial" w:hAnsi="Arial" w:cs="Arial"/>
          <w:b/>
          <w:bCs/>
          <w:sz w:val="24"/>
          <w:szCs w:val="24"/>
        </w:rPr>
      </w:pPr>
      <w:r>
        <w:rPr>
          <w:rFonts w:ascii="Arial" w:hAnsi="Arial" w:cs="Arial"/>
          <w:b/>
          <w:bCs/>
          <w:sz w:val="24"/>
          <w:szCs w:val="24"/>
        </w:rPr>
        <w:t>Increased Clinic Utilisation</w:t>
      </w:r>
    </w:p>
    <w:p w14:paraId="17C63F1B" w14:textId="77777777" w:rsidR="00DB09EE" w:rsidRPr="00A66E80" w:rsidRDefault="00DB09EE" w:rsidP="00DB09EE">
      <w:pPr>
        <w:jc w:val="both"/>
        <w:rPr>
          <w:rFonts w:ascii="Arial" w:hAnsi="Arial" w:cs="Arial"/>
          <w:sz w:val="24"/>
          <w:szCs w:val="24"/>
        </w:rPr>
      </w:pPr>
      <w:r w:rsidRPr="00A66E80">
        <w:rPr>
          <w:rFonts w:ascii="Arial" w:hAnsi="Arial" w:cs="Arial"/>
          <w:sz w:val="24"/>
          <w:szCs w:val="24"/>
        </w:rPr>
        <w:t xml:space="preserve">Increased </w:t>
      </w:r>
      <w:r>
        <w:rPr>
          <w:rFonts w:ascii="Arial" w:hAnsi="Arial" w:cs="Arial"/>
          <w:sz w:val="24"/>
          <w:szCs w:val="24"/>
        </w:rPr>
        <w:t>CU</w:t>
      </w:r>
      <w:r w:rsidRPr="00A66E80">
        <w:rPr>
          <w:rFonts w:ascii="Arial" w:hAnsi="Arial" w:cs="Arial"/>
          <w:sz w:val="24"/>
          <w:szCs w:val="24"/>
        </w:rPr>
        <w:t xml:space="preserve"> is an objective of the project</w:t>
      </w:r>
      <w:r>
        <w:rPr>
          <w:rFonts w:ascii="Arial" w:hAnsi="Arial" w:cs="Arial"/>
          <w:sz w:val="24"/>
          <w:szCs w:val="24"/>
        </w:rPr>
        <w:t xml:space="preserve"> because</w:t>
      </w:r>
      <w:r w:rsidRPr="00A66E80">
        <w:rPr>
          <w:rFonts w:ascii="Arial" w:hAnsi="Arial" w:cs="Arial"/>
          <w:sz w:val="24"/>
          <w:szCs w:val="24"/>
        </w:rPr>
        <w:t xml:space="preserve"> reducing the DNA rate alone will not help in improving </w:t>
      </w:r>
      <w:r>
        <w:rPr>
          <w:rFonts w:ascii="Arial" w:hAnsi="Arial" w:cs="Arial"/>
          <w:sz w:val="24"/>
          <w:szCs w:val="24"/>
        </w:rPr>
        <w:t>W/L</w:t>
      </w:r>
      <w:r w:rsidRPr="00A66E80">
        <w:rPr>
          <w:rFonts w:ascii="Arial" w:hAnsi="Arial" w:cs="Arial"/>
          <w:sz w:val="24"/>
          <w:szCs w:val="24"/>
        </w:rPr>
        <w:t xml:space="preserve"> times and RTT compliance. It is vital for the project that PPB does not just transfer the DNA slots into could not attend (CNA) slots. Therefore, success needs to be assessed on how the regained slots from the PPB process are no longer a DNA slot </w:t>
      </w:r>
      <w:r>
        <w:rPr>
          <w:rFonts w:ascii="Arial" w:hAnsi="Arial" w:cs="Arial"/>
          <w:sz w:val="24"/>
          <w:szCs w:val="24"/>
        </w:rPr>
        <w:t xml:space="preserve">and </w:t>
      </w:r>
      <w:r w:rsidRPr="00A66E80">
        <w:rPr>
          <w:rFonts w:ascii="Arial" w:hAnsi="Arial" w:cs="Arial"/>
          <w:sz w:val="24"/>
          <w:szCs w:val="24"/>
        </w:rPr>
        <w:t xml:space="preserve">are reutilised. C&amp;VUHB will do this through clinical utilisation. By increasing </w:t>
      </w:r>
      <w:r>
        <w:rPr>
          <w:rFonts w:ascii="Arial" w:hAnsi="Arial" w:cs="Arial"/>
          <w:sz w:val="24"/>
          <w:szCs w:val="24"/>
        </w:rPr>
        <w:t>CU</w:t>
      </w:r>
      <w:r w:rsidRPr="00A66E80">
        <w:rPr>
          <w:rFonts w:ascii="Arial" w:hAnsi="Arial" w:cs="Arial"/>
          <w:sz w:val="24"/>
          <w:szCs w:val="24"/>
        </w:rPr>
        <w:t xml:space="preserve">, C&amp;VUHB will see more patients in a session, enabling greater utilisation of appointment slots and facilitating more patients to be seen, reducing </w:t>
      </w:r>
      <w:r>
        <w:rPr>
          <w:rFonts w:ascii="Arial" w:hAnsi="Arial" w:cs="Arial"/>
          <w:sz w:val="24"/>
          <w:szCs w:val="24"/>
        </w:rPr>
        <w:t>W/L’s</w:t>
      </w:r>
      <w:r w:rsidRPr="00A66E80">
        <w:rPr>
          <w:rFonts w:ascii="Arial" w:hAnsi="Arial" w:cs="Arial"/>
          <w:sz w:val="24"/>
          <w:szCs w:val="24"/>
        </w:rPr>
        <w:t xml:space="preserve"> (Welsh Government, 2022, p. 27). Decreasing the need for additional overtime clinics to help with outpatient recovery, alleviating the increase</w:t>
      </w:r>
      <w:r>
        <w:rPr>
          <w:rFonts w:ascii="Arial" w:hAnsi="Arial" w:cs="Arial"/>
          <w:sz w:val="24"/>
          <w:szCs w:val="24"/>
        </w:rPr>
        <w:t>d</w:t>
      </w:r>
      <w:r w:rsidRPr="00A66E80">
        <w:rPr>
          <w:rFonts w:ascii="Arial" w:hAnsi="Arial" w:cs="Arial"/>
          <w:sz w:val="24"/>
          <w:szCs w:val="24"/>
        </w:rPr>
        <w:t xml:space="preserve"> </w:t>
      </w:r>
      <w:r>
        <w:rPr>
          <w:rFonts w:ascii="Arial" w:hAnsi="Arial" w:cs="Arial"/>
          <w:sz w:val="24"/>
          <w:szCs w:val="24"/>
        </w:rPr>
        <w:t>chance of</w:t>
      </w:r>
      <w:r w:rsidRPr="00A66E80">
        <w:rPr>
          <w:rFonts w:ascii="Arial" w:hAnsi="Arial" w:cs="Arial"/>
          <w:sz w:val="24"/>
          <w:szCs w:val="24"/>
        </w:rPr>
        <w:t xml:space="preserve"> staff </w:t>
      </w:r>
      <w:r>
        <w:rPr>
          <w:rFonts w:ascii="Arial" w:hAnsi="Arial" w:cs="Arial"/>
          <w:sz w:val="24"/>
          <w:szCs w:val="24"/>
        </w:rPr>
        <w:t>burnout (</w:t>
      </w:r>
      <w:r w:rsidRPr="004408B2">
        <w:rPr>
          <w:rFonts w:ascii="Arial" w:hAnsi="Arial" w:cs="Arial"/>
          <w:sz w:val="24"/>
          <w:szCs w:val="24"/>
        </w:rPr>
        <w:t>Relias Learning</w:t>
      </w:r>
      <w:r>
        <w:rPr>
          <w:rFonts w:ascii="Arial" w:hAnsi="Arial" w:cs="Arial"/>
          <w:color w:val="000000"/>
          <w:sz w:val="24"/>
          <w:szCs w:val="24"/>
          <w:shd w:val="clear" w:color="auto" w:fill="FFFFFF"/>
        </w:rPr>
        <w:t xml:space="preserve">, </w:t>
      </w:r>
      <w:r w:rsidRPr="004408B2">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 p</w:t>
      </w:r>
      <w:r w:rsidRPr="00A66E80">
        <w:rPr>
          <w:rFonts w:ascii="Arial" w:hAnsi="Arial" w:cs="Arial"/>
          <w:sz w:val="24"/>
          <w:szCs w:val="24"/>
        </w:rPr>
        <w:t>.</w:t>
      </w:r>
      <w:r>
        <w:rPr>
          <w:rFonts w:ascii="Arial" w:hAnsi="Arial" w:cs="Arial"/>
          <w:sz w:val="24"/>
          <w:szCs w:val="24"/>
        </w:rPr>
        <w:t xml:space="preserve"> 1).</w:t>
      </w:r>
    </w:p>
    <w:p w14:paraId="2B6F9C4B" w14:textId="77777777" w:rsidR="00DB09EE" w:rsidRDefault="00DB09EE" w:rsidP="00DB09EE">
      <w:pPr>
        <w:rPr>
          <w:rFonts w:ascii="Arial" w:hAnsi="Arial" w:cs="Arial"/>
          <w:b/>
          <w:bCs/>
          <w:sz w:val="24"/>
          <w:szCs w:val="24"/>
        </w:rPr>
      </w:pPr>
      <w:r>
        <w:rPr>
          <w:rFonts w:ascii="Arial" w:hAnsi="Arial" w:cs="Arial"/>
          <w:b/>
          <w:bCs/>
          <w:sz w:val="24"/>
          <w:szCs w:val="24"/>
        </w:rPr>
        <w:t>Improving Patient Communication</w:t>
      </w:r>
    </w:p>
    <w:p w14:paraId="73CBA689" w14:textId="77777777" w:rsidR="00DB09EE" w:rsidRPr="00AA726E" w:rsidRDefault="00DB09EE" w:rsidP="00DB09EE">
      <w:pPr>
        <w:jc w:val="both"/>
        <w:rPr>
          <w:rFonts w:ascii="Arial" w:hAnsi="Arial" w:cs="Arial"/>
          <w:sz w:val="24"/>
          <w:szCs w:val="24"/>
        </w:rPr>
      </w:pPr>
      <w:r w:rsidRPr="00AA726E">
        <w:rPr>
          <w:rFonts w:ascii="Arial" w:hAnsi="Arial" w:cs="Arial"/>
          <w:sz w:val="24"/>
          <w:szCs w:val="24"/>
        </w:rPr>
        <w:t xml:space="preserve">The project’s objective is to ensure patients receive the correct communication at the correct time </w:t>
      </w:r>
      <w:r>
        <w:rPr>
          <w:rFonts w:ascii="Arial" w:hAnsi="Arial" w:cs="Arial"/>
          <w:sz w:val="24"/>
          <w:szCs w:val="24"/>
        </w:rPr>
        <w:t>by having</w:t>
      </w:r>
      <w:r w:rsidRPr="00AA726E">
        <w:rPr>
          <w:rFonts w:ascii="Arial" w:hAnsi="Arial" w:cs="Arial"/>
          <w:sz w:val="24"/>
          <w:szCs w:val="24"/>
        </w:rPr>
        <w:t xml:space="preserve"> a redesign of current appointment letters, improving patient satisfaction. The Welsh Government (2020, p. 11) has revealed that there is a lack of patient satisfaction with outpatient communication. </w:t>
      </w:r>
      <w:r>
        <w:rPr>
          <w:rFonts w:ascii="Arial" w:hAnsi="Arial" w:cs="Arial"/>
          <w:sz w:val="24"/>
          <w:szCs w:val="24"/>
        </w:rPr>
        <w:t>F</w:t>
      </w:r>
      <w:r w:rsidRPr="00AA726E">
        <w:rPr>
          <w:rFonts w:ascii="Arial" w:hAnsi="Arial" w:cs="Arial"/>
          <w:sz w:val="24"/>
          <w:szCs w:val="24"/>
        </w:rPr>
        <w:t>indings indicat</w:t>
      </w:r>
      <w:r>
        <w:rPr>
          <w:rFonts w:ascii="Arial" w:hAnsi="Arial" w:cs="Arial"/>
          <w:sz w:val="24"/>
          <w:szCs w:val="24"/>
        </w:rPr>
        <w:t>e</w:t>
      </w:r>
      <w:r w:rsidRPr="00AA726E">
        <w:rPr>
          <w:rFonts w:ascii="Arial" w:hAnsi="Arial" w:cs="Arial"/>
          <w:sz w:val="24"/>
          <w:szCs w:val="24"/>
        </w:rPr>
        <w:t xml:space="preserve"> that miscommunication and administrative errors are a major factor in patient non-attendance (McLean et al., 2014, p. 52).</w:t>
      </w:r>
    </w:p>
    <w:p w14:paraId="66C0C5EF" w14:textId="77777777" w:rsidR="00DB09EE" w:rsidRPr="00AA726E" w:rsidRDefault="00DB09EE" w:rsidP="00DB09EE">
      <w:pPr>
        <w:jc w:val="both"/>
        <w:rPr>
          <w:rFonts w:ascii="Arial" w:hAnsi="Arial" w:cs="Arial"/>
          <w:sz w:val="24"/>
          <w:szCs w:val="24"/>
        </w:rPr>
      </w:pPr>
      <w:r w:rsidRPr="00AA726E">
        <w:rPr>
          <w:rFonts w:ascii="Arial" w:hAnsi="Arial" w:cs="Arial"/>
          <w:sz w:val="24"/>
          <w:szCs w:val="24"/>
        </w:rPr>
        <w:t xml:space="preserve">Scheduling of appointments will occur six weeks prior. This is to ensure the approval of all clinician requests for annual leave prior to sending of appointments as per C&amp;VUHB policies and procedures. Leading to less hospital appointments being cancelled. The project will also achieve improved communication and experience for the patient by using a digital approach (Welsh Government, 2021c, p. 16) </w:t>
      </w:r>
      <w:r>
        <w:rPr>
          <w:rFonts w:ascii="Arial" w:hAnsi="Arial" w:cs="Arial"/>
          <w:sz w:val="24"/>
          <w:szCs w:val="24"/>
        </w:rPr>
        <w:t>through</w:t>
      </w:r>
      <w:r w:rsidRPr="00AA726E">
        <w:rPr>
          <w:rFonts w:ascii="Arial" w:hAnsi="Arial" w:cs="Arial"/>
          <w:sz w:val="24"/>
          <w:szCs w:val="24"/>
        </w:rPr>
        <w:t xml:space="preserve"> letters </w:t>
      </w:r>
      <w:r>
        <w:rPr>
          <w:rFonts w:ascii="Arial" w:hAnsi="Arial" w:cs="Arial"/>
          <w:sz w:val="24"/>
          <w:szCs w:val="24"/>
        </w:rPr>
        <w:t xml:space="preserve">being sent </w:t>
      </w:r>
      <w:r w:rsidRPr="00AA726E">
        <w:rPr>
          <w:rFonts w:ascii="Arial" w:hAnsi="Arial" w:cs="Arial"/>
          <w:sz w:val="24"/>
          <w:szCs w:val="24"/>
        </w:rPr>
        <w:t xml:space="preserve">digitally. Aligning with C&amp;VUHB’s (2020, p. 6) high-level aim of a digital first approach for patients. </w:t>
      </w:r>
      <w:r>
        <w:rPr>
          <w:rFonts w:ascii="Arial" w:hAnsi="Arial" w:cs="Arial"/>
          <w:sz w:val="24"/>
          <w:szCs w:val="24"/>
        </w:rPr>
        <w:t>I</w:t>
      </w:r>
      <w:r w:rsidRPr="00AA726E">
        <w:rPr>
          <w:rFonts w:ascii="Arial" w:hAnsi="Arial" w:cs="Arial"/>
          <w:sz w:val="24"/>
          <w:szCs w:val="24"/>
        </w:rPr>
        <w:t xml:space="preserve">ncorporating a digital first approach, </w:t>
      </w:r>
      <w:r>
        <w:rPr>
          <w:rFonts w:ascii="Arial" w:hAnsi="Arial" w:cs="Arial"/>
          <w:sz w:val="24"/>
          <w:szCs w:val="24"/>
        </w:rPr>
        <w:t xml:space="preserve">will enable </w:t>
      </w:r>
      <w:r w:rsidRPr="00AA726E">
        <w:rPr>
          <w:rFonts w:ascii="Arial" w:hAnsi="Arial" w:cs="Arial"/>
          <w:sz w:val="24"/>
          <w:szCs w:val="24"/>
        </w:rPr>
        <w:t>the project to measure success by recording and analysing successful logins and responses to achieve a digital acceptance rate for patients.</w:t>
      </w:r>
    </w:p>
    <w:p w14:paraId="0C765EE2" w14:textId="77777777" w:rsidR="00DB09EE" w:rsidRDefault="00DB09EE" w:rsidP="00DB09EE">
      <w:pPr>
        <w:rPr>
          <w:rFonts w:ascii="Arial" w:hAnsi="Arial" w:cs="Arial"/>
          <w:b/>
          <w:bCs/>
          <w:sz w:val="24"/>
          <w:szCs w:val="24"/>
        </w:rPr>
      </w:pPr>
      <w:r>
        <w:rPr>
          <w:rFonts w:ascii="Arial" w:hAnsi="Arial" w:cs="Arial"/>
          <w:b/>
          <w:bCs/>
          <w:sz w:val="24"/>
          <w:szCs w:val="24"/>
        </w:rPr>
        <w:t>Resource Redistribution</w:t>
      </w:r>
      <w:r>
        <w:rPr>
          <w:rFonts w:ascii="Arial" w:hAnsi="Arial" w:cs="Arial"/>
          <w:b/>
          <w:bCs/>
          <w:sz w:val="24"/>
          <w:szCs w:val="24"/>
        </w:rPr>
        <w:tab/>
      </w:r>
    </w:p>
    <w:p w14:paraId="3422BDA6" w14:textId="77777777" w:rsidR="00DB09EE" w:rsidRPr="000B3318" w:rsidRDefault="00DB09EE" w:rsidP="00DB09EE">
      <w:pPr>
        <w:jc w:val="both"/>
        <w:rPr>
          <w:rFonts w:ascii="Arial" w:hAnsi="Arial" w:cs="Arial"/>
          <w:sz w:val="24"/>
          <w:szCs w:val="24"/>
        </w:rPr>
      </w:pPr>
      <w:r w:rsidRPr="000B3318">
        <w:rPr>
          <w:rFonts w:ascii="Arial" w:hAnsi="Arial" w:cs="Arial"/>
          <w:sz w:val="24"/>
          <w:szCs w:val="24"/>
        </w:rPr>
        <w:t xml:space="preserve">The automation of the booking process for new case appointments within PPB will </w:t>
      </w:r>
      <w:r>
        <w:rPr>
          <w:rFonts w:ascii="Arial" w:hAnsi="Arial" w:cs="Arial"/>
          <w:sz w:val="24"/>
          <w:szCs w:val="24"/>
        </w:rPr>
        <w:t>enable</w:t>
      </w:r>
      <w:r w:rsidRPr="000B3318">
        <w:rPr>
          <w:rFonts w:ascii="Arial" w:hAnsi="Arial" w:cs="Arial"/>
          <w:sz w:val="24"/>
          <w:szCs w:val="24"/>
        </w:rPr>
        <w:t xml:space="preserve"> the project to redistribut</w:t>
      </w:r>
      <w:r>
        <w:rPr>
          <w:rFonts w:ascii="Arial" w:hAnsi="Arial" w:cs="Arial"/>
          <w:sz w:val="24"/>
          <w:szCs w:val="24"/>
        </w:rPr>
        <w:t>e</w:t>
      </w:r>
      <w:r w:rsidRPr="000B3318">
        <w:rPr>
          <w:rFonts w:ascii="Arial" w:hAnsi="Arial" w:cs="Arial"/>
          <w:sz w:val="24"/>
          <w:szCs w:val="24"/>
        </w:rPr>
        <w:t xml:space="preserve"> administrative resources (Willis et al., 2019, p. 8). The administrative team currently takes a high proportion of time daily in booking outpatient appointment slots. This includes selecting the correct patients based on clinical need and patients’ wait time for an appointment. The aim of the project is to automate the process of patient selection, as well as appointment booking. </w:t>
      </w:r>
      <w:r>
        <w:rPr>
          <w:rFonts w:ascii="Arial" w:hAnsi="Arial" w:cs="Arial"/>
          <w:sz w:val="24"/>
          <w:szCs w:val="24"/>
        </w:rPr>
        <w:t>A</w:t>
      </w:r>
      <w:r w:rsidRPr="000B3318">
        <w:rPr>
          <w:rFonts w:ascii="Arial" w:hAnsi="Arial" w:cs="Arial"/>
          <w:sz w:val="24"/>
          <w:szCs w:val="24"/>
        </w:rPr>
        <w:t xml:space="preserve">utomating this process </w:t>
      </w:r>
      <w:r>
        <w:rPr>
          <w:rFonts w:ascii="Arial" w:hAnsi="Arial" w:cs="Arial"/>
          <w:sz w:val="24"/>
          <w:szCs w:val="24"/>
        </w:rPr>
        <w:t>means</w:t>
      </w:r>
      <w:r w:rsidRPr="000B3318">
        <w:rPr>
          <w:rFonts w:ascii="Arial" w:hAnsi="Arial" w:cs="Arial"/>
          <w:sz w:val="24"/>
          <w:szCs w:val="24"/>
        </w:rPr>
        <w:t xml:space="preserve"> administrative time </w:t>
      </w:r>
      <w:r>
        <w:rPr>
          <w:rFonts w:ascii="Arial" w:hAnsi="Arial" w:cs="Arial"/>
          <w:sz w:val="24"/>
          <w:szCs w:val="24"/>
        </w:rPr>
        <w:t xml:space="preserve">can </w:t>
      </w:r>
      <w:r w:rsidRPr="000B3318">
        <w:rPr>
          <w:rFonts w:ascii="Arial" w:hAnsi="Arial" w:cs="Arial"/>
          <w:sz w:val="24"/>
          <w:szCs w:val="24"/>
        </w:rPr>
        <w:t>be repurposed and used more efficiently (Willis et al., 2019, p. 8).</w:t>
      </w:r>
    </w:p>
    <w:p w14:paraId="33D24FF7" w14:textId="77777777" w:rsidR="00DB09EE" w:rsidRPr="00DB09EE" w:rsidRDefault="00DB09EE" w:rsidP="00DB09EE">
      <w:pPr>
        <w:rPr>
          <w:rFonts w:ascii="Arial" w:hAnsi="Arial" w:cs="Arial"/>
          <w:b/>
          <w:bCs/>
          <w:sz w:val="24"/>
          <w:szCs w:val="24"/>
          <w:u w:val="single"/>
        </w:rPr>
      </w:pPr>
      <w:r w:rsidRPr="00DB09EE">
        <w:rPr>
          <w:rFonts w:ascii="Arial" w:hAnsi="Arial" w:cs="Arial"/>
          <w:b/>
          <w:bCs/>
          <w:sz w:val="24"/>
          <w:szCs w:val="24"/>
          <w:u w:val="single"/>
        </w:rPr>
        <w:lastRenderedPageBreak/>
        <w:t>Conclusion</w:t>
      </w:r>
    </w:p>
    <w:p w14:paraId="26527539" w14:textId="77777777" w:rsidR="00DB09EE" w:rsidRPr="00893634" w:rsidRDefault="00DB09EE" w:rsidP="00DB09EE">
      <w:pPr>
        <w:jc w:val="both"/>
        <w:rPr>
          <w:rFonts w:ascii="Arial" w:hAnsi="Arial" w:cs="Arial"/>
          <w:sz w:val="24"/>
          <w:szCs w:val="24"/>
        </w:rPr>
      </w:pPr>
      <w:r>
        <w:rPr>
          <w:rFonts w:ascii="Arial" w:hAnsi="Arial" w:cs="Arial"/>
          <w:sz w:val="24"/>
          <w:szCs w:val="24"/>
        </w:rPr>
        <w:t xml:space="preserve">PPB’s aim of reducing the DNA rate of new outpatients’ appointments along with the objectives of increasing CU, reducing W/Ls, improving RTT compliance and increasing virtual appointment uptake will permit C&amp;VUHB to comply fully with the Welsh Government Policies and vison (Welsh Government, 2022, p. 14). Objectives of improving patient satisfaction and resource redistribution will give patients and staff at the heart of the project improved experiences of the system. This will be a major factor in calculating success. Incorporating all these aims and objective in the project from the outset will provide improved efficiency and communication for new outpatient appointments. </w:t>
      </w:r>
    </w:p>
    <w:p w14:paraId="2B6930DA" w14:textId="77777777" w:rsidR="001725FD" w:rsidRPr="00A828D4" w:rsidRDefault="001725FD" w:rsidP="001725FD">
      <w:pPr>
        <w:rPr>
          <w:rFonts w:ascii="Arial" w:hAnsi="Arial" w:cs="Arial"/>
          <w:b/>
          <w:bCs/>
          <w:sz w:val="28"/>
          <w:szCs w:val="28"/>
          <w:u w:val="single"/>
        </w:rPr>
      </w:pPr>
      <w:r w:rsidRPr="00A828D4">
        <w:rPr>
          <w:rFonts w:ascii="Arial" w:hAnsi="Arial" w:cs="Arial"/>
          <w:b/>
          <w:bCs/>
          <w:sz w:val="28"/>
          <w:szCs w:val="28"/>
          <w:u w:val="single"/>
        </w:rPr>
        <w:t>Data Collection</w:t>
      </w:r>
    </w:p>
    <w:p w14:paraId="7D83DEDA" w14:textId="77777777" w:rsidR="001725FD" w:rsidRPr="00A828D4" w:rsidRDefault="001725FD" w:rsidP="001725FD">
      <w:pPr>
        <w:rPr>
          <w:rFonts w:ascii="Arial" w:hAnsi="Arial" w:cs="Arial"/>
          <w:b/>
          <w:bCs/>
          <w:sz w:val="24"/>
          <w:szCs w:val="24"/>
          <w:u w:val="single"/>
        </w:rPr>
      </w:pPr>
      <w:r w:rsidRPr="00A828D4">
        <w:rPr>
          <w:rFonts w:ascii="Arial" w:hAnsi="Arial" w:cs="Arial"/>
          <w:b/>
          <w:bCs/>
          <w:sz w:val="24"/>
          <w:szCs w:val="24"/>
          <w:u w:val="single"/>
        </w:rPr>
        <w:t>Introduction</w:t>
      </w:r>
    </w:p>
    <w:p w14:paraId="47095239" w14:textId="77777777" w:rsidR="001725FD" w:rsidRPr="00066005" w:rsidRDefault="001725FD" w:rsidP="001725FD">
      <w:pPr>
        <w:jc w:val="both"/>
        <w:rPr>
          <w:rFonts w:ascii="Arial" w:hAnsi="Arial" w:cs="Arial"/>
          <w:sz w:val="24"/>
          <w:szCs w:val="24"/>
        </w:rPr>
      </w:pPr>
      <w:r w:rsidRPr="00066005">
        <w:rPr>
          <w:rFonts w:ascii="Arial" w:hAnsi="Arial" w:cs="Arial"/>
          <w:sz w:val="24"/>
          <w:szCs w:val="24"/>
        </w:rPr>
        <w:t>Data collection for PPB will be a vital element within the project for successful integration. Before implementation, the project team must define data to measure project performance of PPB's improvement to the service (Scheider, Ostermann and Adams, 2017, p. 16). To guarantee full realisation of the project, it will require accurate and consistent data as a requirement (Pajouheshnia, 2019, p. 2). It is crucial when analysing the data, the project critically evaluates the results (Scheider, Ostermann and Adams, 2017, p. 12). By completing these tasks, the project team will have the ability to discover any issues and resolve them.</w:t>
      </w:r>
    </w:p>
    <w:p w14:paraId="4BA42674" w14:textId="77777777" w:rsidR="001725FD" w:rsidRPr="00A828D4" w:rsidRDefault="001725FD" w:rsidP="001725FD">
      <w:pPr>
        <w:jc w:val="both"/>
        <w:rPr>
          <w:rFonts w:ascii="Arial" w:hAnsi="Arial" w:cs="Arial"/>
          <w:b/>
          <w:bCs/>
          <w:sz w:val="24"/>
          <w:szCs w:val="24"/>
        </w:rPr>
      </w:pPr>
      <w:r w:rsidRPr="00A828D4">
        <w:rPr>
          <w:rFonts w:ascii="Arial" w:hAnsi="Arial" w:cs="Arial"/>
          <w:b/>
          <w:bCs/>
          <w:sz w:val="24"/>
          <w:szCs w:val="24"/>
        </w:rPr>
        <w:t xml:space="preserve">Defining data requirements </w:t>
      </w:r>
    </w:p>
    <w:p w14:paraId="1D904A7F" w14:textId="77777777" w:rsidR="001725FD" w:rsidRDefault="001725FD" w:rsidP="001725FD">
      <w:pPr>
        <w:jc w:val="both"/>
        <w:rPr>
          <w:rFonts w:ascii="Arial" w:hAnsi="Arial" w:cs="Arial"/>
          <w:sz w:val="24"/>
          <w:szCs w:val="24"/>
        </w:rPr>
      </w:pPr>
      <w:r w:rsidRPr="00066005">
        <w:rPr>
          <w:rFonts w:ascii="Arial" w:hAnsi="Arial" w:cs="Arial"/>
          <w:sz w:val="24"/>
          <w:szCs w:val="24"/>
        </w:rPr>
        <w:t>Data capture for PPB will require a mixed method approach of both quantitative and qualitative data, with an emphasis on quantitative data (Table 1). Quantitative data will be required to capture data such as the DNA rates and CU. Qualitative data will be required to give the project more context (Flick, 2018, p. 5). The project may reduce the DNA rate but, PPB could contribute to patient and staff dissatisfaction. Likely leading to project failure, causing staff to find a workaround or patients not engaging (Cresswell et al., 2017, p. 547).</w:t>
      </w:r>
    </w:p>
    <w:p w14:paraId="60D9C89A" w14:textId="68D063C4" w:rsidR="001725FD" w:rsidRDefault="001725FD" w:rsidP="001725FD">
      <w:pPr>
        <w:jc w:val="center"/>
        <w:rPr>
          <w:rFonts w:ascii="Arial" w:hAnsi="Arial" w:cs="Arial"/>
          <w:b/>
          <w:bCs/>
          <w:sz w:val="24"/>
          <w:szCs w:val="24"/>
        </w:rPr>
      </w:pPr>
      <w:r>
        <w:rPr>
          <w:rFonts w:ascii="Arial" w:hAnsi="Arial" w:cs="Arial"/>
          <w:b/>
          <w:bCs/>
          <w:noProof/>
          <w:sz w:val="24"/>
          <w:szCs w:val="24"/>
        </w:rPr>
        <w:drawing>
          <wp:inline distT="0" distB="0" distL="0" distR="0" wp14:anchorId="0BFD8F07" wp14:editId="40D903B0">
            <wp:extent cx="5653377" cy="2787229"/>
            <wp:effectExtent l="0" t="0" r="5080" b="0"/>
            <wp:docPr id="47753673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36736" name="Picture 1" descr="A picture containing text, screenshot, font, numb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56437" cy="2788738"/>
                    </a:xfrm>
                    <a:prstGeom prst="rect">
                      <a:avLst/>
                    </a:prstGeom>
                  </pic:spPr>
                </pic:pic>
              </a:graphicData>
            </a:graphic>
          </wp:inline>
        </w:drawing>
      </w:r>
    </w:p>
    <w:p w14:paraId="33AF6685" w14:textId="77777777" w:rsidR="001725FD" w:rsidRPr="00A828D4" w:rsidRDefault="001725FD" w:rsidP="001725FD">
      <w:pPr>
        <w:rPr>
          <w:rFonts w:ascii="Arial" w:hAnsi="Arial" w:cs="Arial"/>
          <w:b/>
          <w:bCs/>
          <w:sz w:val="24"/>
          <w:szCs w:val="24"/>
          <w:u w:val="single"/>
        </w:rPr>
      </w:pPr>
      <w:r w:rsidRPr="00A828D4">
        <w:rPr>
          <w:rFonts w:ascii="Arial" w:hAnsi="Arial" w:cs="Arial"/>
          <w:b/>
          <w:bCs/>
          <w:sz w:val="24"/>
          <w:szCs w:val="24"/>
          <w:u w:val="single"/>
        </w:rPr>
        <w:lastRenderedPageBreak/>
        <w:t>Quantitative Data</w:t>
      </w:r>
      <w:r>
        <w:rPr>
          <w:rFonts w:ascii="Arial" w:hAnsi="Arial" w:cs="Arial"/>
          <w:b/>
          <w:bCs/>
          <w:sz w:val="24"/>
          <w:szCs w:val="24"/>
          <w:u w:val="single"/>
        </w:rPr>
        <w:t xml:space="preserve"> Collection</w:t>
      </w:r>
    </w:p>
    <w:p w14:paraId="6AFCC91E" w14:textId="77777777" w:rsidR="001725FD" w:rsidRPr="00C80B6E" w:rsidRDefault="001725FD" w:rsidP="001725FD">
      <w:pPr>
        <w:jc w:val="both"/>
        <w:rPr>
          <w:rFonts w:ascii="Arial" w:hAnsi="Arial" w:cs="Arial"/>
          <w:sz w:val="24"/>
          <w:szCs w:val="24"/>
        </w:rPr>
      </w:pPr>
      <w:r w:rsidRPr="00C80B6E">
        <w:rPr>
          <w:rFonts w:ascii="Arial" w:hAnsi="Arial" w:cs="Arial"/>
          <w:sz w:val="24"/>
          <w:szCs w:val="24"/>
        </w:rPr>
        <w:t xml:space="preserve">The aim of the project requires the capture of the DNA rate for </w:t>
      </w:r>
      <w:r>
        <w:rPr>
          <w:rFonts w:ascii="Arial" w:hAnsi="Arial" w:cs="Arial"/>
          <w:sz w:val="24"/>
          <w:szCs w:val="24"/>
        </w:rPr>
        <w:t>outpatient</w:t>
      </w:r>
      <w:r w:rsidRPr="00C80B6E">
        <w:rPr>
          <w:rFonts w:ascii="Arial" w:hAnsi="Arial" w:cs="Arial"/>
          <w:sz w:val="24"/>
          <w:szCs w:val="24"/>
        </w:rPr>
        <w:t xml:space="preserve"> appointments. </w:t>
      </w:r>
      <w:r>
        <w:rPr>
          <w:rFonts w:ascii="Arial" w:hAnsi="Arial" w:cs="Arial"/>
          <w:sz w:val="24"/>
          <w:szCs w:val="24"/>
        </w:rPr>
        <w:t>The project</w:t>
      </w:r>
      <w:r w:rsidRPr="00C80B6E">
        <w:rPr>
          <w:rFonts w:ascii="Arial" w:hAnsi="Arial" w:cs="Arial"/>
          <w:sz w:val="24"/>
          <w:szCs w:val="24"/>
        </w:rPr>
        <w:t xml:space="preserve"> can a</w:t>
      </w:r>
      <w:r>
        <w:rPr>
          <w:rFonts w:ascii="Arial" w:hAnsi="Arial" w:cs="Arial"/>
          <w:sz w:val="24"/>
          <w:szCs w:val="24"/>
        </w:rPr>
        <w:t xml:space="preserve">ccess </w:t>
      </w:r>
      <w:r w:rsidRPr="00C80B6E">
        <w:rPr>
          <w:rFonts w:ascii="Arial" w:hAnsi="Arial" w:cs="Arial"/>
          <w:sz w:val="24"/>
          <w:szCs w:val="24"/>
        </w:rPr>
        <w:t xml:space="preserve">this data, along with W/L times, RTT compliance and CU, through the oracle database within C&amp;VUHB. </w:t>
      </w:r>
      <w:r>
        <w:rPr>
          <w:rFonts w:ascii="Arial" w:hAnsi="Arial" w:cs="Arial"/>
          <w:sz w:val="24"/>
          <w:szCs w:val="24"/>
        </w:rPr>
        <w:t>D</w:t>
      </w:r>
      <w:r w:rsidRPr="00C80B6E">
        <w:rPr>
          <w:rFonts w:ascii="Arial" w:hAnsi="Arial" w:cs="Arial"/>
          <w:sz w:val="24"/>
          <w:szCs w:val="24"/>
        </w:rPr>
        <w:t xml:space="preserve">ata </w:t>
      </w:r>
      <w:r>
        <w:rPr>
          <w:rFonts w:ascii="Arial" w:hAnsi="Arial" w:cs="Arial"/>
          <w:sz w:val="24"/>
          <w:szCs w:val="24"/>
        </w:rPr>
        <w:t>can then</w:t>
      </w:r>
      <w:r w:rsidRPr="00C80B6E">
        <w:rPr>
          <w:rFonts w:ascii="Arial" w:hAnsi="Arial" w:cs="Arial"/>
          <w:sz w:val="24"/>
          <w:szCs w:val="24"/>
        </w:rPr>
        <w:t xml:space="preserve"> be captured prior to launch and continuously throughout to deliver robust results (Sun et al., 2017, p. 2).</w:t>
      </w:r>
    </w:p>
    <w:p w14:paraId="7EBC64B4" w14:textId="77777777" w:rsidR="001725FD" w:rsidRDefault="001725FD" w:rsidP="001725FD">
      <w:pPr>
        <w:jc w:val="both"/>
        <w:rPr>
          <w:rFonts w:ascii="Arial" w:hAnsi="Arial" w:cs="Arial"/>
          <w:sz w:val="24"/>
          <w:szCs w:val="24"/>
        </w:rPr>
      </w:pPr>
      <w:r w:rsidRPr="00C80B6E">
        <w:rPr>
          <w:rFonts w:ascii="Arial" w:hAnsi="Arial" w:cs="Arial"/>
          <w:sz w:val="24"/>
          <w:szCs w:val="24"/>
        </w:rPr>
        <w:t xml:space="preserve">The project will look to capture over a year's worth of data </w:t>
      </w:r>
      <w:r>
        <w:rPr>
          <w:rFonts w:ascii="Arial" w:hAnsi="Arial" w:cs="Arial"/>
          <w:sz w:val="24"/>
          <w:szCs w:val="24"/>
        </w:rPr>
        <w:t xml:space="preserve">and </w:t>
      </w:r>
      <w:r w:rsidRPr="00C80B6E">
        <w:rPr>
          <w:rFonts w:ascii="Arial" w:hAnsi="Arial" w:cs="Arial"/>
          <w:sz w:val="24"/>
          <w:szCs w:val="24"/>
        </w:rPr>
        <w:t xml:space="preserve">the project </w:t>
      </w:r>
      <w:r>
        <w:rPr>
          <w:rFonts w:ascii="Arial" w:hAnsi="Arial" w:cs="Arial"/>
          <w:sz w:val="24"/>
          <w:szCs w:val="24"/>
        </w:rPr>
        <w:t>can</w:t>
      </w:r>
      <w:r w:rsidRPr="00C80B6E">
        <w:rPr>
          <w:rFonts w:ascii="Arial" w:hAnsi="Arial" w:cs="Arial"/>
          <w:sz w:val="24"/>
          <w:szCs w:val="24"/>
        </w:rPr>
        <w:t xml:space="preserve"> look at seasonal trends, such as the Christmas period. Permitting the project to obtain an accurate and comprehensive picture of the existing situation (Vanzant Stern, 2019, p. 56). Seasonal trends, like the Christmas period, can have a major influence on outpatient appointments (Fig. 3). As the date and time of the appointment is one of the main reasons for a patient’s DNA (NHS England, 2023b).</w:t>
      </w:r>
    </w:p>
    <w:p w14:paraId="1C70414F" w14:textId="77777777" w:rsidR="001725FD" w:rsidRPr="00C80B6E" w:rsidRDefault="001725FD" w:rsidP="001725FD">
      <w:pPr>
        <w:jc w:val="both"/>
        <w:rPr>
          <w:rFonts w:ascii="Arial" w:hAnsi="Arial" w:cs="Arial"/>
          <w:sz w:val="24"/>
          <w:szCs w:val="24"/>
        </w:rPr>
      </w:pPr>
      <w:r>
        <w:rPr>
          <w:rFonts w:ascii="Arial" w:hAnsi="Arial" w:cs="Arial"/>
          <w:noProof/>
          <w:sz w:val="24"/>
          <w:szCs w:val="24"/>
        </w:rPr>
        <w:drawing>
          <wp:inline distT="0" distB="0" distL="0" distR="0" wp14:anchorId="47A79351" wp14:editId="02CB586E">
            <wp:extent cx="5731510" cy="4326255"/>
            <wp:effectExtent l="19050" t="19050" r="21590" b="17145"/>
            <wp:docPr id="7" name="Picture 7" descr="A picture containing text, font, handwrit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font, handwriting, lin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4326255"/>
                    </a:xfrm>
                    <a:prstGeom prst="rect">
                      <a:avLst/>
                    </a:prstGeom>
                    <a:ln>
                      <a:solidFill>
                        <a:schemeClr val="tx1"/>
                      </a:solidFill>
                    </a:ln>
                  </pic:spPr>
                </pic:pic>
              </a:graphicData>
            </a:graphic>
          </wp:inline>
        </w:drawing>
      </w:r>
    </w:p>
    <w:p w14:paraId="1986272D"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Seasonal trends can also affect slot availability, which can cause variance in data (Office for National Statistics, 2021), slot availability effects CU figures, W/L times and the DNA rate percentage. The project will also need to factor in appointment slot availability in data collection.</w:t>
      </w:r>
    </w:p>
    <w:p w14:paraId="4A99BB05"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Consideration needs to be taken for the number of W/L initiative clinics that are being held. As NHS trusts use W/L initiative clinics to reduce W/L times (Appleby, 2005, p. 5). This could skew the results to look better than they are. </w:t>
      </w:r>
    </w:p>
    <w:p w14:paraId="06A88836"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lastRenderedPageBreak/>
        <w:t>Data will need to be captured on the percentage of appointments in a clinic that PPB can book. The project must distinguish the impact PPB has on individual clinics.</w:t>
      </w:r>
    </w:p>
    <w:p w14:paraId="0A7E277C"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The project will capture the DNA rate for all appointment slots, not just PPB. This will enable the project to compare multiple booking methods and show potential benefits of PPB to these booking types. The project must be mindful of differing booking methods and Urgent Suspect Cancer (USC) appointments. USC appointment booking occurs by telephone and is booked with only a few days’ notice. This is a more labour-intensive booking method but can lead to a lower DNA rate.</w:t>
      </w:r>
    </w:p>
    <w:p w14:paraId="24BD6570"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The project will capture CU to confirm that the slots released by PPB are reutilised. This is to guarantee the project is not turning an appointment slot from a DNA to CNA, leading to continued wasted resources (NHS England, 2023a).</w:t>
      </w:r>
    </w:p>
    <w:p w14:paraId="10E945AB"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The project will also capture the CNA and reutilisation rate. Along with these two rates, the project will </w:t>
      </w:r>
      <w:r>
        <w:rPr>
          <w:rFonts w:ascii="Arial" w:hAnsi="Arial" w:cs="Arial"/>
          <w:sz w:val="24"/>
          <w:szCs w:val="24"/>
        </w:rPr>
        <w:t>monitor</w:t>
      </w:r>
      <w:r w:rsidRPr="00792FF4">
        <w:rPr>
          <w:rFonts w:ascii="Arial" w:hAnsi="Arial" w:cs="Arial"/>
          <w:sz w:val="24"/>
          <w:szCs w:val="24"/>
        </w:rPr>
        <w:t xml:space="preserve"> the number of days prior to the appointment the patient releases the appointment slot. </w:t>
      </w:r>
      <w:r>
        <w:rPr>
          <w:rFonts w:ascii="Arial" w:hAnsi="Arial" w:cs="Arial"/>
          <w:sz w:val="24"/>
          <w:szCs w:val="24"/>
        </w:rPr>
        <w:t>E</w:t>
      </w:r>
      <w:r w:rsidRPr="00792FF4">
        <w:rPr>
          <w:rFonts w:ascii="Arial" w:hAnsi="Arial" w:cs="Arial"/>
          <w:sz w:val="24"/>
          <w:szCs w:val="24"/>
        </w:rPr>
        <w:t>stablish</w:t>
      </w:r>
      <w:r>
        <w:rPr>
          <w:rFonts w:ascii="Arial" w:hAnsi="Arial" w:cs="Arial"/>
          <w:sz w:val="24"/>
          <w:szCs w:val="24"/>
        </w:rPr>
        <w:t>ing</w:t>
      </w:r>
      <w:r w:rsidRPr="00792FF4">
        <w:rPr>
          <w:rFonts w:ascii="Arial" w:hAnsi="Arial" w:cs="Arial"/>
          <w:sz w:val="24"/>
          <w:szCs w:val="24"/>
        </w:rPr>
        <w:t xml:space="preserve"> if </w:t>
      </w:r>
      <w:r>
        <w:rPr>
          <w:rFonts w:ascii="Arial" w:hAnsi="Arial" w:cs="Arial"/>
          <w:sz w:val="24"/>
          <w:szCs w:val="24"/>
        </w:rPr>
        <w:t xml:space="preserve">and when </w:t>
      </w:r>
      <w:r w:rsidRPr="00792FF4">
        <w:rPr>
          <w:rFonts w:ascii="Arial" w:hAnsi="Arial" w:cs="Arial"/>
          <w:sz w:val="24"/>
          <w:szCs w:val="24"/>
        </w:rPr>
        <w:t xml:space="preserve">the slots could have been reutilised. Other items to be captured include when C&amp;VUHB reutilised the slot after release and if the patient </w:t>
      </w:r>
      <w:r>
        <w:rPr>
          <w:rFonts w:ascii="Arial" w:hAnsi="Arial" w:cs="Arial"/>
          <w:sz w:val="24"/>
          <w:szCs w:val="24"/>
        </w:rPr>
        <w:t xml:space="preserve">has </w:t>
      </w:r>
      <w:r w:rsidRPr="00792FF4">
        <w:rPr>
          <w:rFonts w:ascii="Arial" w:hAnsi="Arial" w:cs="Arial"/>
          <w:sz w:val="24"/>
          <w:szCs w:val="24"/>
        </w:rPr>
        <w:t>confirmed prior to cancelling their appointment.</w:t>
      </w:r>
    </w:p>
    <w:p w14:paraId="60226BA3" w14:textId="77777777" w:rsidR="001725FD" w:rsidRPr="005139A4" w:rsidRDefault="001725FD" w:rsidP="001725FD">
      <w:pPr>
        <w:rPr>
          <w:rFonts w:ascii="Arial" w:hAnsi="Arial" w:cs="Arial"/>
          <w:b/>
          <w:sz w:val="24"/>
          <w:szCs w:val="24"/>
          <w:u w:val="single"/>
        </w:rPr>
      </w:pPr>
      <w:r>
        <w:rPr>
          <w:rFonts w:ascii="Arial" w:hAnsi="Arial" w:cs="Arial"/>
          <w:b/>
          <w:sz w:val="24"/>
          <w:szCs w:val="24"/>
          <w:u w:val="single"/>
        </w:rPr>
        <w:t xml:space="preserve">Quantitative </w:t>
      </w:r>
      <w:r w:rsidRPr="005139A4">
        <w:rPr>
          <w:rFonts w:ascii="Arial" w:hAnsi="Arial" w:cs="Arial"/>
          <w:b/>
          <w:sz w:val="24"/>
          <w:szCs w:val="24"/>
          <w:u w:val="single"/>
        </w:rPr>
        <w:t>Analysis</w:t>
      </w:r>
    </w:p>
    <w:p w14:paraId="23884719"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Analysis of the quantitative data will establish </w:t>
      </w:r>
      <w:r>
        <w:rPr>
          <w:rFonts w:ascii="Arial" w:hAnsi="Arial" w:cs="Arial"/>
          <w:sz w:val="24"/>
          <w:szCs w:val="24"/>
        </w:rPr>
        <w:t xml:space="preserve">the </w:t>
      </w:r>
      <w:r w:rsidRPr="00792FF4">
        <w:rPr>
          <w:rFonts w:ascii="Arial" w:hAnsi="Arial" w:cs="Arial"/>
          <w:sz w:val="24"/>
          <w:szCs w:val="24"/>
        </w:rPr>
        <w:t>project a logical foundation of solution</w:t>
      </w:r>
      <w:r>
        <w:rPr>
          <w:rFonts w:ascii="Arial" w:hAnsi="Arial" w:cs="Arial"/>
          <w:sz w:val="24"/>
          <w:szCs w:val="24"/>
        </w:rPr>
        <w:t xml:space="preserve"> </w:t>
      </w:r>
      <w:r w:rsidRPr="00792FF4">
        <w:rPr>
          <w:rFonts w:ascii="Arial" w:hAnsi="Arial" w:cs="Arial"/>
          <w:sz w:val="24"/>
          <w:szCs w:val="24"/>
        </w:rPr>
        <w:t>outcomes (Vanzant Stern, 2019, p. 75). The project team will display the analysed information in charts and graphs, as it makes it easier to understand and visualise when presenting data (Vanzant Stern, 2019, p. 75).</w:t>
      </w:r>
    </w:p>
    <w:p w14:paraId="3E1C5FBA" w14:textId="77777777" w:rsidR="001725FD" w:rsidRPr="00552D5B" w:rsidRDefault="001725FD" w:rsidP="001725FD">
      <w:pPr>
        <w:rPr>
          <w:rFonts w:ascii="Arial" w:hAnsi="Arial" w:cs="Arial"/>
          <w:b/>
          <w:sz w:val="24"/>
          <w:szCs w:val="24"/>
        </w:rPr>
      </w:pPr>
      <w:r w:rsidRPr="00552D5B">
        <w:rPr>
          <w:rFonts w:ascii="Arial" w:hAnsi="Arial" w:cs="Arial"/>
          <w:b/>
          <w:sz w:val="24"/>
          <w:szCs w:val="24"/>
        </w:rPr>
        <w:t>Statistical Process Control</w:t>
      </w:r>
    </w:p>
    <w:p w14:paraId="61912DA6"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One way the project will analyse quantitative data is by using Statistical Process Control (SPC). SPC is a technique for analysing data from time-series graphs. It facilitates understanding of variation and guides the project in choosing the optimal course of action (NHS England, 2019).</w:t>
      </w:r>
      <w:r>
        <w:rPr>
          <w:rFonts w:ascii="Arial" w:hAnsi="Arial" w:cs="Arial"/>
          <w:sz w:val="24"/>
          <w:szCs w:val="24"/>
        </w:rPr>
        <w:t xml:space="preserve"> T</w:t>
      </w:r>
      <w:r w:rsidRPr="00792FF4">
        <w:rPr>
          <w:rFonts w:ascii="Arial" w:hAnsi="Arial" w:cs="Arial"/>
          <w:sz w:val="24"/>
          <w:szCs w:val="24"/>
        </w:rPr>
        <w:t>he project will be able to determine whether there is a link between the deployment of PPB and a significant decline in DNA rates over time</w:t>
      </w:r>
      <w:r>
        <w:rPr>
          <w:rFonts w:ascii="Arial" w:hAnsi="Arial" w:cs="Arial"/>
          <w:sz w:val="24"/>
          <w:szCs w:val="24"/>
        </w:rPr>
        <w:t>,</w:t>
      </w:r>
      <w:r w:rsidRPr="00792FF4">
        <w:rPr>
          <w:rFonts w:ascii="Arial" w:hAnsi="Arial" w:cs="Arial"/>
          <w:sz w:val="24"/>
          <w:szCs w:val="24"/>
        </w:rPr>
        <w:t xml:space="preserve"> through time-series analysis (Shin, 2017, p. 10).</w:t>
      </w:r>
    </w:p>
    <w:p w14:paraId="1991134C"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The wide use of SPC charts is mostly for sequential process monitoring (Qui, 2018, p. 49). SPC is a useful tool since it provides up-to-date information to aid in making prompt decisions (Fretheim and Tomic, 2015, p. 748). Fig. 4 shows an example of SPC which could be useful to presenting the DNA rate for PPB.</w:t>
      </w:r>
    </w:p>
    <w:p w14:paraId="6D9E03DA" w14:textId="77777777" w:rsidR="001725FD" w:rsidRPr="00FB66A9" w:rsidRDefault="001725FD" w:rsidP="001725FD">
      <w:pPr>
        <w:jc w:val="center"/>
        <w:rPr>
          <w:rFonts w:ascii="Arial" w:hAnsi="Arial" w:cs="Arial"/>
          <w:b/>
          <w:bCs/>
          <w:sz w:val="24"/>
          <w:szCs w:val="24"/>
        </w:rPr>
      </w:pPr>
      <w:r>
        <w:rPr>
          <w:rFonts w:ascii="Arial" w:hAnsi="Arial" w:cs="Arial"/>
          <w:b/>
          <w:bCs/>
          <w:noProof/>
          <w:sz w:val="24"/>
          <w:szCs w:val="24"/>
        </w:rPr>
        <w:lastRenderedPageBreak/>
        <w:drawing>
          <wp:inline distT="0" distB="0" distL="0" distR="0" wp14:anchorId="4E0C2ACF" wp14:editId="43D31F8B">
            <wp:extent cx="5658640" cy="4229690"/>
            <wp:effectExtent l="0" t="0" r="0" b="0"/>
            <wp:docPr id="10" name="Picture 10"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line, 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58640" cy="4229690"/>
                    </a:xfrm>
                    <a:prstGeom prst="rect">
                      <a:avLst/>
                    </a:prstGeom>
                  </pic:spPr>
                </pic:pic>
              </a:graphicData>
            </a:graphic>
          </wp:inline>
        </w:drawing>
      </w:r>
    </w:p>
    <w:p w14:paraId="6206B9B4" w14:textId="77777777" w:rsidR="001725FD" w:rsidRDefault="001725FD" w:rsidP="001725FD">
      <w:pPr>
        <w:jc w:val="both"/>
        <w:rPr>
          <w:rFonts w:ascii="Arial" w:hAnsi="Arial" w:cs="Arial"/>
          <w:sz w:val="24"/>
          <w:szCs w:val="24"/>
        </w:rPr>
      </w:pPr>
      <w:r w:rsidRPr="009A543C">
        <w:rPr>
          <w:rFonts w:ascii="Arial" w:hAnsi="Arial" w:cs="Arial"/>
          <w:sz w:val="24"/>
          <w:szCs w:val="24"/>
        </w:rPr>
        <w:t xml:space="preserve">The benefit of SPC is that SPC graphs can show whether a process is subject to common cause variation or special cause variation (Connelly, 2018, p. 332). </w:t>
      </w:r>
    </w:p>
    <w:p w14:paraId="370F23CE" w14:textId="77777777" w:rsidR="001725FD" w:rsidRPr="009A543C" w:rsidRDefault="001725FD" w:rsidP="001725FD">
      <w:pPr>
        <w:jc w:val="both"/>
        <w:rPr>
          <w:rFonts w:ascii="Arial" w:hAnsi="Arial" w:cs="Arial"/>
          <w:sz w:val="24"/>
          <w:szCs w:val="24"/>
        </w:rPr>
      </w:pPr>
      <w:r>
        <w:rPr>
          <w:rFonts w:ascii="Arial" w:hAnsi="Arial" w:cs="Arial"/>
          <w:sz w:val="24"/>
          <w:szCs w:val="24"/>
        </w:rPr>
        <w:t xml:space="preserve">A disadvantage of using SPC as </w:t>
      </w:r>
      <w:r w:rsidRPr="009A543C">
        <w:rPr>
          <w:rFonts w:ascii="Arial" w:hAnsi="Arial" w:cs="Arial"/>
          <w:sz w:val="24"/>
          <w:szCs w:val="24"/>
        </w:rPr>
        <w:t>Qui (2018) notes</w:t>
      </w:r>
      <w:r>
        <w:rPr>
          <w:rFonts w:ascii="Arial" w:hAnsi="Arial" w:cs="Arial"/>
          <w:sz w:val="24"/>
          <w:szCs w:val="24"/>
        </w:rPr>
        <w:t>, is</w:t>
      </w:r>
      <w:r w:rsidRPr="009A543C">
        <w:rPr>
          <w:rFonts w:ascii="Arial" w:hAnsi="Arial" w:cs="Arial"/>
          <w:sz w:val="24"/>
          <w:szCs w:val="24"/>
        </w:rPr>
        <w:t xml:space="preserve"> that one must adequately adjust or generalise conventional SPC charts when the data structure grows more complex to remain relevant. SPC also </w:t>
      </w:r>
      <w:r>
        <w:rPr>
          <w:rFonts w:ascii="Arial" w:hAnsi="Arial" w:cs="Arial"/>
          <w:sz w:val="24"/>
          <w:szCs w:val="24"/>
        </w:rPr>
        <w:t xml:space="preserve">ignores </w:t>
      </w:r>
      <w:r w:rsidRPr="009A543C">
        <w:rPr>
          <w:rFonts w:ascii="Arial" w:hAnsi="Arial" w:cs="Arial"/>
          <w:sz w:val="24"/>
          <w:szCs w:val="24"/>
        </w:rPr>
        <w:t>secular trends like the holiday season, which has the potential to produce incorrect findings with the DNA rate (Fretheim and Tomic, 2015, p. 749). The project will need to reduce or eliminate seasonal trends when analysing data (McDowall, McCleary and Bartos, 2021, p. 44). Therefore, alternative methods of analysis will be required.</w:t>
      </w:r>
    </w:p>
    <w:p w14:paraId="57224B18" w14:textId="77777777" w:rsidR="001725FD" w:rsidRPr="00552D5B" w:rsidRDefault="001725FD" w:rsidP="001725FD">
      <w:pPr>
        <w:rPr>
          <w:rFonts w:ascii="Arial" w:hAnsi="Arial" w:cs="Arial"/>
          <w:b/>
          <w:sz w:val="24"/>
          <w:szCs w:val="24"/>
        </w:rPr>
      </w:pPr>
      <w:r w:rsidRPr="00552D5B">
        <w:rPr>
          <w:rFonts w:ascii="Arial" w:hAnsi="Arial" w:cs="Arial"/>
          <w:b/>
          <w:sz w:val="24"/>
          <w:szCs w:val="24"/>
        </w:rPr>
        <w:t>Interrupted Time Series</w:t>
      </w:r>
    </w:p>
    <w:p w14:paraId="59A7A9FD" w14:textId="77777777" w:rsidR="001725FD" w:rsidRPr="009A543C" w:rsidRDefault="001725FD" w:rsidP="001725FD">
      <w:pPr>
        <w:jc w:val="both"/>
        <w:rPr>
          <w:rFonts w:ascii="Arial" w:hAnsi="Arial" w:cs="Arial"/>
          <w:sz w:val="24"/>
          <w:szCs w:val="24"/>
        </w:rPr>
      </w:pPr>
      <w:r w:rsidRPr="009A543C">
        <w:rPr>
          <w:rFonts w:ascii="Arial" w:hAnsi="Arial" w:cs="Arial"/>
          <w:sz w:val="24"/>
          <w:szCs w:val="24"/>
        </w:rPr>
        <w:t>Within Interrupted Time Series (ITS</w:t>
      </w:r>
      <w:r>
        <w:rPr>
          <w:rFonts w:ascii="Arial" w:hAnsi="Arial" w:cs="Arial"/>
          <w:sz w:val="24"/>
          <w:szCs w:val="24"/>
        </w:rPr>
        <w:t>)</w:t>
      </w:r>
      <w:r w:rsidRPr="009A543C">
        <w:rPr>
          <w:rFonts w:ascii="Arial" w:hAnsi="Arial" w:cs="Arial"/>
          <w:sz w:val="24"/>
          <w:szCs w:val="24"/>
        </w:rPr>
        <w:t>, there are three methods available to deal with seasonal trends. These are: causal modelling, de</w:t>
      </w:r>
      <w:r>
        <w:rPr>
          <w:rFonts w:ascii="Arial" w:hAnsi="Arial" w:cs="Arial"/>
          <w:sz w:val="24"/>
          <w:szCs w:val="24"/>
        </w:rPr>
        <w:t>-</w:t>
      </w:r>
      <w:r w:rsidRPr="009A543C">
        <w:rPr>
          <w:rFonts w:ascii="Arial" w:hAnsi="Arial" w:cs="Arial"/>
          <w:sz w:val="24"/>
          <w:szCs w:val="24"/>
        </w:rPr>
        <w:t xml:space="preserve">seasonalisation, and ARIMA modelling (McDowall, McCleary and Bartos, 2021, p. 44). </w:t>
      </w:r>
      <w:r>
        <w:rPr>
          <w:rFonts w:ascii="Arial" w:hAnsi="Arial" w:cs="Arial"/>
          <w:sz w:val="24"/>
          <w:szCs w:val="24"/>
        </w:rPr>
        <w:t>T</w:t>
      </w:r>
      <w:r w:rsidRPr="009A543C">
        <w:rPr>
          <w:rFonts w:ascii="Arial" w:hAnsi="Arial" w:cs="Arial"/>
          <w:sz w:val="24"/>
          <w:szCs w:val="24"/>
        </w:rPr>
        <w:t>he “best” way to handle seasonal trends is to use causal modelling (McDowall, McCleary and Bartos, 2021, p. 44).</w:t>
      </w:r>
    </w:p>
    <w:p w14:paraId="103139B0" w14:textId="364612B7" w:rsidR="001725FD" w:rsidRPr="009A543C" w:rsidRDefault="00A764F8" w:rsidP="001725FD">
      <w:pPr>
        <w:jc w:val="both"/>
        <w:rPr>
          <w:rFonts w:ascii="Arial" w:hAnsi="Arial" w:cs="Arial"/>
          <w:sz w:val="24"/>
          <w:szCs w:val="24"/>
        </w:rPr>
      </w:pPr>
      <w:r w:rsidRPr="00A764F8">
        <w:rPr>
          <w:rFonts w:ascii="Arial" w:hAnsi="Arial" w:cs="Arial"/>
          <w:sz w:val="24"/>
          <w:szCs w:val="24"/>
        </w:rPr>
        <w:t xml:space="preserve">Additionally, ITS uses the data to compare levels and patterns immediately preceding and following an intervention. </w:t>
      </w:r>
      <w:r w:rsidR="001725FD" w:rsidRPr="009A543C">
        <w:rPr>
          <w:rFonts w:ascii="Arial" w:hAnsi="Arial" w:cs="Arial"/>
          <w:sz w:val="24"/>
          <w:szCs w:val="24"/>
        </w:rPr>
        <w:t>(Fig. 5) (Fretheim and Tomic, 2015, p. 749). Meaning that regular data collection before and after the intervention is a requirement (Office for Health Improvement and Disparities, 2020).</w:t>
      </w:r>
    </w:p>
    <w:p w14:paraId="4B7EC232" w14:textId="77777777" w:rsidR="001725FD" w:rsidRPr="001714AB" w:rsidRDefault="001725FD" w:rsidP="001725FD">
      <w:pPr>
        <w:rPr>
          <w:rFonts w:ascii="Arial" w:hAnsi="Arial" w:cs="Arial"/>
          <w:b/>
          <w:bCs/>
          <w:sz w:val="24"/>
          <w:szCs w:val="24"/>
        </w:rPr>
      </w:pPr>
      <w:r>
        <w:rPr>
          <w:rFonts w:ascii="Arial" w:hAnsi="Arial" w:cs="Arial"/>
          <w:b/>
          <w:bCs/>
          <w:noProof/>
          <w:sz w:val="24"/>
          <w:szCs w:val="24"/>
        </w:rPr>
        <w:lastRenderedPageBreak/>
        <w:drawing>
          <wp:inline distT="0" distB="0" distL="0" distR="0" wp14:anchorId="156DE7E6" wp14:editId="34661236">
            <wp:extent cx="5731510" cy="4843780"/>
            <wp:effectExtent l="19050" t="19050" r="21590" b="13970"/>
            <wp:docPr id="81175450" name="Picture 2" descr="A picture containing text, map,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5450" name="Picture 2" descr="A picture containing text, map, diagram, screensho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843780"/>
                    </a:xfrm>
                    <a:prstGeom prst="rect">
                      <a:avLst/>
                    </a:prstGeom>
                    <a:ln>
                      <a:solidFill>
                        <a:schemeClr val="tx1"/>
                      </a:solidFill>
                    </a:ln>
                  </pic:spPr>
                </pic:pic>
              </a:graphicData>
            </a:graphic>
          </wp:inline>
        </w:drawing>
      </w:r>
    </w:p>
    <w:p w14:paraId="58ECC6EA" w14:textId="791670EE"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ITS will be beneficial to PPB as ITS can measure at least two time series against each other. </w:t>
      </w:r>
      <w:r>
        <w:rPr>
          <w:rFonts w:ascii="Arial" w:hAnsi="Arial" w:cs="Arial"/>
          <w:sz w:val="24"/>
          <w:szCs w:val="24"/>
        </w:rPr>
        <w:t>T</w:t>
      </w:r>
      <w:r w:rsidRPr="00792FF4">
        <w:rPr>
          <w:rFonts w:ascii="Arial" w:hAnsi="Arial" w:cs="Arial"/>
          <w:sz w:val="24"/>
          <w:szCs w:val="24"/>
        </w:rPr>
        <w:t xml:space="preserve">he intervention given to one, while the untreated control </w:t>
      </w:r>
      <w:r>
        <w:rPr>
          <w:rFonts w:ascii="Arial" w:hAnsi="Arial" w:cs="Arial"/>
          <w:sz w:val="24"/>
          <w:szCs w:val="24"/>
        </w:rPr>
        <w:t xml:space="preserve">is </w:t>
      </w:r>
      <w:r w:rsidRPr="00792FF4">
        <w:rPr>
          <w:rFonts w:ascii="Arial" w:hAnsi="Arial" w:cs="Arial"/>
          <w:sz w:val="24"/>
          <w:szCs w:val="24"/>
        </w:rPr>
        <w:t xml:space="preserve">given to the other (Fig. 6) (McDowall, McCleary and Bartos, 2021, p. 4). This </w:t>
      </w:r>
      <w:r>
        <w:rPr>
          <w:rFonts w:ascii="Arial" w:hAnsi="Arial" w:cs="Arial"/>
          <w:sz w:val="24"/>
          <w:szCs w:val="24"/>
        </w:rPr>
        <w:t xml:space="preserve">provides </w:t>
      </w:r>
      <w:r w:rsidRPr="00792FF4">
        <w:rPr>
          <w:rFonts w:ascii="Arial" w:hAnsi="Arial" w:cs="Arial"/>
          <w:sz w:val="24"/>
          <w:szCs w:val="24"/>
        </w:rPr>
        <w:t>the control time series to create a link between the intervention and the impact by eliminating a common threat to its own validity (McDowall, McCleary and Bartos, 2021, p. 4). The project will benefit from this as it will enable a visual demonstration of the effect of PPB on the DNA rate against manual booking in the same clinics or specialities. Like how the project will use descriptive statistics to compare the DNA rates between PPB and other appointment booking methods by bivariate data (Hayes, 2023).</w:t>
      </w:r>
    </w:p>
    <w:p w14:paraId="0E97D52E" w14:textId="77777777" w:rsidR="001725FD" w:rsidRDefault="001725FD" w:rsidP="001725FD">
      <w:pPr>
        <w:jc w:val="both"/>
        <w:rPr>
          <w:rFonts w:ascii="Arial" w:hAnsi="Arial" w:cs="Arial"/>
          <w:sz w:val="24"/>
          <w:szCs w:val="24"/>
        </w:rPr>
      </w:pPr>
      <w:r>
        <w:rPr>
          <w:rFonts w:ascii="Arial" w:hAnsi="Arial" w:cs="Arial"/>
          <w:noProof/>
          <w:sz w:val="24"/>
          <w:szCs w:val="24"/>
        </w:rPr>
        <w:lastRenderedPageBreak/>
        <w:drawing>
          <wp:inline distT="0" distB="0" distL="0" distR="0" wp14:anchorId="4AD5692C" wp14:editId="7830A8BA">
            <wp:extent cx="5708115" cy="4068000"/>
            <wp:effectExtent l="0" t="0" r="0" b="0"/>
            <wp:docPr id="1782323253" name="Picture 1782323253"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23253" name="Picture 1782323253" descr="A picture containing text, screenshot, diagram, plo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08115" cy="4068000"/>
                    </a:xfrm>
                    <a:prstGeom prst="rect">
                      <a:avLst/>
                    </a:prstGeom>
                    <a:noFill/>
                    <a:ln>
                      <a:noFill/>
                    </a:ln>
                  </pic:spPr>
                </pic:pic>
              </a:graphicData>
            </a:graphic>
          </wp:inline>
        </w:drawing>
      </w:r>
    </w:p>
    <w:p w14:paraId="71D9F4D7" w14:textId="77777777" w:rsidR="001725FD" w:rsidRPr="00552D5B" w:rsidRDefault="001725FD" w:rsidP="001725FD">
      <w:pPr>
        <w:rPr>
          <w:rFonts w:ascii="Arial" w:hAnsi="Arial" w:cs="Arial"/>
          <w:b/>
          <w:sz w:val="24"/>
          <w:szCs w:val="24"/>
        </w:rPr>
      </w:pPr>
      <w:r w:rsidRPr="00552D5B">
        <w:rPr>
          <w:rFonts w:ascii="Arial" w:hAnsi="Arial" w:cs="Arial"/>
          <w:b/>
          <w:sz w:val="24"/>
          <w:szCs w:val="24"/>
        </w:rPr>
        <w:t>SPSS</w:t>
      </w:r>
    </w:p>
    <w:p w14:paraId="5192BF9C" w14:textId="77777777" w:rsidR="001725FD" w:rsidRPr="009A543C" w:rsidRDefault="001725FD" w:rsidP="001725FD">
      <w:pPr>
        <w:jc w:val="both"/>
        <w:rPr>
          <w:rFonts w:ascii="Arial" w:hAnsi="Arial" w:cs="Arial"/>
          <w:sz w:val="24"/>
          <w:szCs w:val="24"/>
        </w:rPr>
      </w:pPr>
      <w:r w:rsidRPr="009A543C">
        <w:rPr>
          <w:rFonts w:ascii="Arial" w:hAnsi="Arial" w:cs="Arial"/>
          <w:sz w:val="24"/>
          <w:szCs w:val="24"/>
        </w:rPr>
        <w:t xml:space="preserve">Other methods to analyse the quantitative data will include the use of SPSS. SPSS is a user-friendly piece of software that is a superb data-management tool (Byrne, 2002, p. 96). Advantages of SPSS are that you can use it to explore and summarise the data (Byrne, 2002, p. 96). Through exploration, the project can reorder the data in a way that makes it possible to spot significant patterns (Byrne, 2002, p. 97). </w:t>
      </w:r>
      <w:r>
        <w:rPr>
          <w:rFonts w:ascii="Arial" w:hAnsi="Arial" w:cs="Arial"/>
          <w:sz w:val="24"/>
          <w:szCs w:val="24"/>
        </w:rPr>
        <w:t>Having r</w:t>
      </w:r>
      <w:r w:rsidRPr="009A543C">
        <w:rPr>
          <w:rFonts w:ascii="Arial" w:hAnsi="Arial" w:cs="Arial"/>
          <w:sz w:val="24"/>
          <w:szCs w:val="24"/>
        </w:rPr>
        <w:t xml:space="preserve">esults then being able to be shown using graphical representations, </w:t>
      </w:r>
      <w:r>
        <w:rPr>
          <w:rFonts w:ascii="Arial" w:hAnsi="Arial" w:cs="Arial"/>
          <w:sz w:val="24"/>
          <w:szCs w:val="24"/>
        </w:rPr>
        <w:t>this creates</w:t>
      </w:r>
      <w:r w:rsidRPr="009A543C">
        <w:rPr>
          <w:rFonts w:ascii="Arial" w:hAnsi="Arial" w:cs="Arial"/>
          <w:sz w:val="24"/>
          <w:szCs w:val="24"/>
        </w:rPr>
        <w:t xml:space="preserve"> an easier understanding when analysing the data (Byrne, 2002, p. 97). The graphical representation can include items such as histograms, bar charts, line graphs, scatterplots, and boxplots (Fig. 7) (Pallant. 2010, p. 66).</w:t>
      </w:r>
    </w:p>
    <w:p w14:paraId="05CDA5E8" w14:textId="77777777" w:rsidR="001725FD" w:rsidRDefault="001725FD" w:rsidP="001725FD">
      <w:pPr>
        <w:jc w:val="center"/>
        <w:rPr>
          <w:rFonts w:ascii="Arial" w:hAnsi="Arial" w:cs="Arial"/>
          <w:b/>
          <w:bCs/>
          <w:sz w:val="24"/>
          <w:szCs w:val="24"/>
        </w:rPr>
      </w:pPr>
    </w:p>
    <w:p w14:paraId="3D626DC7" w14:textId="77777777" w:rsidR="001725FD" w:rsidRPr="00B67007" w:rsidRDefault="001725FD" w:rsidP="001725FD">
      <w:pPr>
        <w:jc w:val="center"/>
        <w:rPr>
          <w:rFonts w:ascii="Arial" w:hAnsi="Arial" w:cs="Arial"/>
          <w:b/>
          <w:bCs/>
          <w:sz w:val="24"/>
          <w:szCs w:val="24"/>
        </w:rPr>
      </w:pPr>
      <w:r>
        <w:rPr>
          <w:rFonts w:ascii="Arial" w:hAnsi="Arial" w:cs="Arial"/>
          <w:b/>
          <w:bCs/>
          <w:noProof/>
          <w:sz w:val="24"/>
          <w:szCs w:val="24"/>
        </w:rPr>
        <w:lastRenderedPageBreak/>
        <w:drawing>
          <wp:inline distT="0" distB="0" distL="0" distR="0" wp14:anchorId="7DC5EF69" wp14:editId="2D7E9B7D">
            <wp:extent cx="5731510" cy="4980940"/>
            <wp:effectExtent l="19050" t="19050" r="21590" b="10160"/>
            <wp:docPr id="1518426921" name="Picture 3" descr="A picture containing diagram, text, rectangl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26921" name="Picture 3" descr="A picture containing diagram, text, rectangle, pla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4980940"/>
                    </a:xfrm>
                    <a:prstGeom prst="rect">
                      <a:avLst/>
                    </a:prstGeom>
                    <a:ln>
                      <a:solidFill>
                        <a:schemeClr val="tx1"/>
                      </a:solidFill>
                    </a:ln>
                  </pic:spPr>
                </pic:pic>
              </a:graphicData>
            </a:graphic>
          </wp:inline>
        </w:drawing>
      </w:r>
    </w:p>
    <w:p w14:paraId="041A437D" w14:textId="78ADE590" w:rsidR="001725FD" w:rsidRDefault="001725FD" w:rsidP="001725FD">
      <w:pPr>
        <w:jc w:val="both"/>
        <w:rPr>
          <w:rFonts w:ascii="Arial" w:hAnsi="Arial" w:cs="Arial"/>
          <w:sz w:val="24"/>
          <w:szCs w:val="24"/>
        </w:rPr>
      </w:pPr>
      <w:r w:rsidRPr="00FC2969">
        <w:rPr>
          <w:rFonts w:ascii="Arial" w:hAnsi="Arial" w:cs="Arial"/>
          <w:sz w:val="24"/>
          <w:szCs w:val="24"/>
        </w:rPr>
        <w:t xml:space="preserve">Boxplots are a good graphical representation of several pieces of data on the same scale (Byrne, 2002, p. 97). </w:t>
      </w:r>
      <w:r>
        <w:rPr>
          <w:rFonts w:ascii="Arial" w:hAnsi="Arial" w:cs="Arial"/>
          <w:sz w:val="24"/>
          <w:szCs w:val="24"/>
        </w:rPr>
        <w:t>T</w:t>
      </w:r>
      <w:r w:rsidRPr="00FC2969">
        <w:rPr>
          <w:rFonts w:ascii="Arial" w:hAnsi="Arial" w:cs="Arial"/>
          <w:sz w:val="24"/>
          <w:szCs w:val="24"/>
        </w:rPr>
        <w:t>he project</w:t>
      </w:r>
      <w:r>
        <w:rPr>
          <w:rFonts w:ascii="Arial" w:hAnsi="Arial" w:cs="Arial"/>
          <w:sz w:val="24"/>
          <w:szCs w:val="24"/>
        </w:rPr>
        <w:t xml:space="preserve"> can</w:t>
      </w:r>
      <w:r w:rsidRPr="00FC2969">
        <w:rPr>
          <w:rFonts w:ascii="Arial" w:hAnsi="Arial" w:cs="Arial"/>
          <w:sz w:val="24"/>
          <w:szCs w:val="24"/>
        </w:rPr>
        <w:t xml:space="preserve"> partition the data like CU into distinct groups, </w:t>
      </w:r>
      <w:r>
        <w:rPr>
          <w:rFonts w:ascii="Arial" w:hAnsi="Arial" w:cs="Arial"/>
          <w:sz w:val="24"/>
          <w:szCs w:val="24"/>
        </w:rPr>
        <w:t>for example</w:t>
      </w:r>
      <w:r w:rsidRPr="00FC2969">
        <w:rPr>
          <w:rFonts w:ascii="Arial" w:hAnsi="Arial" w:cs="Arial"/>
          <w:sz w:val="24"/>
          <w:szCs w:val="24"/>
        </w:rPr>
        <w:t xml:space="preserve"> booking type (Pallant. 2010, p. 77). Another advantage of a boxplot within SPSS is </w:t>
      </w:r>
      <w:r>
        <w:rPr>
          <w:rFonts w:ascii="Arial" w:hAnsi="Arial" w:cs="Arial"/>
          <w:sz w:val="24"/>
          <w:szCs w:val="24"/>
        </w:rPr>
        <w:t xml:space="preserve">you can add </w:t>
      </w:r>
      <w:r w:rsidRPr="00FC2969">
        <w:rPr>
          <w:rFonts w:ascii="Arial" w:hAnsi="Arial" w:cs="Arial"/>
          <w:sz w:val="24"/>
          <w:szCs w:val="24"/>
        </w:rPr>
        <w:t>an additional variable, such as the appointment type, to be analysed (Pallant. 2010, p. 77), for greater understanding of the data and trends.</w:t>
      </w:r>
    </w:p>
    <w:p w14:paraId="7E9BBDDD" w14:textId="77777777" w:rsidR="001725FD" w:rsidRPr="00931A70" w:rsidRDefault="001725FD" w:rsidP="001725FD">
      <w:pPr>
        <w:jc w:val="both"/>
        <w:rPr>
          <w:rFonts w:ascii="Arial" w:hAnsi="Arial" w:cs="Arial"/>
          <w:b/>
          <w:sz w:val="24"/>
          <w:szCs w:val="24"/>
        </w:rPr>
      </w:pPr>
      <w:r w:rsidRPr="00931A70">
        <w:rPr>
          <w:rFonts w:ascii="Arial" w:hAnsi="Arial" w:cs="Arial"/>
          <w:b/>
          <w:sz w:val="24"/>
          <w:szCs w:val="24"/>
        </w:rPr>
        <w:t>Further Analysis</w:t>
      </w:r>
    </w:p>
    <w:p w14:paraId="37CFD4FA"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The project will use regression analysis in the project to </w:t>
      </w:r>
      <w:r>
        <w:rPr>
          <w:rFonts w:ascii="Arial" w:hAnsi="Arial" w:cs="Arial"/>
          <w:sz w:val="24"/>
          <w:szCs w:val="24"/>
        </w:rPr>
        <w:t>measure</w:t>
      </w:r>
      <w:r w:rsidRPr="00792FF4">
        <w:rPr>
          <w:rFonts w:ascii="Arial" w:hAnsi="Arial" w:cs="Arial"/>
          <w:sz w:val="24"/>
          <w:szCs w:val="24"/>
        </w:rPr>
        <w:t xml:space="preserve"> the association between PPB usage and DNA rates</w:t>
      </w:r>
      <w:r>
        <w:rPr>
          <w:rFonts w:ascii="Arial" w:hAnsi="Arial" w:cs="Arial"/>
          <w:sz w:val="24"/>
          <w:szCs w:val="24"/>
        </w:rPr>
        <w:t>,</w:t>
      </w:r>
      <w:r w:rsidRPr="00792FF4">
        <w:rPr>
          <w:rFonts w:ascii="Arial" w:hAnsi="Arial" w:cs="Arial"/>
          <w:sz w:val="24"/>
          <w:szCs w:val="24"/>
        </w:rPr>
        <w:t xml:space="preserve"> whil</w:t>
      </w:r>
      <w:r>
        <w:rPr>
          <w:rFonts w:ascii="Arial" w:hAnsi="Arial" w:cs="Arial"/>
          <w:sz w:val="24"/>
          <w:szCs w:val="24"/>
        </w:rPr>
        <w:t>st</w:t>
      </w:r>
      <w:r w:rsidRPr="00792FF4">
        <w:rPr>
          <w:rFonts w:ascii="Arial" w:hAnsi="Arial" w:cs="Arial"/>
          <w:sz w:val="24"/>
          <w:szCs w:val="24"/>
        </w:rPr>
        <w:t xml:space="preserve"> accounting for various confounding factors (Madecraft and Buscha, 2022).</w:t>
      </w:r>
    </w:p>
    <w:p w14:paraId="3B2A40E1"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The project will also look to use a cost benefit analysis. By comparing the anticipated or predicted costs and benefits connected with PPB, the project will assess whether it makes sense from a business point of view to continue with PPB (Stobierski, 2019).</w:t>
      </w:r>
    </w:p>
    <w:p w14:paraId="5F07CB35" w14:textId="77777777" w:rsidR="001725FD" w:rsidRDefault="001725FD" w:rsidP="001725FD">
      <w:pPr>
        <w:rPr>
          <w:rFonts w:ascii="Arial" w:hAnsi="Arial" w:cs="Arial"/>
          <w:b/>
          <w:bCs/>
          <w:sz w:val="24"/>
          <w:szCs w:val="24"/>
          <w:u w:val="single"/>
        </w:rPr>
      </w:pPr>
    </w:p>
    <w:p w14:paraId="490B976E" w14:textId="77777777" w:rsidR="001725FD" w:rsidRDefault="001725FD" w:rsidP="001725FD">
      <w:pPr>
        <w:rPr>
          <w:rFonts w:ascii="Arial" w:hAnsi="Arial" w:cs="Arial"/>
          <w:b/>
          <w:bCs/>
          <w:sz w:val="24"/>
          <w:szCs w:val="24"/>
          <w:u w:val="single"/>
        </w:rPr>
      </w:pPr>
    </w:p>
    <w:p w14:paraId="5CBD355F" w14:textId="77777777" w:rsidR="001725FD" w:rsidRDefault="001725FD" w:rsidP="001725FD">
      <w:pPr>
        <w:rPr>
          <w:rFonts w:ascii="Arial" w:hAnsi="Arial" w:cs="Arial"/>
          <w:b/>
          <w:bCs/>
          <w:sz w:val="24"/>
          <w:szCs w:val="24"/>
          <w:u w:val="single"/>
        </w:rPr>
      </w:pPr>
    </w:p>
    <w:p w14:paraId="61B55241" w14:textId="77777777" w:rsidR="001725FD" w:rsidRPr="00A828D4" w:rsidRDefault="001725FD" w:rsidP="001725FD">
      <w:pPr>
        <w:rPr>
          <w:rFonts w:ascii="Arial" w:hAnsi="Arial" w:cs="Arial"/>
          <w:b/>
          <w:bCs/>
          <w:sz w:val="24"/>
          <w:szCs w:val="24"/>
        </w:rPr>
      </w:pPr>
      <w:r w:rsidRPr="00A828D4">
        <w:rPr>
          <w:rFonts w:ascii="Arial" w:hAnsi="Arial" w:cs="Arial"/>
          <w:b/>
          <w:bCs/>
          <w:sz w:val="24"/>
          <w:szCs w:val="24"/>
          <w:u w:val="single"/>
        </w:rPr>
        <w:lastRenderedPageBreak/>
        <w:t>Qualitative Data</w:t>
      </w:r>
      <w:r>
        <w:rPr>
          <w:rFonts w:ascii="Arial" w:hAnsi="Arial" w:cs="Arial"/>
          <w:b/>
          <w:bCs/>
          <w:sz w:val="24"/>
          <w:szCs w:val="24"/>
          <w:u w:val="single"/>
        </w:rPr>
        <w:t xml:space="preserve"> Collection</w:t>
      </w:r>
    </w:p>
    <w:p w14:paraId="0421722A"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Qualitative data will be required to ascertain if the project has been successful in the redistribution of administrative time. Through surveys, work observations, and interviews with staff and management, the project will gather the qualitative data (Flick, 2014, p. 5).</w:t>
      </w:r>
    </w:p>
    <w:p w14:paraId="122573FA"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Interviews will occur to gage how staff and management feel about PPB, focus</w:t>
      </w:r>
      <w:r>
        <w:rPr>
          <w:rFonts w:ascii="Arial" w:hAnsi="Arial" w:cs="Arial"/>
          <w:sz w:val="24"/>
          <w:szCs w:val="24"/>
        </w:rPr>
        <w:t>ing</w:t>
      </w:r>
      <w:r w:rsidRPr="00E107C4">
        <w:rPr>
          <w:rFonts w:ascii="Arial" w:hAnsi="Arial" w:cs="Arial"/>
          <w:sz w:val="24"/>
          <w:szCs w:val="24"/>
        </w:rPr>
        <w:t xml:space="preserve"> on capturing words verbatim to help give the project greater insight into the interviewee’s thoughts (Yin, 2016, p. 166).</w:t>
      </w:r>
    </w:p>
    <w:p w14:paraId="41DEF292"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project will need to consider how certain questions will function in practise, how respondents will interpret them, and how they will probably react in the actual interview setting (Flick, 2018, p. 27). Therefore, it is vital that the project defines the questions well and pilot tests them when collecting qualitative data from administrative staff to ensure collection of the correct data from the administrative teams and managers that use PPB. Questions will concern the difficulties administrative teams experience when applying PPB, the advantages of PPB for administrative workers and potential areas for PPB enhancement.</w:t>
      </w:r>
    </w:p>
    <w:p w14:paraId="210CA016"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Observations will </w:t>
      </w:r>
      <w:r>
        <w:rPr>
          <w:rFonts w:ascii="Arial" w:hAnsi="Arial" w:cs="Arial"/>
          <w:sz w:val="24"/>
          <w:szCs w:val="24"/>
        </w:rPr>
        <w:t>assist</w:t>
      </w:r>
      <w:r w:rsidRPr="00E107C4">
        <w:rPr>
          <w:rFonts w:ascii="Arial" w:hAnsi="Arial" w:cs="Arial"/>
          <w:sz w:val="24"/>
          <w:szCs w:val="24"/>
        </w:rPr>
        <w:t xml:space="preserve"> </w:t>
      </w:r>
      <w:r>
        <w:rPr>
          <w:rFonts w:ascii="Arial" w:hAnsi="Arial" w:cs="Arial"/>
          <w:sz w:val="24"/>
          <w:szCs w:val="24"/>
        </w:rPr>
        <w:t xml:space="preserve">the </w:t>
      </w:r>
      <w:r w:rsidRPr="00E107C4">
        <w:rPr>
          <w:rFonts w:ascii="Arial" w:hAnsi="Arial" w:cs="Arial"/>
          <w:sz w:val="24"/>
          <w:szCs w:val="24"/>
        </w:rPr>
        <w:t xml:space="preserve">project </w:t>
      </w:r>
      <w:r>
        <w:rPr>
          <w:rFonts w:ascii="Arial" w:hAnsi="Arial" w:cs="Arial"/>
          <w:sz w:val="24"/>
          <w:szCs w:val="24"/>
        </w:rPr>
        <w:t>in</w:t>
      </w:r>
      <w:r w:rsidRPr="00E107C4">
        <w:rPr>
          <w:rFonts w:ascii="Arial" w:hAnsi="Arial" w:cs="Arial"/>
          <w:sz w:val="24"/>
          <w:szCs w:val="24"/>
        </w:rPr>
        <w:t xml:space="preserve"> collect</w:t>
      </w:r>
      <w:r>
        <w:rPr>
          <w:rFonts w:ascii="Arial" w:hAnsi="Arial" w:cs="Arial"/>
          <w:sz w:val="24"/>
          <w:szCs w:val="24"/>
        </w:rPr>
        <w:t>ing</w:t>
      </w:r>
      <w:r w:rsidRPr="00E107C4">
        <w:rPr>
          <w:rFonts w:ascii="Arial" w:hAnsi="Arial" w:cs="Arial"/>
          <w:sz w:val="24"/>
          <w:szCs w:val="24"/>
        </w:rPr>
        <w:t xml:space="preserve"> information on how long each task takes, how much work they leave at the end of each day and recognising the differences in atmospheres between each stage of the project (Flick, 2018, p. 323). </w:t>
      </w:r>
    </w:p>
    <w:p w14:paraId="7C6625AF" w14:textId="17D77865" w:rsidR="001725FD" w:rsidRPr="00E107C4" w:rsidRDefault="001725FD" w:rsidP="001725FD">
      <w:pPr>
        <w:jc w:val="both"/>
        <w:rPr>
          <w:rFonts w:ascii="Arial" w:hAnsi="Arial" w:cs="Arial"/>
          <w:sz w:val="28"/>
          <w:szCs w:val="24"/>
        </w:rPr>
      </w:pPr>
      <w:r w:rsidRPr="00E107C4">
        <w:rPr>
          <w:rFonts w:ascii="Arial" w:hAnsi="Arial" w:cs="Arial"/>
          <w:sz w:val="24"/>
          <w:szCs w:val="24"/>
        </w:rPr>
        <w:t xml:space="preserve">Capturing of qualitative data will occur prior to the launch of PPB and once fully operational. </w:t>
      </w:r>
      <w:r>
        <w:rPr>
          <w:rFonts w:ascii="Arial" w:hAnsi="Arial" w:cs="Arial"/>
          <w:sz w:val="24"/>
          <w:szCs w:val="24"/>
        </w:rPr>
        <w:t>The</w:t>
      </w:r>
      <w:r w:rsidRPr="00E107C4">
        <w:rPr>
          <w:rFonts w:ascii="Arial" w:hAnsi="Arial" w:cs="Arial"/>
          <w:sz w:val="24"/>
          <w:szCs w:val="24"/>
        </w:rPr>
        <w:t xml:space="preserve"> project </w:t>
      </w:r>
      <w:r>
        <w:rPr>
          <w:rFonts w:ascii="Arial" w:hAnsi="Arial" w:cs="Arial"/>
          <w:sz w:val="24"/>
          <w:szCs w:val="24"/>
        </w:rPr>
        <w:t>can then</w:t>
      </w:r>
      <w:r w:rsidRPr="00E107C4">
        <w:rPr>
          <w:rFonts w:ascii="Arial" w:hAnsi="Arial" w:cs="Arial"/>
          <w:sz w:val="24"/>
          <w:szCs w:val="24"/>
        </w:rPr>
        <w:t xml:space="preserve"> get a richer volume of data and acquire different perspectives on how PPB impacts on the distribution of work at different stages of the project (Flick, 2018, p. 243). </w:t>
      </w:r>
    </w:p>
    <w:p w14:paraId="75C0A587" w14:textId="77777777" w:rsidR="001725FD" w:rsidRDefault="001725FD" w:rsidP="001725FD">
      <w:pPr>
        <w:rPr>
          <w:rFonts w:ascii="Arial" w:hAnsi="Arial" w:cs="Arial"/>
          <w:b/>
          <w:bCs/>
          <w:sz w:val="24"/>
          <w:szCs w:val="24"/>
          <w:u w:val="single"/>
        </w:rPr>
      </w:pPr>
      <w:r w:rsidRPr="00A828D4">
        <w:rPr>
          <w:rFonts w:ascii="Arial" w:hAnsi="Arial" w:cs="Arial"/>
          <w:b/>
          <w:bCs/>
          <w:sz w:val="24"/>
          <w:szCs w:val="24"/>
          <w:u w:val="single"/>
        </w:rPr>
        <w:t xml:space="preserve">Qualitative </w:t>
      </w:r>
      <w:r w:rsidRPr="005139A4">
        <w:rPr>
          <w:rFonts w:ascii="Arial" w:hAnsi="Arial" w:cs="Arial"/>
          <w:b/>
          <w:bCs/>
          <w:sz w:val="24"/>
          <w:szCs w:val="24"/>
          <w:u w:val="single"/>
        </w:rPr>
        <w:t>Analysis</w:t>
      </w:r>
    </w:p>
    <w:p w14:paraId="7A9B2F17"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project will look to analyse the qualitative data by using a thematic analysis approach. The benefit of thematic analysis is that it will give PPB a way to organise and summarise the results of a broad and varied body of data (Pope, Mays and Popay, 2007, p. 97). It will give PPB the chance to dig deeper and find clearer meaning in terms of themes by looking beyond the words that participants have said during data collection (Shaheen, Gupta, and Prathap, 2019, p. 214).</w:t>
      </w:r>
    </w:p>
    <w:p w14:paraId="2E6A79B8"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To enable PPB to use thematic analysis, the project will need to format the qualitative data and separate the data into specific data sets for analysis (Yin, 2016, p. 192). T</w:t>
      </w:r>
      <w:r>
        <w:rPr>
          <w:rFonts w:ascii="Arial" w:hAnsi="Arial" w:cs="Arial"/>
          <w:sz w:val="24"/>
          <w:szCs w:val="24"/>
        </w:rPr>
        <w:t xml:space="preserve">hen </w:t>
      </w:r>
      <w:r w:rsidRPr="00E107C4">
        <w:rPr>
          <w:rFonts w:ascii="Arial" w:hAnsi="Arial" w:cs="Arial"/>
          <w:sz w:val="24"/>
          <w:szCs w:val="24"/>
        </w:rPr>
        <w:t xml:space="preserve">the project </w:t>
      </w:r>
      <w:r>
        <w:rPr>
          <w:rFonts w:ascii="Arial" w:hAnsi="Arial" w:cs="Arial"/>
          <w:sz w:val="24"/>
          <w:szCs w:val="24"/>
        </w:rPr>
        <w:t>can</w:t>
      </w:r>
      <w:r w:rsidRPr="00E107C4">
        <w:rPr>
          <w:rFonts w:ascii="Arial" w:hAnsi="Arial" w:cs="Arial"/>
          <w:sz w:val="24"/>
          <w:szCs w:val="24"/>
        </w:rPr>
        <w:t xml:space="preserve"> code identify themes within the data (Yin, 2016, p. 198).</w:t>
      </w:r>
    </w:p>
    <w:p w14:paraId="45CC6521"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Once discovery of themes is complete, the narratives that reflect staff experiences and points of view together with diagrams and other visual representations of key concepts will illustrate the qualitative data (Flick, 2014, p. 305).</w:t>
      </w:r>
    </w:p>
    <w:p w14:paraId="4D50824C" w14:textId="77777777" w:rsidR="001725FD" w:rsidRPr="00FC2969" w:rsidRDefault="001725FD" w:rsidP="001725FD">
      <w:pPr>
        <w:jc w:val="both"/>
        <w:rPr>
          <w:rFonts w:ascii="Arial" w:hAnsi="Arial" w:cs="Arial"/>
          <w:sz w:val="24"/>
          <w:szCs w:val="24"/>
        </w:rPr>
      </w:pPr>
      <w:r w:rsidRPr="00FC2969">
        <w:rPr>
          <w:rFonts w:ascii="Arial" w:hAnsi="Arial" w:cs="Arial"/>
          <w:sz w:val="24"/>
          <w:szCs w:val="24"/>
        </w:rPr>
        <w:t xml:space="preserve">Since thematic analysis is, in large part, a narrative technique, it can also manage quantitative as well as qualitative data (Pope, Mays and Popay, 2007, p. 97). This </w:t>
      </w:r>
      <w:r>
        <w:rPr>
          <w:rFonts w:ascii="Arial" w:hAnsi="Arial" w:cs="Arial"/>
          <w:sz w:val="24"/>
          <w:szCs w:val="24"/>
        </w:rPr>
        <w:t>will</w:t>
      </w:r>
      <w:r w:rsidRPr="00FC2969">
        <w:rPr>
          <w:rFonts w:ascii="Arial" w:hAnsi="Arial" w:cs="Arial"/>
          <w:sz w:val="24"/>
          <w:szCs w:val="24"/>
        </w:rPr>
        <w:t xml:space="preserve"> </w:t>
      </w:r>
      <w:r>
        <w:rPr>
          <w:rFonts w:ascii="Arial" w:hAnsi="Arial" w:cs="Arial"/>
          <w:sz w:val="24"/>
          <w:szCs w:val="24"/>
        </w:rPr>
        <w:t xml:space="preserve">permit </w:t>
      </w:r>
      <w:r w:rsidRPr="00FC2969">
        <w:rPr>
          <w:rFonts w:ascii="Arial" w:hAnsi="Arial" w:cs="Arial"/>
          <w:sz w:val="24"/>
          <w:szCs w:val="24"/>
        </w:rPr>
        <w:t xml:space="preserve">the project to use quantitative data, such as the time spent by </w:t>
      </w:r>
      <w:r>
        <w:rPr>
          <w:rFonts w:ascii="Arial" w:eastAsia="Times New Roman" w:hAnsi="Arial" w:cs="Arial"/>
          <w:sz w:val="24"/>
          <w:szCs w:val="24"/>
          <w:bdr w:val="none" w:sz="0" w:space="0" w:color="auto" w:frame="1"/>
        </w:rPr>
        <w:t xml:space="preserve">administrative staff </w:t>
      </w:r>
      <w:r w:rsidRPr="00440FA9">
        <w:rPr>
          <w:rFonts w:ascii="Arial" w:eastAsia="Times New Roman" w:hAnsi="Arial" w:cs="Arial"/>
          <w:sz w:val="24"/>
          <w:szCs w:val="24"/>
          <w:bdr w:val="none" w:sz="0" w:space="0" w:color="auto" w:frame="1"/>
        </w:rPr>
        <w:t xml:space="preserve">to perform appointment booking duties before and after </w:t>
      </w:r>
      <w:r>
        <w:rPr>
          <w:rFonts w:ascii="Arial" w:eastAsia="Times New Roman" w:hAnsi="Arial" w:cs="Arial"/>
          <w:sz w:val="24"/>
          <w:szCs w:val="24"/>
          <w:bdr w:val="none" w:sz="0" w:space="0" w:color="auto" w:frame="1"/>
        </w:rPr>
        <w:t xml:space="preserve">the implementation of </w:t>
      </w:r>
      <w:r w:rsidRPr="00440FA9">
        <w:rPr>
          <w:rFonts w:ascii="Arial" w:eastAsia="Times New Roman" w:hAnsi="Arial" w:cs="Arial"/>
          <w:sz w:val="24"/>
          <w:szCs w:val="24"/>
          <w:bdr w:val="none" w:sz="0" w:space="0" w:color="auto" w:frame="1"/>
        </w:rPr>
        <w:t xml:space="preserve">PPB, </w:t>
      </w:r>
      <w:r>
        <w:rPr>
          <w:rFonts w:ascii="Arial" w:eastAsia="Times New Roman" w:hAnsi="Arial" w:cs="Arial"/>
          <w:sz w:val="24"/>
          <w:szCs w:val="24"/>
          <w:bdr w:val="none" w:sz="0" w:space="0" w:color="auto" w:frame="1"/>
        </w:rPr>
        <w:t>such as a</w:t>
      </w:r>
      <w:r w:rsidRPr="00440FA9">
        <w:rPr>
          <w:rFonts w:ascii="Arial" w:eastAsia="Times New Roman" w:hAnsi="Arial" w:cs="Arial"/>
          <w:sz w:val="24"/>
          <w:szCs w:val="24"/>
          <w:bdr w:val="none" w:sz="0" w:space="0" w:color="auto" w:frame="1"/>
        </w:rPr>
        <w:t xml:space="preserve"> time-motion study</w:t>
      </w:r>
      <w:r>
        <w:rPr>
          <w:rFonts w:ascii="Arial" w:eastAsia="Times New Roman" w:hAnsi="Arial" w:cs="Arial"/>
          <w:sz w:val="24"/>
          <w:szCs w:val="24"/>
          <w:bdr w:val="none" w:sz="0" w:space="0" w:color="auto" w:frame="1"/>
        </w:rPr>
        <w:t xml:space="preserve"> (</w:t>
      </w:r>
      <w:r w:rsidRPr="003B1B13">
        <w:rPr>
          <w:rFonts w:ascii="Arial" w:hAnsi="Arial" w:cs="Arial"/>
          <w:sz w:val="24"/>
          <w:szCs w:val="24"/>
        </w:rPr>
        <w:t>Lopetegui</w:t>
      </w:r>
      <w:r>
        <w:rPr>
          <w:rFonts w:ascii="Arial" w:hAnsi="Arial" w:cs="Arial"/>
          <w:sz w:val="24"/>
          <w:szCs w:val="24"/>
        </w:rPr>
        <w:t>, 2014, p. 292).</w:t>
      </w:r>
    </w:p>
    <w:p w14:paraId="24A37940" w14:textId="77777777" w:rsidR="001725FD" w:rsidRPr="00A828D4" w:rsidRDefault="001725FD" w:rsidP="001725FD">
      <w:pPr>
        <w:rPr>
          <w:rFonts w:ascii="Arial" w:hAnsi="Arial" w:cs="Arial"/>
          <w:b/>
          <w:sz w:val="24"/>
          <w:szCs w:val="24"/>
          <w:u w:val="single"/>
        </w:rPr>
      </w:pPr>
      <w:r w:rsidRPr="00A828D4">
        <w:rPr>
          <w:rFonts w:ascii="Arial" w:hAnsi="Arial" w:cs="Arial"/>
          <w:b/>
          <w:sz w:val="24"/>
          <w:szCs w:val="24"/>
          <w:u w:val="single"/>
        </w:rPr>
        <w:lastRenderedPageBreak/>
        <w:t>Mixed Method Data Collection</w:t>
      </w:r>
    </w:p>
    <w:p w14:paraId="2E6F4559"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A mixed method approach involves the cooperation and integration of quantitative and qualitative methodologies (Oflazoglu and Oflazoglu, 2017). </w:t>
      </w:r>
      <w:r>
        <w:rPr>
          <w:rFonts w:ascii="Arial" w:hAnsi="Arial" w:cs="Arial"/>
          <w:sz w:val="24"/>
          <w:szCs w:val="24"/>
        </w:rPr>
        <w:t>T</w:t>
      </w:r>
      <w:r w:rsidRPr="00E107C4">
        <w:rPr>
          <w:rFonts w:ascii="Arial" w:hAnsi="Arial" w:cs="Arial"/>
          <w:sz w:val="24"/>
          <w:szCs w:val="24"/>
        </w:rPr>
        <w:t>he primary objective of the project</w:t>
      </w:r>
      <w:r>
        <w:rPr>
          <w:rFonts w:ascii="Arial" w:hAnsi="Arial" w:cs="Arial"/>
          <w:sz w:val="24"/>
          <w:szCs w:val="24"/>
        </w:rPr>
        <w:t xml:space="preserve"> is to</w:t>
      </w:r>
      <w:r w:rsidRPr="00E107C4">
        <w:rPr>
          <w:rFonts w:ascii="Arial" w:hAnsi="Arial" w:cs="Arial"/>
          <w:sz w:val="24"/>
          <w:szCs w:val="24"/>
        </w:rPr>
        <w:t xml:space="preserve"> direct the entire process formulated from the outset (Oflazoglu and Oflazoglu, 2017). For PPB, this is the link between the digital acceptance and improving patient satisfaction.</w:t>
      </w:r>
    </w:p>
    <w:p w14:paraId="7DC42A8A" w14:textId="2293A85F"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To </w:t>
      </w:r>
      <w:r>
        <w:rPr>
          <w:rFonts w:ascii="Arial" w:hAnsi="Arial" w:cs="Arial"/>
          <w:sz w:val="24"/>
          <w:szCs w:val="24"/>
        </w:rPr>
        <w:t>check</w:t>
      </w:r>
      <w:r w:rsidRPr="00E107C4">
        <w:rPr>
          <w:rFonts w:ascii="Arial" w:hAnsi="Arial" w:cs="Arial"/>
          <w:sz w:val="24"/>
          <w:szCs w:val="24"/>
        </w:rPr>
        <w:t xml:space="preserve"> patients are engaging with PPB, the project will capture the digital acceptance rate. This will include the number of login attempts, successful logins, and the number of confirms, cancellations and rebooks entered. These numbers will be further broken down to time attempted or actioned after PPB sent the digital message. Other captured data will include how many appointments reverted to a physical letter, sent a second invite letter, or responded to the text remind sent 10 days prior to appointment date. Data collected will also include how the patient responded. For example, did the patient respond digitally or did the patient use the automated telephone number or contact the ABC. </w:t>
      </w:r>
      <w:r>
        <w:rPr>
          <w:rFonts w:ascii="Arial" w:hAnsi="Arial" w:cs="Arial"/>
          <w:sz w:val="24"/>
          <w:szCs w:val="24"/>
        </w:rPr>
        <w:t>Additional</w:t>
      </w:r>
      <w:r w:rsidRPr="00E107C4">
        <w:rPr>
          <w:rFonts w:ascii="Arial" w:hAnsi="Arial" w:cs="Arial"/>
          <w:sz w:val="24"/>
          <w:szCs w:val="24"/>
        </w:rPr>
        <w:t xml:space="preserve"> items to consider include the number of patients who did not respond, responded too late, and those who did not respond but still turned up to the clinic for their appointment. The project will collect additional data on the number of patients using PPB and the average amount of time saved by patients when using PPB rather than phoning ABC.</w:t>
      </w:r>
    </w:p>
    <w:p w14:paraId="69A0EDB6"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The project will look to use secondary captured data on patient communication from the patient experience team. </w:t>
      </w:r>
      <w:r>
        <w:rPr>
          <w:rFonts w:ascii="Arial" w:hAnsi="Arial" w:cs="Arial"/>
          <w:sz w:val="24"/>
          <w:szCs w:val="24"/>
        </w:rPr>
        <w:t>They</w:t>
      </w:r>
      <w:r w:rsidRPr="00E107C4">
        <w:rPr>
          <w:rFonts w:ascii="Arial" w:hAnsi="Arial" w:cs="Arial"/>
          <w:sz w:val="24"/>
          <w:szCs w:val="24"/>
        </w:rPr>
        <w:t xml:space="preserve"> will capture data on patient communication questionnaires and surveys (Flick, 2014, p. 5). Fig. 8 shows an example of possible survey questions.</w:t>
      </w:r>
    </w:p>
    <w:p w14:paraId="5DCC4970" w14:textId="77777777" w:rsidR="001725FD" w:rsidRDefault="001725FD" w:rsidP="001725FD">
      <w:pPr>
        <w:rPr>
          <w:rFonts w:ascii="Arial" w:hAnsi="Arial" w:cs="Arial"/>
          <w:sz w:val="24"/>
          <w:szCs w:val="24"/>
        </w:rPr>
      </w:pPr>
      <w:r>
        <w:rPr>
          <w:rFonts w:ascii="Arial" w:hAnsi="Arial" w:cs="Arial"/>
          <w:noProof/>
          <w:sz w:val="24"/>
          <w:szCs w:val="24"/>
        </w:rPr>
        <w:lastRenderedPageBreak/>
        <w:drawing>
          <wp:inline distT="0" distB="0" distL="0" distR="0" wp14:anchorId="6D1FC620" wp14:editId="7700B0E8">
            <wp:extent cx="5544324" cy="7678222"/>
            <wp:effectExtent l="19050" t="19050" r="18415" b="1841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544324" cy="7678222"/>
                    </a:xfrm>
                    <a:prstGeom prst="rect">
                      <a:avLst/>
                    </a:prstGeom>
                    <a:ln>
                      <a:solidFill>
                        <a:schemeClr val="tx1"/>
                      </a:solidFill>
                    </a:ln>
                  </pic:spPr>
                </pic:pic>
              </a:graphicData>
            </a:graphic>
          </wp:inline>
        </w:drawing>
      </w:r>
    </w:p>
    <w:p w14:paraId="012A443A" w14:textId="77777777" w:rsidR="001725FD" w:rsidRPr="00005F48" w:rsidRDefault="001725FD" w:rsidP="001725FD">
      <w:pPr>
        <w:jc w:val="center"/>
        <w:rPr>
          <w:rFonts w:ascii="Arial" w:hAnsi="Arial" w:cs="Arial"/>
          <w:b/>
          <w:bCs/>
          <w:sz w:val="24"/>
          <w:szCs w:val="24"/>
        </w:rPr>
      </w:pPr>
      <w:r w:rsidRPr="00005F48">
        <w:rPr>
          <w:rFonts w:ascii="Arial" w:hAnsi="Arial" w:cs="Arial"/>
          <w:b/>
          <w:bCs/>
          <w:sz w:val="24"/>
          <w:szCs w:val="24"/>
        </w:rPr>
        <w:t>Fig. 8</w:t>
      </w:r>
    </w:p>
    <w:p w14:paraId="4D88262F" w14:textId="77777777" w:rsidR="001725FD" w:rsidRDefault="001725FD" w:rsidP="001725FD">
      <w:pPr>
        <w:rPr>
          <w:rFonts w:ascii="Arial" w:hAnsi="Arial" w:cs="Arial"/>
          <w:b/>
          <w:sz w:val="24"/>
          <w:szCs w:val="24"/>
          <w:u w:val="single"/>
        </w:rPr>
      </w:pPr>
    </w:p>
    <w:p w14:paraId="7B2DACFE" w14:textId="77777777" w:rsidR="001725FD" w:rsidRDefault="001725FD" w:rsidP="001725FD">
      <w:pPr>
        <w:rPr>
          <w:rFonts w:ascii="Arial" w:hAnsi="Arial" w:cs="Arial"/>
          <w:b/>
          <w:sz w:val="24"/>
          <w:szCs w:val="24"/>
          <w:u w:val="single"/>
        </w:rPr>
      </w:pPr>
    </w:p>
    <w:p w14:paraId="2252825D" w14:textId="77777777" w:rsidR="001725FD" w:rsidRPr="005139A4" w:rsidRDefault="001725FD" w:rsidP="001725FD">
      <w:pPr>
        <w:rPr>
          <w:rFonts w:ascii="Arial" w:hAnsi="Arial" w:cs="Arial"/>
          <w:b/>
          <w:sz w:val="24"/>
          <w:szCs w:val="24"/>
          <w:u w:val="single"/>
        </w:rPr>
      </w:pPr>
      <w:r>
        <w:rPr>
          <w:rFonts w:ascii="Arial" w:hAnsi="Arial" w:cs="Arial"/>
          <w:b/>
          <w:sz w:val="24"/>
          <w:szCs w:val="24"/>
          <w:u w:val="single"/>
        </w:rPr>
        <w:lastRenderedPageBreak/>
        <w:t xml:space="preserve">Mixed Method </w:t>
      </w:r>
      <w:r w:rsidRPr="005139A4">
        <w:rPr>
          <w:rFonts w:ascii="Arial" w:hAnsi="Arial" w:cs="Arial"/>
          <w:b/>
          <w:sz w:val="24"/>
          <w:szCs w:val="24"/>
          <w:u w:val="single"/>
        </w:rPr>
        <w:t>Analysis</w:t>
      </w:r>
    </w:p>
    <w:p w14:paraId="525FE773"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A mixed method analysis will offer the chance to give greater context to quantitative data. </w:t>
      </w:r>
      <w:r>
        <w:rPr>
          <w:rFonts w:ascii="Arial" w:hAnsi="Arial" w:cs="Arial"/>
          <w:sz w:val="24"/>
          <w:szCs w:val="24"/>
        </w:rPr>
        <w:t xml:space="preserve">Enabling </w:t>
      </w:r>
      <w:r w:rsidRPr="00E107C4">
        <w:rPr>
          <w:rFonts w:ascii="Arial" w:hAnsi="Arial" w:cs="Arial"/>
          <w:sz w:val="24"/>
          <w:szCs w:val="24"/>
        </w:rPr>
        <w:t xml:space="preserve">the project for instance, to study less than optimum data, such as low engagement of PPB (Williams and Trenton, 2017, p. 269). </w:t>
      </w:r>
      <w:r>
        <w:rPr>
          <w:rFonts w:ascii="Arial" w:hAnsi="Arial" w:cs="Arial"/>
          <w:sz w:val="24"/>
          <w:szCs w:val="24"/>
        </w:rPr>
        <w:t>T</w:t>
      </w:r>
      <w:r w:rsidRPr="00E107C4">
        <w:rPr>
          <w:rFonts w:ascii="Arial" w:hAnsi="Arial" w:cs="Arial"/>
          <w:sz w:val="24"/>
          <w:szCs w:val="24"/>
        </w:rPr>
        <w:t>he qualitative information such as the patient experience data gi</w:t>
      </w:r>
      <w:r>
        <w:rPr>
          <w:rFonts w:ascii="Arial" w:hAnsi="Arial" w:cs="Arial"/>
          <w:sz w:val="24"/>
          <w:szCs w:val="24"/>
        </w:rPr>
        <w:t>ves</w:t>
      </w:r>
      <w:r w:rsidRPr="00E107C4">
        <w:rPr>
          <w:rFonts w:ascii="Arial" w:hAnsi="Arial" w:cs="Arial"/>
          <w:sz w:val="24"/>
          <w:szCs w:val="24"/>
        </w:rPr>
        <w:t xml:space="preserve"> context and influence for these figures (Williams and Trenton, 2017, p. 269). For example, low engagement with the digital letter could have a link to poor intuitive design of the app or lack of trust.</w:t>
      </w:r>
    </w:p>
    <w:p w14:paraId="443F136C"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Once data capturing is complete, the project can proceed with quantitating the data sets using content analysis on the results from the data capture (Fig. 8) (Williams and Trenton, 2017, p. 277). To fully analyse the data, the project must first define relationships of interest in the data (Williams and Trenton, 2017, p. 278). </w:t>
      </w:r>
      <w:r>
        <w:rPr>
          <w:rFonts w:ascii="Arial" w:hAnsi="Arial" w:cs="Arial"/>
          <w:sz w:val="24"/>
          <w:szCs w:val="24"/>
        </w:rPr>
        <w:t xml:space="preserve">Looking at </w:t>
      </w:r>
      <w:r w:rsidRPr="00E107C4">
        <w:rPr>
          <w:rFonts w:ascii="Arial" w:hAnsi="Arial" w:cs="Arial"/>
          <w:sz w:val="24"/>
          <w:szCs w:val="24"/>
        </w:rPr>
        <w:t>the failed login attempts and questions related to user remarks with the intuitiveness of the digital letter. The project can also code a subset of the data to assess how well the relationships established in the first phase work (Williams and Trenton, 2017, p. 278). Helping validate the results.</w:t>
      </w:r>
    </w:p>
    <w:p w14:paraId="42D8FE9C"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analysis can then use graphs and tables like a pie chart and bar graphs (Fig. 9) to display the findings. A further method to display results will be to use the Fit between Individuals, Task and Technology (FITT) framework. The project can use the FITT framework to assess PPB’s success and areas requiring improvement (Tsiknakis and Kouroubali, 2008, p. 40). An example of this is using the patient as the individual, improved communication as the task and PPB representing the technology (Fig. 10).</w:t>
      </w:r>
    </w:p>
    <w:p w14:paraId="19AC817D" w14:textId="77777777" w:rsidR="001725FD" w:rsidRDefault="001725FD" w:rsidP="001725FD">
      <w:pPr>
        <w:rPr>
          <w:rFonts w:ascii="Arial" w:hAnsi="Arial" w:cs="Arial"/>
          <w:sz w:val="24"/>
          <w:szCs w:val="24"/>
          <w:shd w:val="clear" w:color="auto" w:fill="FFFFFF"/>
        </w:rPr>
      </w:pPr>
      <w:r w:rsidRPr="00005F48">
        <w:rPr>
          <w:rFonts w:ascii="Arial" w:hAnsi="Arial" w:cs="Arial"/>
          <w:noProof/>
          <w:color w:val="FF0000"/>
        </w:rPr>
        <w:drawing>
          <wp:inline distT="0" distB="0" distL="0" distR="0" wp14:anchorId="708FBB13" wp14:editId="5508BF69">
            <wp:extent cx="5467350" cy="2724150"/>
            <wp:effectExtent l="0" t="0" r="0" b="0"/>
            <wp:docPr id="11" name="Chart 11">
              <a:extLst xmlns:a="http://schemas.openxmlformats.org/drawingml/2006/main">
                <a:ext uri="{FF2B5EF4-FFF2-40B4-BE49-F238E27FC236}">
                  <a16:creationId xmlns:a16="http://schemas.microsoft.com/office/drawing/2014/main" id="{00000000-0008-0000-02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9F05196" w14:textId="77777777" w:rsidR="001725FD" w:rsidRDefault="001725FD" w:rsidP="001725FD">
      <w:pPr>
        <w:jc w:val="center"/>
        <w:rPr>
          <w:rFonts w:ascii="Arial" w:hAnsi="Arial" w:cs="Arial"/>
          <w:b/>
          <w:bCs/>
          <w:sz w:val="24"/>
          <w:szCs w:val="24"/>
          <w:shd w:val="clear" w:color="auto" w:fill="FFFFFF"/>
        </w:rPr>
      </w:pPr>
      <w:r w:rsidRPr="00005F48">
        <w:rPr>
          <w:rFonts w:ascii="Arial" w:hAnsi="Arial" w:cs="Arial"/>
          <w:b/>
          <w:bCs/>
          <w:sz w:val="24"/>
          <w:szCs w:val="24"/>
          <w:shd w:val="clear" w:color="auto" w:fill="FFFFFF"/>
        </w:rPr>
        <w:t>Fig. 9</w:t>
      </w:r>
    </w:p>
    <w:p w14:paraId="63768B4E" w14:textId="77777777" w:rsidR="001725FD" w:rsidRDefault="001725FD" w:rsidP="001725FD">
      <w:pPr>
        <w:jc w:val="center"/>
        <w:rPr>
          <w:rFonts w:ascii="Arial" w:hAnsi="Arial" w:cs="Arial"/>
          <w:b/>
          <w:bCs/>
          <w:sz w:val="24"/>
          <w:szCs w:val="24"/>
          <w:shd w:val="clear" w:color="auto" w:fill="FFFFFF"/>
        </w:rPr>
      </w:pPr>
    </w:p>
    <w:p w14:paraId="55CB28CB" w14:textId="77777777" w:rsidR="001725FD" w:rsidRDefault="001725FD" w:rsidP="001725FD">
      <w:pPr>
        <w:jc w:val="center"/>
        <w:rPr>
          <w:rFonts w:ascii="Arial" w:hAnsi="Arial" w:cs="Arial"/>
          <w:b/>
          <w:bCs/>
          <w:sz w:val="24"/>
          <w:szCs w:val="24"/>
          <w:shd w:val="clear" w:color="auto" w:fill="FFFFFF"/>
        </w:rPr>
      </w:pPr>
      <w:r>
        <w:rPr>
          <w:rFonts w:ascii="Arial" w:hAnsi="Arial" w:cs="Arial"/>
          <w:b/>
          <w:bCs/>
          <w:noProof/>
          <w:sz w:val="24"/>
          <w:szCs w:val="24"/>
          <w:shd w:val="clear" w:color="auto" w:fill="FFFFFF"/>
        </w:rPr>
        <w:lastRenderedPageBreak/>
        <w:drawing>
          <wp:inline distT="0" distB="0" distL="0" distR="0" wp14:anchorId="4BA4148F" wp14:editId="70B57DA0">
            <wp:extent cx="5731510" cy="2723515"/>
            <wp:effectExtent l="19050" t="19050" r="21590" b="19685"/>
            <wp:docPr id="1530503753" name="Picture 4" descr="A picture containing text, diagram,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03753" name="Picture 4" descr="A picture containing text, diagram, line, fo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2723515"/>
                    </a:xfrm>
                    <a:prstGeom prst="rect">
                      <a:avLst/>
                    </a:prstGeom>
                    <a:ln>
                      <a:solidFill>
                        <a:schemeClr val="tx1"/>
                      </a:solidFill>
                    </a:ln>
                  </pic:spPr>
                </pic:pic>
              </a:graphicData>
            </a:graphic>
          </wp:inline>
        </w:drawing>
      </w:r>
    </w:p>
    <w:p w14:paraId="6DE8DE71" w14:textId="77777777" w:rsidR="001725FD" w:rsidRPr="00734CA7" w:rsidRDefault="001725FD" w:rsidP="001725FD">
      <w:pPr>
        <w:jc w:val="both"/>
        <w:rPr>
          <w:rFonts w:ascii="Arial" w:hAnsi="Arial" w:cs="Arial"/>
          <w:sz w:val="24"/>
          <w:szCs w:val="24"/>
        </w:rPr>
      </w:pPr>
      <w:r w:rsidRPr="00734CA7">
        <w:rPr>
          <w:rFonts w:ascii="Arial" w:hAnsi="Arial" w:cs="Arial"/>
          <w:sz w:val="24"/>
          <w:szCs w:val="24"/>
        </w:rPr>
        <w:t xml:space="preserve">Other methods to determine issues such as digital acceptance will be to use root cause analysis. By </w:t>
      </w:r>
      <w:r>
        <w:rPr>
          <w:rFonts w:ascii="Arial" w:hAnsi="Arial" w:cs="Arial"/>
          <w:sz w:val="24"/>
          <w:szCs w:val="24"/>
        </w:rPr>
        <w:t xml:space="preserve">using </w:t>
      </w:r>
      <w:r w:rsidRPr="00734CA7">
        <w:rPr>
          <w:rFonts w:ascii="Arial" w:hAnsi="Arial" w:cs="Arial"/>
          <w:sz w:val="24"/>
          <w:szCs w:val="24"/>
        </w:rPr>
        <w:t>root cause analysis, the project will identify the root causes of the issue with PPB digital acceptance and deal with them in the proper sequence to truly fix it (Yankelevitch, 2022).</w:t>
      </w:r>
    </w:p>
    <w:p w14:paraId="19AA8812" w14:textId="77777777" w:rsidR="001725FD" w:rsidRPr="00360B8D" w:rsidRDefault="001725FD" w:rsidP="001725FD">
      <w:pPr>
        <w:jc w:val="both"/>
        <w:rPr>
          <w:rFonts w:ascii="Arial" w:hAnsi="Arial" w:cs="Arial"/>
          <w:sz w:val="24"/>
          <w:szCs w:val="24"/>
        </w:rPr>
      </w:pPr>
      <w:r w:rsidRPr="00360B8D">
        <w:rPr>
          <w:rFonts w:ascii="Arial" w:hAnsi="Arial" w:cs="Arial"/>
          <w:sz w:val="24"/>
          <w:szCs w:val="24"/>
        </w:rPr>
        <w:t>The project will also look to use descriptive statistics to compare how frequently patients communicated with ABC pre and post PPB adoption regarding appointment changes (Hayes, 2023).</w:t>
      </w:r>
    </w:p>
    <w:p w14:paraId="3E32C71F" w14:textId="77777777" w:rsidR="001725FD" w:rsidRPr="001725FD" w:rsidRDefault="001725FD" w:rsidP="001725FD">
      <w:pPr>
        <w:rPr>
          <w:rFonts w:ascii="Arial" w:hAnsi="Arial" w:cs="Arial"/>
          <w:b/>
          <w:bCs/>
          <w:sz w:val="24"/>
          <w:szCs w:val="24"/>
          <w:u w:val="single"/>
          <w:shd w:val="clear" w:color="auto" w:fill="FFFFFF"/>
        </w:rPr>
      </w:pPr>
      <w:r w:rsidRPr="001725FD">
        <w:rPr>
          <w:rFonts w:ascii="Arial" w:hAnsi="Arial" w:cs="Arial"/>
          <w:b/>
          <w:bCs/>
          <w:sz w:val="24"/>
          <w:szCs w:val="24"/>
          <w:u w:val="single"/>
          <w:shd w:val="clear" w:color="auto" w:fill="FFFFFF"/>
        </w:rPr>
        <w:t xml:space="preserve">Conclusion </w:t>
      </w:r>
    </w:p>
    <w:p w14:paraId="3D0DCD06" w14:textId="77777777" w:rsidR="001725FD" w:rsidRPr="00DC6789" w:rsidRDefault="001725FD" w:rsidP="001725FD">
      <w:pPr>
        <w:jc w:val="both"/>
        <w:rPr>
          <w:rFonts w:ascii="Arial" w:hAnsi="Arial" w:cs="Arial"/>
          <w:sz w:val="24"/>
          <w:szCs w:val="24"/>
        </w:rPr>
      </w:pPr>
      <w:r w:rsidRPr="00DC6789">
        <w:rPr>
          <w:rFonts w:ascii="Arial" w:hAnsi="Arial" w:cs="Arial"/>
          <w:sz w:val="24"/>
          <w:szCs w:val="24"/>
        </w:rPr>
        <w:t>By capturing the quantitative and qualitative data as outlined in this paper</w:t>
      </w:r>
      <w:r>
        <w:rPr>
          <w:rFonts w:ascii="Arial" w:hAnsi="Arial" w:cs="Arial"/>
          <w:sz w:val="24"/>
          <w:szCs w:val="24"/>
        </w:rPr>
        <w:t xml:space="preserve">, the data </w:t>
      </w:r>
      <w:r w:rsidRPr="00DC6789">
        <w:rPr>
          <w:rFonts w:ascii="Arial" w:hAnsi="Arial" w:cs="Arial"/>
          <w:sz w:val="24"/>
          <w:szCs w:val="24"/>
        </w:rPr>
        <w:t xml:space="preserve">will not only </w:t>
      </w:r>
      <w:r>
        <w:rPr>
          <w:rFonts w:ascii="Arial" w:hAnsi="Arial" w:cs="Arial"/>
          <w:sz w:val="24"/>
          <w:szCs w:val="24"/>
        </w:rPr>
        <w:t>provide</w:t>
      </w:r>
      <w:r w:rsidRPr="00DC6789">
        <w:rPr>
          <w:rFonts w:ascii="Arial" w:hAnsi="Arial" w:cs="Arial"/>
          <w:sz w:val="24"/>
          <w:szCs w:val="24"/>
        </w:rPr>
        <w:t xml:space="preserve"> an understanding of the successes of the project but </w:t>
      </w:r>
      <w:r>
        <w:rPr>
          <w:rFonts w:ascii="Arial" w:hAnsi="Arial" w:cs="Arial"/>
          <w:sz w:val="24"/>
          <w:szCs w:val="24"/>
        </w:rPr>
        <w:t xml:space="preserve">in addition demonstrate </w:t>
      </w:r>
      <w:r w:rsidRPr="00DC6789">
        <w:rPr>
          <w:rFonts w:ascii="Arial" w:hAnsi="Arial" w:cs="Arial"/>
          <w:sz w:val="24"/>
          <w:szCs w:val="24"/>
        </w:rPr>
        <w:t xml:space="preserve">further innovation of PPB (Blackburn et al., 2017, p. 48). By collecting and analysing data for an extended period </w:t>
      </w:r>
      <w:r>
        <w:rPr>
          <w:rFonts w:ascii="Arial" w:hAnsi="Arial" w:cs="Arial"/>
          <w:sz w:val="24"/>
          <w:szCs w:val="24"/>
        </w:rPr>
        <w:t xml:space="preserve">it </w:t>
      </w:r>
      <w:r w:rsidRPr="00DC6789">
        <w:rPr>
          <w:rFonts w:ascii="Arial" w:hAnsi="Arial" w:cs="Arial"/>
          <w:sz w:val="24"/>
          <w:szCs w:val="24"/>
        </w:rPr>
        <w:t xml:space="preserve">will </w:t>
      </w:r>
      <w:r>
        <w:rPr>
          <w:rFonts w:ascii="Arial" w:hAnsi="Arial" w:cs="Arial"/>
          <w:sz w:val="24"/>
          <w:szCs w:val="24"/>
        </w:rPr>
        <w:t>make</w:t>
      </w:r>
      <w:r w:rsidRPr="00DC6789">
        <w:rPr>
          <w:rFonts w:ascii="Arial" w:hAnsi="Arial" w:cs="Arial"/>
          <w:sz w:val="24"/>
          <w:szCs w:val="24"/>
        </w:rPr>
        <w:t xml:space="preserve"> the project consider any seasonal trends or outside factors that may affect the project outcomes. Whil</w:t>
      </w:r>
      <w:r>
        <w:rPr>
          <w:rFonts w:ascii="Arial" w:hAnsi="Arial" w:cs="Arial"/>
          <w:sz w:val="24"/>
          <w:szCs w:val="24"/>
        </w:rPr>
        <w:t>st</w:t>
      </w:r>
      <w:r w:rsidRPr="00DC6789">
        <w:rPr>
          <w:rFonts w:ascii="Arial" w:hAnsi="Arial" w:cs="Arial"/>
          <w:sz w:val="24"/>
          <w:szCs w:val="24"/>
        </w:rPr>
        <w:t xml:space="preserve"> giving the project time to discover the themes of PPB’s usage from staff member</w:t>
      </w:r>
      <w:r>
        <w:rPr>
          <w:rFonts w:ascii="Arial" w:hAnsi="Arial" w:cs="Arial"/>
          <w:sz w:val="24"/>
          <w:szCs w:val="24"/>
        </w:rPr>
        <w:t>s</w:t>
      </w:r>
      <w:r w:rsidRPr="00DC6789">
        <w:rPr>
          <w:rFonts w:ascii="Arial" w:hAnsi="Arial" w:cs="Arial"/>
          <w:sz w:val="24"/>
          <w:szCs w:val="24"/>
        </w:rPr>
        <w:t>.</w:t>
      </w:r>
    </w:p>
    <w:p w14:paraId="557F3413" w14:textId="77777777" w:rsidR="001725FD" w:rsidRDefault="001725FD" w:rsidP="001725FD">
      <w:pPr>
        <w:jc w:val="both"/>
        <w:rPr>
          <w:rFonts w:ascii="Arial" w:hAnsi="Arial" w:cs="Arial"/>
          <w:sz w:val="24"/>
          <w:szCs w:val="24"/>
        </w:rPr>
      </w:pPr>
      <w:r w:rsidRPr="00DC6789">
        <w:rPr>
          <w:rFonts w:ascii="Arial" w:hAnsi="Arial" w:cs="Arial"/>
          <w:sz w:val="24"/>
          <w:szCs w:val="24"/>
        </w:rPr>
        <w:t xml:space="preserve">By incorporating a mixed method analysis, the project </w:t>
      </w:r>
      <w:r>
        <w:rPr>
          <w:rFonts w:ascii="Arial" w:hAnsi="Arial" w:cs="Arial"/>
          <w:sz w:val="24"/>
          <w:szCs w:val="24"/>
        </w:rPr>
        <w:t>can</w:t>
      </w:r>
      <w:r w:rsidRPr="00DC6789">
        <w:rPr>
          <w:rFonts w:ascii="Arial" w:hAnsi="Arial" w:cs="Arial"/>
          <w:sz w:val="24"/>
          <w:szCs w:val="24"/>
        </w:rPr>
        <w:t xml:space="preserve"> explore the possible outcomes of PPB through the investigation of new research inquiries that would not be possible using quantitative and qualitative analysis alone (Williams and Trenton, 2017, p. 277). </w:t>
      </w:r>
      <w:r>
        <w:rPr>
          <w:rFonts w:ascii="Arial" w:hAnsi="Arial" w:cs="Arial"/>
          <w:sz w:val="24"/>
          <w:szCs w:val="24"/>
        </w:rPr>
        <w:t>C</w:t>
      </w:r>
      <w:r w:rsidRPr="00DC6789">
        <w:rPr>
          <w:rFonts w:ascii="Arial" w:hAnsi="Arial" w:cs="Arial"/>
          <w:sz w:val="24"/>
          <w:szCs w:val="24"/>
        </w:rPr>
        <w:t>ombining qualitative and quantitative data, a mixed method approach can highlight contextual variables and help PPB evaluate the nature of what they convey through these relationships (Williams and Trenton, 2017, p. 277). Ensuring the prospect of proving the effect of PPB on the aims and objectives.</w:t>
      </w:r>
    </w:p>
    <w:p w14:paraId="598BFEE6" w14:textId="77777777" w:rsidR="00167BB1" w:rsidRDefault="00167BB1" w:rsidP="00167BB1">
      <w:pPr>
        <w:rPr>
          <w:rFonts w:ascii="Arial" w:hAnsi="Arial" w:cs="Arial"/>
          <w:b/>
          <w:bCs/>
          <w:sz w:val="28"/>
          <w:szCs w:val="28"/>
          <w:u w:val="single"/>
        </w:rPr>
      </w:pPr>
    </w:p>
    <w:p w14:paraId="2DEAE20B" w14:textId="77777777" w:rsidR="00167BB1" w:rsidRDefault="00167BB1" w:rsidP="00167BB1">
      <w:pPr>
        <w:rPr>
          <w:rFonts w:ascii="Arial" w:hAnsi="Arial" w:cs="Arial"/>
          <w:b/>
          <w:bCs/>
          <w:sz w:val="28"/>
          <w:szCs w:val="28"/>
          <w:u w:val="single"/>
        </w:rPr>
      </w:pPr>
    </w:p>
    <w:p w14:paraId="2A205D76" w14:textId="77777777" w:rsidR="00167BB1" w:rsidRDefault="00167BB1" w:rsidP="00167BB1">
      <w:pPr>
        <w:rPr>
          <w:rFonts w:ascii="Arial" w:hAnsi="Arial" w:cs="Arial"/>
          <w:b/>
          <w:bCs/>
          <w:sz w:val="28"/>
          <w:szCs w:val="28"/>
          <w:u w:val="single"/>
        </w:rPr>
      </w:pPr>
    </w:p>
    <w:p w14:paraId="53C734DF" w14:textId="77777777" w:rsidR="00167BB1" w:rsidRDefault="00167BB1" w:rsidP="00167BB1">
      <w:pPr>
        <w:rPr>
          <w:rFonts w:ascii="Arial" w:hAnsi="Arial" w:cs="Arial"/>
          <w:b/>
          <w:bCs/>
          <w:sz w:val="28"/>
          <w:szCs w:val="28"/>
          <w:u w:val="single"/>
        </w:rPr>
      </w:pPr>
    </w:p>
    <w:p w14:paraId="7F1956C4" w14:textId="77777777" w:rsidR="00167BB1" w:rsidRDefault="00167BB1" w:rsidP="00167BB1">
      <w:pPr>
        <w:rPr>
          <w:rFonts w:ascii="Arial" w:hAnsi="Arial" w:cs="Arial"/>
          <w:b/>
          <w:bCs/>
          <w:sz w:val="28"/>
          <w:szCs w:val="28"/>
          <w:u w:val="single"/>
        </w:rPr>
      </w:pPr>
    </w:p>
    <w:p w14:paraId="046FE329" w14:textId="1C443105" w:rsidR="00167BB1" w:rsidRDefault="00167BB1" w:rsidP="00167BB1">
      <w:pPr>
        <w:rPr>
          <w:rFonts w:ascii="Arial" w:hAnsi="Arial" w:cs="Arial"/>
          <w:b/>
          <w:bCs/>
          <w:sz w:val="28"/>
          <w:szCs w:val="28"/>
          <w:u w:val="single"/>
        </w:rPr>
      </w:pPr>
      <w:r w:rsidRPr="006B7A82">
        <w:rPr>
          <w:rFonts w:ascii="Arial" w:hAnsi="Arial" w:cs="Arial"/>
          <w:b/>
          <w:bCs/>
          <w:sz w:val="28"/>
          <w:szCs w:val="28"/>
          <w:u w:val="single"/>
        </w:rPr>
        <w:lastRenderedPageBreak/>
        <w:t xml:space="preserve">Ethical or information governance issues </w:t>
      </w:r>
    </w:p>
    <w:p w14:paraId="536A616D" w14:textId="77777777" w:rsidR="00167BB1" w:rsidRPr="006B7A82" w:rsidRDefault="00167BB1" w:rsidP="00167BB1">
      <w:pPr>
        <w:rPr>
          <w:rFonts w:ascii="Arial" w:hAnsi="Arial" w:cs="Arial"/>
          <w:b/>
          <w:bCs/>
          <w:sz w:val="24"/>
          <w:szCs w:val="24"/>
          <w:u w:val="single"/>
        </w:rPr>
      </w:pPr>
      <w:r w:rsidRPr="006B7A82">
        <w:rPr>
          <w:rFonts w:ascii="Arial" w:hAnsi="Arial" w:cs="Arial"/>
          <w:b/>
          <w:bCs/>
          <w:sz w:val="24"/>
          <w:szCs w:val="24"/>
          <w:u w:val="single"/>
        </w:rPr>
        <w:t>Introduction</w:t>
      </w:r>
    </w:p>
    <w:p w14:paraId="33288204" w14:textId="77777777" w:rsidR="00167BB1" w:rsidRDefault="00167BB1" w:rsidP="00167BB1">
      <w:pPr>
        <w:jc w:val="both"/>
      </w:pPr>
      <w:r w:rsidRPr="00DB22BB">
        <w:rPr>
          <w:rFonts w:ascii="Arial" w:hAnsi="Arial" w:cs="Arial"/>
          <w:sz w:val="24"/>
          <w:szCs w:val="24"/>
        </w:rPr>
        <w:t>Any new digital project like PPB has the potential to pose security and privacy issues (Pal et al., 2019, p. 58). Patient level data will need to be transferred for digital letters to be sent. Patient level data is also required to be stored</w:t>
      </w:r>
      <w:r>
        <w:rPr>
          <w:rFonts w:ascii="Arial" w:hAnsi="Arial" w:cs="Arial"/>
          <w:sz w:val="24"/>
          <w:szCs w:val="24"/>
        </w:rPr>
        <w:t xml:space="preserve"> for </w:t>
      </w:r>
      <w:r w:rsidRPr="00DB22BB">
        <w:rPr>
          <w:rFonts w:ascii="Arial" w:hAnsi="Arial" w:cs="Arial"/>
          <w:sz w:val="24"/>
          <w:szCs w:val="24"/>
        </w:rPr>
        <w:t>data analysis and reporting. Thus, the project must deal with any ethical and information governance</w:t>
      </w:r>
      <w:r>
        <w:rPr>
          <w:rFonts w:ascii="Arial" w:hAnsi="Arial" w:cs="Arial"/>
          <w:sz w:val="24"/>
          <w:szCs w:val="24"/>
        </w:rPr>
        <w:t xml:space="preserve"> (IG)</w:t>
      </w:r>
      <w:r w:rsidRPr="00DB22BB">
        <w:rPr>
          <w:rFonts w:ascii="Arial" w:hAnsi="Arial" w:cs="Arial"/>
          <w:sz w:val="24"/>
          <w:szCs w:val="24"/>
        </w:rPr>
        <w:t xml:space="preserve"> issues and considerations before PPB goes live.</w:t>
      </w:r>
      <w:r>
        <w:rPr>
          <w:rFonts w:ascii="Arial" w:hAnsi="Arial" w:cs="Arial"/>
          <w:sz w:val="24"/>
          <w:szCs w:val="24"/>
        </w:rPr>
        <w:t xml:space="preserve"> </w:t>
      </w:r>
      <w:r w:rsidRPr="00DB22BB">
        <w:rPr>
          <w:rFonts w:ascii="Arial" w:hAnsi="Arial" w:cs="Arial"/>
          <w:sz w:val="24"/>
          <w:szCs w:val="24"/>
        </w:rPr>
        <w:t>Some of these issues include using a third-party provider, the use of patient information, and data.</w:t>
      </w:r>
      <w:r>
        <w:rPr>
          <w:rFonts w:ascii="Arial" w:hAnsi="Arial" w:cs="Arial"/>
          <w:sz w:val="24"/>
          <w:szCs w:val="24"/>
        </w:rPr>
        <w:t xml:space="preserve"> Therefore, the project must comply with data protection legislation</w:t>
      </w:r>
      <w:r w:rsidRPr="00DB22BB">
        <w:rPr>
          <w:rFonts w:ascii="Arial" w:hAnsi="Arial" w:cs="Arial"/>
          <w:sz w:val="24"/>
          <w:szCs w:val="24"/>
        </w:rPr>
        <w:t xml:space="preserve">. </w:t>
      </w:r>
      <w:r>
        <w:rPr>
          <w:rFonts w:ascii="Arial" w:hAnsi="Arial" w:cs="Arial"/>
          <w:sz w:val="24"/>
          <w:szCs w:val="24"/>
        </w:rPr>
        <w:t>Guaranteeing the</w:t>
      </w:r>
      <w:r w:rsidRPr="00DB22BB">
        <w:rPr>
          <w:rFonts w:ascii="Arial" w:hAnsi="Arial" w:cs="Arial"/>
          <w:sz w:val="24"/>
          <w:szCs w:val="24"/>
        </w:rPr>
        <w:t xml:space="preserve"> rights of</w:t>
      </w:r>
      <w:r>
        <w:rPr>
          <w:rFonts w:ascii="Arial" w:hAnsi="Arial" w:cs="Arial"/>
          <w:sz w:val="24"/>
          <w:szCs w:val="24"/>
        </w:rPr>
        <w:t xml:space="preserve"> all</w:t>
      </w:r>
      <w:r w:rsidRPr="00DB22BB">
        <w:rPr>
          <w:rFonts w:ascii="Arial" w:hAnsi="Arial" w:cs="Arial"/>
          <w:sz w:val="24"/>
          <w:szCs w:val="24"/>
        </w:rPr>
        <w:t xml:space="preserve"> living people to their freedoms, including their right to privacy when it comes to their personal information (NHS Wales, 2021, p. 5).</w:t>
      </w:r>
    </w:p>
    <w:p w14:paraId="3410B11D" w14:textId="77777777" w:rsidR="00167BB1" w:rsidRPr="002A07A7" w:rsidRDefault="00167BB1" w:rsidP="00167BB1">
      <w:pPr>
        <w:jc w:val="both"/>
        <w:rPr>
          <w:rFonts w:ascii="Arial" w:hAnsi="Arial" w:cs="Arial"/>
          <w:b/>
          <w:bCs/>
          <w:sz w:val="24"/>
          <w:szCs w:val="24"/>
          <w:u w:val="single"/>
        </w:rPr>
      </w:pPr>
      <w:r w:rsidRPr="002A07A7">
        <w:rPr>
          <w:rFonts w:ascii="Arial" w:hAnsi="Arial" w:cs="Arial"/>
          <w:b/>
          <w:bCs/>
          <w:sz w:val="24"/>
          <w:szCs w:val="24"/>
          <w:u w:val="single"/>
        </w:rPr>
        <w:t>Third-party provider</w:t>
      </w:r>
    </w:p>
    <w:p w14:paraId="7F678152"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C&amp;VUHB must consider IG practises in advance to guarantee the protection of personal data for all new projects, such as PPB (Cardiff and Vale University Health Board, 2019, p. 9). This is to give reassurance that C&amp;VUHB are operating to required standards and in compliance with data privacy laws (NHS Wales, 2021, p. 6).</w:t>
      </w:r>
    </w:p>
    <w:p w14:paraId="40D9142F" w14:textId="440465FF" w:rsidR="00167BB1" w:rsidRPr="003011B5" w:rsidRDefault="00167BB1" w:rsidP="00167BB1">
      <w:pPr>
        <w:jc w:val="both"/>
        <w:rPr>
          <w:rFonts w:ascii="Arial" w:hAnsi="Arial" w:cs="Arial"/>
          <w:sz w:val="24"/>
          <w:szCs w:val="24"/>
        </w:rPr>
      </w:pPr>
      <w:r w:rsidRPr="003011B5">
        <w:rPr>
          <w:rFonts w:ascii="Arial" w:hAnsi="Arial" w:cs="Arial"/>
          <w:sz w:val="24"/>
          <w:szCs w:val="24"/>
        </w:rPr>
        <w:t>As PPB is a cloud-bases service that will use a third-party operator to send the digital letters, it will require a legally binding written contract. Any contract must comply with data protection regulations and must be in place for the third-party to process personal data on behalf of C&amp;VUHB (2019, p. 9). The project must formalise the arrangements for the processing and sharing of personal data that the UHB controls in accordance with UHB documents and specifications, such as the UHB’s Data Processing Contract, Security Arrangements, Contracts, Procurement technical specification, codes of conduct and access specifications (Cardiff and Vale University Health Board, 2019, p. 9). PPB must select an appropriate processor of the digital letter and consider proper and authorised standards of conduct or certification programmes to show that (NHS Wales, 2021, p. 7). By doing this, it guarantees the consistent process of personal data, and that everyone involved is aware of their individual responsibilities (Cardiff and Vale University Health Board, 2019, p. 9).</w:t>
      </w:r>
    </w:p>
    <w:p w14:paraId="62E83067" w14:textId="77777777" w:rsidR="00167BB1" w:rsidRPr="00E57485" w:rsidRDefault="00167BB1" w:rsidP="00167BB1">
      <w:pPr>
        <w:rPr>
          <w:rFonts w:ascii="Arial" w:hAnsi="Arial" w:cs="Arial"/>
          <w:b/>
          <w:bCs/>
          <w:sz w:val="24"/>
          <w:szCs w:val="24"/>
          <w:u w:val="single"/>
        </w:rPr>
      </w:pPr>
      <w:r w:rsidRPr="00E57485">
        <w:rPr>
          <w:rFonts w:ascii="Arial" w:hAnsi="Arial" w:cs="Arial"/>
          <w:b/>
          <w:bCs/>
          <w:sz w:val="24"/>
          <w:szCs w:val="24"/>
          <w:u w:val="single"/>
        </w:rPr>
        <w:t>Automation of Appointment Booking</w:t>
      </w:r>
    </w:p>
    <w:p w14:paraId="0095DDC0" w14:textId="77777777" w:rsidR="00167BB1" w:rsidRDefault="00167BB1" w:rsidP="00167BB1">
      <w:pPr>
        <w:jc w:val="both"/>
        <w:rPr>
          <w:rFonts w:ascii="Arial" w:hAnsi="Arial" w:cs="Arial"/>
          <w:sz w:val="24"/>
          <w:szCs w:val="24"/>
        </w:rPr>
      </w:pPr>
      <w:r w:rsidRPr="00595577">
        <w:rPr>
          <w:rFonts w:ascii="Arial" w:hAnsi="Arial" w:cs="Arial"/>
          <w:sz w:val="24"/>
          <w:szCs w:val="24"/>
        </w:rPr>
        <w:t>One consideration for PPB is that a patient has the right to request a human person to review the use of any “automated decision making” software (Health Education and Improvement Wales, 2023). To deal with this issue, the project will incorporate the production of a daily booking report that is sent to all service managers to review appointment bookings made by PPB. To further safeguard any issues, PPB will implement a pre-PPB run function that will</w:t>
      </w:r>
      <w:r>
        <w:rPr>
          <w:rFonts w:ascii="Arial" w:hAnsi="Arial" w:cs="Arial"/>
          <w:sz w:val="24"/>
          <w:szCs w:val="24"/>
        </w:rPr>
        <w:t xml:space="preserve"> enable</w:t>
      </w:r>
      <w:r w:rsidRPr="00595577">
        <w:rPr>
          <w:rFonts w:ascii="Arial" w:hAnsi="Arial" w:cs="Arial"/>
          <w:sz w:val="24"/>
          <w:szCs w:val="24"/>
        </w:rPr>
        <w:t xml:space="preserve"> service users to produce a report before PPB books appointments </w:t>
      </w:r>
      <w:r>
        <w:rPr>
          <w:rFonts w:ascii="Arial" w:hAnsi="Arial" w:cs="Arial"/>
          <w:sz w:val="24"/>
          <w:szCs w:val="24"/>
        </w:rPr>
        <w:t>and</w:t>
      </w:r>
      <w:r w:rsidRPr="00595577">
        <w:rPr>
          <w:rFonts w:ascii="Arial" w:hAnsi="Arial" w:cs="Arial"/>
          <w:sz w:val="24"/>
          <w:szCs w:val="24"/>
        </w:rPr>
        <w:t xml:space="preserve"> show future appointment bookings. </w:t>
      </w:r>
      <w:r>
        <w:rPr>
          <w:rFonts w:ascii="Arial" w:hAnsi="Arial" w:cs="Arial"/>
          <w:sz w:val="24"/>
          <w:szCs w:val="24"/>
        </w:rPr>
        <w:t>S</w:t>
      </w:r>
      <w:r w:rsidRPr="00595577">
        <w:rPr>
          <w:rFonts w:ascii="Arial" w:hAnsi="Arial" w:cs="Arial"/>
          <w:sz w:val="24"/>
          <w:szCs w:val="24"/>
        </w:rPr>
        <w:t xml:space="preserve">ervice managers </w:t>
      </w:r>
      <w:r>
        <w:rPr>
          <w:rFonts w:ascii="Arial" w:hAnsi="Arial" w:cs="Arial"/>
          <w:sz w:val="24"/>
          <w:szCs w:val="24"/>
        </w:rPr>
        <w:t>can then</w:t>
      </w:r>
      <w:r w:rsidRPr="00595577">
        <w:rPr>
          <w:rFonts w:ascii="Arial" w:hAnsi="Arial" w:cs="Arial"/>
          <w:sz w:val="24"/>
          <w:szCs w:val="24"/>
        </w:rPr>
        <w:t xml:space="preserve"> ensure the correct patients are being booked into the correct slot.</w:t>
      </w:r>
    </w:p>
    <w:p w14:paraId="1068CBAC" w14:textId="77777777" w:rsidR="00167BB1" w:rsidRPr="002A07A7" w:rsidRDefault="00167BB1" w:rsidP="00167BB1">
      <w:pPr>
        <w:rPr>
          <w:rFonts w:ascii="Arial" w:hAnsi="Arial" w:cs="Arial"/>
          <w:b/>
          <w:bCs/>
          <w:sz w:val="24"/>
          <w:szCs w:val="24"/>
          <w:u w:val="single"/>
        </w:rPr>
      </w:pPr>
      <w:r w:rsidRPr="002A07A7">
        <w:rPr>
          <w:rFonts w:ascii="Arial" w:hAnsi="Arial" w:cs="Arial"/>
          <w:b/>
          <w:bCs/>
          <w:sz w:val="24"/>
          <w:szCs w:val="24"/>
          <w:u w:val="single"/>
        </w:rPr>
        <w:t>Data Collection</w:t>
      </w:r>
    </w:p>
    <w:p w14:paraId="1F5A2C73"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The project will generate and capture new data from the digital acceptance rate to the number of cancelled appointments. Therefore, the project must make certain that any </w:t>
      </w:r>
      <w:r w:rsidRPr="003011B5">
        <w:rPr>
          <w:rFonts w:ascii="Arial" w:hAnsi="Arial" w:cs="Arial"/>
          <w:sz w:val="24"/>
          <w:szCs w:val="24"/>
        </w:rPr>
        <w:lastRenderedPageBreak/>
        <w:t xml:space="preserve">data that PPB creates, or processes is accurate, up to date and fit for purpose (NHS Wales, 2021, p. 9). The project will only store information that is deemed essential. As data and information must meet a certain criterion to be useful (NHS Wales, 2021, p. 9). The project will </w:t>
      </w:r>
      <w:r>
        <w:rPr>
          <w:rFonts w:ascii="Arial" w:hAnsi="Arial" w:cs="Arial"/>
          <w:sz w:val="24"/>
          <w:szCs w:val="24"/>
        </w:rPr>
        <w:t>guarantee</w:t>
      </w:r>
      <w:r w:rsidRPr="003011B5">
        <w:rPr>
          <w:rFonts w:ascii="Arial" w:hAnsi="Arial" w:cs="Arial"/>
          <w:sz w:val="24"/>
          <w:szCs w:val="24"/>
        </w:rPr>
        <w:t xml:space="preserve"> that the data and information it holds and processes is of the highest quality and </w:t>
      </w:r>
      <w:r>
        <w:rPr>
          <w:rFonts w:ascii="Arial" w:hAnsi="Arial" w:cs="Arial"/>
          <w:sz w:val="24"/>
          <w:szCs w:val="24"/>
        </w:rPr>
        <w:t>is</w:t>
      </w:r>
      <w:r w:rsidRPr="003011B5">
        <w:rPr>
          <w:rFonts w:ascii="Arial" w:hAnsi="Arial" w:cs="Arial"/>
          <w:sz w:val="24"/>
          <w:szCs w:val="24"/>
        </w:rPr>
        <w:t xml:space="preserve"> practical</w:t>
      </w:r>
      <w:r>
        <w:rPr>
          <w:rFonts w:ascii="Arial" w:hAnsi="Arial" w:cs="Arial"/>
          <w:sz w:val="24"/>
          <w:szCs w:val="24"/>
        </w:rPr>
        <w:t xml:space="preserve"> because </w:t>
      </w:r>
      <w:r w:rsidRPr="003011B5">
        <w:rPr>
          <w:rFonts w:ascii="Arial" w:hAnsi="Arial" w:cs="Arial"/>
          <w:sz w:val="24"/>
          <w:szCs w:val="24"/>
        </w:rPr>
        <w:t>low-quality data and information can impede the project</w:t>
      </w:r>
      <w:r>
        <w:rPr>
          <w:rFonts w:ascii="Arial" w:hAnsi="Arial" w:cs="Arial"/>
          <w:sz w:val="24"/>
          <w:szCs w:val="24"/>
        </w:rPr>
        <w:t>’</w:t>
      </w:r>
      <w:r w:rsidRPr="003011B5">
        <w:rPr>
          <w:rFonts w:ascii="Arial" w:hAnsi="Arial" w:cs="Arial"/>
          <w:sz w:val="24"/>
          <w:szCs w:val="24"/>
        </w:rPr>
        <w:t>s efforts to achieve its objectives (NHS Wales, 2021, p. 9).</w:t>
      </w:r>
    </w:p>
    <w:p w14:paraId="61680823"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To </w:t>
      </w:r>
      <w:r>
        <w:rPr>
          <w:rFonts w:ascii="Arial" w:hAnsi="Arial" w:cs="Arial"/>
          <w:sz w:val="24"/>
          <w:szCs w:val="24"/>
        </w:rPr>
        <w:t>achieve e</w:t>
      </w:r>
      <w:r w:rsidRPr="003011B5">
        <w:rPr>
          <w:rFonts w:ascii="Arial" w:hAnsi="Arial" w:cs="Arial"/>
          <w:sz w:val="24"/>
          <w:szCs w:val="24"/>
        </w:rPr>
        <w:t>nforcement of data minimi</w:t>
      </w:r>
      <w:r>
        <w:rPr>
          <w:rFonts w:ascii="Arial" w:hAnsi="Arial" w:cs="Arial"/>
          <w:sz w:val="24"/>
          <w:szCs w:val="24"/>
        </w:rPr>
        <w:t>s</w:t>
      </w:r>
      <w:r w:rsidRPr="003011B5">
        <w:rPr>
          <w:rFonts w:ascii="Arial" w:hAnsi="Arial" w:cs="Arial"/>
          <w:sz w:val="24"/>
          <w:szCs w:val="24"/>
        </w:rPr>
        <w:t xml:space="preserve">ation, the project must adhere to organisational policies and guidelines (NHS Wales, 2021, p. 6). </w:t>
      </w:r>
      <w:r>
        <w:rPr>
          <w:rFonts w:ascii="Arial" w:hAnsi="Arial" w:cs="Arial"/>
          <w:sz w:val="24"/>
          <w:szCs w:val="24"/>
        </w:rPr>
        <w:t>P</w:t>
      </w:r>
      <w:r w:rsidRPr="003011B5">
        <w:rPr>
          <w:rFonts w:ascii="Arial" w:hAnsi="Arial" w:cs="Arial"/>
          <w:sz w:val="24"/>
          <w:szCs w:val="24"/>
        </w:rPr>
        <w:t xml:space="preserve">ersonal data being anonymised or pseudonymised as necessary (NHS Wales, 2021, p. 6). To reduce IG concerns, the service evaluation of PPB will not be using patient level data. </w:t>
      </w:r>
    </w:p>
    <w:p w14:paraId="6F0D0C6D"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Collection of the qualitative data will require consent from the individuals. Consideration will need to make sure that the interviewees understand the process. As it might be difficult to obtain informed consent if it is unclear what the person is agreeing to and where their participation starts and stops (Mauthner, 2002, p. 53). </w:t>
      </w:r>
      <w:r>
        <w:rPr>
          <w:rFonts w:ascii="Arial" w:hAnsi="Arial" w:cs="Arial"/>
          <w:sz w:val="24"/>
          <w:szCs w:val="24"/>
        </w:rPr>
        <w:t>T</w:t>
      </w:r>
      <w:r w:rsidRPr="003011B5">
        <w:rPr>
          <w:rFonts w:ascii="Arial" w:hAnsi="Arial" w:cs="Arial"/>
          <w:sz w:val="24"/>
          <w:szCs w:val="24"/>
        </w:rPr>
        <w:t xml:space="preserve">he project </w:t>
      </w:r>
      <w:r>
        <w:rPr>
          <w:rFonts w:ascii="Arial" w:hAnsi="Arial" w:cs="Arial"/>
          <w:sz w:val="24"/>
          <w:szCs w:val="24"/>
        </w:rPr>
        <w:t xml:space="preserve">can </w:t>
      </w:r>
      <w:r w:rsidRPr="003011B5">
        <w:rPr>
          <w:rFonts w:ascii="Arial" w:hAnsi="Arial" w:cs="Arial"/>
          <w:sz w:val="24"/>
          <w:szCs w:val="24"/>
        </w:rPr>
        <w:t>routinely obtain participants’ informed consent for data collection (Miller, 2012, p. 163)</w:t>
      </w:r>
      <w:r>
        <w:rPr>
          <w:rFonts w:ascii="Arial" w:hAnsi="Arial" w:cs="Arial"/>
          <w:sz w:val="24"/>
          <w:szCs w:val="24"/>
        </w:rPr>
        <w:t>, through</w:t>
      </w:r>
      <w:r w:rsidRPr="003011B5">
        <w:rPr>
          <w:rFonts w:ascii="Arial" w:hAnsi="Arial" w:cs="Arial"/>
          <w:sz w:val="24"/>
          <w:szCs w:val="24"/>
        </w:rPr>
        <w:t xml:space="preserve"> questionnaires being taken anonymously (Fig. 11).</w:t>
      </w:r>
    </w:p>
    <w:p w14:paraId="62A2B4B8" w14:textId="77777777" w:rsidR="00167BB1" w:rsidRDefault="00167BB1" w:rsidP="00167BB1">
      <w:pPr>
        <w:rPr>
          <w:rFonts w:ascii="Arial" w:hAnsi="Arial" w:cs="Arial"/>
          <w:sz w:val="24"/>
          <w:szCs w:val="24"/>
        </w:rPr>
      </w:pPr>
      <w:r>
        <w:rPr>
          <w:rFonts w:ascii="Arial" w:hAnsi="Arial" w:cs="Arial"/>
          <w:noProof/>
          <w:sz w:val="24"/>
          <w:szCs w:val="24"/>
        </w:rPr>
        <w:lastRenderedPageBreak/>
        <w:drawing>
          <wp:inline distT="0" distB="0" distL="0" distR="0" wp14:anchorId="3E32201D" wp14:editId="2406CE7B">
            <wp:extent cx="5724525" cy="8115300"/>
            <wp:effectExtent l="19050" t="19050" r="28575" b="19050"/>
            <wp:docPr id="1452357733" name="Picture 1452357733"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57733" name="Picture 1452357733" descr="A picture containing text, screenshot, font, numb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8115300"/>
                    </a:xfrm>
                    <a:prstGeom prst="rect">
                      <a:avLst/>
                    </a:prstGeom>
                    <a:noFill/>
                    <a:ln>
                      <a:solidFill>
                        <a:schemeClr val="tx1"/>
                      </a:solidFill>
                    </a:ln>
                  </pic:spPr>
                </pic:pic>
              </a:graphicData>
            </a:graphic>
          </wp:inline>
        </w:drawing>
      </w:r>
    </w:p>
    <w:p w14:paraId="16FBF241" w14:textId="77777777" w:rsidR="00167BB1" w:rsidRPr="00184C5D" w:rsidRDefault="00167BB1" w:rsidP="00167BB1">
      <w:pPr>
        <w:jc w:val="center"/>
        <w:rPr>
          <w:rFonts w:ascii="Arial" w:hAnsi="Arial" w:cs="Arial"/>
          <w:b/>
          <w:bCs/>
          <w:sz w:val="24"/>
          <w:szCs w:val="24"/>
        </w:rPr>
      </w:pPr>
      <w:r w:rsidRPr="00184C5D">
        <w:rPr>
          <w:rFonts w:ascii="Arial" w:hAnsi="Arial" w:cs="Arial"/>
          <w:b/>
          <w:bCs/>
          <w:sz w:val="24"/>
          <w:szCs w:val="24"/>
        </w:rPr>
        <w:t>Fig. 1</w:t>
      </w:r>
      <w:r>
        <w:rPr>
          <w:rFonts w:ascii="Arial" w:hAnsi="Arial" w:cs="Arial"/>
          <w:b/>
          <w:bCs/>
          <w:sz w:val="24"/>
          <w:szCs w:val="24"/>
        </w:rPr>
        <w:t>1</w:t>
      </w:r>
    </w:p>
    <w:p w14:paraId="5A89614F" w14:textId="77777777" w:rsidR="00167BB1" w:rsidRPr="00595577" w:rsidRDefault="00167BB1" w:rsidP="00167BB1">
      <w:pPr>
        <w:jc w:val="both"/>
        <w:rPr>
          <w:rFonts w:ascii="Arial" w:hAnsi="Arial" w:cs="Arial"/>
          <w:sz w:val="24"/>
          <w:szCs w:val="24"/>
        </w:rPr>
      </w:pPr>
      <w:r w:rsidRPr="00595577">
        <w:rPr>
          <w:rFonts w:ascii="Arial" w:hAnsi="Arial" w:cs="Arial"/>
          <w:sz w:val="24"/>
          <w:szCs w:val="24"/>
        </w:rPr>
        <w:lastRenderedPageBreak/>
        <w:t xml:space="preserve">The project </w:t>
      </w:r>
      <w:r>
        <w:rPr>
          <w:rFonts w:ascii="Arial" w:hAnsi="Arial" w:cs="Arial"/>
          <w:sz w:val="24"/>
          <w:szCs w:val="24"/>
        </w:rPr>
        <w:t>will</w:t>
      </w:r>
      <w:r w:rsidRPr="00595577">
        <w:rPr>
          <w:rFonts w:ascii="Arial" w:hAnsi="Arial" w:cs="Arial"/>
          <w:sz w:val="24"/>
          <w:szCs w:val="24"/>
        </w:rPr>
        <w:t xml:space="preserve"> store the data collected by PPB in a format that complies with acknowledged national standards</w:t>
      </w:r>
      <w:r>
        <w:rPr>
          <w:rFonts w:ascii="Arial" w:hAnsi="Arial" w:cs="Arial"/>
          <w:sz w:val="24"/>
          <w:szCs w:val="24"/>
        </w:rPr>
        <w:t>,</w:t>
      </w:r>
      <w:r w:rsidRPr="00595577">
        <w:rPr>
          <w:rFonts w:ascii="Arial" w:hAnsi="Arial" w:cs="Arial"/>
          <w:sz w:val="24"/>
          <w:szCs w:val="24"/>
        </w:rPr>
        <w:t xml:space="preserve"> to guarantee that the data collected is accurate</w:t>
      </w:r>
      <w:r>
        <w:rPr>
          <w:rFonts w:ascii="Arial" w:hAnsi="Arial" w:cs="Arial"/>
          <w:sz w:val="24"/>
          <w:szCs w:val="24"/>
        </w:rPr>
        <w:t xml:space="preserve"> </w:t>
      </w:r>
      <w:r w:rsidRPr="00595577">
        <w:rPr>
          <w:rFonts w:ascii="Arial" w:hAnsi="Arial" w:cs="Arial"/>
          <w:sz w:val="24"/>
          <w:szCs w:val="24"/>
        </w:rPr>
        <w:t xml:space="preserve">(Cardiff and Vale University Health Board, 2019, p. </w:t>
      </w:r>
      <w:r>
        <w:rPr>
          <w:rFonts w:ascii="Arial" w:hAnsi="Arial" w:cs="Arial"/>
          <w:sz w:val="24"/>
          <w:szCs w:val="24"/>
        </w:rPr>
        <w:t>12</w:t>
      </w:r>
      <w:r w:rsidRPr="00595577">
        <w:rPr>
          <w:rFonts w:ascii="Arial" w:hAnsi="Arial" w:cs="Arial"/>
          <w:sz w:val="24"/>
          <w:szCs w:val="24"/>
        </w:rPr>
        <w:t xml:space="preserve">). The computer systems </w:t>
      </w:r>
      <w:r>
        <w:rPr>
          <w:rFonts w:ascii="Arial" w:hAnsi="Arial" w:cs="Arial"/>
          <w:sz w:val="24"/>
          <w:szCs w:val="24"/>
        </w:rPr>
        <w:t>will</w:t>
      </w:r>
      <w:r w:rsidRPr="00595577">
        <w:rPr>
          <w:rFonts w:ascii="Arial" w:hAnsi="Arial" w:cs="Arial"/>
          <w:sz w:val="24"/>
          <w:szCs w:val="24"/>
        </w:rPr>
        <w:t xml:space="preserve"> accept only correct entries and map the data via codes to national values</w:t>
      </w:r>
      <w:r>
        <w:rPr>
          <w:rFonts w:ascii="Arial" w:hAnsi="Arial" w:cs="Arial"/>
          <w:sz w:val="24"/>
          <w:szCs w:val="24"/>
        </w:rPr>
        <w:t xml:space="preserve"> </w:t>
      </w:r>
      <w:r w:rsidRPr="00595577">
        <w:rPr>
          <w:rFonts w:ascii="Arial" w:hAnsi="Arial" w:cs="Arial"/>
          <w:sz w:val="24"/>
          <w:szCs w:val="24"/>
        </w:rPr>
        <w:t xml:space="preserve">(Cardiff and Vale University Health Board, 2019, p. </w:t>
      </w:r>
      <w:r>
        <w:rPr>
          <w:rFonts w:ascii="Arial" w:hAnsi="Arial" w:cs="Arial"/>
          <w:sz w:val="24"/>
          <w:szCs w:val="24"/>
        </w:rPr>
        <w:t>12</w:t>
      </w:r>
      <w:r w:rsidRPr="00595577">
        <w:rPr>
          <w:rFonts w:ascii="Arial" w:hAnsi="Arial" w:cs="Arial"/>
          <w:sz w:val="24"/>
          <w:szCs w:val="24"/>
        </w:rPr>
        <w:t>). To achieve this, PPB will capture quantitative data through C&amp;VUHB’s oracle database.</w:t>
      </w:r>
    </w:p>
    <w:p w14:paraId="6366E84B" w14:textId="77777777" w:rsidR="00167BB1" w:rsidRDefault="00167BB1" w:rsidP="00167BB1">
      <w:pPr>
        <w:rPr>
          <w:rFonts w:ascii="Arial" w:hAnsi="Arial" w:cs="Arial"/>
          <w:b/>
          <w:bCs/>
          <w:sz w:val="24"/>
          <w:szCs w:val="24"/>
          <w:u w:val="single"/>
        </w:rPr>
      </w:pPr>
      <w:r w:rsidRPr="00BC5A9F">
        <w:rPr>
          <w:rFonts w:ascii="Arial" w:hAnsi="Arial" w:cs="Arial"/>
          <w:b/>
          <w:bCs/>
          <w:sz w:val="24"/>
          <w:szCs w:val="24"/>
          <w:u w:val="single"/>
        </w:rPr>
        <w:t>Ethical</w:t>
      </w:r>
      <w:r>
        <w:rPr>
          <w:rFonts w:ascii="Arial" w:hAnsi="Arial" w:cs="Arial"/>
          <w:b/>
          <w:bCs/>
          <w:sz w:val="24"/>
          <w:szCs w:val="24"/>
          <w:u w:val="single"/>
        </w:rPr>
        <w:t xml:space="preserve"> Form</w:t>
      </w:r>
    </w:p>
    <w:p w14:paraId="7DEA61DB" w14:textId="77777777" w:rsidR="00167BB1" w:rsidRPr="00E57485" w:rsidRDefault="00167BB1" w:rsidP="00167BB1">
      <w:pPr>
        <w:jc w:val="both"/>
        <w:rPr>
          <w:rFonts w:ascii="Arial" w:hAnsi="Arial" w:cs="Arial"/>
          <w:sz w:val="24"/>
          <w:szCs w:val="24"/>
        </w:rPr>
      </w:pPr>
      <w:r w:rsidRPr="00E57485">
        <w:rPr>
          <w:rFonts w:ascii="Arial" w:hAnsi="Arial" w:cs="Arial"/>
          <w:sz w:val="24"/>
          <w:szCs w:val="24"/>
        </w:rPr>
        <w:t>Publishing sensitive or potentially damaging data may give rise to ethical dilemmas (Flicker et al., 2007, p.482). Therefore, the study on PPB needs to be done to the right standards and in accordance with commonly accepted ethical guidelines (University of Wales Trinity Saint David, 2023). To accomplish this, the project will complete an ethical form (see appendix).</w:t>
      </w:r>
    </w:p>
    <w:p w14:paraId="23B8FBE2" w14:textId="77777777" w:rsidR="00167BB1" w:rsidRPr="00E57485" w:rsidRDefault="00167BB1" w:rsidP="00167BB1">
      <w:pPr>
        <w:jc w:val="both"/>
        <w:rPr>
          <w:rFonts w:ascii="Arial" w:hAnsi="Arial" w:cs="Arial"/>
          <w:sz w:val="24"/>
          <w:szCs w:val="24"/>
        </w:rPr>
      </w:pPr>
      <w:r w:rsidRPr="00E57485">
        <w:rPr>
          <w:rFonts w:ascii="Arial" w:hAnsi="Arial" w:cs="Arial"/>
          <w:sz w:val="24"/>
          <w:szCs w:val="24"/>
        </w:rPr>
        <w:t>An ethics form is documentation that requests details about the project, like PPB to make sure that the project is adhering to predetermined standards (University of Derby Library, 2023). However, it is not acceptable to ignore ethical issues after satisfactorily completing an ethics form at the start of a study and receiving ethics permission; rather, ethical considerations should remain a constant component of the research (Mauthner, 2002, p. 53).</w:t>
      </w:r>
    </w:p>
    <w:p w14:paraId="0AA3C12E" w14:textId="77777777" w:rsidR="00167BB1" w:rsidRDefault="00167BB1" w:rsidP="00167BB1">
      <w:pPr>
        <w:jc w:val="both"/>
        <w:rPr>
          <w:rFonts w:ascii="Arial" w:hAnsi="Arial" w:cs="Arial"/>
          <w:b/>
          <w:bCs/>
          <w:sz w:val="24"/>
          <w:szCs w:val="24"/>
          <w:u w:val="single"/>
        </w:rPr>
      </w:pPr>
      <w:r>
        <w:rPr>
          <w:rFonts w:ascii="Arial" w:hAnsi="Arial" w:cs="Arial"/>
          <w:b/>
          <w:bCs/>
          <w:sz w:val="24"/>
          <w:szCs w:val="24"/>
          <w:u w:val="single"/>
        </w:rPr>
        <w:t>Conclusion</w:t>
      </w:r>
    </w:p>
    <w:p w14:paraId="4736BE67" w14:textId="77777777" w:rsidR="00167BB1" w:rsidRPr="0010400F" w:rsidRDefault="00167BB1" w:rsidP="00167BB1">
      <w:pPr>
        <w:jc w:val="both"/>
        <w:rPr>
          <w:rFonts w:ascii="Arial" w:hAnsi="Arial" w:cs="Arial"/>
          <w:sz w:val="24"/>
          <w:szCs w:val="24"/>
        </w:rPr>
      </w:pPr>
      <w:r w:rsidRPr="0010400F">
        <w:rPr>
          <w:rFonts w:ascii="Arial" w:hAnsi="Arial" w:cs="Arial"/>
          <w:sz w:val="24"/>
          <w:szCs w:val="24"/>
        </w:rPr>
        <w:t>The project around PPB will raise ethical and IG issues that will require consistent monitoring throughout. Before implementation of PPB, the project needs to validate the third-party provider, whil</w:t>
      </w:r>
      <w:r>
        <w:rPr>
          <w:rFonts w:ascii="Arial" w:hAnsi="Arial" w:cs="Arial"/>
          <w:sz w:val="24"/>
          <w:szCs w:val="24"/>
        </w:rPr>
        <w:t>st</w:t>
      </w:r>
      <w:r w:rsidRPr="0010400F">
        <w:rPr>
          <w:rFonts w:ascii="Arial" w:hAnsi="Arial" w:cs="Arial"/>
          <w:sz w:val="24"/>
          <w:szCs w:val="24"/>
        </w:rPr>
        <w:t xml:space="preserve"> finalising the consideration of data collection and storage. </w:t>
      </w:r>
      <w:r>
        <w:rPr>
          <w:rFonts w:ascii="Arial" w:hAnsi="Arial" w:cs="Arial"/>
          <w:sz w:val="24"/>
          <w:szCs w:val="24"/>
        </w:rPr>
        <w:t>B</w:t>
      </w:r>
      <w:r w:rsidRPr="0010400F">
        <w:rPr>
          <w:rFonts w:ascii="Arial" w:hAnsi="Arial" w:cs="Arial"/>
          <w:sz w:val="24"/>
          <w:szCs w:val="24"/>
        </w:rPr>
        <w:t>y following the recommendations listed above the project will consider all variables and deal with issues</w:t>
      </w:r>
      <w:r>
        <w:rPr>
          <w:rFonts w:ascii="Arial" w:hAnsi="Arial" w:cs="Arial"/>
          <w:sz w:val="24"/>
          <w:szCs w:val="24"/>
        </w:rPr>
        <w:t xml:space="preserve"> accordingly</w:t>
      </w:r>
      <w:r w:rsidRPr="0010400F">
        <w:rPr>
          <w:rFonts w:ascii="Arial" w:hAnsi="Arial" w:cs="Arial"/>
          <w:sz w:val="24"/>
          <w:szCs w:val="24"/>
        </w:rPr>
        <w:t>.</w:t>
      </w:r>
    </w:p>
    <w:p w14:paraId="1A335434" w14:textId="77777777" w:rsidR="00167BB1" w:rsidRPr="004772AB" w:rsidRDefault="00167BB1" w:rsidP="00167BB1">
      <w:pPr>
        <w:jc w:val="both"/>
        <w:rPr>
          <w:rFonts w:ascii="Arial" w:hAnsi="Arial" w:cs="Arial"/>
          <w:sz w:val="24"/>
          <w:szCs w:val="24"/>
        </w:rPr>
      </w:pPr>
      <w:r>
        <w:rPr>
          <w:rFonts w:ascii="Arial" w:hAnsi="Arial" w:cs="Arial"/>
          <w:sz w:val="24"/>
          <w:szCs w:val="24"/>
        </w:rPr>
        <w:t xml:space="preserve">The project will look to </w:t>
      </w:r>
      <w:r w:rsidRPr="0010400F">
        <w:rPr>
          <w:rFonts w:ascii="Arial" w:hAnsi="Arial" w:cs="Arial"/>
          <w:sz w:val="24"/>
          <w:szCs w:val="24"/>
        </w:rPr>
        <w:t xml:space="preserve">only collect data that is relevant, with patient data anonymised (NHS Wales, 2021, p. 6). </w:t>
      </w:r>
      <w:r>
        <w:rPr>
          <w:rFonts w:ascii="Arial" w:hAnsi="Arial" w:cs="Arial"/>
          <w:sz w:val="24"/>
          <w:szCs w:val="24"/>
        </w:rPr>
        <w:t>As t</w:t>
      </w:r>
      <w:r w:rsidRPr="0010400F">
        <w:rPr>
          <w:rFonts w:ascii="Arial" w:hAnsi="Arial" w:cs="Arial"/>
          <w:sz w:val="24"/>
          <w:szCs w:val="24"/>
        </w:rPr>
        <w:t xml:space="preserve">he data collected </w:t>
      </w:r>
      <w:r>
        <w:rPr>
          <w:rFonts w:ascii="Arial" w:hAnsi="Arial" w:cs="Arial"/>
          <w:sz w:val="24"/>
          <w:szCs w:val="24"/>
        </w:rPr>
        <w:t xml:space="preserve">is </w:t>
      </w:r>
      <w:r w:rsidRPr="0010400F">
        <w:rPr>
          <w:rFonts w:ascii="Arial" w:hAnsi="Arial" w:cs="Arial"/>
          <w:sz w:val="24"/>
          <w:szCs w:val="24"/>
        </w:rPr>
        <w:t>being stored to national standards</w:t>
      </w:r>
      <w:r>
        <w:rPr>
          <w:rFonts w:ascii="Arial" w:hAnsi="Arial" w:cs="Arial"/>
          <w:sz w:val="24"/>
          <w:szCs w:val="24"/>
        </w:rPr>
        <w:t>, this</w:t>
      </w:r>
      <w:r w:rsidRPr="0010400F">
        <w:rPr>
          <w:rFonts w:ascii="Arial" w:hAnsi="Arial" w:cs="Arial"/>
          <w:sz w:val="24"/>
          <w:szCs w:val="24"/>
        </w:rPr>
        <w:t xml:space="preserve"> will alleviate IG issues (Cardiff and Vale University Health Board, 2019, p. 12). </w:t>
      </w:r>
      <w:r>
        <w:rPr>
          <w:rFonts w:ascii="Arial" w:hAnsi="Arial" w:cs="Arial"/>
          <w:sz w:val="24"/>
          <w:szCs w:val="24"/>
        </w:rPr>
        <w:t xml:space="preserve">An ethical form and continuous consideration for ethical issues throughout </w:t>
      </w:r>
      <w:r w:rsidRPr="0010400F">
        <w:rPr>
          <w:rFonts w:ascii="Arial" w:hAnsi="Arial" w:cs="Arial"/>
          <w:sz w:val="24"/>
          <w:szCs w:val="24"/>
        </w:rPr>
        <w:t xml:space="preserve">(Mauthner, 2002, p. 53), </w:t>
      </w:r>
      <w:r>
        <w:rPr>
          <w:rFonts w:ascii="Arial" w:hAnsi="Arial" w:cs="Arial"/>
          <w:sz w:val="24"/>
          <w:szCs w:val="24"/>
        </w:rPr>
        <w:t xml:space="preserve">will </w:t>
      </w:r>
      <w:r w:rsidRPr="0010400F">
        <w:rPr>
          <w:rFonts w:ascii="Arial" w:hAnsi="Arial" w:cs="Arial"/>
          <w:sz w:val="24"/>
          <w:szCs w:val="24"/>
        </w:rPr>
        <w:t>enabl</w:t>
      </w:r>
      <w:r>
        <w:rPr>
          <w:rFonts w:ascii="Arial" w:hAnsi="Arial" w:cs="Arial"/>
          <w:sz w:val="24"/>
          <w:szCs w:val="24"/>
        </w:rPr>
        <w:t>e</w:t>
      </w:r>
      <w:r w:rsidRPr="0010400F">
        <w:rPr>
          <w:rFonts w:ascii="Arial" w:hAnsi="Arial" w:cs="Arial"/>
          <w:sz w:val="24"/>
          <w:szCs w:val="24"/>
        </w:rPr>
        <w:t xml:space="preserve"> PPB to maintain the highest ethical standards for the project (University of Wales Trinity Saint David, 2022, p. 3).</w:t>
      </w:r>
    </w:p>
    <w:p w14:paraId="2B6BFD98" w14:textId="77777777" w:rsidR="001725FD" w:rsidRDefault="001725FD" w:rsidP="001725FD">
      <w:pPr>
        <w:jc w:val="both"/>
        <w:rPr>
          <w:rFonts w:ascii="Arial" w:hAnsi="Arial" w:cs="Arial"/>
          <w:sz w:val="24"/>
          <w:szCs w:val="24"/>
        </w:rPr>
      </w:pPr>
    </w:p>
    <w:p w14:paraId="6E987E1B" w14:textId="77777777" w:rsidR="00167BB1" w:rsidRDefault="00167BB1" w:rsidP="001725FD">
      <w:pPr>
        <w:jc w:val="both"/>
        <w:rPr>
          <w:rFonts w:ascii="Arial" w:hAnsi="Arial" w:cs="Arial"/>
          <w:sz w:val="24"/>
          <w:szCs w:val="24"/>
        </w:rPr>
      </w:pPr>
    </w:p>
    <w:p w14:paraId="64B92F8E" w14:textId="77777777" w:rsidR="00167BB1" w:rsidRDefault="00167BB1" w:rsidP="001725FD">
      <w:pPr>
        <w:jc w:val="both"/>
        <w:rPr>
          <w:rFonts w:ascii="Arial" w:hAnsi="Arial" w:cs="Arial"/>
          <w:sz w:val="24"/>
          <w:szCs w:val="24"/>
        </w:rPr>
      </w:pPr>
    </w:p>
    <w:p w14:paraId="6AA0D04B" w14:textId="77777777" w:rsidR="00167BB1" w:rsidRDefault="00167BB1" w:rsidP="001725FD">
      <w:pPr>
        <w:jc w:val="both"/>
        <w:rPr>
          <w:rFonts w:ascii="Arial" w:hAnsi="Arial" w:cs="Arial"/>
          <w:sz w:val="24"/>
          <w:szCs w:val="24"/>
        </w:rPr>
      </w:pPr>
    </w:p>
    <w:p w14:paraId="2DD34631" w14:textId="77777777" w:rsidR="00167BB1" w:rsidRDefault="00167BB1" w:rsidP="001725FD">
      <w:pPr>
        <w:jc w:val="both"/>
        <w:rPr>
          <w:rFonts w:ascii="Arial" w:hAnsi="Arial" w:cs="Arial"/>
          <w:sz w:val="24"/>
          <w:szCs w:val="24"/>
        </w:rPr>
      </w:pPr>
    </w:p>
    <w:p w14:paraId="1F03B741" w14:textId="77777777" w:rsidR="00167BB1" w:rsidRDefault="00167BB1" w:rsidP="001725FD">
      <w:pPr>
        <w:jc w:val="both"/>
        <w:rPr>
          <w:rFonts w:ascii="Arial" w:hAnsi="Arial" w:cs="Arial"/>
          <w:sz w:val="24"/>
          <w:szCs w:val="24"/>
        </w:rPr>
      </w:pPr>
    </w:p>
    <w:p w14:paraId="6A982248" w14:textId="77777777" w:rsidR="00167BB1" w:rsidRDefault="00167BB1" w:rsidP="001725FD">
      <w:pPr>
        <w:jc w:val="both"/>
        <w:rPr>
          <w:rFonts w:ascii="Arial" w:hAnsi="Arial" w:cs="Arial"/>
          <w:sz w:val="24"/>
          <w:szCs w:val="24"/>
        </w:rPr>
      </w:pPr>
    </w:p>
    <w:p w14:paraId="6D01009B" w14:textId="77777777" w:rsidR="00167BB1" w:rsidRDefault="00167BB1" w:rsidP="001725FD">
      <w:pPr>
        <w:jc w:val="both"/>
        <w:rPr>
          <w:rFonts w:ascii="Arial" w:hAnsi="Arial" w:cs="Arial"/>
          <w:sz w:val="24"/>
          <w:szCs w:val="24"/>
        </w:rPr>
      </w:pPr>
    </w:p>
    <w:p w14:paraId="6691B89C" w14:textId="77777777" w:rsidR="00167BB1" w:rsidRPr="00167BB1" w:rsidRDefault="00167BB1" w:rsidP="00167BB1">
      <w:pPr>
        <w:rPr>
          <w:rFonts w:ascii="Arial" w:hAnsi="Arial" w:cs="Arial"/>
          <w:b/>
          <w:sz w:val="28"/>
          <w:szCs w:val="28"/>
          <w:u w:val="single"/>
        </w:rPr>
      </w:pPr>
      <w:r w:rsidRPr="00167BB1">
        <w:rPr>
          <w:rFonts w:ascii="Arial" w:hAnsi="Arial" w:cs="Arial"/>
          <w:b/>
          <w:sz w:val="28"/>
          <w:szCs w:val="28"/>
          <w:u w:val="single"/>
        </w:rPr>
        <w:lastRenderedPageBreak/>
        <w:t>References</w:t>
      </w:r>
    </w:p>
    <w:p w14:paraId="7F6435A6"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Ammenwerth, E., Iller, C. and Mahler, C. (2006) 'IT-adoption and the interaction of task, technology and individuals: a fit framework and a case study', </w:t>
      </w:r>
      <w:r w:rsidRPr="00EE7687">
        <w:rPr>
          <w:rFonts w:ascii="Arial" w:hAnsi="Arial" w:cs="Arial"/>
          <w:i/>
          <w:iCs/>
        </w:rPr>
        <w:t>BMC medical informatics and decision making; BMC Med Inform Decis Mak, </w:t>
      </w:r>
      <w:r w:rsidRPr="00EE7687">
        <w:rPr>
          <w:rFonts w:ascii="Arial" w:hAnsi="Arial" w:cs="Arial"/>
        </w:rPr>
        <w:t>6(1), pp. 3. Available at: https://doi.org/10.1186/1472-6947-6-3.</w:t>
      </w:r>
    </w:p>
    <w:p w14:paraId="426B209C"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Appleby, J. (2005) 'CUTTING NHS WAITING TIMES: Identifying strategies for sustainable reductions'. </w:t>
      </w:r>
      <w:r w:rsidRPr="00EE7687">
        <w:rPr>
          <w:rFonts w:ascii="Arial" w:hAnsi="Arial" w:cs="Arial"/>
          <w:shd w:val="clear" w:color="auto" w:fill="FFFFFF"/>
        </w:rPr>
        <w:t xml:space="preserve">Available at: </w:t>
      </w:r>
      <w:hyperlink r:id="rId39" w:history="1">
        <w:r w:rsidRPr="00EE7687">
          <w:rPr>
            <w:rStyle w:val="Hyperlink"/>
            <w:rFonts w:ascii="Arial" w:hAnsi="Arial" w:cs="Arial"/>
            <w:color w:val="auto"/>
            <w:shd w:val="clear" w:color="auto" w:fill="FFFFFF"/>
          </w:rPr>
          <w:t>https://www.kingsfund.org.uk/sites/default/files/dhwaitingtimessummary.pdf.</w:t>
        </w:r>
      </w:hyperlink>
      <w:r w:rsidRPr="00EE7687">
        <w:rPr>
          <w:rFonts w:ascii="Arial" w:hAnsi="Arial" w:cs="Arial"/>
        </w:rPr>
        <w:t xml:space="preserve"> (Accessed: 18 April 2023).</w:t>
      </w:r>
    </w:p>
    <w:p w14:paraId="22CECB8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Appleby, J., Hemmings, N., Maguire, D., Morris, J., Schlepper, L. and Wellings, D. (2020) </w:t>
      </w:r>
      <w:r w:rsidRPr="00EE7687">
        <w:rPr>
          <w:rFonts w:ascii="Arial" w:hAnsi="Arial" w:cs="Arial"/>
          <w:i/>
          <w:iCs/>
        </w:rPr>
        <w:t>Public satisfaction with the NHS and social care in 2019. </w:t>
      </w:r>
      <w:r w:rsidRPr="00EE7687">
        <w:rPr>
          <w:rFonts w:ascii="Arial" w:hAnsi="Arial" w:cs="Arial"/>
        </w:rPr>
        <w:t>Available at: </w:t>
      </w:r>
      <w:hyperlink r:id="rId40" w:tgtFrame="_blank" w:history="1">
        <w:r w:rsidRPr="00EE7687">
          <w:rPr>
            <w:rStyle w:val="Hyperlink"/>
            <w:rFonts w:ascii="Arial" w:hAnsi="Arial" w:cs="Arial"/>
            <w:color w:val="auto"/>
          </w:rPr>
          <w:t>https://www.kingsfund.org.uk/sites/default/files/2020-04/BSA_2019_NT-KF_WEB_update.pdf</w:t>
        </w:r>
      </w:hyperlink>
      <w:r w:rsidRPr="00EE7687">
        <w:rPr>
          <w:rFonts w:ascii="Arial" w:hAnsi="Arial" w:cs="Arial"/>
        </w:rPr>
        <w:t xml:space="preserve"> (Accessed: </w:t>
      </w:r>
    </w:p>
    <w:p w14:paraId="7262BF20"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Bernal, J.L., Cummins, S. and Gasparrini, A. (2017) 'Interrupted time series regression for the evaluation of public health interventions: a tutorial', </w:t>
      </w:r>
      <w:r w:rsidRPr="00EE7687">
        <w:rPr>
          <w:rFonts w:ascii="Arial" w:hAnsi="Arial" w:cs="Arial"/>
          <w:i/>
          <w:iCs/>
        </w:rPr>
        <w:t>International journal of epidemiology; Int J Epidemiol, </w:t>
      </w:r>
      <w:r w:rsidRPr="00EE7687">
        <w:rPr>
          <w:rFonts w:ascii="Arial" w:hAnsi="Arial" w:cs="Arial"/>
        </w:rPr>
        <w:t>46(1), pp. 348-355. Available at: https://doi.org/10.1093/ije/dyw098.</w:t>
      </w:r>
    </w:p>
    <w:p w14:paraId="514B1A9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Blackburn, M., Alexander, J., Legan, J.D. and Klabjan, D. (2017) 'Big Data and the Future of R&amp;D Management: The rise of big data and big data analytics will have significant implications for R&amp;D and innovation management in the next decade', </w:t>
      </w:r>
      <w:r w:rsidRPr="00EE7687">
        <w:rPr>
          <w:rFonts w:ascii="Arial" w:hAnsi="Arial" w:cs="Arial"/>
          <w:i/>
          <w:iCs/>
        </w:rPr>
        <w:t>Research Technology Management, </w:t>
      </w:r>
      <w:r w:rsidRPr="00EE7687">
        <w:rPr>
          <w:rFonts w:ascii="Arial" w:hAnsi="Arial" w:cs="Arial"/>
        </w:rPr>
        <w:t>60(5), pp. 43-51. Available at: https://doi.org/10.1080/08956308.2017.1348135.</w:t>
      </w:r>
    </w:p>
    <w:p w14:paraId="49482FA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Byrne, D.S. (2002) </w:t>
      </w:r>
      <w:r w:rsidRPr="00EE7687">
        <w:rPr>
          <w:rFonts w:ascii="Arial" w:hAnsi="Arial" w:cs="Arial"/>
          <w:i/>
          <w:iCs/>
        </w:rPr>
        <w:t>Interpreting quantitative data</w:t>
      </w:r>
      <w:r w:rsidRPr="00EE7687">
        <w:rPr>
          <w:rFonts w:ascii="Arial" w:hAnsi="Arial" w:cs="Arial"/>
        </w:rPr>
        <w:t> London: SAGE.</w:t>
      </w:r>
    </w:p>
    <w:p w14:paraId="715A06B7"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0" w:name="_Hlk133064949"/>
      <w:r w:rsidRPr="00EE7687">
        <w:rPr>
          <w:rFonts w:ascii="Arial" w:hAnsi="Arial" w:cs="Arial"/>
        </w:rPr>
        <w:t xml:space="preserve">Cardiff and Vale University Health Board (2020) </w:t>
      </w:r>
      <w:r w:rsidRPr="00EE7687">
        <w:rPr>
          <w:rFonts w:ascii="Arial" w:hAnsi="Arial" w:cs="Arial"/>
          <w:i/>
          <w:iCs/>
          <w:shd w:val="clear" w:color="auto" w:fill="FFFFFF"/>
        </w:rPr>
        <w:t xml:space="preserve">Delivering Digital: Building a learning health and care system. A Five Year Strategy. </w:t>
      </w:r>
      <w:r w:rsidRPr="00EE7687">
        <w:rPr>
          <w:rFonts w:ascii="Arial" w:hAnsi="Arial" w:cs="Arial"/>
          <w:shd w:val="clear" w:color="auto" w:fill="FFFFFF"/>
        </w:rPr>
        <w:t xml:space="preserve">Available at: </w:t>
      </w:r>
      <w:hyperlink r:id="rId41" w:history="1">
        <w:r w:rsidRPr="00EE7687">
          <w:rPr>
            <w:rStyle w:val="Hyperlink"/>
            <w:rFonts w:ascii="Arial" w:hAnsi="Arial" w:cs="Arial"/>
            <w:color w:val="auto"/>
          </w:rPr>
          <w:t>Delivering Digital Building a learning health and care system A Five Year Strategy (nhs.wales)</w:t>
        </w:r>
      </w:hyperlink>
      <w:r w:rsidRPr="00EE7687">
        <w:rPr>
          <w:rFonts w:ascii="Arial" w:hAnsi="Arial" w:cs="Arial"/>
          <w:shd w:val="clear" w:color="auto" w:fill="FFFFFF"/>
        </w:rPr>
        <w:t xml:space="preserve"> (Accessed: 11 March 2023).</w:t>
      </w:r>
    </w:p>
    <w:p w14:paraId="25C098E3"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Cardiff and Vale University Health Board (2019) </w:t>
      </w:r>
      <w:r w:rsidRPr="00EE7687">
        <w:rPr>
          <w:rFonts w:ascii="Arial" w:hAnsi="Arial" w:cs="Arial"/>
          <w:i/>
          <w:iCs/>
          <w:sz w:val="24"/>
          <w:szCs w:val="24"/>
        </w:rPr>
        <w:t>Cardiff and Vale University Health Board Information Governance Policy.</w:t>
      </w:r>
      <w:r w:rsidRPr="00EE7687">
        <w:rPr>
          <w:rFonts w:ascii="Arial" w:hAnsi="Arial" w:cs="Arial"/>
          <w:sz w:val="24"/>
          <w:szCs w:val="24"/>
        </w:rPr>
        <w:t xml:space="preserve"> Available at: </w:t>
      </w:r>
      <w:hyperlink r:id="rId42" w:history="1">
        <w:r w:rsidRPr="00EE7687">
          <w:rPr>
            <w:rStyle w:val="Hyperlink"/>
            <w:rFonts w:ascii="Arial" w:hAnsi="Arial" w:cs="Arial"/>
            <w:color w:val="auto"/>
            <w:sz w:val="24"/>
            <w:szCs w:val="24"/>
          </w:rPr>
          <w:t>https://cavuhb.nhs.wales/files/policies-procedures-and-guidelines/corporate-policy/i-j-corporate-policy/cv-ig-policy-v4-pdf/</w:t>
        </w:r>
      </w:hyperlink>
      <w:r w:rsidRPr="00EE7687">
        <w:rPr>
          <w:rFonts w:ascii="Arial" w:hAnsi="Arial" w:cs="Arial"/>
          <w:sz w:val="24"/>
          <w:szCs w:val="24"/>
        </w:rPr>
        <w:t xml:space="preserve"> (Accessed: 22 April 2023).</w:t>
      </w:r>
    </w:p>
    <w:bookmarkEnd w:id="0"/>
    <w:p w14:paraId="68B6006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Cardiff and Vale University Health Board (2021) </w:t>
      </w:r>
      <w:r w:rsidRPr="00EE7687">
        <w:rPr>
          <w:rFonts w:ascii="Arial" w:hAnsi="Arial" w:cs="Arial"/>
          <w:i/>
        </w:rPr>
        <w:t xml:space="preserve">Right Bed, First Time – An overview for staff. </w:t>
      </w:r>
      <w:r w:rsidRPr="00EE7687">
        <w:rPr>
          <w:rFonts w:ascii="Arial" w:hAnsi="Arial" w:cs="Arial"/>
        </w:rPr>
        <w:t xml:space="preserve">21 May 2001. Available at: </w:t>
      </w:r>
      <w:hyperlink r:id="rId43" w:history="1">
        <w:r w:rsidRPr="00EE7687">
          <w:rPr>
            <w:rStyle w:val="Hyperlink"/>
            <w:rFonts w:ascii="Arial" w:hAnsi="Arial" w:cs="Arial"/>
            <w:color w:val="auto"/>
          </w:rPr>
          <w:t>(57) Right Bed, First Time – An overview for staff - YouTube</w:t>
        </w:r>
      </w:hyperlink>
      <w:r w:rsidRPr="00EE7687">
        <w:rPr>
          <w:rFonts w:ascii="Arial" w:hAnsi="Arial" w:cs="Arial"/>
        </w:rPr>
        <w:t xml:space="preserve"> (Accessed: 19 March 2023).</w:t>
      </w:r>
    </w:p>
    <w:p w14:paraId="293B25C6"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Cheng, L.H.H., Walton, A., Conway, H., James, D., Canning, F., White, P., Franklin, S., Harrison, V., Ezsias, A., Ali, E., Ratcliffe, S. and Qureshi, R. (2010) 'P47 How to reduce Did Not Attend (DNA) rates and achieve treatment targets in a NHS Foundation Hospital in the UK', </w:t>
      </w:r>
      <w:r w:rsidRPr="00EE7687">
        <w:rPr>
          <w:rFonts w:ascii="Arial" w:hAnsi="Arial" w:cs="Arial"/>
          <w:i/>
          <w:iCs/>
        </w:rPr>
        <w:t>British journal of oral &amp; maxillofacial surgery, </w:t>
      </w:r>
      <w:r w:rsidRPr="00EE7687">
        <w:rPr>
          <w:rFonts w:ascii="Arial" w:hAnsi="Arial" w:cs="Arial"/>
        </w:rPr>
        <w:t>48, pp. S37. Available at: https://doi.org/10.1016/S0266-4356(10)60138-6.</w:t>
      </w:r>
    </w:p>
    <w:p w14:paraId="5D24DE0A"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Connelly, L.M. (2018) 'Statistical Process Control', </w:t>
      </w:r>
      <w:r w:rsidRPr="00EE7687">
        <w:rPr>
          <w:rFonts w:ascii="Arial" w:hAnsi="Arial" w:cs="Arial"/>
          <w:i/>
          <w:iCs/>
        </w:rPr>
        <w:t>Medsurg nursing, </w:t>
      </w:r>
      <w:r w:rsidRPr="00EE7687">
        <w:rPr>
          <w:rFonts w:ascii="Arial" w:hAnsi="Arial" w:cs="Arial"/>
        </w:rPr>
        <w:t>27(5), pp. 331-332.</w:t>
      </w:r>
    </w:p>
    <w:p w14:paraId="6A671FEA"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lastRenderedPageBreak/>
        <w:t>Cresswell, K.M., Mozaffar, H., Lee, L., Williams, R. and Sheikh, A. (2017) 'Workarounds to hospital electronic prescribing systems: a qualitative study in English hospitals', </w:t>
      </w:r>
      <w:r w:rsidRPr="00EE7687">
        <w:rPr>
          <w:rFonts w:ascii="Arial" w:hAnsi="Arial" w:cs="Arial"/>
          <w:i/>
          <w:iCs/>
        </w:rPr>
        <w:t>BMJ quality &amp; safety; BMJ Qual Saf, </w:t>
      </w:r>
      <w:r w:rsidRPr="00EE7687">
        <w:rPr>
          <w:rFonts w:ascii="Arial" w:hAnsi="Arial" w:cs="Arial"/>
        </w:rPr>
        <w:t xml:space="preserve">26(7), pp. 542-551. Available at: </w:t>
      </w:r>
      <w:hyperlink r:id="rId44" w:history="1">
        <w:r w:rsidRPr="00EE7687">
          <w:rPr>
            <w:rStyle w:val="Hyperlink"/>
            <w:rFonts w:ascii="Arial" w:hAnsi="Arial" w:cs="Arial"/>
            <w:color w:val="auto"/>
          </w:rPr>
          <w:t>https://doi.org/10.1136/bmjqs-2015-005149</w:t>
        </w:r>
      </w:hyperlink>
      <w:r w:rsidRPr="00EE7687">
        <w:rPr>
          <w:rFonts w:ascii="Arial" w:hAnsi="Arial" w:cs="Arial"/>
        </w:rPr>
        <w:t>.</w:t>
      </w:r>
    </w:p>
    <w:p w14:paraId="11403EA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Dias, T., Andrade, M., Oliveira, A., Teixeira, E. (2017) ‘STATISTICAL PROCESS CONTROL APPLICATION IN AUTOMOTIVE INDUSTRY.’</w:t>
      </w:r>
      <w:r w:rsidRPr="00EE7687">
        <w:rPr>
          <w:rFonts w:ascii="Arial" w:hAnsi="Arial" w:cs="Arial"/>
          <w:i/>
          <w:iCs/>
        </w:rPr>
        <w:t xml:space="preserve">. </w:t>
      </w:r>
      <w:r w:rsidRPr="00EE7687">
        <w:rPr>
          <w:rFonts w:ascii="Arial" w:hAnsi="Arial" w:cs="Arial"/>
          <w:shd w:val="clear" w:color="auto" w:fill="FFFFFF"/>
        </w:rPr>
        <w:t>Available at: https://doi.org/</w:t>
      </w:r>
      <w:r w:rsidRPr="00EE7687">
        <w:rPr>
          <w:rFonts w:ascii="Arial" w:hAnsi="Arial" w:cs="Arial"/>
        </w:rPr>
        <w:t>10.26678/ABCM.COBEM2017.COB17-2905</w:t>
      </w:r>
    </w:p>
    <w:p w14:paraId="68AF9288"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 U. (2018) </w:t>
      </w:r>
      <w:r w:rsidRPr="00EE7687">
        <w:rPr>
          <w:rFonts w:ascii="Arial" w:hAnsi="Arial" w:cs="Arial"/>
          <w:i/>
          <w:iCs/>
        </w:rPr>
        <w:t>The Sage handbook of qualitative data collection</w:t>
      </w:r>
      <w:r w:rsidRPr="00EE7687">
        <w:rPr>
          <w:rFonts w:ascii="Arial" w:hAnsi="Arial" w:cs="Arial"/>
        </w:rPr>
        <w:t> London: SAGE Publications Ltd.</w:t>
      </w:r>
    </w:p>
    <w:p w14:paraId="329568C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 U. (2014) </w:t>
      </w:r>
      <w:r w:rsidRPr="00EE7687">
        <w:rPr>
          <w:rFonts w:ascii="Arial" w:hAnsi="Arial" w:cs="Arial"/>
          <w:i/>
          <w:iCs/>
        </w:rPr>
        <w:t>The SAGE handbook of qualitative data analysis</w:t>
      </w:r>
      <w:r w:rsidRPr="00EE7687">
        <w:rPr>
          <w:rFonts w:ascii="Arial" w:hAnsi="Arial" w:cs="Arial"/>
        </w:rPr>
        <w:t> Los Angeles: SAGE.</w:t>
      </w:r>
    </w:p>
    <w:p w14:paraId="28E0D64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Flicker, S., Travers, R., Guta, A., McDonald, S. and Meagher, A. (2007) 'Ethical dilemmas in community-based participatory research: recommendations for institutional review boards', </w:t>
      </w:r>
      <w:r w:rsidRPr="00EE7687">
        <w:rPr>
          <w:rFonts w:ascii="Arial" w:hAnsi="Arial" w:cs="Arial"/>
          <w:i/>
          <w:iCs/>
        </w:rPr>
        <w:t>Journal of urban health; J Urban Health, </w:t>
      </w:r>
      <w:r w:rsidRPr="00EE7687">
        <w:rPr>
          <w:rFonts w:ascii="Arial" w:hAnsi="Arial" w:cs="Arial"/>
        </w:rPr>
        <w:t xml:space="preserve">84(4), pp. 478-493. Available at: </w:t>
      </w:r>
      <w:hyperlink r:id="rId45" w:history="1">
        <w:r w:rsidRPr="00EE7687">
          <w:rPr>
            <w:rStyle w:val="Hyperlink"/>
            <w:rFonts w:ascii="Arial" w:hAnsi="Arial" w:cs="Arial"/>
            <w:color w:val="auto"/>
          </w:rPr>
          <w:t>https://doi.org/10.1007/s11524-007-9165-7</w:t>
        </w:r>
      </w:hyperlink>
      <w:r w:rsidRPr="00EE7687">
        <w:rPr>
          <w:rFonts w:ascii="Arial" w:hAnsi="Arial" w:cs="Arial"/>
        </w:rPr>
        <w:t>.</w:t>
      </w:r>
    </w:p>
    <w:p w14:paraId="54887E8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Fretheim, A. and Tomic, O. (2015) 'Statistical process control and interrupted time series: a golden opportunity for impact evaluation in quality improvement', </w:t>
      </w:r>
      <w:r w:rsidRPr="00EE7687">
        <w:rPr>
          <w:rFonts w:ascii="Arial" w:hAnsi="Arial" w:cs="Arial"/>
          <w:i/>
          <w:iCs/>
        </w:rPr>
        <w:t>BMJ quality &amp; safety; BMJ Qual Saf, </w:t>
      </w:r>
      <w:r w:rsidRPr="00EE7687">
        <w:rPr>
          <w:rFonts w:ascii="Arial" w:hAnsi="Arial" w:cs="Arial"/>
        </w:rPr>
        <w:t xml:space="preserve">24(12), pp. 748-752. Available at: </w:t>
      </w:r>
      <w:hyperlink r:id="rId46" w:history="1">
        <w:r w:rsidRPr="00EE7687">
          <w:rPr>
            <w:rStyle w:val="Hyperlink"/>
            <w:rFonts w:ascii="Arial" w:hAnsi="Arial" w:cs="Arial"/>
            <w:color w:val="auto"/>
          </w:rPr>
          <w:t>https://doi.org/10.1136/bmjqs-2014-003756</w:t>
        </w:r>
      </w:hyperlink>
      <w:r w:rsidRPr="00EE7687">
        <w:rPr>
          <w:rFonts w:ascii="Arial" w:hAnsi="Arial" w:cs="Arial"/>
        </w:rPr>
        <w:t>.</w:t>
      </w:r>
    </w:p>
    <w:p w14:paraId="136A4DF2" w14:textId="77777777" w:rsidR="00167BB1" w:rsidRPr="00EE7687" w:rsidRDefault="00167BB1" w:rsidP="00167BB1">
      <w:pPr>
        <w:rPr>
          <w:rFonts w:ascii="Arial" w:hAnsi="Arial" w:cs="Arial"/>
          <w:sz w:val="24"/>
          <w:szCs w:val="24"/>
          <w:lang w:eastAsia="en-GB"/>
        </w:rPr>
      </w:pPr>
      <w:r w:rsidRPr="00EE7687">
        <w:rPr>
          <w:rFonts w:ascii="Arial" w:hAnsi="Arial" w:cs="Arial"/>
          <w:sz w:val="24"/>
          <w:szCs w:val="24"/>
        </w:rPr>
        <w:t xml:space="preserve">Hayes, A. (2023) </w:t>
      </w:r>
      <w:r w:rsidRPr="00EE7687">
        <w:rPr>
          <w:rFonts w:ascii="Arial" w:hAnsi="Arial" w:cs="Arial"/>
          <w:i/>
          <w:sz w:val="24"/>
          <w:szCs w:val="24"/>
          <w:lang w:eastAsia="en-GB"/>
        </w:rPr>
        <w:t>Descriptive Statistics: Definition, Overview, Types, Example</w:t>
      </w:r>
      <w:r w:rsidRPr="00EE7687">
        <w:rPr>
          <w:rFonts w:ascii="Arial" w:hAnsi="Arial" w:cs="Arial"/>
          <w:i/>
          <w:iCs/>
          <w:sz w:val="24"/>
          <w:szCs w:val="24"/>
          <w:shd w:val="clear" w:color="auto" w:fill="FFFFFF"/>
        </w:rPr>
        <w:t xml:space="preserve">. </w:t>
      </w:r>
      <w:r w:rsidRPr="00EE7687">
        <w:rPr>
          <w:rFonts w:ascii="Arial" w:hAnsi="Arial" w:cs="Arial"/>
          <w:sz w:val="24"/>
          <w:szCs w:val="24"/>
          <w:shd w:val="clear" w:color="auto" w:fill="FFFFFF"/>
        </w:rPr>
        <w:t xml:space="preserve">Available at: </w:t>
      </w:r>
      <w:hyperlink r:id="rId47" w:anchor=":~:text=Descriptive%20statistics%20are%20brief%20informational%20coefficients%20that%20summarize,of%20central%20tendency%20and%20measures%20of%20variability%20%28spread%29." w:history="1">
        <w:r w:rsidRPr="00EE7687">
          <w:rPr>
            <w:rStyle w:val="Hyperlink"/>
            <w:rFonts w:ascii="Arial" w:hAnsi="Arial" w:cs="Arial"/>
            <w:color w:val="auto"/>
            <w:sz w:val="24"/>
            <w:szCs w:val="24"/>
          </w:rPr>
          <w:t>Descriptive Statistics: Definition, Overview, Types, Example (investopedia.com)</w:t>
        </w:r>
      </w:hyperlink>
      <w:r w:rsidRPr="00EE7687">
        <w:rPr>
          <w:rFonts w:ascii="Arial" w:hAnsi="Arial" w:cs="Arial"/>
          <w:sz w:val="24"/>
          <w:szCs w:val="24"/>
          <w:shd w:val="clear" w:color="auto" w:fill="FFFFFF"/>
        </w:rPr>
        <w:t xml:space="preserve"> (Accessed: 05 May 2023).</w:t>
      </w:r>
    </w:p>
    <w:p w14:paraId="703CF508"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Health Education and Improvement Wales (2023) </w:t>
      </w:r>
      <w:r w:rsidRPr="00EE7687">
        <w:rPr>
          <w:rFonts w:ascii="Arial" w:hAnsi="Arial" w:cs="Arial"/>
          <w:i/>
          <w:iCs/>
          <w:sz w:val="24"/>
          <w:szCs w:val="24"/>
        </w:rPr>
        <w:t>Information Governance.</w:t>
      </w:r>
      <w:r w:rsidRPr="00EE7687">
        <w:rPr>
          <w:rFonts w:ascii="Arial" w:hAnsi="Arial" w:cs="Arial"/>
          <w:sz w:val="24"/>
          <w:szCs w:val="24"/>
        </w:rPr>
        <w:t xml:space="preserve"> Available at: </w:t>
      </w:r>
      <w:hyperlink r:id="rId48" w:history="1">
        <w:r w:rsidRPr="00EE7687">
          <w:rPr>
            <w:rStyle w:val="Hyperlink"/>
            <w:rFonts w:ascii="Arial" w:hAnsi="Arial" w:cs="Arial"/>
            <w:color w:val="auto"/>
            <w:sz w:val="24"/>
            <w:szCs w:val="24"/>
          </w:rPr>
          <w:t>Information governance - HEIW (nhs.wales)</w:t>
        </w:r>
      </w:hyperlink>
      <w:r w:rsidRPr="00EE7687">
        <w:rPr>
          <w:rFonts w:ascii="Arial" w:hAnsi="Arial" w:cs="Arial"/>
          <w:sz w:val="24"/>
          <w:szCs w:val="24"/>
        </w:rPr>
        <w:t xml:space="preserve"> (Accessed: 22 April 2023).</w:t>
      </w:r>
    </w:p>
    <w:p w14:paraId="6D9135F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Johnson, A., Conroy, S., Thompson, D., Hassett, G., Clayton, A. and Backhouse, E. (2022) 'Staff Experience in the NHS: A National Study—An Experience-Based Design Approach', </w:t>
      </w:r>
      <w:r w:rsidRPr="00EE7687">
        <w:rPr>
          <w:rFonts w:ascii="Arial" w:hAnsi="Arial" w:cs="Arial"/>
          <w:i/>
          <w:iCs/>
        </w:rPr>
        <w:t>Journal of patient experience; J Patient Exp, </w:t>
      </w:r>
      <w:r w:rsidRPr="00EE7687">
        <w:rPr>
          <w:rFonts w:ascii="Arial" w:hAnsi="Arial" w:cs="Arial"/>
        </w:rPr>
        <w:t xml:space="preserve">9, pp. 23743735221143921. Available at: </w:t>
      </w:r>
      <w:hyperlink r:id="rId49" w:history="1">
        <w:r w:rsidRPr="00EE7687">
          <w:rPr>
            <w:rStyle w:val="Hyperlink"/>
            <w:rFonts w:ascii="Arial" w:hAnsi="Arial" w:cs="Arial"/>
            <w:color w:val="auto"/>
          </w:rPr>
          <w:t>https://doi.org/10.1177/23743735221143921</w:t>
        </w:r>
      </w:hyperlink>
      <w:r w:rsidRPr="00EE7687">
        <w:rPr>
          <w:rFonts w:ascii="Arial" w:hAnsi="Arial" w:cs="Arial"/>
        </w:rPr>
        <w:t>.</w:t>
      </w:r>
    </w:p>
    <w:p w14:paraId="76D0C49C"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Lopetegui, M., Yen, P., Lai, A., Jeffries, J., Embi, P. and Payne, P. (2014) 'Time motion studies in healthcare: What are we talking about?', </w:t>
      </w:r>
      <w:r w:rsidRPr="00EE7687">
        <w:rPr>
          <w:rFonts w:ascii="Arial" w:eastAsia="Times New Roman" w:hAnsi="Arial" w:cs="Arial"/>
          <w:i/>
          <w:iCs/>
          <w:sz w:val="24"/>
          <w:szCs w:val="24"/>
          <w:lang w:eastAsia="en-GB"/>
        </w:rPr>
        <w:t>Journal of Biomedical Informatics; J Biomed Inform, </w:t>
      </w:r>
      <w:r w:rsidRPr="00EE7687">
        <w:rPr>
          <w:rFonts w:ascii="Arial" w:eastAsia="Times New Roman" w:hAnsi="Arial" w:cs="Arial"/>
          <w:sz w:val="24"/>
          <w:szCs w:val="24"/>
          <w:lang w:eastAsia="en-GB"/>
        </w:rPr>
        <w:t xml:space="preserve">49, pp. 292-299. </w:t>
      </w:r>
      <w:r w:rsidRPr="00EE7687">
        <w:rPr>
          <w:rFonts w:ascii="Arial" w:hAnsi="Arial" w:cs="Arial"/>
          <w:sz w:val="24"/>
          <w:szCs w:val="24"/>
        </w:rPr>
        <w:t xml:space="preserve">Available at: </w:t>
      </w:r>
      <w:hyperlink r:id="rId50" w:history="1">
        <w:r w:rsidRPr="00EE7687">
          <w:rPr>
            <w:rStyle w:val="Hyperlink"/>
            <w:rFonts w:ascii="Arial" w:hAnsi="Arial" w:cs="Arial"/>
            <w:color w:val="auto"/>
            <w:sz w:val="24"/>
            <w:szCs w:val="24"/>
          </w:rPr>
          <w:t>https://doi.org/</w:t>
        </w:r>
        <w:r w:rsidRPr="00EE7687">
          <w:rPr>
            <w:rStyle w:val="Hyperlink"/>
            <w:rFonts w:ascii="Arial" w:eastAsia="Times New Roman" w:hAnsi="Arial" w:cs="Arial"/>
            <w:color w:val="auto"/>
            <w:sz w:val="24"/>
            <w:szCs w:val="24"/>
            <w:lang w:eastAsia="en-GB"/>
          </w:rPr>
          <w:t>10.1016/j.jbi.2014.02.017</w:t>
        </w:r>
      </w:hyperlink>
      <w:r w:rsidRPr="00EE7687">
        <w:rPr>
          <w:rFonts w:ascii="Arial" w:eastAsia="Times New Roman" w:hAnsi="Arial" w:cs="Arial"/>
          <w:sz w:val="24"/>
          <w:szCs w:val="24"/>
          <w:lang w:eastAsia="en-GB"/>
        </w:rPr>
        <w:t>.</w:t>
      </w:r>
    </w:p>
    <w:p w14:paraId="42137A33"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Madecraft and Buscha, F. (2022)</w:t>
      </w:r>
      <w:r w:rsidRPr="00EE7687">
        <w:rPr>
          <w:rFonts w:ascii="Arial" w:eastAsia="Times New Roman" w:hAnsi="Arial" w:cs="Arial"/>
          <w:i/>
          <w:iCs/>
          <w:sz w:val="24"/>
          <w:szCs w:val="24"/>
          <w:lang w:eastAsia="en-GB"/>
        </w:rPr>
        <w:t xml:space="preserve"> Regression Analysis Fundamentals. </w:t>
      </w:r>
      <w:r w:rsidRPr="00EE7687">
        <w:rPr>
          <w:rFonts w:ascii="Arial" w:eastAsia="Times New Roman" w:hAnsi="Arial" w:cs="Arial"/>
          <w:sz w:val="24"/>
          <w:szCs w:val="24"/>
          <w:lang w:eastAsia="en-GB"/>
        </w:rPr>
        <w:t xml:space="preserve">Carpenteria, CA: linkedin.com. Available at: </w:t>
      </w:r>
      <w:hyperlink r:id="rId51" w:history="1">
        <w:r w:rsidRPr="00EE7687">
          <w:rPr>
            <w:rStyle w:val="Hyperlink"/>
            <w:rFonts w:ascii="Arial" w:hAnsi="Arial" w:cs="Arial"/>
            <w:color w:val="auto"/>
            <w:sz w:val="24"/>
            <w:szCs w:val="24"/>
          </w:rPr>
          <w:t>Importance of regression analysis (linkedin.com)</w:t>
        </w:r>
      </w:hyperlink>
      <w:r w:rsidRPr="00EE7687">
        <w:rPr>
          <w:rFonts w:ascii="Arial" w:eastAsia="Times New Roman" w:hAnsi="Arial" w:cs="Arial"/>
          <w:sz w:val="24"/>
          <w:szCs w:val="24"/>
          <w:lang w:eastAsia="en-GB"/>
        </w:rPr>
        <w:t xml:space="preserve"> (Accessed: 04 May 2023).</w:t>
      </w:r>
    </w:p>
    <w:p w14:paraId="0043D52A"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shd w:val="clear" w:color="auto" w:fill="FFFFFF"/>
        </w:rPr>
        <w:t>Mauthner, M.L. (2002) </w:t>
      </w:r>
      <w:r w:rsidRPr="00EE7687">
        <w:rPr>
          <w:rFonts w:ascii="Arial" w:hAnsi="Arial" w:cs="Arial"/>
          <w:i/>
          <w:iCs/>
          <w:shd w:val="clear" w:color="auto" w:fill="FFFFFF"/>
        </w:rPr>
        <w:t>Ethics in qualitative research</w:t>
      </w:r>
      <w:r w:rsidRPr="00EE7687">
        <w:rPr>
          <w:rFonts w:ascii="Arial" w:hAnsi="Arial" w:cs="Arial"/>
          <w:shd w:val="clear" w:color="auto" w:fill="FFFFFF"/>
        </w:rPr>
        <w:t> London: SAGE.</w:t>
      </w:r>
    </w:p>
    <w:p w14:paraId="45556F8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McDowall, D., McCleary, R. and Bartos, B.J. (2021) </w:t>
      </w:r>
      <w:r w:rsidRPr="00EE7687">
        <w:rPr>
          <w:rFonts w:ascii="Arial" w:hAnsi="Arial" w:cs="Arial"/>
          <w:i/>
          <w:iCs/>
        </w:rPr>
        <w:t>Interrupted time series analysis</w:t>
      </w:r>
      <w:r w:rsidRPr="00EE7687">
        <w:rPr>
          <w:rFonts w:ascii="Arial" w:hAnsi="Arial" w:cs="Arial"/>
        </w:rPr>
        <w:t> New York, NY: Oxford University Press.</w:t>
      </w:r>
    </w:p>
    <w:p w14:paraId="79A505A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McLean, S., Gee, M., Booth, A., Salway, S., Nancarrow, S., Cobb, M. and Bhanbhro, S. (2014) 'Targeting the Use of Reminders and Notifications for Uptake by Populations (TURNUP): a systematic review and evidence synthesis', </w:t>
      </w:r>
      <w:r w:rsidRPr="00EE7687">
        <w:rPr>
          <w:rFonts w:ascii="Arial" w:hAnsi="Arial" w:cs="Arial"/>
          <w:i/>
          <w:iCs/>
        </w:rPr>
        <w:t xml:space="preserve">Health </w:t>
      </w:r>
      <w:r w:rsidRPr="00EE7687">
        <w:rPr>
          <w:rFonts w:ascii="Arial" w:hAnsi="Arial" w:cs="Arial"/>
          <w:i/>
          <w:iCs/>
        </w:rPr>
        <w:lastRenderedPageBreak/>
        <w:t>Services and Delivery Research, </w:t>
      </w:r>
      <w:r w:rsidRPr="00EE7687">
        <w:rPr>
          <w:rFonts w:ascii="Arial" w:hAnsi="Arial" w:cs="Arial"/>
        </w:rPr>
        <w:t xml:space="preserve">2(34), pp. 1-184. Available at: </w:t>
      </w:r>
      <w:hyperlink r:id="rId52" w:history="1">
        <w:r w:rsidRPr="00EE7687">
          <w:rPr>
            <w:rStyle w:val="Hyperlink"/>
            <w:rFonts w:ascii="Arial" w:hAnsi="Arial" w:cs="Arial"/>
            <w:color w:val="auto"/>
          </w:rPr>
          <w:t>https://doi.org/10.3310/hsdr02340</w:t>
        </w:r>
      </w:hyperlink>
      <w:r w:rsidRPr="00EE7687">
        <w:rPr>
          <w:rFonts w:ascii="Arial" w:hAnsi="Arial" w:cs="Arial"/>
        </w:rPr>
        <w:t>.</w:t>
      </w:r>
    </w:p>
    <w:p w14:paraId="4AD7D8CD" w14:textId="77777777" w:rsidR="00167BB1" w:rsidRPr="00EE7687" w:rsidRDefault="00167BB1" w:rsidP="00167BB1">
      <w:pPr>
        <w:rPr>
          <w:rFonts w:ascii="Arial" w:hAnsi="Arial" w:cs="Arial"/>
          <w:sz w:val="24"/>
          <w:szCs w:val="24"/>
        </w:rPr>
      </w:pPr>
      <w:r w:rsidRPr="00EE7687">
        <w:rPr>
          <w:rFonts w:ascii="Arial" w:hAnsi="Arial" w:cs="Arial"/>
          <w:sz w:val="24"/>
          <w:szCs w:val="24"/>
          <w:shd w:val="clear" w:color="auto" w:fill="FFFFFF"/>
        </w:rPr>
        <w:t>Miller, T. (2012) </w:t>
      </w:r>
      <w:r w:rsidRPr="00EE7687">
        <w:rPr>
          <w:rFonts w:ascii="Arial" w:hAnsi="Arial" w:cs="Arial"/>
          <w:i/>
          <w:iCs/>
          <w:sz w:val="24"/>
          <w:szCs w:val="24"/>
          <w:shd w:val="clear" w:color="auto" w:fill="FFFFFF"/>
        </w:rPr>
        <w:t>Ethics in qualitative research</w:t>
      </w:r>
      <w:r w:rsidRPr="00EE7687">
        <w:rPr>
          <w:rFonts w:ascii="Arial" w:hAnsi="Arial" w:cs="Arial"/>
          <w:sz w:val="24"/>
          <w:szCs w:val="24"/>
          <w:shd w:val="clear" w:color="auto" w:fill="FFFFFF"/>
        </w:rPr>
        <w:t>. 2nd edn. Los Angeles, California: SAGE.</w:t>
      </w:r>
    </w:p>
    <w:p w14:paraId="55A4FC39"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NHS Benchmarking Network (2019) </w:t>
      </w:r>
      <w:r w:rsidRPr="00EE7687">
        <w:rPr>
          <w:rFonts w:ascii="Arial" w:hAnsi="Arial" w:cs="Arial"/>
          <w:i/>
          <w:iCs/>
        </w:rPr>
        <w:t xml:space="preserve">2019 Outpatient project – Results published </w:t>
      </w:r>
      <w:r w:rsidRPr="00EE7687">
        <w:rPr>
          <w:rFonts w:ascii="Arial" w:hAnsi="Arial" w:cs="Arial"/>
          <w:shd w:val="clear" w:color="auto" w:fill="FFFFFF"/>
        </w:rPr>
        <w:t xml:space="preserve">Available at: </w:t>
      </w:r>
      <w:hyperlink r:id="rId53" w:history="1">
        <w:r w:rsidRPr="00EE7687">
          <w:rPr>
            <w:rStyle w:val="Hyperlink"/>
            <w:rFonts w:ascii="Arial" w:hAnsi="Arial" w:cs="Arial"/>
            <w:color w:val="auto"/>
          </w:rPr>
          <w:t>2019 Outpatients project – Results published — NHS Benchmarking Network</w:t>
        </w:r>
      </w:hyperlink>
      <w:r w:rsidRPr="00EE7687">
        <w:rPr>
          <w:rFonts w:ascii="Arial" w:hAnsi="Arial" w:cs="Arial"/>
          <w:shd w:val="clear" w:color="auto" w:fill="FFFFFF"/>
        </w:rPr>
        <w:t xml:space="preserve"> (Accessed: 11 March 2023).</w:t>
      </w:r>
    </w:p>
    <w:p w14:paraId="356D090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(2019) </w:t>
      </w:r>
      <w:r w:rsidRPr="00EE7687">
        <w:rPr>
          <w:rFonts w:ascii="Arial" w:hAnsi="Arial" w:cs="Arial"/>
          <w:i/>
          <w:iCs/>
        </w:rPr>
        <w:t xml:space="preserve">Statistical process control. </w:t>
      </w:r>
      <w:r w:rsidRPr="00EE7687">
        <w:rPr>
          <w:rFonts w:ascii="Arial" w:hAnsi="Arial" w:cs="Arial"/>
        </w:rPr>
        <w:t>Available at:</w:t>
      </w:r>
      <w:r w:rsidRPr="00EE7687">
        <w:rPr>
          <w:rFonts w:ascii="Arial" w:hAnsi="Arial" w:cs="Arial"/>
          <w:i/>
          <w:iCs/>
        </w:rPr>
        <w:t xml:space="preserve"> </w:t>
      </w:r>
      <w:hyperlink r:id="rId54" w:history="1">
        <w:r w:rsidRPr="00EE7687">
          <w:rPr>
            <w:rStyle w:val="Hyperlink"/>
            <w:rFonts w:ascii="Arial" w:hAnsi="Arial" w:cs="Arial"/>
            <w:color w:val="auto"/>
          </w:rPr>
          <w:t>NHS England » Statistical process control tool</w:t>
        </w:r>
      </w:hyperlink>
      <w:r w:rsidRPr="00EE7687">
        <w:rPr>
          <w:rFonts w:ascii="Arial" w:hAnsi="Arial" w:cs="Arial"/>
        </w:rPr>
        <w:t xml:space="preserve"> (Accessed: 15 April 2023).</w:t>
      </w:r>
    </w:p>
    <w:p w14:paraId="3300F23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(2023a) </w:t>
      </w:r>
      <w:r w:rsidRPr="00EE7687">
        <w:rPr>
          <w:rFonts w:ascii="Arial" w:hAnsi="Arial" w:cs="Arial"/>
          <w:i/>
          <w:iCs/>
        </w:rPr>
        <w:t xml:space="preserve">NHS drive to reduce ‘no shows’ to help tackle long waits for care. </w:t>
      </w:r>
      <w:r w:rsidRPr="00EE7687">
        <w:rPr>
          <w:rFonts w:ascii="Arial" w:hAnsi="Arial" w:cs="Arial"/>
        </w:rPr>
        <w:t xml:space="preserve">Available at: </w:t>
      </w:r>
      <w:hyperlink r:id="rId55" w:history="1">
        <w:r w:rsidRPr="00EE7687">
          <w:rPr>
            <w:rStyle w:val="Hyperlink"/>
            <w:rFonts w:ascii="Arial" w:hAnsi="Arial" w:cs="Arial"/>
            <w:color w:val="auto"/>
          </w:rPr>
          <w:t>NHS England » NHS drive to reduce ‘no shows’ to help tackle long waits for care</w:t>
        </w:r>
      </w:hyperlink>
      <w:r w:rsidRPr="00EE7687">
        <w:rPr>
          <w:rFonts w:ascii="Arial" w:hAnsi="Arial" w:cs="Arial"/>
        </w:rPr>
        <w:t xml:space="preserve"> (Accessed: 18 April 2023).</w:t>
      </w:r>
    </w:p>
    <w:p w14:paraId="465A090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(2023b) </w:t>
      </w:r>
      <w:r w:rsidRPr="00EE7687">
        <w:rPr>
          <w:rFonts w:ascii="Arial" w:hAnsi="Arial" w:cs="Arial"/>
          <w:i/>
          <w:iCs/>
        </w:rPr>
        <w:t xml:space="preserve">Reducing did not attends (DNAs) in outpatient services. </w:t>
      </w:r>
      <w:r w:rsidRPr="00EE7687">
        <w:rPr>
          <w:rFonts w:ascii="Arial" w:hAnsi="Arial" w:cs="Arial"/>
        </w:rPr>
        <w:t xml:space="preserve">Available at: </w:t>
      </w:r>
      <w:hyperlink r:id="rId56" w:history="1">
        <w:r w:rsidRPr="00EE7687">
          <w:rPr>
            <w:rStyle w:val="Hyperlink"/>
            <w:rFonts w:ascii="Arial" w:hAnsi="Arial" w:cs="Arial"/>
            <w:color w:val="auto"/>
          </w:rPr>
          <w:t>NHS England » Reducing did not attends (DNAs) in outpatient services</w:t>
        </w:r>
      </w:hyperlink>
      <w:r w:rsidRPr="00EE7687">
        <w:rPr>
          <w:rFonts w:ascii="Arial" w:hAnsi="Arial" w:cs="Arial"/>
        </w:rPr>
        <w:t xml:space="preserve"> (Accessed: 18 April 2023).</w:t>
      </w:r>
    </w:p>
    <w:p w14:paraId="0719C0A5"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Digital (2021) </w:t>
      </w:r>
      <w:r w:rsidRPr="00EE7687">
        <w:rPr>
          <w:rFonts w:ascii="Arial" w:hAnsi="Arial" w:cs="Arial"/>
          <w:i/>
          <w:iCs/>
        </w:rPr>
        <w:t xml:space="preserve">Hospital Outpatient Activity 2020-21. </w:t>
      </w:r>
      <w:r w:rsidRPr="00EE7687">
        <w:rPr>
          <w:rFonts w:ascii="Arial" w:hAnsi="Arial" w:cs="Arial"/>
        </w:rPr>
        <w:t>Available at:</w:t>
      </w:r>
      <w:r w:rsidRPr="00EE7687">
        <w:rPr>
          <w:rFonts w:ascii="Arial" w:hAnsi="Arial" w:cs="Arial"/>
          <w:i/>
          <w:iCs/>
        </w:rPr>
        <w:t xml:space="preserve"> </w:t>
      </w:r>
      <w:hyperlink r:id="rId57" w:history="1">
        <w:r w:rsidRPr="00EE7687">
          <w:rPr>
            <w:rStyle w:val="Hyperlink"/>
            <w:rFonts w:ascii="Arial" w:hAnsi="Arial" w:cs="Arial"/>
            <w:color w:val="auto"/>
          </w:rPr>
          <w:t>Impact of COVID-19 - NDRS (digital.nhs.uk)</w:t>
        </w:r>
      </w:hyperlink>
      <w:r w:rsidRPr="00EE7687">
        <w:rPr>
          <w:rFonts w:ascii="Arial" w:hAnsi="Arial" w:cs="Arial"/>
        </w:rPr>
        <w:t xml:space="preserve"> Accessed: 18 April 2023).</w:t>
      </w:r>
    </w:p>
    <w:p w14:paraId="02001EA9"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NHS Wales (2021) </w:t>
      </w:r>
      <w:r w:rsidRPr="00EE7687">
        <w:rPr>
          <w:rFonts w:ascii="Arial" w:hAnsi="Arial" w:cs="Arial"/>
          <w:i/>
          <w:iCs/>
          <w:sz w:val="24"/>
          <w:szCs w:val="24"/>
        </w:rPr>
        <w:t xml:space="preserve">All Wales Information Governance Policy. </w:t>
      </w:r>
      <w:r w:rsidRPr="00EE7687">
        <w:rPr>
          <w:rFonts w:ascii="Arial" w:hAnsi="Arial" w:cs="Arial"/>
          <w:sz w:val="24"/>
          <w:szCs w:val="24"/>
        </w:rPr>
        <w:t xml:space="preserve">Available at: </w:t>
      </w:r>
      <w:hyperlink r:id="rId58" w:history="1">
        <w:r w:rsidRPr="00EE7687">
          <w:rPr>
            <w:rStyle w:val="Hyperlink"/>
            <w:rFonts w:ascii="Arial" w:hAnsi="Arial" w:cs="Arial"/>
            <w:color w:val="auto"/>
            <w:sz w:val="24"/>
            <w:szCs w:val="24"/>
          </w:rPr>
          <w:t>NHS Wales Information Governance Policy</w:t>
        </w:r>
      </w:hyperlink>
      <w:r w:rsidRPr="00EE7687">
        <w:rPr>
          <w:rFonts w:ascii="Arial" w:hAnsi="Arial" w:cs="Arial"/>
          <w:sz w:val="24"/>
          <w:szCs w:val="24"/>
        </w:rPr>
        <w:t xml:space="preserve"> (Accessed: 22 April 2023).</w:t>
      </w:r>
    </w:p>
    <w:p w14:paraId="59A4ED05"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Office for Health Improvement and Disparities (2020) Interrupted times series study</w:t>
      </w:r>
      <w:r w:rsidRPr="00EE7687">
        <w:rPr>
          <w:rFonts w:ascii="Arial" w:hAnsi="Arial" w:cs="Arial"/>
          <w:i/>
          <w:iCs/>
        </w:rPr>
        <w:t xml:space="preserve">: How to use an interrupted time series to evaluate your digital health product. </w:t>
      </w:r>
      <w:r w:rsidRPr="00EE7687">
        <w:rPr>
          <w:rFonts w:ascii="Arial" w:hAnsi="Arial" w:cs="Arial"/>
        </w:rPr>
        <w:t>Available at:</w:t>
      </w:r>
      <w:r w:rsidRPr="00EE7687">
        <w:rPr>
          <w:rFonts w:ascii="Arial" w:hAnsi="Arial" w:cs="Arial"/>
          <w:i/>
          <w:iCs/>
        </w:rPr>
        <w:t xml:space="preserve"> </w:t>
      </w:r>
      <w:hyperlink r:id="rId59" w:history="1">
        <w:r w:rsidRPr="00EE7687">
          <w:rPr>
            <w:rStyle w:val="Hyperlink"/>
            <w:rFonts w:ascii="Arial" w:hAnsi="Arial" w:cs="Arial"/>
            <w:color w:val="auto"/>
          </w:rPr>
          <w:t>Interrupted time series study - GOV.UK (www.gov.uk)</w:t>
        </w:r>
      </w:hyperlink>
      <w:r w:rsidRPr="00EE7687">
        <w:rPr>
          <w:rFonts w:ascii="Arial" w:hAnsi="Arial" w:cs="Arial"/>
        </w:rPr>
        <w:t xml:space="preserve"> (Accessed: 15 April 2023).</w:t>
      </w:r>
    </w:p>
    <w:p w14:paraId="2725B86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Office for National Statistics (2021) </w:t>
      </w:r>
      <w:r w:rsidRPr="00EE7687">
        <w:rPr>
          <w:rFonts w:ascii="Arial" w:hAnsi="Arial" w:cs="Arial"/>
          <w:i/>
          <w:iCs/>
        </w:rPr>
        <w:t xml:space="preserve">Seasonal adjustment. </w:t>
      </w:r>
      <w:r w:rsidRPr="00EE7687">
        <w:rPr>
          <w:rFonts w:ascii="Arial" w:hAnsi="Arial" w:cs="Arial"/>
        </w:rPr>
        <w:t>Available at:</w:t>
      </w:r>
      <w:r w:rsidRPr="00EE7687">
        <w:rPr>
          <w:rFonts w:ascii="Arial" w:hAnsi="Arial" w:cs="Arial"/>
          <w:i/>
          <w:iCs/>
        </w:rPr>
        <w:t xml:space="preserve"> </w:t>
      </w:r>
      <w:hyperlink r:id="rId60" w:history="1">
        <w:r w:rsidRPr="00EE7687">
          <w:rPr>
            <w:rStyle w:val="Hyperlink"/>
            <w:rFonts w:ascii="Arial" w:hAnsi="Arial" w:cs="Arial"/>
            <w:color w:val="auto"/>
          </w:rPr>
          <w:t>Seasonal adjustment - Office for National Statistics (ons.gov.uk)</w:t>
        </w:r>
      </w:hyperlink>
      <w:r w:rsidRPr="00EE7687">
        <w:rPr>
          <w:rFonts w:ascii="Arial" w:hAnsi="Arial" w:cs="Arial"/>
        </w:rPr>
        <w:t xml:space="preserve"> (Accessed: 18 April 2023).</w:t>
      </w:r>
    </w:p>
    <w:p w14:paraId="6D2115BF"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Oflazoglu, S. and Oflazoglu Dora, S. (2017) </w:t>
      </w:r>
      <w:r w:rsidRPr="00EE7687">
        <w:rPr>
          <w:rFonts w:ascii="Arial" w:hAnsi="Arial" w:cs="Arial"/>
          <w:i/>
          <w:iCs/>
        </w:rPr>
        <w:t>Qualitative versus quantitative research</w:t>
      </w:r>
      <w:r w:rsidRPr="00EE7687">
        <w:rPr>
          <w:rFonts w:ascii="Arial" w:hAnsi="Arial" w:cs="Arial"/>
        </w:rPr>
        <w:t> Place of publication not identified: IntechOpen.</w:t>
      </w:r>
    </w:p>
    <w:p w14:paraId="294C2CA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Pajouheshnia, R., Groenwold, R.H.H., Peelen, L.M., Reitsma, J.B. and Moons, K.G.M. (2019) 'When and how to use data from randomised trials to develop or validate prognostic models', </w:t>
      </w:r>
      <w:r w:rsidRPr="00EE7687">
        <w:rPr>
          <w:rFonts w:ascii="Arial" w:hAnsi="Arial" w:cs="Arial"/>
          <w:i/>
          <w:iCs/>
        </w:rPr>
        <w:t>BMJ (Online); BMJ, </w:t>
      </w:r>
      <w:r w:rsidRPr="00EE7687">
        <w:rPr>
          <w:rFonts w:ascii="Arial" w:hAnsi="Arial" w:cs="Arial"/>
        </w:rPr>
        <w:t xml:space="preserve">365, pp. l2154. Available at: </w:t>
      </w:r>
      <w:hyperlink r:id="rId61" w:history="1">
        <w:r w:rsidRPr="00EE7687">
          <w:rPr>
            <w:rStyle w:val="Hyperlink"/>
            <w:rFonts w:ascii="Arial" w:hAnsi="Arial" w:cs="Arial"/>
            <w:color w:val="auto"/>
          </w:rPr>
          <w:t>https://doi.org/10.1136/bmj.l2154</w:t>
        </w:r>
      </w:hyperlink>
      <w:r w:rsidRPr="00EE7687">
        <w:rPr>
          <w:rFonts w:ascii="Arial" w:hAnsi="Arial" w:cs="Arial"/>
        </w:rPr>
        <w:t>.</w:t>
      </w:r>
    </w:p>
    <w:p w14:paraId="6A5A1500"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Pal, S., Hitchens, M., Varadharajan, V. and Rabehaja, T. (2019) 'Policy-based access control for constrained healthcare resources in the context of the Internet of Things', </w:t>
      </w:r>
      <w:r w:rsidRPr="00EE7687">
        <w:rPr>
          <w:rFonts w:ascii="Arial" w:hAnsi="Arial" w:cs="Arial"/>
          <w:i/>
          <w:iCs/>
        </w:rPr>
        <w:t>Journal of network and computer applications, </w:t>
      </w:r>
      <w:r w:rsidRPr="00EE7687">
        <w:rPr>
          <w:rFonts w:ascii="Arial" w:hAnsi="Arial" w:cs="Arial"/>
        </w:rPr>
        <w:t xml:space="preserve">139, pp. 57-74. Available at: </w:t>
      </w:r>
      <w:hyperlink r:id="rId62" w:history="1">
        <w:r w:rsidRPr="00EE7687">
          <w:rPr>
            <w:rStyle w:val="Hyperlink"/>
            <w:rFonts w:ascii="Arial" w:hAnsi="Arial" w:cs="Arial"/>
            <w:color w:val="auto"/>
          </w:rPr>
          <w:t>https://doi.org/10.1016/j.jnca.2019.04.013</w:t>
        </w:r>
      </w:hyperlink>
      <w:r w:rsidRPr="00EE7687">
        <w:rPr>
          <w:rFonts w:ascii="Arial" w:hAnsi="Arial" w:cs="Arial"/>
        </w:rPr>
        <w:t>.</w:t>
      </w:r>
    </w:p>
    <w:p w14:paraId="1CE49764"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Pallant, J. (2010) </w:t>
      </w:r>
      <w:r w:rsidRPr="00EE7687">
        <w:rPr>
          <w:rFonts w:ascii="Arial" w:hAnsi="Arial" w:cs="Arial"/>
          <w:i/>
          <w:iCs/>
        </w:rPr>
        <w:t>SPSS survival manual : a step by step guide to data analysis using SPSS</w:t>
      </w:r>
      <w:r w:rsidRPr="00EE7687">
        <w:rPr>
          <w:rFonts w:ascii="Arial" w:hAnsi="Arial" w:cs="Arial"/>
        </w:rPr>
        <w:t>. 4th edn. Maidenhead, Berkshire, England: McGraw Hill.</w:t>
      </w:r>
    </w:p>
    <w:p w14:paraId="08908A8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shd w:val="clear" w:color="auto" w:fill="FFFFFF"/>
        </w:rPr>
        <w:t>Pope, C., Mays, N. and Popay, J. (2007) </w:t>
      </w:r>
      <w:r w:rsidRPr="00EE7687">
        <w:rPr>
          <w:rFonts w:ascii="Arial" w:hAnsi="Arial" w:cs="Arial"/>
          <w:i/>
          <w:iCs/>
          <w:shd w:val="clear" w:color="auto" w:fill="FFFFFF"/>
        </w:rPr>
        <w:t>Synthesizing qualitative and quantitative health evidence a guide to methods</w:t>
      </w:r>
      <w:r w:rsidRPr="00EE7687">
        <w:rPr>
          <w:rFonts w:ascii="Arial" w:hAnsi="Arial" w:cs="Arial"/>
          <w:shd w:val="clear" w:color="auto" w:fill="FFFFFF"/>
        </w:rPr>
        <w:t> Maidenhead, England: Open University Press, McGraw Hill Education.</w:t>
      </w:r>
    </w:p>
    <w:p w14:paraId="2C1E530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lastRenderedPageBreak/>
        <w:t>Qiu, P. (2018) 'Some perspectives on nonparametric statistical process control', </w:t>
      </w:r>
      <w:r w:rsidRPr="00EE7687">
        <w:rPr>
          <w:rFonts w:ascii="Arial" w:hAnsi="Arial" w:cs="Arial"/>
          <w:i/>
          <w:iCs/>
        </w:rPr>
        <w:t>Journal of quality technology, </w:t>
      </w:r>
      <w:r w:rsidRPr="00EE7687">
        <w:rPr>
          <w:rFonts w:ascii="Arial" w:hAnsi="Arial" w:cs="Arial"/>
        </w:rPr>
        <w:t>50(1), pp. 49-65. Available at: https://doi.org/10.1080/00224065.2018.1404315.</w:t>
      </w:r>
    </w:p>
    <w:p w14:paraId="2263F70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Relias Learning</w:t>
      </w:r>
      <w:r w:rsidRPr="00EE7687">
        <w:rPr>
          <w:rFonts w:ascii="Arial" w:hAnsi="Arial" w:cs="Arial"/>
          <w:shd w:val="clear" w:color="auto" w:fill="FFFFFF"/>
        </w:rPr>
        <w:t xml:space="preserve"> (2013) </w:t>
      </w:r>
      <w:r w:rsidRPr="00EE7687">
        <w:rPr>
          <w:rFonts w:ascii="Arial" w:hAnsi="Arial" w:cs="Arial"/>
        </w:rPr>
        <w:t>'Study: Long nursing shifts linked to burnout, job dissatisfaction, negative patient assessments', </w:t>
      </w:r>
      <w:r w:rsidRPr="00EE7687">
        <w:rPr>
          <w:rFonts w:ascii="Arial" w:hAnsi="Arial" w:cs="Arial"/>
          <w:i/>
          <w:iCs/>
        </w:rPr>
        <w:t>ED Management; ED Manag, </w:t>
      </w:r>
      <w:r w:rsidRPr="00EE7687">
        <w:rPr>
          <w:rFonts w:ascii="Arial" w:hAnsi="Arial" w:cs="Arial"/>
        </w:rPr>
        <w:t xml:space="preserve">25(2), pp. 20-23. </w:t>
      </w:r>
      <w:r w:rsidRPr="00EE7687">
        <w:rPr>
          <w:rFonts w:ascii="Arial" w:hAnsi="Arial" w:cs="Arial"/>
          <w:shd w:val="clear" w:color="auto" w:fill="FFFFFF"/>
        </w:rPr>
        <w:t xml:space="preserve">Available at: </w:t>
      </w:r>
      <w:hyperlink r:id="rId63" w:history="1">
        <w:r w:rsidRPr="00EE7687">
          <w:rPr>
            <w:rStyle w:val="Hyperlink"/>
            <w:rFonts w:ascii="Arial" w:hAnsi="Arial" w:cs="Arial"/>
            <w:color w:val="auto"/>
          </w:rPr>
          <w:t>Study: Long nursing shifts linked to burnout, job dissatisfaction, negative patient assessments - ProQuest</w:t>
        </w:r>
      </w:hyperlink>
      <w:r w:rsidRPr="00EE7687">
        <w:rPr>
          <w:rFonts w:ascii="Arial" w:hAnsi="Arial" w:cs="Arial"/>
        </w:rPr>
        <w:t xml:space="preserve"> (Accessed on: 16 March 2023).</w:t>
      </w:r>
    </w:p>
    <w:p w14:paraId="7009A0CF"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Scheider, S., Ostermann, F.O. and Adams, B. (2017) 'Why good data analysts need to be critical synthesists. Determining the role of semantics in data analysis', </w:t>
      </w:r>
      <w:r w:rsidRPr="00EE7687">
        <w:rPr>
          <w:rFonts w:ascii="Arial" w:hAnsi="Arial" w:cs="Arial"/>
          <w:i/>
          <w:iCs/>
        </w:rPr>
        <w:t>Future Generation Computer Systems, </w:t>
      </w:r>
      <w:r w:rsidRPr="00EE7687">
        <w:rPr>
          <w:rFonts w:ascii="Arial" w:hAnsi="Arial" w:cs="Arial"/>
        </w:rPr>
        <w:t>72, pp. 11-22. Available at: https://doi.org/10.1016/j.future.2017.02.046.</w:t>
      </w:r>
    </w:p>
    <w:p w14:paraId="3C6B256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Shaheen, M., Gupta, M. and Prathap Reddy, K. (2019) </w:t>
      </w:r>
      <w:r w:rsidRPr="00EE7687">
        <w:rPr>
          <w:rFonts w:ascii="Arial" w:hAnsi="Arial" w:cs="Arial"/>
          <w:i/>
          <w:iCs/>
        </w:rPr>
        <w:t>Qualitative techniques for workplace data analysis</w:t>
      </w:r>
      <w:r w:rsidRPr="00EE7687">
        <w:rPr>
          <w:rFonts w:ascii="Arial" w:hAnsi="Arial" w:cs="Arial"/>
        </w:rPr>
        <w:t> Hershey, Pennsylvania: Business Science Reference.</w:t>
      </w:r>
    </w:p>
    <w:p w14:paraId="7586B22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Shammout, S., Wall, R., Murphy, P.N. and Jain, K. (2022) 'Virtual clinics versus face-to-face review: Is the benefit the same for new orthopaedic patients?', </w:t>
      </w:r>
      <w:r w:rsidRPr="00EE7687">
        <w:rPr>
          <w:rFonts w:ascii="Arial" w:hAnsi="Arial" w:cs="Arial"/>
          <w:i/>
          <w:iCs/>
        </w:rPr>
        <w:t>Health policy (Amsterdam); Health Policy, </w:t>
      </w:r>
      <w:r w:rsidRPr="00EE7687">
        <w:rPr>
          <w:rFonts w:ascii="Arial" w:hAnsi="Arial" w:cs="Arial"/>
        </w:rPr>
        <w:t xml:space="preserve">126(7), pp. 688-692. Available at: </w:t>
      </w:r>
      <w:hyperlink r:id="rId64" w:history="1">
        <w:r w:rsidRPr="00EE7687">
          <w:rPr>
            <w:rStyle w:val="Hyperlink"/>
            <w:rFonts w:ascii="Arial" w:hAnsi="Arial" w:cs="Arial"/>
            <w:color w:val="auto"/>
          </w:rPr>
          <w:t>https://doi.org/10.1016/j.healthpol.2022.05.007</w:t>
        </w:r>
      </w:hyperlink>
      <w:r w:rsidRPr="00EE7687">
        <w:rPr>
          <w:rFonts w:ascii="Arial" w:hAnsi="Arial" w:cs="Arial"/>
        </w:rPr>
        <w:t>.</w:t>
      </w:r>
    </w:p>
    <w:p w14:paraId="4B6DD59E"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Shin, Y. (2017) </w:t>
      </w:r>
      <w:r w:rsidRPr="00EE7687">
        <w:rPr>
          <w:rFonts w:ascii="Arial" w:eastAsia="Times New Roman" w:hAnsi="Arial" w:cs="Arial"/>
          <w:i/>
          <w:iCs/>
          <w:sz w:val="24"/>
          <w:szCs w:val="24"/>
          <w:lang w:eastAsia="en-GB"/>
        </w:rPr>
        <w:t>Time series analysis in the social sciences : the fundamentals</w:t>
      </w:r>
      <w:r w:rsidRPr="00EE7687">
        <w:rPr>
          <w:rFonts w:ascii="Arial" w:eastAsia="Times New Roman" w:hAnsi="Arial" w:cs="Arial"/>
          <w:sz w:val="24"/>
          <w:szCs w:val="24"/>
          <w:lang w:eastAsia="en-GB"/>
        </w:rPr>
        <w:t> Berkeley, CA: University of California Press.</w:t>
      </w:r>
    </w:p>
    <w:p w14:paraId="4FA8D8A7"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Stobierski, T. (2019) </w:t>
      </w:r>
      <w:r w:rsidRPr="00EE7687">
        <w:rPr>
          <w:rFonts w:ascii="Arial" w:hAnsi="Arial" w:cs="Arial"/>
          <w:i/>
          <w:sz w:val="24"/>
          <w:szCs w:val="24"/>
        </w:rPr>
        <w:t>How to do a cost-benefit analysis &amp; why it’s important</w:t>
      </w:r>
      <w:r w:rsidRPr="00EE7687">
        <w:rPr>
          <w:rFonts w:ascii="Arial" w:hAnsi="Arial" w:cs="Arial"/>
          <w:sz w:val="24"/>
          <w:szCs w:val="24"/>
        </w:rPr>
        <w:t xml:space="preserve">. Available at: </w:t>
      </w:r>
      <w:hyperlink r:id="rId65" w:history="1">
        <w:r w:rsidRPr="00EE7687">
          <w:rPr>
            <w:rStyle w:val="Hyperlink"/>
            <w:rFonts w:ascii="Arial" w:hAnsi="Arial" w:cs="Arial"/>
            <w:color w:val="auto"/>
            <w:sz w:val="24"/>
            <w:szCs w:val="24"/>
          </w:rPr>
          <w:t>Cost-Benefit Analysis: What It Is &amp; How to Do It | HBS Online</w:t>
        </w:r>
      </w:hyperlink>
      <w:r w:rsidRPr="00EE7687">
        <w:rPr>
          <w:rFonts w:ascii="Arial" w:hAnsi="Arial" w:cs="Arial"/>
          <w:sz w:val="24"/>
          <w:szCs w:val="24"/>
        </w:rPr>
        <w:t xml:space="preserve"> (Accessed: 04 May 2023).</w:t>
      </w:r>
    </w:p>
    <w:p w14:paraId="1B8C58B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Sun, J., Lin, Q., Zhao, P., Zhang, Q., Xu, K., Chen, H., Hu, C.J., Stuntz, M., Li, H. and Liu, Y. (2017) 'Reducing waiting time and raising outpatient satisfaction in a Chinese public tertiary general hospital-an interrupted time series study', </w:t>
      </w:r>
      <w:r w:rsidRPr="00EE7687">
        <w:rPr>
          <w:rFonts w:ascii="Arial" w:hAnsi="Arial" w:cs="Arial"/>
          <w:i/>
          <w:iCs/>
        </w:rPr>
        <w:t>BMC public health; BMC Public Health, </w:t>
      </w:r>
      <w:r w:rsidRPr="00EE7687">
        <w:rPr>
          <w:rFonts w:ascii="Arial" w:hAnsi="Arial" w:cs="Arial"/>
        </w:rPr>
        <w:t>17(1), pp. 668. Available at: https://doi.org/10.1186/s12889-017-4667-z.</w:t>
      </w:r>
    </w:p>
    <w:p w14:paraId="7234E48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Tan, E., Shah, A., De Souza, W., Harrison, M., Chettur, C., Onathukattil, M., Smart, M., Mata, M., Chitewe, A. and Binley, E. (2017) 'Improving the patient booking service to reduce the number of missed appointments at East London NHS Foundation Trust Community Musculoskeletal Physiotherapy Service', </w:t>
      </w:r>
      <w:r w:rsidRPr="00EE7687">
        <w:rPr>
          <w:rFonts w:ascii="Arial" w:hAnsi="Arial" w:cs="Arial"/>
          <w:i/>
          <w:iCs/>
        </w:rPr>
        <w:t>BMJ open quality; BMJ Open Qual, </w:t>
      </w:r>
      <w:r w:rsidRPr="00EE7687">
        <w:rPr>
          <w:rFonts w:ascii="Arial" w:hAnsi="Arial" w:cs="Arial"/>
        </w:rPr>
        <w:t>6(2), pp. e000093. Available at: https://doi.org/10.1136/bmjoq-2017-000093.</w:t>
      </w:r>
    </w:p>
    <w:p w14:paraId="722F429D"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Tsiknakis, M. and Kouroubali, A. (2008) 'Organizational factors affecting successful adoption of innovative eHealth services: A case study employing the FITT framework', </w:t>
      </w:r>
      <w:r w:rsidRPr="00EE7687">
        <w:rPr>
          <w:rFonts w:ascii="Arial" w:hAnsi="Arial" w:cs="Arial"/>
          <w:i/>
          <w:iCs/>
        </w:rPr>
        <w:t>International journal of medical informatics (Shannon, Ireland); Int J Med Inform, </w:t>
      </w:r>
      <w:r w:rsidRPr="00EE7687">
        <w:rPr>
          <w:rFonts w:ascii="Arial" w:hAnsi="Arial" w:cs="Arial"/>
        </w:rPr>
        <w:t xml:space="preserve">78(1), pp. 39-52. Available at: </w:t>
      </w:r>
      <w:hyperlink r:id="rId66" w:history="1">
        <w:r w:rsidRPr="00EE7687">
          <w:rPr>
            <w:rStyle w:val="Hyperlink"/>
            <w:rFonts w:ascii="Arial" w:hAnsi="Arial" w:cs="Arial"/>
            <w:color w:val="auto"/>
          </w:rPr>
          <w:t>https://doi.org/10.1016/j.ijmedinf.2008.07.001</w:t>
        </w:r>
      </w:hyperlink>
      <w:r w:rsidRPr="00EE7687">
        <w:rPr>
          <w:rFonts w:ascii="Arial" w:hAnsi="Arial" w:cs="Arial"/>
        </w:rPr>
        <w:t>.</w:t>
      </w:r>
    </w:p>
    <w:p w14:paraId="1A1B76C0" w14:textId="77777777" w:rsidR="00167BB1" w:rsidRPr="00EE7687" w:rsidRDefault="00167BB1" w:rsidP="00167BB1">
      <w:pPr>
        <w:rPr>
          <w:rFonts w:ascii="Arial" w:hAnsi="Arial" w:cs="Arial"/>
          <w:sz w:val="24"/>
          <w:szCs w:val="24"/>
        </w:rPr>
      </w:pPr>
      <w:r w:rsidRPr="00EE7687">
        <w:rPr>
          <w:rStyle w:val="Strong"/>
          <w:rFonts w:ascii="Arial" w:hAnsi="Arial" w:cs="Arial"/>
          <w:b w:val="0"/>
          <w:bCs w:val="0"/>
          <w:sz w:val="24"/>
          <w:szCs w:val="24"/>
        </w:rPr>
        <w:t xml:space="preserve">University of Derby Library (2023) </w:t>
      </w:r>
      <w:r w:rsidRPr="00EE7687">
        <w:rPr>
          <w:rStyle w:val="Strong"/>
          <w:rFonts w:ascii="Arial" w:hAnsi="Arial" w:cs="Arial"/>
          <w:b w:val="0"/>
          <w:bCs w:val="0"/>
          <w:i/>
          <w:iCs/>
          <w:sz w:val="24"/>
          <w:szCs w:val="24"/>
        </w:rPr>
        <w:t xml:space="preserve">Dissertation Skill Guide. </w:t>
      </w:r>
      <w:r w:rsidRPr="00EE7687">
        <w:rPr>
          <w:rStyle w:val="Strong"/>
          <w:rFonts w:ascii="Arial" w:hAnsi="Arial" w:cs="Arial"/>
          <w:b w:val="0"/>
          <w:bCs w:val="0"/>
          <w:sz w:val="24"/>
          <w:szCs w:val="24"/>
        </w:rPr>
        <w:t xml:space="preserve">Available at </w:t>
      </w:r>
      <w:hyperlink r:id="rId67" w:anchor=":~:text=An%20ethics%20form%20is%20a%20document%20that%20prompts,be%20any%20problematic%20ethical%20issues%20to%20be%20addressed." w:history="1">
        <w:r w:rsidRPr="00EE7687">
          <w:rPr>
            <w:rStyle w:val="Hyperlink"/>
            <w:rFonts w:ascii="Arial" w:hAnsi="Arial" w:cs="Arial"/>
            <w:color w:val="auto"/>
            <w:sz w:val="24"/>
            <w:szCs w:val="24"/>
          </w:rPr>
          <w:t>Ethics Form - Dissertations - Skills Guide - LibGuides at University of Derby</w:t>
        </w:r>
      </w:hyperlink>
      <w:r w:rsidRPr="00EE7687">
        <w:rPr>
          <w:rFonts w:ascii="Arial" w:hAnsi="Arial" w:cs="Arial"/>
          <w:sz w:val="24"/>
          <w:szCs w:val="24"/>
        </w:rPr>
        <w:t xml:space="preserve"> (Accessed: 23 April 2023).</w:t>
      </w:r>
    </w:p>
    <w:p w14:paraId="2AA76504" w14:textId="77777777" w:rsidR="00167BB1" w:rsidRPr="00EE7687" w:rsidRDefault="00167BB1" w:rsidP="00167BB1">
      <w:pPr>
        <w:jc w:val="both"/>
        <w:rPr>
          <w:rFonts w:ascii="Arial" w:hAnsi="Arial" w:cs="Arial"/>
          <w:sz w:val="24"/>
          <w:szCs w:val="24"/>
          <w:u w:val="single"/>
        </w:rPr>
      </w:pPr>
      <w:r w:rsidRPr="00EE7687">
        <w:rPr>
          <w:rFonts w:ascii="Arial" w:hAnsi="Arial" w:cs="Arial"/>
          <w:sz w:val="24"/>
          <w:szCs w:val="24"/>
        </w:rPr>
        <w:t xml:space="preserve">University of Wales Trinity Saint David (2022) </w:t>
      </w:r>
      <w:r w:rsidRPr="00EE7687">
        <w:rPr>
          <w:rFonts w:ascii="Arial" w:hAnsi="Arial" w:cs="Arial"/>
          <w:i/>
          <w:iCs/>
          <w:sz w:val="24"/>
          <w:szCs w:val="24"/>
        </w:rPr>
        <w:t xml:space="preserve">Research Ethics &amp; Integrity Code of Practice. </w:t>
      </w:r>
      <w:r w:rsidRPr="00EE7687">
        <w:rPr>
          <w:rFonts w:ascii="Arial" w:hAnsi="Arial" w:cs="Arial"/>
          <w:sz w:val="24"/>
          <w:szCs w:val="24"/>
        </w:rPr>
        <w:t xml:space="preserve">Available at: </w:t>
      </w:r>
      <w:hyperlink r:id="rId68" w:history="1">
        <w:r w:rsidRPr="00EE7687">
          <w:rPr>
            <w:rStyle w:val="Hyperlink"/>
            <w:rFonts w:ascii="Arial" w:hAnsi="Arial" w:cs="Arial"/>
            <w:color w:val="auto"/>
            <w:sz w:val="24"/>
            <w:szCs w:val="24"/>
          </w:rPr>
          <w:t>REICoP-July-2022.pdf (uwtsd.ac.uk)</w:t>
        </w:r>
      </w:hyperlink>
      <w:r w:rsidRPr="00EE7687">
        <w:rPr>
          <w:rFonts w:ascii="Arial" w:hAnsi="Arial" w:cs="Arial"/>
          <w:sz w:val="24"/>
          <w:szCs w:val="24"/>
        </w:rPr>
        <w:t xml:space="preserve"> (Accessed: 23 April 2023).</w:t>
      </w:r>
    </w:p>
    <w:p w14:paraId="72DB05F2" w14:textId="77777777" w:rsidR="00167BB1" w:rsidRPr="00EE7687" w:rsidRDefault="00167BB1" w:rsidP="00167BB1">
      <w:pPr>
        <w:jc w:val="both"/>
        <w:rPr>
          <w:rFonts w:ascii="Arial" w:hAnsi="Arial" w:cs="Arial"/>
          <w:sz w:val="24"/>
          <w:szCs w:val="24"/>
          <w:u w:val="single"/>
        </w:rPr>
      </w:pPr>
      <w:r w:rsidRPr="00EE7687">
        <w:rPr>
          <w:rFonts w:ascii="Arial" w:hAnsi="Arial" w:cs="Arial"/>
          <w:sz w:val="24"/>
          <w:szCs w:val="24"/>
        </w:rPr>
        <w:lastRenderedPageBreak/>
        <w:t xml:space="preserve">University of Wales Trinity Saint David (2023) </w:t>
      </w:r>
      <w:r w:rsidRPr="00EE7687">
        <w:rPr>
          <w:rFonts w:ascii="Arial" w:hAnsi="Arial" w:cs="Arial"/>
          <w:i/>
          <w:iCs/>
          <w:sz w:val="24"/>
          <w:szCs w:val="24"/>
        </w:rPr>
        <w:t xml:space="preserve">Research Ethics. </w:t>
      </w:r>
      <w:r w:rsidRPr="00EE7687">
        <w:rPr>
          <w:rFonts w:ascii="Arial" w:hAnsi="Arial" w:cs="Arial"/>
          <w:sz w:val="24"/>
          <w:szCs w:val="24"/>
        </w:rPr>
        <w:t xml:space="preserve">Available at: </w:t>
      </w:r>
      <w:hyperlink r:id="rId69" w:history="1">
        <w:r w:rsidRPr="00EE7687">
          <w:rPr>
            <w:rStyle w:val="Hyperlink"/>
            <w:rFonts w:ascii="Arial" w:hAnsi="Arial" w:cs="Arial"/>
            <w:color w:val="auto"/>
            <w:sz w:val="24"/>
            <w:szCs w:val="24"/>
          </w:rPr>
          <w:t>Research Ethics | UWTSD</w:t>
        </w:r>
      </w:hyperlink>
      <w:r w:rsidRPr="00EE7687">
        <w:rPr>
          <w:rFonts w:ascii="Arial" w:hAnsi="Arial" w:cs="Arial"/>
          <w:sz w:val="24"/>
          <w:szCs w:val="24"/>
        </w:rPr>
        <w:t xml:space="preserve"> (Accessed: 23 April 2023).</w:t>
      </w:r>
    </w:p>
    <w:p w14:paraId="577FF74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Vanzant Stern, T. (2019) </w:t>
      </w:r>
      <w:r w:rsidRPr="00EE7687">
        <w:rPr>
          <w:rFonts w:ascii="Arial" w:hAnsi="Arial" w:cs="Arial"/>
          <w:i/>
          <w:iCs/>
        </w:rPr>
        <w:t>Leaner Six Sigma : making Lean Six Sigma easier and adaptable to current workplaces</w:t>
      </w:r>
      <w:r w:rsidRPr="00EE7687">
        <w:rPr>
          <w:rFonts w:ascii="Arial" w:hAnsi="Arial" w:cs="Arial"/>
        </w:rPr>
        <w:t> United States: Productivity Press.</w:t>
      </w:r>
    </w:p>
    <w:p w14:paraId="633EE51D"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(2020) </w:t>
      </w:r>
      <w:r w:rsidRPr="00EE7687">
        <w:rPr>
          <w:rFonts w:ascii="Arial" w:hAnsi="Arial" w:cs="Arial"/>
          <w:i/>
          <w:iCs/>
        </w:rPr>
        <w:t>Transforming the way we deliver outpatients in Wales</w:t>
      </w:r>
      <w:r w:rsidRPr="00EE7687">
        <w:rPr>
          <w:rFonts w:ascii="Arial" w:hAnsi="Arial" w:cs="Arial"/>
        </w:rPr>
        <w:t xml:space="preserve"> </w:t>
      </w:r>
      <w:r w:rsidRPr="00EE7687">
        <w:rPr>
          <w:rFonts w:ascii="Arial" w:hAnsi="Arial" w:cs="Arial"/>
          <w:shd w:val="clear" w:color="auto" w:fill="FFFFFF"/>
        </w:rPr>
        <w:t xml:space="preserve">Available at: </w:t>
      </w:r>
      <w:hyperlink r:id="rId70" w:history="1">
        <w:r w:rsidRPr="00EE7687">
          <w:rPr>
            <w:rStyle w:val="Hyperlink"/>
            <w:rFonts w:ascii="Arial" w:hAnsi="Arial" w:cs="Arial"/>
            <w:color w:val="auto"/>
          </w:rPr>
          <w:t>transforming-the-way-we-deliver-outpatients-in-wales--a-three-year-strategy-and-action-plan-2020-2023.pdf (gov.wales)</w:t>
        </w:r>
      </w:hyperlink>
      <w:r w:rsidRPr="00EE7687">
        <w:rPr>
          <w:rFonts w:ascii="Arial" w:hAnsi="Arial" w:cs="Arial"/>
          <w:shd w:val="clear" w:color="auto" w:fill="FFFFFF"/>
        </w:rPr>
        <w:t xml:space="preserve"> (Accessed on: 15 March 2023).</w:t>
      </w:r>
    </w:p>
    <w:p w14:paraId="7EE886D0"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1" w:name="_Hlk132816499"/>
      <w:r w:rsidRPr="00EE7687">
        <w:rPr>
          <w:rFonts w:ascii="Arial" w:hAnsi="Arial" w:cs="Arial"/>
        </w:rPr>
        <w:t xml:space="preserve">Welsh Government (2021a) </w:t>
      </w:r>
      <w:r w:rsidRPr="00EE7687">
        <w:rPr>
          <w:rFonts w:ascii="Arial" w:hAnsi="Arial" w:cs="Arial"/>
          <w:i/>
          <w:iCs/>
        </w:rPr>
        <w:t>Health and Social Care in Wales – COVID-19: Looking forward</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71" w:history="1">
        <w:r w:rsidRPr="00EE7687">
          <w:rPr>
            <w:rStyle w:val="Hyperlink"/>
            <w:rFonts w:ascii="Arial" w:hAnsi="Arial" w:cs="Arial"/>
            <w:color w:val="auto"/>
          </w:rPr>
          <w:t>health-and-social-care-in-wales--covid-19-looking-forward_0.pdf (gov.wales)</w:t>
        </w:r>
      </w:hyperlink>
      <w:r w:rsidRPr="00EE7687">
        <w:rPr>
          <w:rFonts w:ascii="Arial" w:hAnsi="Arial" w:cs="Arial"/>
          <w:shd w:val="clear" w:color="auto" w:fill="FFFFFF"/>
        </w:rPr>
        <w:t xml:space="preserve"> (Accessed on: 11 March 2023).</w:t>
      </w:r>
    </w:p>
    <w:bookmarkEnd w:id="1"/>
    <w:p w14:paraId="3988CE60"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(2021b) </w:t>
      </w:r>
      <w:r w:rsidRPr="00EE7687">
        <w:rPr>
          <w:rFonts w:ascii="Arial" w:hAnsi="Arial" w:cs="Arial"/>
          <w:i/>
          <w:iCs/>
        </w:rPr>
        <w:t>National Clinical Framework: A Learning Health and Care System</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72" w:history="1">
        <w:r w:rsidRPr="00EE7687">
          <w:rPr>
            <w:rStyle w:val="Hyperlink"/>
            <w:rFonts w:ascii="Arial" w:hAnsi="Arial" w:cs="Arial"/>
            <w:color w:val="auto"/>
          </w:rPr>
          <w:t>National Clinical Framework 8.0 (gov.wales)</w:t>
        </w:r>
      </w:hyperlink>
      <w:r w:rsidRPr="00EE7687">
        <w:rPr>
          <w:rFonts w:ascii="Arial" w:hAnsi="Arial" w:cs="Arial"/>
          <w:shd w:val="clear" w:color="auto" w:fill="FFFFFF"/>
        </w:rPr>
        <w:t xml:space="preserve"> (Accessed on: 11 March 2023).</w:t>
      </w:r>
    </w:p>
    <w:p w14:paraId="5062199B"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(2021c) </w:t>
      </w:r>
      <w:r w:rsidRPr="00EE7687">
        <w:rPr>
          <w:rFonts w:ascii="Arial" w:hAnsi="Arial" w:cs="Arial"/>
          <w:i/>
          <w:iCs/>
        </w:rPr>
        <w:t xml:space="preserve">A Healthier Wales: our Plan for Health and Social Care </w:t>
      </w:r>
      <w:r w:rsidRPr="00EE7687">
        <w:rPr>
          <w:rFonts w:ascii="Arial" w:hAnsi="Arial" w:cs="Arial"/>
          <w:shd w:val="clear" w:color="auto" w:fill="FFFFFF"/>
        </w:rPr>
        <w:t xml:space="preserve">Available at: </w:t>
      </w:r>
      <w:hyperlink r:id="rId73" w:history="1">
        <w:r w:rsidRPr="00EE7687">
          <w:rPr>
            <w:rStyle w:val="Hyperlink"/>
            <w:rFonts w:ascii="Arial" w:hAnsi="Arial" w:cs="Arial"/>
            <w:color w:val="auto"/>
          </w:rPr>
          <w:t>A Healthier Wales (gov.wales)</w:t>
        </w:r>
      </w:hyperlink>
      <w:r w:rsidRPr="00EE7687">
        <w:rPr>
          <w:rFonts w:ascii="Arial" w:hAnsi="Arial" w:cs="Arial"/>
          <w:shd w:val="clear" w:color="auto" w:fill="FFFFFF"/>
        </w:rPr>
        <w:t xml:space="preserve"> (Accessed on: 16 March 2023).</w:t>
      </w:r>
    </w:p>
    <w:p w14:paraId="5E7D3C41"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2" w:name="_Hlk132816516"/>
      <w:r w:rsidRPr="00EE7687">
        <w:rPr>
          <w:rFonts w:ascii="Arial" w:hAnsi="Arial" w:cs="Arial"/>
        </w:rPr>
        <w:t xml:space="preserve">Welsh Government (2022) </w:t>
      </w:r>
      <w:r w:rsidRPr="00EE7687">
        <w:rPr>
          <w:rFonts w:ascii="Arial" w:hAnsi="Arial" w:cs="Arial"/>
          <w:i/>
          <w:iCs/>
        </w:rPr>
        <w:t>Our programme for transforming and modernising planned care and reducing waiting lists in Wales</w:t>
      </w:r>
      <w:r w:rsidRPr="00EE7687">
        <w:rPr>
          <w:rFonts w:ascii="Arial" w:hAnsi="Arial" w:cs="Arial"/>
        </w:rPr>
        <w:t xml:space="preserve"> </w:t>
      </w:r>
      <w:r w:rsidRPr="00EE7687">
        <w:rPr>
          <w:rFonts w:ascii="Arial" w:hAnsi="Arial" w:cs="Arial"/>
          <w:shd w:val="clear" w:color="auto" w:fill="FFFFFF"/>
        </w:rPr>
        <w:t xml:space="preserve">Available at: </w:t>
      </w:r>
      <w:hyperlink r:id="rId74" w:history="1">
        <w:r w:rsidRPr="00EE7687">
          <w:rPr>
            <w:rStyle w:val="Hyperlink"/>
            <w:rFonts w:ascii="Arial" w:hAnsi="Arial" w:cs="Arial"/>
            <w:color w:val="auto"/>
          </w:rPr>
          <w:t>Our programme for transforming and modernising planned care in Wales and reducing the waiting lists (gov.wales)</w:t>
        </w:r>
      </w:hyperlink>
      <w:r w:rsidRPr="00EE7687">
        <w:rPr>
          <w:rFonts w:ascii="Arial" w:hAnsi="Arial" w:cs="Arial"/>
          <w:shd w:val="clear" w:color="auto" w:fill="FFFFFF"/>
        </w:rPr>
        <w:t xml:space="preserve"> (Accessed on: 14 March 2023).</w:t>
      </w:r>
    </w:p>
    <w:bookmarkEnd w:id="2"/>
    <w:p w14:paraId="057D6781"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(2023a) </w:t>
      </w:r>
      <w:r w:rsidRPr="00EE7687">
        <w:rPr>
          <w:rFonts w:ascii="Arial" w:hAnsi="Arial" w:cs="Arial"/>
          <w:i/>
          <w:iCs/>
        </w:rPr>
        <w:t>Welsh Government response to latest NHS Wales performance data</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75" w:history="1">
        <w:r w:rsidRPr="00EE7687">
          <w:rPr>
            <w:rStyle w:val="Hyperlink"/>
            <w:rFonts w:ascii="Arial" w:hAnsi="Arial" w:cs="Arial"/>
            <w:color w:val="auto"/>
          </w:rPr>
          <w:t>Welsh Government response to latest NHS Wales performance data | GOV.WALES</w:t>
        </w:r>
      </w:hyperlink>
      <w:r w:rsidRPr="00EE7687">
        <w:rPr>
          <w:rFonts w:ascii="Arial" w:hAnsi="Arial" w:cs="Arial"/>
          <w:shd w:val="clear" w:color="auto" w:fill="FFFFFF"/>
        </w:rPr>
        <w:t xml:space="preserve"> (Accessed on: 15 March 2023).</w:t>
      </w:r>
    </w:p>
    <w:p w14:paraId="36F863D4"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(2023b) </w:t>
      </w:r>
      <w:r w:rsidRPr="00EE7687">
        <w:rPr>
          <w:rFonts w:ascii="Arial" w:hAnsi="Arial" w:cs="Arial"/>
          <w:i/>
          <w:iCs/>
        </w:rPr>
        <w:t>NHS activity and performance summary: December 2022 and January 2023</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76" w:history="1">
        <w:r w:rsidRPr="00EE7687">
          <w:rPr>
            <w:rStyle w:val="Hyperlink"/>
            <w:rFonts w:ascii="Arial" w:hAnsi="Arial" w:cs="Arial"/>
            <w:color w:val="auto"/>
          </w:rPr>
          <w:t>NHS activity and performance summary: December 2022 and January 2023 | GOV.WALES</w:t>
        </w:r>
      </w:hyperlink>
      <w:r w:rsidRPr="00EE7687">
        <w:rPr>
          <w:rFonts w:ascii="Arial" w:hAnsi="Arial" w:cs="Arial"/>
          <w:shd w:val="clear" w:color="auto" w:fill="FFFFFF"/>
        </w:rPr>
        <w:t xml:space="preserve"> (Accessed on: 15 March 2023).</w:t>
      </w:r>
    </w:p>
    <w:p w14:paraId="721A9D0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Williams, T.A. and Shepherd, D.A. (2017) 'Mixed Method Social Network Analysis: Combining Inductive Concept Development, Content Analysis, and Secondary Data for Quantitative Analysis', </w:t>
      </w:r>
      <w:r w:rsidRPr="00EE7687">
        <w:rPr>
          <w:rFonts w:ascii="Arial" w:hAnsi="Arial" w:cs="Arial"/>
          <w:i/>
          <w:iCs/>
        </w:rPr>
        <w:t>Organizational Research Methods, </w:t>
      </w:r>
      <w:r w:rsidRPr="00EE7687">
        <w:rPr>
          <w:rFonts w:ascii="Arial" w:hAnsi="Arial" w:cs="Arial"/>
        </w:rPr>
        <w:t>20(2), pp. 268-298. Available at: https://doi.org/10.1177/1094428115610807.</w:t>
      </w:r>
    </w:p>
    <w:p w14:paraId="0207B7D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Willis, M., Duckworth, P., Coulter, A., Meyer, E.T. and Osborne, M. (2019) 'The Future of Health Care: Protocol for Measuring the Potential of Task Automation Grounded in the National Health Service Primary Care System', </w:t>
      </w:r>
      <w:r w:rsidRPr="00EE7687">
        <w:rPr>
          <w:rFonts w:ascii="Arial" w:hAnsi="Arial" w:cs="Arial"/>
          <w:i/>
          <w:iCs/>
        </w:rPr>
        <w:t>JMIR research protocols; JMIR Res Protoc, </w:t>
      </w:r>
      <w:r w:rsidRPr="00EE7687">
        <w:rPr>
          <w:rFonts w:ascii="Arial" w:hAnsi="Arial" w:cs="Arial"/>
        </w:rPr>
        <w:t xml:space="preserve">8(4), pp. e11232. Available at: </w:t>
      </w:r>
      <w:hyperlink r:id="rId77" w:history="1">
        <w:r w:rsidRPr="00EE7687">
          <w:rPr>
            <w:rStyle w:val="Hyperlink"/>
            <w:rFonts w:ascii="Arial" w:hAnsi="Arial" w:cs="Arial"/>
            <w:color w:val="auto"/>
          </w:rPr>
          <w:t>https://doi.org/10.2196/11232</w:t>
        </w:r>
      </w:hyperlink>
      <w:r w:rsidRPr="00EE7687">
        <w:rPr>
          <w:rFonts w:ascii="Arial" w:hAnsi="Arial" w:cs="Arial"/>
        </w:rPr>
        <w:t>.</w:t>
      </w:r>
    </w:p>
    <w:p w14:paraId="7D239A7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Yankelevitch, S.  (2022) </w:t>
      </w:r>
      <w:r w:rsidRPr="00EE7687">
        <w:rPr>
          <w:rFonts w:ascii="Arial" w:hAnsi="Arial" w:cs="Arial"/>
          <w:i/>
          <w:iCs/>
        </w:rPr>
        <w:t>Root Cause Analysis: Getting to the Root of Business Problems.</w:t>
      </w:r>
      <w:r w:rsidRPr="00EE7687">
        <w:rPr>
          <w:rFonts w:ascii="Arial" w:hAnsi="Arial" w:cs="Arial"/>
        </w:rPr>
        <w:t xml:space="preserve"> CA: linkedin.com. Available at: </w:t>
      </w:r>
      <w:hyperlink r:id="rId78" w:history="1">
        <w:r w:rsidRPr="00EE7687">
          <w:rPr>
            <w:rStyle w:val="Hyperlink"/>
            <w:rFonts w:ascii="Arial" w:hAnsi="Arial" w:cs="Arial"/>
            <w:color w:val="auto"/>
          </w:rPr>
          <w:t>What is root cause analysis? (linkedin.com)</w:t>
        </w:r>
      </w:hyperlink>
      <w:r w:rsidRPr="00EE7687">
        <w:rPr>
          <w:rFonts w:ascii="Arial" w:hAnsi="Arial" w:cs="Arial"/>
        </w:rPr>
        <w:t xml:space="preserve"> (Accessed: 04 May 2023).</w:t>
      </w:r>
    </w:p>
    <w:p w14:paraId="59EA1416" w14:textId="5F5415AB"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Yin, R.K. (2016) </w:t>
      </w:r>
      <w:r w:rsidRPr="00EE7687">
        <w:rPr>
          <w:rFonts w:ascii="Arial" w:hAnsi="Arial" w:cs="Arial"/>
          <w:i/>
          <w:iCs/>
        </w:rPr>
        <w:t>Qualitative research from start to finish</w:t>
      </w:r>
      <w:r w:rsidRPr="00EE7687">
        <w:rPr>
          <w:rFonts w:ascii="Arial" w:hAnsi="Arial" w:cs="Arial"/>
        </w:rPr>
        <w:t>. 2nd edn. New York: Guilford Press.</w:t>
      </w:r>
      <w:r w:rsidR="00D47C4D">
        <w:rPr>
          <w:rFonts w:ascii="Arial" w:hAnsi="Arial" w:cs="Arial"/>
        </w:rPr>
        <w:tab/>
      </w:r>
    </w:p>
    <w:p w14:paraId="262AF954" w14:textId="77777777" w:rsidR="00167BB1" w:rsidRDefault="00167BB1" w:rsidP="001725FD">
      <w:pPr>
        <w:jc w:val="both"/>
        <w:rPr>
          <w:rFonts w:ascii="Arial" w:hAnsi="Arial" w:cs="Arial"/>
          <w:sz w:val="24"/>
          <w:szCs w:val="24"/>
        </w:rPr>
      </w:pPr>
    </w:p>
    <w:p w14:paraId="76694D2B" w14:textId="77777777" w:rsidR="00D47C4D" w:rsidRDefault="00D47C4D" w:rsidP="005E29AE"/>
    <w:p w14:paraId="7AC01278" w14:textId="77777777" w:rsidR="00D47C4D" w:rsidRPr="005E29AE" w:rsidRDefault="00D47C4D" w:rsidP="005E29AE"/>
    <w:sectPr w:rsidR="00D47C4D" w:rsidRPr="005E29AE">
      <w:headerReference w:type="even" r:id="rId79"/>
      <w:headerReference w:type="default" r:id="rId80"/>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7AFA0" w14:textId="77777777" w:rsidR="00883DFB" w:rsidRDefault="00883DFB" w:rsidP="0058546A">
      <w:pPr>
        <w:spacing w:after="0" w:line="240" w:lineRule="auto"/>
      </w:pPr>
      <w:r>
        <w:separator/>
      </w:r>
    </w:p>
  </w:endnote>
  <w:endnote w:type="continuationSeparator" w:id="0">
    <w:p w14:paraId="38B55247" w14:textId="77777777" w:rsidR="00883DFB" w:rsidRDefault="00883DFB" w:rsidP="0058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5D49" w14:textId="42BA5694" w:rsidR="002C0C6C" w:rsidRDefault="002C0C6C">
    <w:pPr>
      <w:pStyle w:val="Footer"/>
      <w:jc w:val="center"/>
    </w:pPr>
  </w:p>
  <w:p w14:paraId="56D3BA75" w14:textId="77777777" w:rsidR="002C0C6C" w:rsidRDefault="002C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AFE77" w14:textId="77777777" w:rsidR="00883DFB" w:rsidRDefault="00883DFB" w:rsidP="0058546A">
      <w:pPr>
        <w:spacing w:after="0" w:line="240" w:lineRule="auto"/>
      </w:pPr>
      <w:r>
        <w:separator/>
      </w:r>
    </w:p>
  </w:footnote>
  <w:footnote w:type="continuationSeparator" w:id="0">
    <w:p w14:paraId="0F22873A" w14:textId="77777777" w:rsidR="00883DFB" w:rsidRDefault="00883DFB" w:rsidP="0058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1040790"/>
      <w:docPartObj>
        <w:docPartGallery w:val="Page Numbers (Top of Page)"/>
        <w:docPartUnique/>
      </w:docPartObj>
    </w:sdtPr>
    <w:sdtContent>
      <w:p w14:paraId="157A74BB" w14:textId="5948A739"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EACE67" w14:textId="77777777" w:rsidR="002C0C6C" w:rsidRDefault="002C0C6C" w:rsidP="00B60B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790899"/>
      <w:docPartObj>
        <w:docPartGallery w:val="Page Numbers (Top of Page)"/>
        <w:docPartUnique/>
      </w:docPartObj>
    </w:sdtPr>
    <w:sdtContent>
      <w:p w14:paraId="178FE837" w14:textId="21F2FB12"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14E9A8" w14:textId="5B1B3558" w:rsidR="002C0C6C" w:rsidRDefault="002C0C6C" w:rsidP="00B60B1E">
    <w:pPr>
      <w:pStyle w:val="Header"/>
      <w:ind w:right="360"/>
    </w:pPr>
    <w:r>
      <w:t>Jonathan Davies 2112927</w:t>
    </w:r>
  </w:p>
  <w:p w14:paraId="4FDFA992" w14:textId="77777777" w:rsidR="002C0C6C" w:rsidRDefault="002C0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86B"/>
    <w:multiLevelType w:val="hybridMultilevel"/>
    <w:tmpl w:val="252E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A18C4"/>
    <w:multiLevelType w:val="hybridMultilevel"/>
    <w:tmpl w:val="99CE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72329"/>
    <w:multiLevelType w:val="hybridMultilevel"/>
    <w:tmpl w:val="35A0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E695E"/>
    <w:multiLevelType w:val="hybridMultilevel"/>
    <w:tmpl w:val="1F1E4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43103"/>
    <w:multiLevelType w:val="hybridMultilevel"/>
    <w:tmpl w:val="DF58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32279"/>
    <w:multiLevelType w:val="hybridMultilevel"/>
    <w:tmpl w:val="64CC5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60FA4"/>
    <w:multiLevelType w:val="hybridMultilevel"/>
    <w:tmpl w:val="0910F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D2327"/>
    <w:multiLevelType w:val="hybridMultilevel"/>
    <w:tmpl w:val="029A0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BB4BD8"/>
    <w:multiLevelType w:val="hybridMultilevel"/>
    <w:tmpl w:val="CF0CACB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69C203EC"/>
    <w:multiLevelType w:val="hybridMultilevel"/>
    <w:tmpl w:val="4D9CB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00FE0"/>
    <w:multiLevelType w:val="hybridMultilevel"/>
    <w:tmpl w:val="68E47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8777684">
    <w:abstractNumId w:val="5"/>
  </w:num>
  <w:num w:numId="2" w16cid:durableId="651063178">
    <w:abstractNumId w:val="9"/>
  </w:num>
  <w:num w:numId="3" w16cid:durableId="1092630143">
    <w:abstractNumId w:val="2"/>
  </w:num>
  <w:num w:numId="4" w16cid:durableId="1397820457">
    <w:abstractNumId w:val="7"/>
  </w:num>
  <w:num w:numId="5" w16cid:durableId="929970080">
    <w:abstractNumId w:val="1"/>
  </w:num>
  <w:num w:numId="6" w16cid:durableId="1932616213">
    <w:abstractNumId w:val="0"/>
  </w:num>
  <w:num w:numId="7" w16cid:durableId="1123843747">
    <w:abstractNumId w:val="10"/>
  </w:num>
  <w:num w:numId="8" w16cid:durableId="779646226">
    <w:abstractNumId w:val="3"/>
  </w:num>
  <w:num w:numId="9" w16cid:durableId="490410485">
    <w:abstractNumId w:val="11"/>
  </w:num>
  <w:num w:numId="10" w16cid:durableId="844634277">
    <w:abstractNumId w:val="6"/>
  </w:num>
  <w:num w:numId="11" w16cid:durableId="1605575894">
    <w:abstractNumId w:val="4"/>
  </w:num>
  <w:num w:numId="12" w16cid:durableId="4140588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63"/>
    <w:rsid w:val="0000505A"/>
    <w:rsid w:val="00012942"/>
    <w:rsid w:val="00017B15"/>
    <w:rsid w:val="00021AB7"/>
    <w:rsid w:val="00042C1E"/>
    <w:rsid w:val="000641B3"/>
    <w:rsid w:val="0007272B"/>
    <w:rsid w:val="00083494"/>
    <w:rsid w:val="000851A8"/>
    <w:rsid w:val="000A5F35"/>
    <w:rsid w:val="000C1A72"/>
    <w:rsid w:val="000E353C"/>
    <w:rsid w:val="000F78FE"/>
    <w:rsid w:val="00104FB1"/>
    <w:rsid w:val="00115317"/>
    <w:rsid w:val="00126204"/>
    <w:rsid w:val="00132185"/>
    <w:rsid w:val="001325DA"/>
    <w:rsid w:val="00167BB1"/>
    <w:rsid w:val="001725FD"/>
    <w:rsid w:val="00191893"/>
    <w:rsid w:val="001B7C05"/>
    <w:rsid w:val="001D71E5"/>
    <w:rsid w:val="001D7924"/>
    <w:rsid w:val="00225B73"/>
    <w:rsid w:val="00233F84"/>
    <w:rsid w:val="00272D22"/>
    <w:rsid w:val="00280C7C"/>
    <w:rsid w:val="002B0741"/>
    <w:rsid w:val="002C0C6C"/>
    <w:rsid w:val="002C4CAA"/>
    <w:rsid w:val="00301D50"/>
    <w:rsid w:val="00305DBC"/>
    <w:rsid w:val="0031724C"/>
    <w:rsid w:val="00351C1A"/>
    <w:rsid w:val="00362860"/>
    <w:rsid w:val="00364EF5"/>
    <w:rsid w:val="0037192E"/>
    <w:rsid w:val="003C2465"/>
    <w:rsid w:val="00401252"/>
    <w:rsid w:val="0041582B"/>
    <w:rsid w:val="00440ACE"/>
    <w:rsid w:val="00452FB6"/>
    <w:rsid w:val="0045596C"/>
    <w:rsid w:val="00460323"/>
    <w:rsid w:val="00461BED"/>
    <w:rsid w:val="004656F6"/>
    <w:rsid w:val="004701A2"/>
    <w:rsid w:val="00485A1E"/>
    <w:rsid w:val="0049394F"/>
    <w:rsid w:val="00571229"/>
    <w:rsid w:val="00575519"/>
    <w:rsid w:val="00583C82"/>
    <w:rsid w:val="00584E5C"/>
    <w:rsid w:val="0058546A"/>
    <w:rsid w:val="005A170A"/>
    <w:rsid w:val="005A2142"/>
    <w:rsid w:val="005E2378"/>
    <w:rsid w:val="005E29AE"/>
    <w:rsid w:val="005F3A0F"/>
    <w:rsid w:val="005F3B48"/>
    <w:rsid w:val="0064010E"/>
    <w:rsid w:val="0065363B"/>
    <w:rsid w:val="00694253"/>
    <w:rsid w:val="00697C32"/>
    <w:rsid w:val="006A703F"/>
    <w:rsid w:val="006D3A55"/>
    <w:rsid w:val="006F5DD3"/>
    <w:rsid w:val="007029FA"/>
    <w:rsid w:val="00714585"/>
    <w:rsid w:val="00744B50"/>
    <w:rsid w:val="0076021D"/>
    <w:rsid w:val="00794384"/>
    <w:rsid w:val="007E6E55"/>
    <w:rsid w:val="00801470"/>
    <w:rsid w:val="00824202"/>
    <w:rsid w:val="00850144"/>
    <w:rsid w:val="008514D5"/>
    <w:rsid w:val="00862C3D"/>
    <w:rsid w:val="00866544"/>
    <w:rsid w:val="00883DFB"/>
    <w:rsid w:val="008B7C68"/>
    <w:rsid w:val="008B7CA9"/>
    <w:rsid w:val="008D1CE9"/>
    <w:rsid w:val="0090207A"/>
    <w:rsid w:val="009036EB"/>
    <w:rsid w:val="0091104E"/>
    <w:rsid w:val="009138A7"/>
    <w:rsid w:val="0095338C"/>
    <w:rsid w:val="009C5A0F"/>
    <w:rsid w:val="009D062C"/>
    <w:rsid w:val="009F35FD"/>
    <w:rsid w:val="00A12A53"/>
    <w:rsid w:val="00A513F0"/>
    <w:rsid w:val="00A6468F"/>
    <w:rsid w:val="00A67E29"/>
    <w:rsid w:val="00A764F8"/>
    <w:rsid w:val="00A93F86"/>
    <w:rsid w:val="00AB07DC"/>
    <w:rsid w:val="00AB17DF"/>
    <w:rsid w:val="00AB58F6"/>
    <w:rsid w:val="00AE3949"/>
    <w:rsid w:val="00AE623E"/>
    <w:rsid w:val="00B07CAC"/>
    <w:rsid w:val="00B35FC6"/>
    <w:rsid w:val="00B53232"/>
    <w:rsid w:val="00B60B1E"/>
    <w:rsid w:val="00B6145D"/>
    <w:rsid w:val="00B72E7C"/>
    <w:rsid w:val="00BA280D"/>
    <w:rsid w:val="00BA3C29"/>
    <w:rsid w:val="00BC7024"/>
    <w:rsid w:val="00BC7DBE"/>
    <w:rsid w:val="00BD6735"/>
    <w:rsid w:val="00BE746A"/>
    <w:rsid w:val="00BE7E26"/>
    <w:rsid w:val="00C0112D"/>
    <w:rsid w:val="00C129C1"/>
    <w:rsid w:val="00C13471"/>
    <w:rsid w:val="00C14CAD"/>
    <w:rsid w:val="00C23686"/>
    <w:rsid w:val="00C3301E"/>
    <w:rsid w:val="00C37BEB"/>
    <w:rsid w:val="00C47058"/>
    <w:rsid w:val="00C77468"/>
    <w:rsid w:val="00C93DF4"/>
    <w:rsid w:val="00C946D3"/>
    <w:rsid w:val="00CC0364"/>
    <w:rsid w:val="00CC21D9"/>
    <w:rsid w:val="00CD5F91"/>
    <w:rsid w:val="00CF3D4F"/>
    <w:rsid w:val="00D0120E"/>
    <w:rsid w:val="00D24429"/>
    <w:rsid w:val="00D34C8E"/>
    <w:rsid w:val="00D426BD"/>
    <w:rsid w:val="00D47C4D"/>
    <w:rsid w:val="00D5299C"/>
    <w:rsid w:val="00D63804"/>
    <w:rsid w:val="00D72856"/>
    <w:rsid w:val="00D77BAC"/>
    <w:rsid w:val="00D82FA3"/>
    <w:rsid w:val="00DA53F2"/>
    <w:rsid w:val="00DB09EE"/>
    <w:rsid w:val="00DB1709"/>
    <w:rsid w:val="00DB4448"/>
    <w:rsid w:val="00DC4FBE"/>
    <w:rsid w:val="00DE7F61"/>
    <w:rsid w:val="00E0414A"/>
    <w:rsid w:val="00E34032"/>
    <w:rsid w:val="00E72FF5"/>
    <w:rsid w:val="00E8771F"/>
    <w:rsid w:val="00ED7806"/>
    <w:rsid w:val="00EE7687"/>
    <w:rsid w:val="00F04186"/>
    <w:rsid w:val="00F10122"/>
    <w:rsid w:val="00F1526C"/>
    <w:rsid w:val="00F25393"/>
    <w:rsid w:val="00F27263"/>
    <w:rsid w:val="00F74D10"/>
    <w:rsid w:val="00F756E7"/>
    <w:rsid w:val="00FB7FD4"/>
    <w:rsid w:val="00FD417A"/>
    <w:rsid w:val="00FE6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FF081"/>
  <w15:chartTrackingRefBased/>
  <w15:docId w15:val="{1D284475-BFA4-42A6-A14E-B414CF71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6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13F0"/>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qFormat/>
    <w:rsid w:val="0058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46A"/>
  </w:style>
  <w:style w:type="paragraph" w:styleId="Footer">
    <w:name w:val="footer"/>
    <w:basedOn w:val="Normal"/>
    <w:link w:val="FooterChar"/>
    <w:uiPriority w:val="99"/>
    <w:unhideWhenUsed/>
    <w:rsid w:val="0058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46A"/>
  </w:style>
  <w:style w:type="table" w:styleId="TableGrid">
    <w:name w:val="Table Grid"/>
    <w:basedOn w:val="TableNormal"/>
    <w:uiPriority w:val="39"/>
    <w:rsid w:val="00B60B1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60B1E"/>
  </w:style>
  <w:style w:type="character" w:styleId="Hyperlink">
    <w:name w:val="Hyperlink"/>
    <w:basedOn w:val="DefaultParagraphFont"/>
    <w:uiPriority w:val="99"/>
    <w:unhideWhenUsed/>
    <w:rsid w:val="005F3A0F"/>
    <w:rPr>
      <w:color w:val="0000FF"/>
      <w:u w:val="single"/>
    </w:rPr>
  </w:style>
  <w:style w:type="character" w:styleId="Strong">
    <w:name w:val="Strong"/>
    <w:basedOn w:val="DefaultParagraphFont"/>
    <w:uiPriority w:val="22"/>
    <w:qFormat/>
    <w:rsid w:val="00167B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2990">
      <w:bodyDiv w:val="1"/>
      <w:marLeft w:val="0"/>
      <w:marRight w:val="0"/>
      <w:marTop w:val="0"/>
      <w:marBottom w:val="0"/>
      <w:divBdr>
        <w:top w:val="none" w:sz="0" w:space="0" w:color="auto"/>
        <w:left w:val="none" w:sz="0" w:space="0" w:color="auto"/>
        <w:bottom w:val="none" w:sz="0" w:space="0" w:color="auto"/>
        <w:right w:val="none" w:sz="0" w:space="0" w:color="auto"/>
      </w:divBdr>
    </w:div>
    <w:div w:id="360128509">
      <w:bodyDiv w:val="1"/>
      <w:marLeft w:val="0"/>
      <w:marRight w:val="0"/>
      <w:marTop w:val="0"/>
      <w:marBottom w:val="0"/>
      <w:divBdr>
        <w:top w:val="none" w:sz="0" w:space="0" w:color="auto"/>
        <w:left w:val="none" w:sz="0" w:space="0" w:color="auto"/>
        <w:bottom w:val="none" w:sz="0" w:space="0" w:color="auto"/>
        <w:right w:val="none" w:sz="0" w:space="0" w:color="auto"/>
      </w:divBdr>
    </w:div>
    <w:div w:id="364790091">
      <w:bodyDiv w:val="1"/>
      <w:marLeft w:val="0"/>
      <w:marRight w:val="0"/>
      <w:marTop w:val="0"/>
      <w:marBottom w:val="0"/>
      <w:divBdr>
        <w:top w:val="none" w:sz="0" w:space="0" w:color="auto"/>
        <w:left w:val="none" w:sz="0" w:space="0" w:color="auto"/>
        <w:bottom w:val="none" w:sz="0" w:space="0" w:color="auto"/>
        <w:right w:val="none" w:sz="0" w:space="0" w:color="auto"/>
      </w:divBdr>
    </w:div>
    <w:div w:id="577445866">
      <w:bodyDiv w:val="1"/>
      <w:marLeft w:val="0"/>
      <w:marRight w:val="0"/>
      <w:marTop w:val="0"/>
      <w:marBottom w:val="0"/>
      <w:divBdr>
        <w:top w:val="none" w:sz="0" w:space="0" w:color="auto"/>
        <w:left w:val="none" w:sz="0" w:space="0" w:color="auto"/>
        <w:bottom w:val="none" w:sz="0" w:space="0" w:color="auto"/>
        <w:right w:val="none" w:sz="0" w:space="0" w:color="auto"/>
      </w:divBdr>
    </w:div>
    <w:div w:id="581722957">
      <w:bodyDiv w:val="1"/>
      <w:marLeft w:val="0"/>
      <w:marRight w:val="0"/>
      <w:marTop w:val="0"/>
      <w:marBottom w:val="0"/>
      <w:divBdr>
        <w:top w:val="none" w:sz="0" w:space="0" w:color="auto"/>
        <w:left w:val="none" w:sz="0" w:space="0" w:color="auto"/>
        <w:bottom w:val="none" w:sz="0" w:space="0" w:color="auto"/>
        <w:right w:val="none" w:sz="0" w:space="0" w:color="auto"/>
      </w:divBdr>
    </w:div>
    <w:div w:id="802236905">
      <w:bodyDiv w:val="1"/>
      <w:marLeft w:val="0"/>
      <w:marRight w:val="0"/>
      <w:marTop w:val="0"/>
      <w:marBottom w:val="0"/>
      <w:divBdr>
        <w:top w:val="none" w:sz="0" w:space="0" w:color="auto"/>
        <w:left w:val="none" w:sz="0" w:space="0" w:color="auto"/>
        <w:bottom w:val="none" w:sz="0" w:space="0" w:color="auto"/>
        <w:right w:val="none" w:sz="0" w:space="0" w:color="auto"/>
      </w:divBdr>
    </w:div>
    <w:div w:id="874853296">
      <w:bodyDiv w:val="1"/>
      <w:marLeft w:val="0"/>
      <w:marRight w:val="0"/>
      <w:marTop w:val="0"/>
      <w:marBottom w:val="0"/>
      <w:divBdr>
        <w:top w:val="none" w:sz="0" w:space="0" w:color="auto"/>
        <w:left w:val="none" w:sz="0" w:space="0" w:color="auto"/>
        <w:bottom w:val="none" w:sz="0" w:space="0" w:color="auto"/>
        <w:right w:val="none" w:sz="0" w:space="0" w:color="auto"/>
      </w:divBdr>
    </w:div>
    <w:div w:id="1056709196">
      <w:bodyDiv w:val="1"/>
      <w:marLeft w:val="0"/>
      <w:marRight w:val="0"/>
      <w:marTop w:val="0"/>
      <w:marBottom w:val="0"/>
      <w:divBdr>
        <w:top w:val="none" w:sz="0" w:space="0" w:color="auto"/>
        <w:left w:val="none" w:sz="0" w:space="0" w:color="auto"/>
        <w:bottom w:val="none" w:sz="0" w:space="0" w:color="auto"/>
        <w:right w:val="none" w:sz="0" w:space="0" w:color="auto"/>
      </w:divBdr>
    </w:div>
    <w:div w:id="1205603287">
      <w:bodyDiv w:val="1"/>
      <w:marLeft w:val="0"/>
      <w:marRight w:val="0"/>
      <w:marTop w:val="0"/>
      <w:marBottom w:val="0"/>
      <w:divBdr>
        <w:top w:val="none" w:sz="0" w:space="0" w:color="auto"/>
        <w:left w:val="none" w:sz="0" w:space="0" w:color="auto"/>
        <w:bottom w:val="none" w:sz="0" w:space="0" w:color="auto"/>
        <w:right w:val="none" w:sz="0" w:space="0" w:color="auto"/>
      </w:divBdr>
      <w:divsChild>
        <w:div w:id="2020698879">
          <w:marLeft w:val="780"/>
          <w:marRight w:val="0"/>
          <w:marTop w:val="0"/>
          <w:marBottom w:val="0"/>
          <w:divBdr>
            <w:top w:val="none" w:sz="0" w:space="0" w:color="auto"/>
            <w:left w:val="none" w:sz="0" w:space="0" w:color="auto"/>
            <w:bottom w:val="none" w:sz="0" w:space="0" w:color="auto"/>
            <w:right w:val="none" w:sz="0" w:space="0" w:color="auto"/>
          </w:divBdr>
          <w:divsChild>
            <w:div w:id="357313679">
              <w:marLeft w:val="0"/>
              <w:marRight w:val="0"/>
              <w:marTop w:val="0"/>
              <w:marBottom w:val="0"/>
              <w:divBdr>
                <w:top w:val="none" w:sz="0" w:space="0" w:color="auto"/>
                <w:left w:val="none" w:sz="0" w:space="0" w:color="auto"/>
                <w:bottom w:val="none" w:sz="0" w:space="0" w:color="auto"/>
                <w:right w:val="none" w:sz="0" w:space="0" w:color="auto"/>
              </w:divBdr>
              <w:divsChild>
                <w:div w:id="699085871">
                  <w:marLeft w:val="0"/>
                  <w:marRight w:val="0"/>
                  <w:marTop w:val="0"/>
                  <w:marBottom w:val="0"/>
                  <w:divBdr>
                    <w:top w:val="none" w:sz="0" w:space="0" w:color="auto"/>
                    <w:left w:val="none" w:sz="0" w:space="0" w:color="auto"/>
                    <w:bottom w:val="none" w:sz="0" w:space="0" w:color="auto"/>
                    <w:right w:val="none" w:sz="0" w:space="0" w:color="auto"/>
                  </w:divBdr>
                  <w:divsChild>
                    <w:div w:id="17266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25293">
              <w:marLeft w:val="0"/>
              <w:marRight w:val="0"/>
              <w:marTop w:val="0"/>
              <w:marBottom w:val="0"/>
              <w:divBdr>
                <w:top w:val="none" w:sz="0" w:space="0" w:color="auto"/>
                <w:left w:val="none" w:sz="0" w:space="0" w:color="auto"/>
                <w:bottom w:val="none" w:sz="0" w:space="0" w:color="auto"/>
                <w:right w:val="none" w:sz="0" w:space="0" w:color="auto"/>
              </w:divBdr>
              <w:divsChild>
                <w:div w:id="1256129782">
                  <w:marLeft w:val="0"/>
                  <w:marRight w:val="0"/>
                  <w:marTop w:val="0"/>
                  <w:marBottom w:val="0"/>
                  <w:divBdr>
                    <w:top w:val="none" w:sz="0" w:space="0" w:color="auto"/>
                    <w:left w:val="none" w:sz="0" w:space="0" w:color="auto"/>
                    <w:bottom w:val="none" w:sz="0" w:space="0" w:color="auto"/>
                    <w:right w:val="none" w:sz="0" w:space="0" w:color="auto"/>
                  </w:divBdr>
                  <w:divsChild>
                    <w:div w:id="2112583133">
                      <w:marLeft w:val="0"/>
                      <w:marRight w:val="0"/>
                      <w:marTop w:val="0"/>
                      <w:marBottom w:val="0"/>
                      <w:divBdr>
                        <w:top w:val="none" w:sz="0" w:space="0" w:color="auto"/>
                        <w:left w:val="none" w:sz="0" w:space="0" w:color="auto"/>
                        <w:bottom w:val="none" w:sz="0" w:space="0" w:color="auto"/>
                        <w:right w:val="none" w:sz="0" w:space="0" w:color="auto"/>
                      </w:divBdr>
                      <w:divsChild>
                        <w:div w:id="441194464">
                          <w:marLeft w:val="0"/>
                          <w:marRight w:val="0"/>
                          <w:marTop w:val="0"/>
                          <w:marBottom w:val="0"/>
                          <w:divBdr>
                            <w:top w:val="none" w:sz="0" w:space="0" w:color="auto"/>
                            <w:left w:val="none" w:sz="0" w:space="0" w:color="auto"/>
                            <w:bottom w:val="none" w:sz="0" w:space="0" w:color="auto"/>
                            <w:right w:val="none" w:sz="0" w:space="0" w:color="auto"/>
                          </w:divBdr>
                          <w:divsChild>
                            <w:div w:id="1421414312">
                              <w:marLeft w:val="0"/>
                              <w:marRight w:val="0"/>
                              <w:marTop w:val="0"/>
                              <w:marBottom w:val="0"/>
                              <w:divBdr>
                                <w:top w:val="none" w:sz="0" w:space="0" w:color="auto"/>
                                <w:left w:val="none" w:sz="0" w:space="0" w:color="auto"/>
                                <w:bottom w:val="none" w:sz="0" w:space="0" w:color="auto"/>
                                <w:right w:val="none" w:sz="0" w:space="0" w:color="auto"/>
                              </w:divBdr>
                              <w:divsChild>
                                <w:div w:id="1677489302">
                                  <w:marLeft w:val="0"/>
                                  <w:marRight w:val="0"/>
                                  <w:marTop w:val="0"/>
                                  <w:marBottom w:val="0"/>
                                  <w:divBdr>
                                    <w:top w:val="none" w:sz="0" w:space="0" w:color="auto"/>
                                    <w:left w:val="none" w:sz="0" w:space="0" w:color="auto"/>
                                    <w:bottom w:val="none" w:sz="0" w:space="0" w:color="auto"/>
                                    <w:right w:val="none" w:sz="0" w:space="0" w:color="auto"/>
                                  </w:divBdr>
                                  <w:divsChild>
                                    <w:div w:id="1666590098">
                                      <w:marLeft w:val="0"/>
                                      <w:marRight w:val="0"/>
                                      <w:marTop w:val="0"/>
                                      <w:marBottom w:val="0"/>
                                      <w:divBdr>
                                        <w:top w:val="none" w:sz="0" w:space="0" w:color="auto"/>
                                        <w:left w:val="none" w:sz="0" w:space="0" w:color="auto"/>
                                        <w:bottom w:val="none" w:sz="0" w:space="0" w:color="auto"/>
                                        <w:right w:val="none" w:sz="0" w:space="0" w:color="auto"/>
                                      </w:divBdr>
                                      <w:divsChild>
                                        <w:div w:id="65231090">
                                          <w:marLeft w:val="0"/>
                                          <w:marRight w:val="0"/>
                                          <w:marTop w:val="0"/>
                                          <w:marBottom w:val="0"/>
                                          <w:divBdr>
                                            <w:top w:val="none" w:sz="0" w:space="0" w:color="auto"/>
                                            <w:left w:val="none" w:sz="0" w:space="0" w:color="auto"/>
                                            <w:bottom w:val="none" w:sz="0" w:space="0" w:color="auto"/>
                                            <w:right w:val="none" w:sz="0" w:space="0" w:color="auto"/>
                                          </w:divBdr>
                                          <w:divsChild>
                                            <w:div w:id="210962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5869">
                                      <w:marLeft w:val="0"/>
                                      <w:marRight w:val="0"/>
                                      <w:marTop w:val="0"/>
                                      <w:marBottom w:val="0"/>
                                      <w:divBdr>
                                        <w:top w:val="none" w:sz="0" w:space="0" w:color="auto"/>
                                        <w:left w:val="none" w:sz="0" w:space="0" w:color="auto"/>
                                        <w:bottom w:val="none" w:sz="0" w:space="0" w:color="auto"/>
                                        <w:right w:val="none" w:sz="0" w:space="0" w:color="auto"/>
                                      </w:divBdr>
                                      <w:divsChild>
                                        <w:div w:id="1994604413">
                                          <w:marLeft w:val="0"/>
                                          <w:marRight w:val="0"/>
                                          <w:marTop w:val="0"/>
                                          <w:marBottom w:val="0"/>
                                          <w:divBdr>
                                            <w:top w:val="none" w:sz="0" w:space="0" w:color="auto"/>
                                            <w:left w:val="none" w:sz="0" w:space="0" w:color="auto"/>
                                            <w:bottom w:val="none" w:sz="0" w:space="0" w:color="auto"/>
                                            <w:right w:val="none" w:sz="0" w:space="0" w:color="auto"/>
                                          </w:divBdr>
                                          <w:divsChild>
                                            <w:div w:id="354038017">
                                              <w:marLeft w:val="0"/>
                                              <w:marRight w:val="0"/>
                                              <w:marTop w:val="0"/>
                                              <w:marBottom w:val="0"/>
                                              <w:divBdr>
                                                <w:top w:val="none" w:sz="0" w:space="0" w:color="auto"/>
                                                <w:left w:val="none" w:sz="0" w:space="0" w:color="auto"/>
                                                <w:bottom w:val="none" w:sz="0" w:space="0" w:color="auto"/>
                                                <w:right w:val="none" w:sz="0" w:space="0" w:color="auto"/>
                                              </w:divBdr>
                                              <w:divsChild>
                                                <w:div w:id="14850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09583">
                                      <w:marLeft w:val="0"/>
                                      <w:marRight w:val="0"/>
                                      <w:marTop w:val="0"/>
                                      <w:marBottom w:val="0"/>
                                      <w:divBdr>
                                        <w:top w:val="none" w:sz="0" w:space="0" w:color="auto"/>
                                        <w:left w:val="none" w:sz="0" w:space="0" w:color="auto"/>
                                        <w:bottom w:val="none" w:sz="0" w:space="0" w:color="auto"/>
                                        <w:right w:val="none" w:sz="0" w:space="0" w:color="auto"/>
                                      </w:divBdr>
                                      <w:divsChild>
                                        <w:div w:id="1849756981">
                                          <w:marLeft w:val="0"/>
                                          <w:marRight w:val="0"/>
                                          <w:marTop w:val="0"/>
                                          <w:marBottom w:val="0"/>
                                          <w:divBdr>
                                            <w:top w:val="none" w:sz="0" w:space="0" w:color="auto"/>
                                            <w:left w:val="none" w:sz="0" w:space="0" w:color="auto"/>
                                            <w:bottom w:val="none" w:sz="0" w:space="0" w:color="auto"/>
                                            <w:right w:val="none" w:sz="0" w:space="0" w:color="auto"/>
                                          </w:divBdr>
                                          <w:divsChild>
                                            <w:div w:id="20665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359990">
                                      <w:marLeft w:val="0"/>
                                      <w:marRight w:val="0"/>
                                      <w:marTop w:val="0"/>
                                      <w:marBottom w:val="0"/>
                                      <w:divBdr>
                                        <w:top w:val="none" w:sz="0" w:space="0" w:color="auto"/>
                                        <w:left w:val="none" w:sz="0" w:space="0" w:color="auto"/>
                                        <w:bottom w:val="none" w:sz="0" w:space="0" w:color="auto"/>
                                        <w:right w:val="none" w:sz="0" w:space="0" w:color="auto"/>
                                      </w:divBdr>
                                      <w:divsChild>
                                        <w:div w:id="1493258243">
                                          <w:marLeft w:val="0"/>
                                          <w:marRight w:val="0"/>
                                          <w:marTop w:val="0"/>
                                          <w:marBottom w:val="0"/>
                                          <w:divBdr>
                                            <w:top w:val="none" w:sz="0" w:space="0" w:color="auto"/>
                                            <w:left w:val="none" w:sz="0" w:space="0" w:color="auto"/>
                                            <w:bottom w:val="none" w:sz="0" w:space="0" w:color="auto"/>
                                            <w:right w:val="none" w:sz="0" w:space="0" w:color="auto"/>
                                          </w:divBdr>
                                          <w:divsChild>
                                            <w:div w:id="69160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0609">
                                      <w:marLeft w:val="0"/>
                                      <w:marRight w:val="0"/>
                                      <w:marTop w:val="0"/>
                                      <w:marBottom w:val="0"/>
                                      <w:divBdr>
                                        <w:top w:val="none" w:sz="0" w:space="0" w:color="auto"/>
                                        <w:left w:val="none" w:sz="0" w:space="0" w:color="auto"/>
                                        <w:bottom w:val="none" w:sz="0" w:space="0" w:color="auto"/>
                                        <w:right w:val="none" w:sz="0" w:space="0" w:color="auto"/>
                                      </w:divBdr>
                                      <w:divsChild>
                                        <w:div w:id="734937381">
                                          <w:marLeft w:val="0"/>
                                          <w:marRight w:val="0"/>
                                          <w:marTop w:val="0"/>
                                          <w:marBottom w:val="0"/>
                                          <w:divBdr>
                                            <w:top w:val="none" w:sz="0" w:space="0" w:color="auto"/>
                                            <w:left w:val="none" w:sz="0" w:space="0" w:color="auto"/>
                                            <w:bottom w:val="none" w:sz="0" w:space="0" w:color="auto"/>
                                            <w:right w:val="none" w:sz="0" w:space="0" w:color="auto"/>
                                          </w:divBdr>
                                          <w:divsChild>
                                            <w:div w:id="7414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7483">
                                      <w:marLeft w:val="0"/>
                                      <w:marRight w:val="0"/>
                                      <w:marTop w:val="0"/>
                                      <w:marBottom w:val="0"/>
                                      <w:divBdr>
                                        <w:top w:val="none" w:sz="0" w:space="0" w:color="auto"/>
                                        <w:left w:val="none" w:sz="0" w:space="0" w:color="auto"/>
                                        <w:bottom w:val="none" w:sz="0" w:space="0" w:color="auto"/>
                                        <w:right w:val="none" w:sz="0" w:space="0" w:color="auto"/>
                                      </w:divBdr>
                                      <w:divsChild>
                                        <w:div w:id="772434290">
                                          <w:marLeft w:val="0"/>
                                          <w:marRight w:val="0"/>
                                          <w:marTop w:val="0"/>
                                          <w:marBottom w:val="0"/>
                                          <w:divBdr>
                                            <w:top w:val="none" w:sz="0" w:space="0" w:color="auto"/>
                                            <w:left w:val="none" w:sz="0" w:space="0" w:color="auto"/>
                                            <w:bottom w:val="none" w:sz="0" w:space="0" w:color="auto"/>
                                            <w:right w:val="none" w:sz="0" w:space="0" w:color="auto"/>
                                          </w:divBdr>
                                          <w:divsChild>
                                            <w:div w:id="1946112043">
                                              <w:marLeft w:val="0"/>
                                              <w:marRight w:val="0"/>
                                              <w:marTop w:val="0"/>
                                              <w:marBottom w:val="0"/>
                                              <w:divBdr>
                                                <w:top w:val="none" w:sz="0" w:space="0" w:color="auto"/>
                                                <w:left w:val="none" w:sz="0" w:space="0" w:color="auto"/>
                                                <w:bottom w:val="none" w:sz="0" w:space="0" w:color="auto"/>
                                                <w:right w:val="none" w:sz="0" w:space="0" w:color="auto"/>
                                              </w:divBdr>
                                              <w:divsChild>
                                                <w:div w:id="9855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7973">
                                      <w:marLeft w:val="0"/>
                                      <w:marRight w:val="0"/>
                                      <w:marTop w:val="0"/>
                                      <w:marBottom w:val="0"/>
                                      <w:divBdr>
                                        <w:top w:val="none" w:sz="0" w:space="0" w:color="auto"/>
                                        <w:left w:val="none" w:sz="0" w:space="0" w:color="auto"/>
                                        <w:bottom w:val="none" w:sz="0" w:space="0" w:color="auto"/>
                                        <w:right w:val="none" w:sz="0" w:space="0" w:color="auto"/>
                                      </w:divBdr>
                                      <w:divsChild>
                                        <w:div w:id="1736202473">
                                          <w:marLeft w:val="0"/>
                                          <w:marRight w:val="0"/>
                                          <w:marTop w:val="0"/>
                                          <w:marBottom w:val="0"/>
                                          <w:divBdr>
                                            <w:top w:val="none" w:sz="0" w:space="0" w:color="auto"/>
                                            <w:left w:val="none" w:sz="0" w:space="0" w:color="auto"/>
                                            <w:bottom w:val="none" w:sz="0" w:space="0" w:color="auto"/>
                                            <w:right w:val="none" w:sz="0" w:space="0" w:color="auto"/>
                                          </w:divBdr>
                                          <w:divsChild>
                                            <w:div w:id="71619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840974">
          <w:marLeft w:val="0"/>
          <w:marRight w:val="0"/>
          <w:marTop w:val="0"/>
          <w:marBottom w:val="0"/>
          <w:divBdr>
            <w:top w:val="none" w:sz="0" w:space="0" w:color="auto"/>
            <w:left w:val="none" w:sz="0" w:space="0" w:color="auto"/>
            <w:bottom w:val="none" w:sz="0" w:space="0" w:color="auto"/>
            <w:right w:val="none" w:sz="0" w:space="0" w:color="auto"/>
          </w:divBdr>
          <w:divsChild>
            <w:div w:id="1862088824">
              <w:marLeft w:val="0"/>
              <w:marRight w:val="0"/>
              <w:marTop w:val="0"/>
              <w:marBottom w:val="0"/>
              <w:divBdr>
                <w:top w:val="none" w:sz="0" w:space="0" w:color="auto"/>
                <w:left w:val="none" w:sz="0" w:space="0" w:color="auto"/>
                <w:bottom w:val="none" w:sz="0" w:space="0" w:color="auto"/>
                <w:right w:val="none" w:sz="0" w:space="0" w:color="auto"/>
              </w:divBdr>
              <w:divsChild>
                <w:div w:id="466628484">
                  <w:marLeft w:val="0"/>
                  <w:marRight w:val="0"/>
                  <w:marTop w:val="0"/>
                  <w:marBottom w:val="0"/>
                  <w:divBdr>
                    <w:top w:val="none" w:sz="0" w:space="0" w:color="auto"/>
                    <w:left w:val="none" w:sz="0" w:space="0" w:color="auto"/>
                    <w:bottom w:val="none" w:sz="0" w:space="0" w:color="auto"/>
                    <w:right w:val="none" w:sz="0" w:space="0" w:color="auto"/>
                  </w:divBdr>
                  <w:divsChild>
                    <w:div w:id="322243979">
                      <w:marLeft w:val="0"/>
                      <w:marRight w:val="0"/>
                      <w:marTop w:val="0"/>
                      <w:marBottom w:val="0"/>
                      <w:divBdr>
                        <w:top w:val="none" w:sz="0" w:space="0" w:color="auto"/>
                        <w:left w:val="none" w:sz="0" w:space="0" w:color="auto"/>
                        <w:bottom w:val="none" w:sz="0" w:space="0" w:color="auto"/>
                        <w:right w:val="none" w:sz="0" w:space="0" w:color="auto"/>
                      </w:divBdr>
                      <w:divsChild>
                        <w:div w:id="105115116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643725">
      <w:bodyDiv w:val="1"/>
      <w:marLeft w:val="0"/>
      <w:marRight w:val="0"/>
      <w:marTop w:val="0"/>
      <w:marBottom w:val="0"/>
      <w:divBdr>
        <w:top w:val="none" w:sz="0" w:space="0" w:color="auto"/>
        <w:left w:val="none" w:sz="0" w:space="0" w:color="auto"/>
        <w:bottom w:val="none" w:sz="0" w:space="0" w:color="auto"/>
        <w:right w:val="none" w:sz="0" w:space="0" w:color="auto"/>
      </w:divBdr>
    </w:div>
    <w:div w:id="1443257427">
      <w:bodyDiv w:val="1"/>
      <w:marLeft w:val="0"/>
      <w:marRight w:val="0"/>
      <w:marTop w:val="0"/>
      <w:marBottom w:val="0"/>
      <w:divBdr>
        <w:top w:val="none" w:sz="0" w:space="0" w:color="auto"/>
        <w:left w:val="none" w:sz="0" w:space="0" w:color="auto"/>
        <w:bottom w:val="none" w:sz="0" w:space="0" w:color="auto"/>
        <w:right w:val="none" w:sz="0" w:space="0" w:color="auto"/>
      </w:divBdr>
    </w:div>
    <w:div w:id="1551455247">
      <w:bodyDiv w:val="1"/>
      <w:marLeft w:val="0"/>
      <w:marRight w:val="0"/>
      <w:marTop w:val="0"/>
      <w:marBottom w:val="0"/>
      <w:divBdr>
        <w:top w:val="none" w:sz="0" w:space="0" w:color="auto"/>
        <w:left w:val="none" w:sz="0" w:space="0" w:color="auto"/>
        <w:bottom w:val="none" w:sz="0" w:space="0" w:color="auto"/>
        <w:right w:val="none" w:sz="0" w:space="0" w:color="auto"/>
      </w:divBdr>
    </w:div>
    <w:div w:id="1554460236">
      <w:bodyDiv w:val="1"/>
      <w:marLeft w:val="0"/>
      <w:marRight w:val="0"/>
      <w:marTop w:val="0"/>
      <w:marBottom w:val="0"/>
      <w:divBdr>
        <w:top w:val="none" w:sz="0" w:space="0" w:color="auto"/>
        <w:left w:val="none" w:sz="0" w:space="0" w:color="auto"/>
        <w:bottom w:val="none" w:sz="0" w:space="0" w:color="auto"/>
        <w:right w:val="none" w:sz="0" w:space="0" w:color="auto"/>
      </w:divBdr>
    </w:div>
    <w:div w:id="1902279401">
      <w:bodyDiv w:val="1"/>
      <w:marLeft w:val="0"/>
      <w:marRight w:val="0"/>
      <w:marTop w:val="0"/>
      <w:marBottom w:val="0"/>
      <w:divBdr>
        <w:top w:val="none" w:sz="0" w:space="0" w:color="auto"/>
        <w:left w:val="none" w:sz="0" w:space="0" w:color="auto"/>
        <w:bottom w:val="none" w:sz="0" w:space="0" w:color="auto"/>
        <w:right w:val="none" w:sz="0" w:space="0" w:color="auto"/>
      </w:divBdr>
    </w:div>
    <w:div w:id="1937135004">
      <w:bodyDiv w:val="1"/>
      <w:marLeft w:val="0"/>
      <w:marRight w:val="0"/>
      <w:marTop w:val="0"/>
      <w:marBottom w:val="0"/>
      <w:divBdr>
        <w:top w:val="none" w:sz="0" w:space="0" w:color="auto"/>
        <w:left w:val="none" w:sz="0" w:space="0" w:color="auto"/>
        <w:bottom w:val="none" w:sz="0" w:space="0" w:color="auto"/>
        <w:right w:val="none" w:sz="0" w:space="0" w:color="auto"/>
      </w:divBdr>
    </w:div>
    <w:div w:id="195417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chartio.com/learn/charts/histogram-complete-guide/" TargetMode="External"/><Relationship Id="rId39" Type="http://schemas.openxmlformats.org/officeDocument/2006/relationships/hyperlink" Target="https://www.kingsfund.org.uk/sites/default/files/dhwaitingtimessummary.pdf." TargetMode="External"/><Relationship Id="rId21" Type="http://schemas.openxmlformats.org/officeDocument/2006/relationships/hyperlink" Target="https://www.scribbr.com/statistics/standard-deviation/" TargetMode="External"/><Relationship Id="rId34" Type="http://schemas.openxmlformats.org/officeDocument/2006/relationships/image" Target="media/image19.tmp"/><Relationship Id="rId42" Type="http://schemas.openxmlformats.org/officeDocument/2006/relationships/hyperlink" Target="https://cavuhb.nhs.wales/files/policies-procedures-and-guidelines/corporate-policy/i-j-corporate-policy/cv-ig-policy-v4-pdf/" TargetMode="External"/><Relationship Id="rId47" Type="http://schemas.openxmlformats.org/officeDocument/2006/relationships/hyperlink" Target="https://www.investopedia.com/terms/d/descriptive_statistics.asp" TargetMode="External"/><Relationship Id="rId50" Type="http://schemas.openxmlformats.org/officeDocument/2006/relationships/hyperlink" Target="https://doi.org/10.1016/j.jbi.2014.02.017" TargetMode="External"/><Relationship Id="rId55" Type="http://schemas.openxmlformats.org/officeDocument/2006/relationships/hyperlink" Target="https://www.england.nhs.uk/2023/01/nhs-drive-to-reduce-no-shows-to-help-tackle-long-waits-for-care/" TargetMode="External"/><Relationship Id="rId63" Type="http://schemas.openxmlformats.org/officeDocument/2006/relationships/hyperlink" Target="https://www.proquest.com/docview/1282083433?parentSessionId=jLUGAHTXgJyDnI%2Ff1YytuRYRbbQKllmRf0HbRmLHkWs%3D&amp;pq-origsite=primo&amp;accountid=130472" TargetMode="External"/><Relationship Id="rId68" Type="http://schemas.openxmlformats.org/officeDocument/2006/relationships/hyperlink" Target="https://www.uwtsd.ac.uk/media/uwtsd-website/content-assets/documents/research/REICoP-July-2022.pdf" TargetMode="External"/><Relationship Id="rId76" Type="http://schemas.openxmlformats.org/officeDocument/2006/relationships/hyperlink" Target="https://www.gov.wales/sites/default/files/pdf-versions/2023/3/5/1678457728/nhs-activity-and-performance-summary-december-2022-and-january-2023.pdf" TargetMode="External"/><Relationship Id="rId7" Type="http://schemas.openxmlformats.org/officeDocument/2006/relationships/endnotes" Target="endnotes.xml"/><Relationship Id="rId71" Type="http://schemas.openxmlformats.org/officeDocument/2006/relationships/hyperlink" Target="https://gov.wales/sites/default/files/publications/2021-03/health-and-social-care-in-wales--covid-19-looking-forward_0.pdf" TargetMode="Externa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14.tmp"/><Relationship Id="rId11" Type="http://schemas.openxmlformats.org/officeDocument/2006/relationships/image" Target="media/image4.emf"/><Relationship Id="rId24" Type="http://schemas.openxmlformats.org/officeDocument/2006/relationships/hyperlink" Target="https://www.statisticshowto.com/tables/z-table/" TargetMode="External"/><Relationship Id="rId32" Type="http://schemas.openxmlformats.org/officeDocument/2006/relationships/image" Target="media/image17.tmp"/><Relationship Id="rId37" Type="http://schemas.openxmlformats.org/officeDocument/2006/relationships/image" Target="media/image21.tmp"/><Relationship Id="rId40" Type="http://schemas.openxmlformats.org/officeDocument/2006/relationships/hyperlink" Target="https://www.kingsfund.org.uk/sites/default/files/2020-04/BSA_2019_NT-KF_WEB_update.pdf" TargetMode="External"/><Relationship Id="rId45" Type="http://schemas.openxmlformats.org/officeDocument/2006/relationships/hyperlink" Target="https://doi.org/10.1007/s11524-007-9165-7" TargetMode="External"/><Relationship Id="rId53" Type="http://schemas.openxmlformats.org/officeDocument/2006/relationships/hyperlink" Target="https://www.nhsbenchmarking.nhs.uk/news/2019-outpatients-project-results-published" TargetMode="External"/><Relationship Id="rId58" Type="http://schemas.openxmlformats.org/officeDocument/2006/relationships/hyperlink" Target="https://heiw.nhs.wales/files/all-wales-information-governance-policy-v2/" TargetMode="External"/><Relationship Id="rId66" Type="http://schemas.openxmlformats.org/officeDocument/2006/relationships/hyperlink" Target="https://doi.org/10.1016/j.ijmedinf.2008.07.001" TargetMode="External"/><Relationship Id="rId74" Type="http://schemas.openxmlformats.org/officeDocument/2006/relationships/hyperlink" Target="https://www.gov.wales/sites/default/files/publications/2022-04/our-programme-for-transforming--and-modernising-planned-care-and-reducing-waiting-lists-in-wales.pdf"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1136/bmj.l2154" TargetMode="External"/><Relationship Id="rId82"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doi.org/10.1111/jan.14721" TargetMode="External"/><Relationship Id="rId31" Type="http://schemas.openxmlformats.org/officeDocument/2006/relationships/image" Target="media/image16.tmp"/><Relationship Id="rId44" Type="http://schemas.openxmlformats.org/officeDocument/2006/relationships/hyperlink" Target="https://doi.org/10.1136/bmjqs-2015-005149" TargetMode="External"/><Relationship Id="rId52" Type="http://schemas.openxmlformats.org/officeDocument/2006/relationships/hyperlink" Target="https://doi.org/10.3310/hsdr02340" TargetMode="External"/><Relationship Id="rId60" Type="http://schemas.openxmlformats.org/officeDocument/2006/relationships/hyperlink" Target="https://www.ons.gov.uk/methodology/methodologytopicsandstatisticalconcepts/seasonaladjustment" TargetMode="External"/><Relationship Id="rId65" Type="http://schemas.openxmlformats.org/officeDocument/2006/relationships/hyperlink" Target="https://online.hbs.edu/blog/post/cost-benefit-analysis" TargetMode="External"/><Relationship Id="rId73" Type="http://schemas.openxmlformats.org/officeDocument/2006/relationships/hyperlink" Target="https://www.gov.wales/sites/default/files/publications/2021-09/a-healthier-wales-our-plan-for-health-and-social-care.pdf" TargetMode="External"/><Relationship Id="rId78" Type="http://schemas.openxmlformats.org/officeDocument/2006/relationships/hyperlink" Target="https://www.linkedin.com/learning/root-cause-analysis-getting-to-the-root-of-business-problems/what-is-root-cause-analysis?autoplay=true&amp;resume=false&amp;u=77966930"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s4be.cochrane.org/blog/2016/07/11/tutorial-read-forest-plot/" TargetMode="External"/><Relationship Id="rId27" Type="http://schemas.openxmlformats.org/officeDocument/2006/relationships/image" Target="media/image12.png"/><Relationship Id="rId30" Type="http://schemas.openxmlformats.org/officeDocument/2006/relationships/image" Target="media/image15.tmp"/><Relationship Id="rId35" Type="http://schemas.openxmlformats.org/officeDocument/2006/relationships/image" Target="media/image20.tmp"/><Relationship Id="rId43" Type="http://schemas.openxmlformats.org/officeDocument/2006/relationships/hyperlink" Target="https://www.youtube.com/watch?v=HRFPw9cf68s" TargetMode="External"/><Relationship Id="rId48" Type="http://schemas.openxmlformats.org/officeDocument/2006/relationships/hyperlink" Target="https://heiw.nhs.wales/about-us/information-governance/" TargetMode="External"/><Relationship Id="rId56" Type="http://schemas.openxmlformats.org/officeDocument/2006/relationships/hyperlink" Target="https://www.england.nhs.uk/long-read/reducing-did-not-attends-dnas-in-outpatient-services/" TargetMode="External"/><Relationship Id="rId64" Type="http://schemas.openxmlformats.org/officeDocument/2006/relationships/hyperlink" Target="https://doi.org/10.1016/j.healthpol.2022.05.007" TargetMode="External"/><Relationship Id="rId69" Type="http://schemas.openxmlformats.org/officeDocument/2006/relationships/hyperlink" Target="https://www.uwtsd.ac.uk/research/research-ethics/" TargetMode="External"/><Relationship Id="rId77" Type="http://schemas.openxmlformats.org/officeDocument/2006/relationships/hyperlink" Target="https://doi.org/10.2196/11232" TargetMode="External"/><Relationship Id="rId8" Type="http://schemas.openxmlformats.org/officeDocument/2006/relationships/image" Target="media/image1.emf"/><Relationship Id="rId51" Type="http://schemas.openxmlformats.org/officeDocument/2006/relationships/hyperlink" Target="https://www.linkedin.com/learning/regression-analysis-fundamentals/importance-of-regression-analysis?autoplay=true&amp;resume=false&amp;u=77966930" TargetMode="External"/><Relationship Id="rId72" Type="http://schemas.openxmlformats.org/officeDocument/2006/relationships/hyperlink" Target="https://www.gov.wales/sites/default/files/publications/2021-05/national-clinical-framework-a-learning-health-and-care-system_0.pdf" TargetMode="External"/><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s://www.who.int/news-room/questions-and-answers/item/determinants-of-health" TargetMode="External"/><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hyperlink" Target="https://doi.org/10.1136/bmjqs-2014-003756" TargetMode="External"/><Relationship Id="rId59" Type="http://schemas.openxmlformats.org/officeDocument/2006/relationships/hyperlink" Target="https://www.gov.uk/guidance/interrupted-time-series-study" TargetMode="External"/><Relationship Id="rId67" Type="http://schemas.openxmlformats.org/officeDocument/2006/relationships/hyperlink" Target="https://libguides.derby.ac.uk/c.php?g=690330&amp;p=4944392" TargetMode="External"/><Relationship Id="rId20" Type="http://schemas.openxmlformats.org/officeDocument/2006/relationships/hyperlink" Target="https://www.scribbr.com/author/pritha/" TargetMode="External"/><Relationship Id="rId41" Type="http://schemas.openxmlformats.org/officeDocument/2006/relationships/hyperlink" Target="https://cavuhb.nhs.wales/files/publications/cardiff-and-vale-uhb-digital-strategy/" TargetMode="External"/><Relationship Id="rId54" Type="http://schemas.openxmlformats.org/officeDocument/2006/relationships/hyperlink" Target="https://www.england.nhs.uk/statistical-process-control-tool/" TargetMode="External"/><Relationship Id="rId62" Type="http://schemas.openxmlformats.org/officeDocument/2006/relationships/hyperlink" Target="https://doi.org/10.1016/j.jnca.2019.04.013" TargetMode="External"/><Relationship Id="rId70" Type="http://schemas.openxmlformats.org/officeDocument/2006/relationships/hyperlink" Target="https://www.gov.wales/sites/default/files/publications/2020-06/transforming-the-way-we-deliver-outpatients-in-wales--a-three-year-strategy-and-action-plan-2020-2023.pdf" TargetMode="External"/><Relationship Id="rId75" Type="http://schemas.openxmlformats.org/officeDocument/2006/relationships/hyperlink" Target="https://www.gov.wales/welsh-government-response-latest-nhs-wales-performance-data-8"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s://libguides.library.kent.edu/SPSS/Descriptives" TargetMode="External"/><Relationship Id="rId28" Type="http://schemas.openxmlformats.org/officeDocument/2006/relationships/image" Target="media/image13.tmp"/><Relationship Id="rId36" Type="http://schemas.openxmlformats.org/officeDocument/2006/relationships/chart" Target="charts/chart1.xml"/><Relationship Id="rId49" Type="http://schemas.openxmlformats.org/officeDocument/2006/relationships/hyperlink" Target="https://doi.org/10.1177/23743735221143921" TargetMode="External"/><Relationship Id="rId57" Type="http://schemas.openxmlformats.org/officeDocument/2006/relationships/hyperlink" Target="https://digital.nhs.uk/data-and-information/publications/statistical/hospital-outpatient-activity/2020-21/covid-19-impac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H:\FAB%20-%20Envoy\Definetly%20use%20for%20project\Questionnaire%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r>
              <a:rPr lang="en-GB" sz="1200"/>
              <a:t>How</a:t>
            </a:r>
            <a:r>
              <a:rPr lang="en-GB" sz="1200" baseline="0"/>
              <a:t> </a:t>
            </a:r>
            <a:r>
              <a:rPr lang="en-GB" sz="1200"/>
              <a:t>satisfied are you with how the hospital has scheduled and communicated with you regarding today’s appointment?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15089760121448237"/>
          <c:y val="0.24356331332709286"/>
          <c:w val="0.36546937730344686"/>
          <c:h val="0.73349448451810662"/>
        </c:manualLayout>
      </c:layout>
      <c:doughnutChart>
        <c:varyColors val="1"/>
        <c:ser>
          <c:idx val="0"/>
          <c:order val="0"/>
          <c:dPt>
            <c:idx val="0"/>
            <c:bubble3D val="0"/>
            <c:spPr>
              <a:solidFill>
                <a:schemeClr val="accent5">
                  <a:tint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955-44E7-8208-A8190CCD52AF}"/>
              </c:ext>
            </c:extLst>
          </c:dPt>
          <c:dPt>
            <c:idx val="1"/>
            <c:bubble3D val="0"/>
            <c:spPr>
              <a:solidFill>
                <a:schemeClr val="accent5">
                  <a:tint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955-44E7-8208-A8190CCD52AF}"/>
              </c:ext>
            </c:extLst>
          </c:dPt>
          <c:dPt>
            <c:idx val="2"/>
            <c:bubble3D val="0"/>
            <c:spPr>
              <a:solidFill>
                <a:schemeClr val="accent5">
                  <a:shade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955-44E7-8208-A8190CCD52AF}"/>
              </c:ext>
            </c:extLst>
          </c:dPt>
          <c:dPt>
            <c:idx val="3"/>
            <c:bubble3D val="0"/>
            <c:spPr>
              <a:solidFill>
                <a:schemeClr val="accent5">
                  <a:shade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955-44E7-8208-A8190CCD52AF}"/>
              </c:ext>
            </c:extLst>
          </c:dPt>
          <c:dLbls>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'Answers in text'!$C$24:$C$27</c:f>
              <c:strCache>
                <c:ptCount val="4"/>
                <c:pt idx="0">
                  <c:v>Very Satisfied</c:v>
                </c:pt>
                <c:pt idx="1">
                  <c:v>Satisfied</c:v>
                </c:pt>
                <c:pt idx="2">
                  <c:v>Dissatisfied</c:v>
                </c:pt>
                <c:pt idx="3">
                  <c:v>Very Dissatisfied</c:v>
                </c:pt>
              </c:strCache>
            </c:strRef>
          </c:cat>
          <c:val>
            <c:numRef>
              <c:f>'Answers in text'!$D$24:$D$27</c:f>
              <c:numCache>
                <c:formatCode>General</c:formatCode>
                <c:ptCount val="4"/>
                <c:pt idx="0">
                  <c:v>121</c:v>
                </c:pt>
                <c:pt idx="1">
                  <c:v>88</c:v>
                </c:pt>
                <c:pt idx="2">
                  <c:v>15</c:v>
                </c:pt>
                <c:pt idx="3">
                  <c:v>8</c:v>
                </c:pt>
              </c:numCache>
            </c:numRef>
          </c:val>
          <c:extLst>
            <c:ext xmlns:c16="http://schemas.microsoft.com/office/drawing/2014/chart" uri="{C3380CC4-5D6E-409C-BE32-E72D297353CC}">
              <c16:uniqueId val="{00000008-F955-44E7-8208-A8190CCD52AF}"/>
            </c:ext>
          </c:extLst>
        </c:ser>
        <c:dLbls>
          <c:showLegendKey val="0"/>
          <c:showVal val="0"/>
          <c:showCatName val="0"/>
          <c:showSerName val="0"/>
          <c:showPercent val="1"/>
          <c:showBubbleSize val="0"/>
          <c:showLeaderLines val="1"/>
        </c:dLbls>
        <c:firstSliceAng val="0"/>
        <c:holeSize val="50"/>
      </c:doughnutChart>
      <c:spPr>
        <a:solidFill>
          <a:schemeClr val="lt1"/>
        </a:solidFill>
        <a:ln w="12700" cap="flat" cmpd="sng" algn="ctr">
          <a:solidFill>
            <a:schemeClr val="dk1"/>
          </a:solidFill>
          <a:prstDash val="solid"/>
          <a:miter lim="800000"/>
        </a:ln>
        <a:effectLst/>
      </c:spPr>
    </c:plotArea>
    <c:legend>
      <c:legendPos val="r"/>
      <c:layout>
        <c:manualLayout>
          <c:xMode val="edge"/>
          <c:yMode val="edge"/>
          <c:x val="0.66303071872113539"/>
          <c:y val="0.41073426006934316"/>
          <c:w val="0.22082526269582156"/>
          <c:h val="0.43037571352531984"/>
        </c:manualLayout>
      </c:layout>
      <c:overlay val="0"/>
      <c:spPr>
        <a:solidFill>
          <a:schemeClr val="lt1">
            <a:alpha val="78000"/>
          </a:schemeClr>
        </a:solidFill>
        <a:ln>
          <a:noFill/>
        </a:ln>
        <a:effectLst/>
      </c:spPr>
      <c:txPr>
        <a:bodyPr rot="0" spcFirstLastPara="1" vertOverflow="ellipsis" vert="horz" wrap="square" anchor="ctr" anchorCtr="1"/>
        <a:lstStyle/>
        <a:p>
          <a:pPr>
            <a:defRPr sz="11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1E421-428F-48C0-8856-F77574052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36</Pages>
  <Words>8857</Words>
  <Characters>50489</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59228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 (Cardiff and Vale UHB - Medical Records)</dc:creator>
  <cp:keywords/>
  <dc:description/>
  <cp:lastModifiedBy>Jonathan Davies</cp:lastModifiedBy>
  <cp:revision>9</cp:revision>
  <dcterms:created xsi:type="dcterms:W3CDTF">2023-05-15T18:50:00Z</dcterms:created>
  <dcterms:modified xsi:type="dcterms:W3CDTF">2023-05-15T21:07:00Z</dcterms:modified>
</cp:coreProperties>
</file>