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D5964" w:rsidP="5F565DF7" w:rsidRDefault="00ED5964" w14:paraId="3BEDB360" w14:textId="4AB17FCA">
      <w:pPr>
        <w:pStyle w:val="Normal"/>
      </w:pPr>
    </w:p>
    <w:p w:rsidR="00ED5964" w:rsidP="5F565DF7" w:rsidRDefault="00ED5964" w14:paraId="2EF804A0" w14:textId="19E583F1">
      <w:pPr>
        <w:jc w:val="both"/>
        <w:rPr>
          <w:rFonts w:ascii="Calibri Light" w:hAnsi="Calibri Light" w:eastAsia="Calibri Light" w:cs="Calibri Light" w:asciiTheme="majorAscii" w:hAnsiTheme="majorAscii" w:eastAsiaTheme="majorAscii" w:cstheme="majorAscii"/>
          <w:sz w:val="28"/>
          <w:szCs w:val="28"/>
        </w:rPr>
      </w:pPr>
      <w:r w:rsidRPr="5F565DF7" w:rsidR="672BBF9B">
        <w:rPr>
          <w:rFonts w:ascii="Calibri Light" w:hAnsi="Calibri Light" w:eastAsia="Calibri Light" w:cs="Calibri Light" w:asciiTheme="majorAscii" w:hAnsiTheme="majorAscii" w:eastAsiaTheme="majorAscii" w:cstheme="majorAscii"/>
          <w:sz w:val="28"/>
          <w:szCs w:val="28"/>
        </w:rPr>
        <w:t>Name: Satinder</w:t>
      </w:r>
      <w:r w:rsidRPr="5F565DF7" w:rsidR="1E174BDE">
        <w:rPr>
          <w:rFonts w:ascii="Calibri Light" w:hAnsi="Calibri Light" w:eastAsia="Calibri Light" w:cs="Calibri Light" w:asciiTheme="majorAscii" w:hAnsiTheme="majorAscii" w:eastAsiaTheme="majorAscii" w:cstheme="majorAscii"/>
          <w:sz w:val="28"/>
          <w:szCs w:val="28"/>
        </w:rPr>
        <w:t xml:space="preserve"> </w:t>
      </w:r>
      <w:r w:rsidRPr="5F565DF7" w:rsidR="32083454">
        <w:rPr>
          <w:rFonts w:ascii="Calibri Light" w:hAnsi="Calibri Light" w:eastAsia="Calibri Light" w:cs="Calibri Light" w:asciiTheme="majorAscii" w:hAnsiTheme="majorAscii" w:eastAsiaTheme="majorAscii" w:cstheme="majorAscii"/>
          <w:sz w:val="28"/>
          <w:szCs w:val="28"/>
        </w:rPr>
        <w:t>Kaur</w:t>
      </w:r>
    </w:p>
    <w:p w:rsidR="00ED5964" w:rsidP="5F565DF7" w:rsidRDefault="00ED5964" w14:paraId="485B6F49" w14:textId="40A6BB78">
      <w:pPr>
        <w:jc w:val="both"/>
        <w:rPr>
          <w:rFonts w:ascii="Calibri Light" w:hAnsi="Calibri Light" w:eastAsia="Calibri Light" w:cs="Calibri Light" w:asciiTheme="majorAscii" w:hAnsiTheme="majorAscii" w:eastAsiaTheme="majorAscii" w:cstheme="majorAscii"/>
          <w:sz w:val="28"/>
          <w:szCs w:val="28"/>
        </w:rPr>
      </w:pPr>
      <w:r w:rsidRPr="5F565DF7" w:rsidR="1171346D">
        <w:rPr>
          <w:rFonts w:ascii="Calibri Light" w:hAnsi="Calibri Light" w:eastAsia="Calibri Light" w:cs="Calibri Light" w:asciiTheme="majorAscii" w:hAnsiTheme="majorAscii" w:eastAsiaTheme="majorAscii" w:cstheme="majorAscii"/>
          <w:sz w:val="28"/>
          <w:szCs w:val="28"/>
        </w:rPr>
        <w:t>Student ID:</w:t>
      </w:r>
      <w:r w:rsidRPr="5F565DF7" w:rsidR="00E7D868">
        <w:rPr>
          <w:rFonts w:ascii="Calibri Light" w:hAnsi="Calibri Light" w:eastAsia="Calibri Light" w:cs="Calibri Light" w:asciiTheme="majorAscii" w:hAnsiTheme="majorAscii" w:eastAsiaTheme="majorAscii" w:cstheme="majorAscii"/>
          <w:sz w:val="28"/>
          <w:szCs w:val="28"/>
        </w:rPr>
        <w:t>2535123</w:t>
      </w:r>
      <w:r w:rsidRPr="5F565DF7" w:rsidR="1171346D">
        <w:rPr>
          <w:rFonts w:ascii="Calibri Light" w:hAnsi="Calibri Light" w:eastAsia="Calibri Light" w:cs="Calibri Light" w:asciiTheme="majorAscii" w:hAnsiTheme="majorAscii" w:eastAsiaTheme="majorAscii" w:cstheme="majorAscii"/>
          <w:sz w:val="28"/>
          <w:szCs w:val="28"/>
        </w:rPr>
        <w:t xml:space="preserve"> </w:t>
      </w:r>
    </w:p>
    <w:p w:rsidR="00ED5964" w:rsidP="5F565DF7" w:rsidRDefault="00ED5964" w14:paraId="3C1E7A20" w14:textId="67D51521">
      <w:pPr>
        <w:jc w:val="both"/>
        <w:rPr>
          <w:rFonts w:ascii="Calibri Light" w:hAnsi="Calibri Light" w:eastAsia="Calibri Light" w:cs="Calibri Light" w:asciiTheme="majorAscii" w:hAnsiTheme="majorAscii" w:eastAsiaTheme="majorAscii" w:cstheme="majorAscii"/>
          <w:sz w:val="28"/>
          <w:szCs w:val="28"/>
        </w:rPr>
      </w:pPr>
      <w:r w:rsidRPr="5F565DF7" w:rsidR="1171346D">
        <w:rPr>
          <w:rFonts w:ascii="Calibri Light" w:hAnsi="Calibri Light" w:eastAsia="Calibri Light" w:cs="Calibri Light" w:asciiTheme="majorAscii" w:hAnsiTheme="majorAscii" w:eastAsiaTheme="majorAscii" w:cstheme="majorAscii"/>
          <w:sz w:val="28"/>
          <w:szCs w:val="28"/>
        </w:rPr>
        <w:t xml:space="preserve">Module Code: </w:t>
      </w:r>
      <w:r w:rsidRPr="5F565DF7" w:rsidR="311C484E">
        <w:rPr>
          <w:rFonts w:ascii="Calibri Light" w:hAnsi="Calibri Light" w:eastAsia="Calibri Light" w:cs="Calibri Light" w:asciiTheme="majorAscii" w:hAnsiTheme="majorAscii" w:eastAsiaTheme="majorAscii" w:cstheme="majorAscii"/>
          <w:sz w:val="28"/>
          <w:szCs w:val="28"/>
        </w:rPr>
        <w:t>LCH4007</w:t>
      </w:r>
    </w:p>
    <w:p w:rsidR="00ED5964" w:rsidP="5F565DF7" w:rsidRDefault="00ED5964" w14:paraId="4EEB2DA3" w14:textId="46E16642">
      <w:pPr>
        <w:jc w:val="both"/>
        <w:rPr>
          <w:rFonts w:ascii="Calibri Light" w:hAnsi="Calibri Light" w:eastAsia="Calibri Light" w:cs="Calibri Light" w:asciiTheme="majorAscii" w:hAnsiTheme="majorAscii" w:eastAsiaTheme="majorAscii" w:cstheme="majorAscii"/>
          <w:sz w:val="28"/>
          <w:szCs w:val="28"/>
        </w:rPr>
      </w:pPr>
      <w:r w:rsidRPr="5F565DF7" w:rsidR="1171346D">
        <w:rPr>
          <w:rFonts w:ascii="Calibri Light" w:hAnsi="Calibri Light" w:eastAsia="Calibri Light" w:cs="Calibri Light" w:asciiTheme="majorAscii" w:hAnsiTheme="majorAscii" w:eastAsiaTheme="majorAscii" w:cstheme="majorAscii"/>
          <w:sz w:val="28"/>
          <w:szCs w:val="28"/>
        </w:rPr>
        <w:t xml:space="preserve">Module: </w:t>
      </w:r>
      <w:r w:rsidRPr="5F565DF7" w:rsidR="684E83CB">
        <w:rPr>
          <w:rFonts w:ascii="Calibri Light" w:hAnsi="Calibri Light" w:eastAsia="Calibri Light" w:cs="Calibri Light" w:asciiTheme="majorAscii" w:hAnsiTheme="majorAscii" w:eastAsiaTheme="majorAscii" w:cstheme="majorAscii"/>
          <w:sz w:val="28"/>
          <w:szCs w:val="28"/>
        </w:rPr>
        <w:t xml:space="preserve">Digital skills and </w:t>
      </w:r>
      <w:r w:rsidRPr="5F565DF7" w:rsidR="378D7515">
        <w:rPr>
          <w:rFonts w:ascii="Calibri Light" w:hAnsi="Calibri Light" w:eastAsia="Calibri Light" w:cs="Calibri Light" w:asciiTheme="majorAscii" w:hAnsiTheme="majorAscii" w:eastAsiaTheme="majorAscii" w:cstheme="majorAscii"/>
          <w:sz w:val="28"/>
          <w:szCs w:val="28"/>
        </w:rPr>
        <w:t>research</w:t>
      </w:r>
      <w:r w:rsidRPr="5F565DF7" w:rsidR="684E83CB">
        <w:rPr>
          <w:rFonts w:ascii="Calibri Light" w:hAnsi="Calibri Light" w:eastAsia="Calibri Light" w:cs="Calibri Light" w:asciiTheme="majorAscii" w:hAnsiTheme="majorAscii" w:eastAsiaTheme="majorAscii" w:cstheme="majorAscii"/>
          <w:sz w:val="28"/>
          <w:szCs w:val="28"/>
        </w:rPr>
        <w:t xml:space="preserve"> methods</w:t>
      </w:r>
    </w:p>
    <w:p w:rsidR="00ED5964" w:rsidP="2165094A" w:rsidRDefault="00ED5964" w14:paraId="528DCCEC" w14:textId="58BD6192">
      <w:pPr>
        <w:pStyle w:val="Normal"/>
        <w:suppressLineNumbers w:val="0"/>
        <w:bidi w:val="0"/>
        <w:spacing w:before="0" w:beforeAutospacing="off" w:after="160" w:afterAutospacing="off" w:line="259" w:lineRule="auto"/>
        <w:ind w:left="0" w:right="0"/>
        <w:jc w:val="both"/>
      </w:pPr>
      <w:r w:rsidRPr="5F565DF7" w:rsidR="1171346D">
        <w:rPr>
          <w:rFonts w:ascii="Calibri Light" w:hAnsi="Calibri Light" w:eastAsia="Calibri Light" w:cs="Calibri Light" w:asciiTheme="majorAscii" w:hAnsiTheme="majorAscii" w:eastAsiaTheme="majorAscii" w:cstheme="majorAscii"/>
          <w:sz w:val="28"/>
          <w:szCs w:val="28"/>
        </w:rPr>
        <w:t xml:space="preserve">Lecturer: </w:t>
      </w:r>
      <w:r w:rsidRPr="5F565DF7" w:rsidR="4EBE6B9F">
        <w:rPr>
          <w:rFonts w:ascii="Calibri Light" w:hAnsi="Calibri Light" w:eastAsia="Calibri Light" w:cs="Calibri Light" w:asciiTheme="majorAscii" w:hAnsiTheme="majorAscii" w:eastAsiaTheme="majorAscii" w:cstheme="majorAscii"/>
          <w:sz w:val="28"/>
          <w:szCs w:val="28"/>
        </w:rPr>
        <w:t>markus</w:t>
      </w:r>
      <w:r w:rsidRPr="5F565DF7" w:rsidR="4EBE6B9F">
        <w:rPr>
          <w:rFonts w:ascii="Calibri Light" w:hAnsi="Calibri Light" w:eastAsia="Calibri Light" w:cs="Calibri Light" w:asciiTheme="majorAscii" w:hAnsiTheme="majorAscii" w:eastAsiaTheme="majorAscii" w:cstheme="majorAscii"/>
          <w:sz w:val="28"/>
          <w:szCs w:val="28"/>
        </w:rPr>
        <w:t xml:space="preserve"> Klingelfuss</w:t>
      </w:r>
    </w:p>
    <w:p w:rsidR="5F565DF7" w:rsidP="5F565DF7" w:rsidRDefault="5F565DF7" w14:paraId="559837A2" w14:textId="2A544693">
      <w:pPr>
        <w:pStyle w:val="Normal"/>
        <w:suppressLineNumbers w:val="0"/>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sz w:val="28"/>
          <w:szCs w:val="28"/>
        </w:rPr>
      </w:pPr>
    </w:p>
    <w:p w:rsidR="00ED5964" w:rsidP="00ED5964" w:rsidRDefault="00ED5964" w14:paraId="4A77B8F8" w14:textId="63158E47">
      <w:pPr>
        <w:jc w:val="both"/>
      </w:pPr>
      <w:r w:rsidRPr="5F565DF7" w:rsidR="2512E0D7">
        <w:rPr>
          <w:rFonts w:ascii="Arial" w:hAnsi="Arial" w:asciiTheme="minorBidi" w:hAnsiTheme="minorBidi"/>
          <w:sz w:val="28"/>
          <w:szCs w:val="28"/>
        </w:rPr>
        <w:t>Research report</w:t>
      </w:r>
    </w:p>
    <w:p w:rsidR="00ED5964" w:rsidP="5F565DF7" w:rsidRDefault="00ED5964" w14:paraId="156A52D1" w14:textId="24355CAF">
      <w:pPr>
        <w:jc w:val="both"/>
        <w:rPr>
          <w:rFonts w:ascii="Arial" w:hAnsi="Arial" w:asciiTheme="minorBidi" w:hAnsiTheme="minorBidi"/>
          <w:b w:val="1"/>
          <w:bCs w:val="1"/>
          <w:sz w:val="22"/>
          <w:szCs w:val="22"/>
        </w:rPr>
      </w:pPr>
      <w:r w:rsidRPr="5F565DF7" w:rsidR="2512E0D7">
        <w:rPr>
          <w:rFonts w:ascii="Arial" w:hAnsi="Arial" w:asciiTheme="minorBidi" w:hAnsiTheme="minorBidi"/>
          <w:b w:val="1"/>
          <w:bCs w:val="1"/>
          <w:sz w:val="24"/>
          <w:szCs w:val="24"/>
        </w:rPr>
        <w:t xml:space="preserve">Introducing the research paper and the topic: </w:t>
      </w:r>
    </w:p>
    <w:p w:rsidR="00ED5964" w:rsidP="5F565DF7" w:rsidRDefault="00ED5964" w14:paraId="2BDFD83C" w14:textId="179DF89C">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The paper chosen for this report is ‘She didn’t know how to go back’: School attendance problems in the context of the COVID-19 pandemic—A multiple stakeholder qualitative study with parents and professionals, written by Brontë McDonald, Kathryn J. Lester and Daniel Michelson. It was published in the British Journal of Educational Psychology in 2023 (Volume 93, pp. 386–401), having been accepted for publication in October 2022. The paper looks at school attendance problems (SAPs) in primary-aged children in England, specifically in the period during and after COVID-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19, and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brings together the views of both parents and profesionals working in education. The authors describe it as the first stage of a larger programme of work aimed at developing a new, community-based intervention for families affected by SAPs.</w:t>
      </w:r>
    </w:p>
    <w:p w:rsidR="00ED5964" w:rsidP="5F565DF7" w:rsidRDefault="00ED5964" w14:paraId="49DBB59A" w14:textId="778995C6">
      <w:pPr>
        <w:pStyle w:val="Normal"/>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77330FE5">
        <w:rPr>
          <w:rFonts w:ascii="Calibri Light" w:hAnsi="Calibri Light" w:eastAsia="Calibri Light" w:cs="Calibri Light" w:asciiTheme="majorAscii" w:hAnsiTheme="majorAscii" w:eastAsiaTheme="majorAscii" w:cstheme="majorAscii"/>
          <w:noProof w:val="0"/>
          <w:sz w:val="20"/>
          <w:szCs w:val="20"/>
          <w:lang w:val="en-GB"/>
        </w:rPr>
        <w:t>Previous</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research suggests that </w:t>
      </w:r>
      <w:r w:rsidRPr="5F565DF7" w:rsidR="2EDA9A61">
        <w:rPr>
          <w:rFonts w:ascii="Calibri Light" w:hAnsi="Calibri Light" w:eastAsia="Calibri Light" w:cs="Calibri Light" w:asciiTheme="majorAscii" w:hAnsiTheme="majorAscii" w:eastAsiaTheme="majorAscii" w:cstheme="majorAscii"/>
          <w:noProof w:val="0"/>
          <w:sz w:val="20"/>
          <w:szCs w:val="20"/>
          <w:lang w:val="en-GB"/>
        </w:rPr>
        <w:t>school attendance difficulties are usually caused by several different factors</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Instead, they are usually influenced by a combination of iss</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ues involving the</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child, their family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circumstances</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and the environment around them. These factors may include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emtio</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nal</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wellbeing</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additional</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educational needs, physical health, family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supp</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ort</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and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relationship</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s with sch</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ools (Kearney, 2016). A bioecological perspe</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ctive h</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elps explain this complexity by recognising that children are affected by several connected systems, including home,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education</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and wider community environments (Melvin et al., 2019).</w:t>
      </w:r>
    </w:p>
    <w:p w:rsidR="00ED5964" w:rsidP="5F565DF7" w:rsidRDefault="00ED5964" w14:paraId="0A21D08F" w14:textId="391EC3F9">
      <w:pPr>
        <w:pStyle w:val="Normal"/>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The COVID-19 pandemic increased concerns surrounding school attendance because many children experienced disruption to their routines,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learning</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and social relationships. Following periods of school closure, attendance difficulties </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becme</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 xml:space="preserve"> more noticeable, with persistent absence increasing significantly compared with pre-pandemic levels (Department for Education, 2022</w:t>
      </w:r>
      <w:r w:rsidRPr="5F565DF7" w:rsidR="77330FE5">
        <w:rPr>
          <w:rFonts w:ascii="Calibri Light" w:hAnsi="Calibri Light" w:eastAsia="Calibri Light" w:cs="Calibri Light" w:asciiTheme="majorAscii" w:hAnsiTheme="majorAscii" w:eastAsiaTheme="majorAscii" w:cstheme="majorAscii"/>
          <w:noProof w:val="0"/>
          <w:sz w:val="20"/>
          <w:szCs w:val="20"/>
          <w:lang w:val="en-GB"/>
        </w:rPr>
        <w:t>).</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Against that backdrop, the researcers wanted to hear directly from parents and professionals about what was actually going on, rather than relying only on attendance statistics, and to use that understanding to think about what kind of support could realistically be put in place without adding more pressure to already stretched specialist mental health and social care services.</w:t>
      </w:r>
    </w:p>
    <w:p w:rsidR="00ED5964" w:rsidP="5F565DF7" w:rsidRDefault="00ED5964" w14:paraId="465CA96A" w14:textId="02FF810E">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The pandemic also disrupted many of the wider supports that families would normally rely on. Child and parental mental health worsened over the course of the pandemic, particularly for families with children who have SEN, families on lower incomes, and those with existing mental health difficulties, and one UK study found that social care input had been suspended for around 80% of families during the first lockdown in spring 2020 (Waite et al., 2020). Restrictions such as suspending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fce</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-to-face parent-teacher meetings also disrupted the everyday channels of communication between parents and schools, even once children were back in the classroom. Taken together, these pressures meant that families already struggling with SAPs before the pandemic were often left with fewer places to turn for he</w:t>
      </w:r>
      <w:r w:rsidRPr="5F565DF7" w:rsidR="3CCF29D0">
        <w:rPr>
          <w:rFonts w:ascii="Calibri Light" w:hAnsi="Calibri Light" w:eastAsia="Calibri Light" w:cs="Calibri Light" w:asciiTheme="majorAscii" w:hAnsiTheme="majorAscii" w:eastAsiaTheme="majorAscii" w:cstheme="majorAscii"/>
          <w:noProof w:val="0"/>
          <w:sz w:val="20"/>
          <w:szCs w:val="20"/>
          <w:lang w:val="en-GB"/>
        </w:rPr>
        <w:t>l</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p, which is part of why the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rese</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rchers felt a multi-stakeholder, qualitative approach was needed to properly understand what families and schools were experiencing on the ground.</w:t>
      </w:r>
    </w:p>
    <w:p w:rsidR="00ED5964" w:rsidP="5F565DF7" w:rsidRDefault="00ED5964" w14:paraId="487DDA8E" w14:textId="37184A6F">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The people involved were parents of primary school children who had struggled with attendance during the 2020–2021 school year, alongside professionals working with that age group – headteachers, class teachers, SENCOs, educational psychologists, Education Mental Health Practitioners and Education Support, Behaviour and Attendance Service officers – all based in East Sussex, West Sussex, and Brighton and Hove. This is a topic that matters for UK health and social care because attendance problems in childhood do not just stay in childhood; they are lin</w:t>
      </w:r>
      <w:r w:rsidRPr="5F565DF7" w:rsidR="5691D82C">
        <w:rPr>
          <w:rFonts w:ascii="Calibri Light" w:hAnsi="Calibri Light" w:eastAsia="Calibri Light" w:cs="Calibri Light" w:asciiTheme="majorAscii" w:hAnsiTheme="majorAscii" w:eastAsiaTheme="majorAscii" w:cstheme="majorAscii"/>
          <w:noProof w:val="0"/>
          <w:sz w:val="20"/>
          <w:szCs w:val="20"/>
          <w:lang w:val="en-GB"/>
        </w:rPr>
        <w:t>k</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ed to lower academic attainment, dropping out of education, unemployment and mental health disorders in adulthood (Egger et al., 2003; Kearney &amp; Graczyk, 2014; O’Connor, 2017). Children with special educational needs or existing anxiety were shown to be particularly at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risk, and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were already more than twice as likely to be persistently absent as children without SEN before the pandemic even began (Department for Education, 2022). This points to a clear need for schools, health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services</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and social care to work together early on, rather than waiting until absence becomes entrenched and far harder to reverse</w:t>
      </w:r>
    </w:p>
    <w:p w:rsidR="00ED5964" w:rsidP="5F565DF7" w:rsidRDefault="00ED5964" w14:paraId="1849F88A" w14:textId="748D004C">
      <w:pPr>
        <w:spacing w:before="240" w:beforeAutospacing="off" w:after="198" w:afterAutospacing="off"/>
        <w:jc w:val="both"/>
        <w:rPr>
          <w:rFonts w:ascii="Calibri Light" w:hAnsi="Calibri Light" w:eastAsia="Calibri Light" w:cs="Calibri Light" w:asciiTheme="majorAscii" w:hAnsiTheme="majorAscii" w:eastAsiaTheme="majorAscii" w:cstheme="majorAscii"/>
          <w:b w:val="1"/>
          <w:bCs w:val="1"/>
          <w:noProof w:val="0"/>
          <w:sz w:val="28"/>
          <w:szCs w:val="28"/>
          <w:lang w:val="en-GB"/>
        </w:rPr>
      </w:pPr>
      <w:r w:rsidRPr="5F565DF7" w:rsidR="5F8126EE">
        <w:rPr>
          <w:rFonts w:ascii="Calibri Light" w:hAnsi="Calibri Light" w:eastAsia="Calibri Light" w:cs="Calibri Light" w:asciiTheme="majorAscii" w:hAnsiTheme="majorAscii" w:eastAsiaTheme="majorAscii" w:cstheme="majorAscii"/>
          <w:b w:val="1"/>
          <w:bCs w:val="1"/>
          <w:noProof w:val="0"/>
          <w:sz w:val="24"/>
          <w:szCs w:val="24"/>
          <w:lang w:val="en-GB"/>
        </w:rPr>
        <w:t>Understanding the main purpose and the research question</w:t>
      </w:r>
    </w:p>
    <w:p w:rsidR="00ED5964" w:rsidP="5F565DF7" w:rsidRDefault="00ED5964" w14:paraId="429901FA" w14:textId="4B8AF8AB">
      <w:pPr>
        <w:spacing w:before="240" w:beforeAutospacing="off" w:after="240" w:afterAutospacing="off"/>
        <w:jc w:val="both"/>
      </w:pPr>
      <w:r w:rsidRPr="5F565DF7" w:rsidR="2ABF6CCB">
        <w:rPr>
          <w:rFonts w:ascii="Calibri Light" w:hAnsi="Calibri Light" w:eastAsia="Calibri Light" w:cs="Calibri Light"/>
          <w:noProof w:val="0"/>
          <w:sz w:val="20"/>
          <w:szCs w:val="20"/>
          <w:lang w:val="en-GB"/>
        </w:rPr>
        <w:t xml:space="preserve">The purpose of the study was to gain a better understanding of how school attendance problems were affecting primary-aged children during the COVID-19 pandemic. The researchers also wanted to use this information to </w:t>
      </w:r>
      <w:r w:rsidRPr="5F565DF7" w:rsidR="2ABF6CCB">
        <w:rPr>
          <w:rFonts w:ascii="Calibri Light" w:hAnsi="Calibri Light" w:eastAsia="Calibri Light" w:cs="Calibri Light"/>
          <w:noProof w:val="0"/>
          <w:sz w:val="20"/>
          <w:szCs w:val="20"/>
          <w:lang w:val="en-GB"/>
        </w:rPr>
        <w:t>identify</w:t>
      </w:r>
      <w:r w:rsidRPr="5F565DF7" w:rsidR="2ABF6CCB">
        <w:rPr>
          <w:rFonts w:ascii="Calibri Light" w:hAnsi="Calibri Light" w:eastAsia="Calibri Light" w:cs="Calibri Light"/>
          <w:noProof w:val="0"/>
          <w:sz w:val="20"/>
          <w:szCs w:val="20"/>
          <w:lang w:val="en-GB"/>
        </w:rPr>
        <w:t xml:space="preserve"> possible community-based support strategies that could help families without putting extra pressure on already stretched specialist serices. This aim was developed into three main research questions. The first looked at the </w:t>
      </w:r>
      <w:r w:rsidRPr="5F565DF7" w:rsidR="2ABF6CCB">
        <w:rPr>
          <w:rFonts w:ascii="Calibri Light" w:hAnsi="Calibri Light" w:eastAsia="Calibri Light" w:cs="Calibri Light"/>
          <w:noProof w:val="0"/>
          <w:sz w:val="20"/>
          <w:szCs w:val="20"/>
          <w:lang w:val="en-GB"/>
        </w:rPr>
        <w:t>different factors</w:t>
      </w:r>
      <w:r w:rsidRPr="5F565DF7" w:rsidR="2ABF6CCB">
        <w:rPr>
          <w:rFonts w:ascii="Calibri Light" w:hAnsi="Calibri Light" w:eastAsia="Calibri Light" w:cs="Calibri Light"/>
          <w:noProof w:val="0"/>
          <w:sz w:val="20"/>
          <w:szCs w:val="20"/>
          <w:lang w:val="en-GB"/>
        </w:rPr>
        <w:t xml:space="preserve"> linked to SAPs during the pandemic, including child anxiety, special educational needs, family </w:t>
      </w:r>
      <w:r w:rsidRPr="5F565DF7" w:rsidR="2ABF6CCB">
        <w:rPr>
          <w:rFonts w:ascii="Calibri Light" w:hAnsi="Calibri Light" w:eastAsia="Calibri Light" w:cs="Calibri Light"/>
          <w:noProof w:val="0"/>
          <w:sz w:val="20"/>
          <w:szCs w:val="20"/>
          <w:lang w:val="en-GB"/>
        </w:rPr>
        <w:t>circumstances</w:t>
      </w:r>
      <w:r w:rsidRPr="5F565DF7" w:rsidR="2ABF6CCB">
        <w:rPr>
          <w:rFonts w:ascii="Calibri Light" w:hAnsi="Calibri Light" w:eastAsia="Calibri Light" w:cs="Calibri Light"/>
          <w:noProof w:val="0"/>
          <w:sz w:val="20"/>
          <w:szCs w:val="20"/>
          <w:lang w:val="en-GB"/>
        </w:rPr>
        <w:t xml:space="preserve"> and the school environment. The second question focused on the support families had received, both formal and informal, before and during the pandemic, and whether this support had been helpful. The third question explored what other types of </w:t>
      </w:r>
      <w:r w:rsidRPr="5F565DF7" w:rsidR="2ABF6CCB">
        <w:rPr>
          <w:rFonts w:ascii="Calibri Light" w:hAnsi="Calibri Light" w:eastAsia="Calibri Light" w:cs="Calibri Light"/>
          <w:noProof w:val="0"/>
          <w:sz w:val="20"/>
          <w:szCs w:val="20"/>
          <w:lang w:val="en-GB"/>
        </w:rPr>
        <w:t>suport</w:t>
      </w:r>
      <w:r w:rsidRPr="5F565DF7" w:rsidR="2ABF6CCB">
        <w:rPr>
          <w:rFonts w:ascii="Calibri Light" w:hAnsi="Calibri Light" w:eastAsia="Calibri Light" w:cs="Calibri Light"/>
          <w:noProof w:val="0"/>
          <w:sz w:val="20"/>
          <w:szCs w:val="20"/>
          <w:lang w:val="en-GB"/>
        </w:rPr>
        <w:t xml:space="preserve"> could </w:t>
      </w:r>
      <w:r w:rsidRPr="5F565DF7" w:rsidR="2ABF6CCB">
        <w:rPr>
          <w:rFonts w:ascii="Calibri Light" w:hAnsi="Calibri Light" w:eastAsia="Calibri Light" w:cs="Calibri Light"/>
          <w:noProof w:val="0"/>
          <w:sz w:val="20"/>
          <w:szCs w:val="20"/>
          <w:lang w:val="en-GB"/>
        </w:rPr>
        <w:t>benefit</w:t>
      </w:r>
      <w:r w:rsidRPr="5F565DF7" w:rsidR="2ABF6CCB">
        <w:rPr>
          <w:rFonts w:ascii="Calibri Light" w:hAnsi="Calibri Light" w:eastAsia="Calibri Light" w:cs="Calibri Light"/>
          <w:noProof w:val="0"/>
          <w:sz w:val="20"/>
          <w:szCs w:val="20"/>
          <w:lang w:val="en-GB"/>
        </w:rPr>
        <w:t xml:space="preserve"> children and families experiencing SAPs, as well as how these approaches could realistically be introduced. By using these questions, the researchers were ableto understand the causes of the problem, review the support already available, and consider what could be improved in the future.</w:t>
      </w:r>
    </w:p>
    <w:p w:rsidR="00ED5964" w:rsidP="5F565DF7" w:rsidRDefault="00ED5964" w14:paraId="6E53DBA2" w14:textId="2C53C142">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p>
    <w:p w:rsidR="00ED5964" w:rsidP="5F565DF7" w:rsidRDefault="00ED5964" w14:paraId="2B22C835" w14:textId="6C92E5D5">
      <w:pPr>
        <w:spacing w:before="240" w:beforeAutospacing="off" w:after="198" w:afterAutospacing="off"/>
        <w:jc w:val="both"/>
        <w:rPr>
          <w:rFonts w:ascii="Calibri Light" w:hAnsi="Calibri Light" w:eastAsia="Calibri Light" w:cs="Calibri Light" w:asciiTheme="majorAscii" w:hAnsiTheme="majorAscii" w:eastAsiaTheme="majorAscii" w:cstheme="majorAscii"/>
          <w:b w:val="1"/>
          <w:bCs w:val="1"/>
          <w:noProof w:val="0"/>
          <w:sz w:val="22"/>
          <w:szCs w:val="22"/>
          <w:lang w:val="en-GB"/>
        </w:rPr>
      </w:pPr>
      <w:r w:rsidRPr="5F565DF7" w:rsidR="26015F0C">
        <w:rPr>
          <w:rFonts w:ascii="Calibri Light" w:hAnsi="Calibri Light" w:eastAsia="Calibri Light" w:cs="Calibri Light" w:asciiTheme="majorAscii" w:hAnsiTheme="majorAscii" w:eastAsiaTheme="majorAscii" w:cstheme="majorAscii"/>
          <w:b w:val="1"/>
          <w:bCs w:val="1"/>
          <w:noProof w:val="0"/>
          <w:sz w:val="22"/>
          <w:szCs w:val="22"/>
          <w:lang w:val="en-GB"/>
        </w:rPr>
        <w:t>Understanding the research method</w:t>
      </w:r>
    </w:p>
    <w:p w:rsidR="00ED5964" w:rsidP="5F565DF7" w:rsidRDefault="00ED5964" w14:paraId="168E9A47" w14:textId="664C1A5D">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Before looking at the method used in this specific paper, it helps to set out what quantitative, qualitative and mixed-methods research actually mean, since the choice of method shapes both what a study can find out and how confident readers can be in the results. Quantitative research deals in numbers: it usually involves structured tools such as questionnaires with closed or scaled questions, stadardised measures, or routinely collected statistics, and the resulting data is analysed statistically to test a hypothesis, measure the strength of a relationship between variables, or estimate how common something is across a wider population. Its strength lies in being able to generalise findings and compare groups, but it can struggle to explain why people feel or behave the way they do. Qualitative research works differently: it is interested in meaning, contextand lived experience rather than measurement, and it produces data in the form of words – through interviews, focus groups, open-ended survey responses, diaries or observation – which is then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analsed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thematically or narratively rather than run through statistical tests. It tends to involve smaller samples studied in more depth, and its value lies in explaining the how and why behind a phenomenon, even though its findings are usually harder to generalise to a wider population. Mixed-methods research sits between the two, combining both types of data within a single study, often so that the numbers show what is happening on a larger scale while the words help explain why it is happening, or so that qualitative work is used to build a quantitative tool that is tested later.</w:t>
      </w:r>
    </w:p>
    <w:p w:rsidR="00ED5964" w:rsidP="5F565DF7" w:rsidRDefault="00ED5964" w14:paraId="1B24C965" w14:textId="769C3744">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This particular paper is a qualitative study, and can be identified as such in several ways. The authors do describe their overall design as a ‘qualitative, mixed-method’ approach, but on closer reading this refers to combining two qualitative data sources – surveys and interviews – one after the other, not to mixing quantitative and qualitative analysis. There is no statistical testing anywhere in the paper; the numbers that do appear, such as the percentage of children who met the criteria for persistent absence, or the proportion of parents from different income bands, are descriptive figures used only to describe the sample, not to test a relationship between variables or to generalise to a wider population. The sample sizes involved – 29 parents and 19 professionals in Phase 1, and 22 participants in Phase 2 – are also typical of qualitative research, which tends to prioritise depth of understanding over the larger, more representative samples usually needed for quantitative analysis. Participants were recruited purposively rather than randomly, through targeted social media advertising and by directly approaching schools with the highest persistent absence rates, which again reflects a qualitative rather than a quantitative logic of sampling. Overall, the method is clearly qualitative, built around exploring how parents and professionals understood and explained SAPs in their own words.</w:t>
      </w:r>
    </w:p>
    <w:p w:rsidR="00ED5964" w:rsidP="5F565DF7" w:rsidRDefault="00ED5964" w14:paraId="5F7BE7E8" w14:textId="3924794D">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Data collection happened in two phases, each with its own procedure. Phase 1 ran during the Spring term of 2021, shortly after children returned from the second period of school closures, and involved online surveys sent to parents and professionals across East Sussex, West Sussex, and Brig</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ton and Hove. Prospective participants first completed two eligibility questions confirming that their child had experienced attendance difficulties and was enrolled in a mainstream state primary, infant or junior school in Sussex; those who qualified were then given a participant information sheet and asked to complete a consent form and a demographic questionnaire before moving on to the main survey, which consisted of six open-ended, free-text questions written separately for parents and for professionals. Parents were asked things like how their child’s attendance had been before and during the pandemic, how they themselves felt about their child going to school, what they thought was behind the difficulties, what support they had had, if any, and what would actually help. Professionals were asked a parallel set of questions about which groups of children seemed most at risk, what families struggled with when returning to school, what they thought was driving the problem, examples of good local practice, and what they would like to see change. Parents received a £5 e-voucher for taking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part, and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were given the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option</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to leave their contact details if they were interested in taking part in future research.</w:t>
      </w:r>
    </w:p>
    <w:p w:rsidR="00ED5964" w:rsidP="5F565DF7" w:rsidRDefault="00ED5964" w14:paraId="113AACE0" w14:textId="663B03EF">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Phase 2 built directly on what came out of the surveys. A preliminary look at the Phase 1 data was used to design semi-structured topic guides focusing on the links between child anxiety, parenting behaviours and SAPs, sources of informal and community-based support, school and statutory responses, and the quality of home-school relationships. Participants for Phase 2 were recruited in two ways: some were Phase 1 respondents who had opted in to further contact and were sent a new consent form roughly three months after their original survey, while others were newly recruited participants who went straight into eligibility screening, consent and a demographic questionnaire without havng completed a Phase 1 survey. In total, 10 parents and 12 professionals took part in Phase 2, conducted over the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Summer</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term and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Summer</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holidays of 2021, either by telephone or by Zoom video call, in interviews lasting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roughly 45</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to 60 minutes. Interviews were audio recorded, transcribed word for word, and anonymised before analysis, and participants received a £10 e-voucher for taking part. Ethical approval for the whole study had been granted in advance by a UK Research Ethics Committee, which is standard practice for research involving human participants, particularly where sensitive topics such as child anxiety and family difficulties are being discussed.</w:t>
      </w:r>
    </w:p>
    <w:p w:rsidR="00ED5964" w:rsidP="5F565DF7" w:rsidRDefault="00ED5964" w14:paraId="6189E9F8" w14:textId="03A8B820">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Everything gathered through the surveys and interviews counts as primary data – it was collected first-hand by the research team, using their own instruments, specifically for this project, rather than reused from somewhere else. Data that already exists for another purpose, such as government attendance statistics, a national survey run by a different organisation, or previously published research, would count as secondary data instead. The paper does draw on secondary data of this kind; for example, Department for Education attendance statistics and the Children’s Commissiner’s Attendance Audit are both used, but only to set the scene in the introduction and discussion, establishing how widespread the problem of persistent absence had become nationally. These secondary sources are not part of the dataset that was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actually analysed</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using thematic framework analysis; that dataset is made up entirely of the primary data gathered directly from parents and professionals. The surveys and interviews therefore represent the two primary data collection methods used in this study: surveys capture written, self-reported answers to fixed, open-ended questions, allowing many participants to respond in their own time, while interviews allow the researcher to follow up on interesting or unclear answers, ask further probing questions, and let the conversation develop in ways a fixed survey cannot.</w:t>
      </w:r>
    </w:p>
    <w:p w:rsidR="00ED5964" w:rsidP="5F565DF7" w:rsidRDefault="00ED5964" w14:paraId="5BD605DE" w14:textId="6A04DA89">
      <w:pPr>
        <w:spacing w:before="240" w:beforeAutospacing="off" w:after="240"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2D0187BA">
        <w:rPr>
          <w:rFonts w:ascii="Calibri Light" w:hAnsi="Calibri Light" w:eastAsia="Calibri Light" w:cs="Calibri Light" w:asciiTheme="majorAscii" w:hAnsiTheme="majorAscii" w:eastAsiaTheme="majorAscii" w:cstheme="majorAscii"/>
          <w:noProof w:val="0"/>
          <w:sz w:val="20"/>
          <w:szCs w:val="20"/>
          <w:lang w:val="en-GB"/>
        </w:rPr>
        <w:t>To analyse the data, the researchers used</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 xml:space="preserve"> </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thematic framework analysis</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following the approach by Gale et al. (2013), which is widely used in health and social care research because it </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provides</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a clear way</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of organising qualitative data into themes. The process involved five stages: familiarisaion, </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identifying</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a framework, indexing, charting, and finally mapping and interpreting the findings. The framework was adjusted throughout the analysis as new patterns </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emerged</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from the survey responses and interview transcripts.</w:t>
      </w:r>
    </w:p>
    <w:p w:rsidR="00ED5964" w:rsidP="5F565DF7" w:rsidRDefault="00ED5964" w14:paraId="63380693" w14:textId="27514C10">
      <w:pPr>
        <w:spacing w:before="240" w:beforeAutospacing="off" w:after="240"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The researchers used a </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hybrid coding approach</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xml:space="preserve"> combining deductive coding based on the research questions with inductive coding that developed from what parents and professionals actually said. The first author, a PhD researcher and former primary school teacher, led the analysis using a critical realist perspective. To improve the credibility of the findings, all three authors met regularly to discuss and challenge each other's interpretations, helping to reduce researcher bias. This process resulted in three main themes: </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contributors to</w:t>
      </w:r>
      <w:r w:rsidRPr="5F565DF7" w:rsidR="2D0187BA">
        <w:rPr>
          <w:rFonts w:ascii="Calibri Light" w:hAnsi="Calibri Light" w:eastAsia="Calibri Light" w:cs="Calibri Light" w:asciiTheme="majorAscii" w:hAnsiTheme="majorAscii" w:eastAsiaTheme="majorAscii" w:cstheme="majorAscii"/>
          <w:b w:val="1"/>
          <w:bCs w:val="1"/>
          <w:noProof w:val="0"/>
          <w:sz w:val="20"/>
          <w:szCs w:val="20"/>
          <w:lang w:val="en-GB"/>
        </w:rPr>
        <w:t xml:space="preserve"> </w:t>
      </w:r>
      <w:r w:rsidRPr="5F565DF7" w:rsidR="2D0187BA">
        <w:rPr>
          <w:rFonts w:ascii="Calibri Light" w:hAnsi="Calibri Light" w:eastAsia="Calibri Light" w:cs="Calibri Light" w:asciiTheme="majorAscii" w:hAnsiTheme="majorAscii" w:eastAsiaTheme="majorAscii" w:cstheme="majorAscii"/>
          <w:b w:val="0"/>
          <w:bCs w:val="0"/>
          <w:noProof w:val="0"/>
          <w:sz w:val="20"/>
          <w:szCs w:val="20"/>
          <w:lang w:val="en-GB"/>
        </w:rPr>
        <w:t>SAPs, responses to SAPs, and areas for additional support</w:t>
      </w:r>
      <w:r w:rsidRPr="5F565DF7" w:rsidR="2D0187BA">
        <w:rPr>
          <w:rFonts w:ascii="Calibri Light" w:hAnsi="Calibri Light" w:eastAsia="Calibri Light" w:cs="Calibri Light" w:asciiTheme="majorAscii" w:hAnsiTheme="majorAscii" w:eastAsiaTheme="majorAscii" w:cstheme="majorAscii"/>
          <w:noProof w:val="0"/>
          <w:sz w:val="20"/>
          <w:szCs w:val="20"/>
          <w:lang w:val="en-GB"/>
        </w:rPr>
        <w:t>, each supported by direct quotations from participants.</w:t>
      </w:r>
    </w:p>
    <w:p w:rsidR="00ED5964" w:rsidP="5F565DF7" w:rsidRDefault="00ED5964" w14:paraId="0C164097" w14:textId="302EA1A3">
      <w:pPr>
        <w:pStyle w:val="Normal"/>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p>
    <w:p w:rsidR="00ED5964" w:rsidP="5F565DF7" w:rsidRDefault="00ED5964" w14:paraId="1899887E" w14:textId="0FB89810">
      <w:pPr>
        <w:spacing w:before="240" w:beforeAutospacing="off" w:after="198" w:afterAutospacing="off"/>
        <w:jc w:val="both"/>
        <w:rPr>
          <w:rFonts w:ascii="Calibri Light" w:hAnsi="Calibri Light" w:eastAsia="Calibri Light" w:cs="Calibri Light" w:asciiTheme="majorAscii" w:hAnsiTheme="majorAscii" w:eastAsiaTheme="majorAscii" w:cstheme="majorAscii"/>
          <w:b w:val="1"/>
          <w:bCs w:val="1"/>
          <w:noProof w:val="0"/>
          <w:sz w:val="24"/>
          <w:szCs w:val="24"/>
          <w:lang w:val="en-GB"/>
        </w:rPr>
      </w:pPr>
      <w:r w:rsidRPr="5F565DF7" w:rsidR="07FED1E1">
        <w:rPr>
          <w:rFonts w:ascii="Calibri Light" w:hAnsi="Calibri Light" w:eastAsia="Calibri Light" w:cs="Calibri Light" w:asciiTheme="majorAscii" w:hAnsiTheme="majorAscii" w:eastAsiaTheme="majorAscii" w:cstheme="majorAscii"/>
          <w:b w:val="1"/>
          <w:bCs w:val="1"/>
          <w:noProof w:val="0"/>
          <w:sz w:val="24"/>
          <w:szCs w:val="24"/>
          <w:lang w:val="en-GB"/>
        </w:rPr>
        <w:t>Conclusion</w:t>
      </w:r>
    </w:p>
    <w:p w:rsidR="00ED5964" w:rsidP="5F565DF7" w:rsidRDefault="00ED5964" w14:paraId="7D3D8C04" w14:textId="5D30178E">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Overall,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I think this paper</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offers a detailed, qualitative account of school attendance problems in primary-aged children during the COVID-19 pandemic, built from the perspectives of both parents and professionals. Under the first theme, contributors to SAPs, the study found that difficulties were shaped by several overlapping factors: existing SAPs were often made worse by the return to in-person schooling, particularly for children with SEN or pre-existing anxiety who had come to see time at home as safer and more comfortable; new anxieties specific to COVID-19 appeared even in children with no previous history of difficulty; frequently changing rules, bubbles and routines left children feeling overwhelmed and worried about ‘getting it wrong’; and older children in particular felt pressure to catch up academically before standardised tests. Under the second theme, responses to SAPs, the study highlighted how far home-school collaboration, or the lack of it, shaped families’ experiences, alongside frustration with punitive statutory responses such as threats of fines, and the difficult, often unsupported position parents were left in when accomodating a child’s anxiety by keeping them at home. The third theme, areas for additional support, pointed towards rebuilding positive relationships between parents and schools, catching problems early rather than waiting for them to become entrenched, offering peer support for parents, and improving specialist SEN provision (Lebowitz et al., 2014; Smith et al., 2020).</w:t>
      </w:r>
    </w:p>
    <w:p w:rsidR="00ED5964" w:rsidP="5F565DF7" w:rsidRDefault="00ED5964" w14:paraId="3B01956C" w14:textId="3362B97A">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Working through this paper has made the difference between quantitative, qualitative and mixed-methods research much clearer, and has shown how a two-phase design, surveys followed by interviews, can be used to collect rich, first-hand data from more than one stakeholder group at once, while also distinguishing clearly between primary data collected specifically for a study and secondary data drawn from elsewhere to provide context. It has also given a practical sense of how thematic framework analysis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actually works</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moving step by step from raw transcripts to organised, interpreted themes, and how researcher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reflextivity</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and regular team discussion are used to strengthen the credibility of qualitative findings. These are useful skills to carry forward into future study and into health and social care practice more generaly, where being able to read a piece of research critically, understanding how the data was collected, what its limits are, and how the conclusions were actually reached, matters just as much as the findings themselves.</w:t>
      </w:r>
    </w:p>
    <w:p w:rsidR="00ED5964" w:rsidP="5F565DF7" w:rsidRDefault="00ED5964" w14:paraId="6529BB1F" w14:textId="1A7B472F">
      <w:pPr>
        <w:spacing w:before="240" w:beforeAutospacing="off" w:after="198" w:afterAutospacing="off"/>
        <w:jc w:val="both"/>
        <w:rPr>
          <w:rFonts w:ascii="Calibri Light" w:hAnsi="Calibri Light" w:eastAsia="Calibri Light" w:cs="Calibri Light" w:asciiTheme="majorAscii" w:hAnsiTheme="majorAscii" w:eastAsiaTheme="majorAscii" w:cstheme="majorAscii"/>
          <w:noProof w:val="0"/>
          <w:sz w:val="20"/>
          <w:szCs w:val="20"/>
          <w:lang w:val="en-GB"/>
        </w:rPr>
      </w:pPr>
      <w:r w:rsidRPr="5F565DF7" w:rsidR="0FF01804">
        <w:rPr>
          <w:rFonts w:ascii="Calibri Light" w:hAnsi="Calibri Light" w:eastAsia="Calibri Light" w:cs="Calibri Light" w:asciiTheme="majorAscii" w:hAnsiTheme="majorAscii" w:eastAsiaTheme="majorAscii" w:cstheme="majorAscii"/>
          <w:noProof w:val="0"/>
          <w:sz w:val="20"/>
          <w:szCs w:val="20"/>
          <w:lang w:val="en-GB"/>
        </w:rPr>
        <w:t>Its</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also worth remembering the limits of this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particular study</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The parent sample was made up entirely of mothers, almost all of whom were White British, and data collection was focused solely on the English education system, meaning the findings may not fully reflect the experiences of fathers, families from different ethnic backgrounds, or education systems outside England, even though similar patterns have been reported internationally (Briesch et al., 2021; Jeffs et al., 2021; Kalvin et al., 2021). The pandemic itself created a very particular, time-limited context, and some of the COVID</w:t>
      </w:r>
      <w:r w:rsidRPr="5F565DF7" w:rsidR="37A2FF74">
        <w:rPr>
          <w:rFonts w:ascii="Calibri Light" w:hAnsi="Calibri Light" w:eastAsia="Calibri Light" w:cs="Calibri Light" w:asciiTheme="majorAscii" w:hAnsiTheme="majorAscii" w:eastAsiaTheme="majorAscii" w:cstheme="majorAscii"/>
          <w:noProof w:val="0"/>
          <w:sz w:val="20"/>
          <w:szCs w:val="20"/>
          <w:lang w:val="en-GB"/>
        </w:rPr>
        <w:t xml:space="preserve">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specific findings, such as anxiety about mixing with other children, may not apply in the same way once the pandemic has receded further into the past. The authors themselves acknowledge that further research is needed to develop and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properly evaluate</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the kinds of interventions the study points towards, drawing on the lived experiences of more diverse families to strengthen feasibility,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acceptability</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 xml:space="preserve"> and long-term outcomes (</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Sonuga</w:t>
      </w:r>
      <w:r w:rsidRPr="5F565DF7" w:rsidR="0FF01804">
        <w:rPr>
          <w:rFonts w:ascii="Calibri Light" w:hAnsi="Calibri Light" w:eastAsia="Calibri Light" w:cs="Calibri Light" w:asciiTheme="majorAscii" w:hAnsiTheme="majorAscii" w:eastAsiaTheme="majorAscii" w:cstheme="majorAscii"/>
          <w:noProof w:val="0"/>
          <w:sz w:val="20"/>
          <w:szCs w:val="20"/>
          <w:lang w:val="en-GB"/>
        </w:rPr>
        <w:t>-Barke &amp; Fearon, 2021).</w:t>
      </w:r>
    </w:p>
    <w:p w:rsidR="00ED5964" w:rsidP="5F565DF7" w:rsidRDefault="00ED5964" w14:paraId="319581DC" w14:textId="3A8334D3">
      <w:pPr>
        <w:spacing w:before="240" w:beforeAutospacing="off" w:after="198" w:afterAutospacing="off"/>
        <w:jc w:val="both"/>
      </w:pPr>
      <w:r w:rsidRPr="5F565DF7" w:rsidR="60543146">
        <w:rPr>
          <w:rFonts w:ascii="Calibri Light" w:hAnsi="Calibri Light" w:eastAsia="Calibri Light" w:cs="Calibri Light" w:asciiTheme="majorAscii" w:hAnsiTheme="majorAscii" w:eastAsiaTheme="majorAscii" w:cstheme="majorAscii"/>
          <w:noProof w:val="0"/>
          <w:sz w:val="20"/>
          <w:szCs w:val="20"/>
          <w:lang w:val="en-GB"/>
        </w:rPr>
        <w:t xml:space="preserve">Referencing list: </w:t>
      </w:r>
    </w:p>
    <w:p w:rsidR="00ED5964" w:rsidP="5F565DF7" w:rsidRDefault="00ED5964" w14:paraId="59F68A4C" w14:textId="2F936143">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Briesch, A.M., Codding, R.S., Hoffman, J.A., Rizzo, C.J. and Volpe, R.J. (2021) ‘Caregiver perspectives on schooling from home during the spring 2020 COVID-19 closures’, </w:t>
      </w:r>
      <w:r w:rsidRPr="5F565DF7" w:rsidR="6E4A36AA">
        <w:rPr>
          <w:rFonts w:ascii="Calibri Light" w:hAnsi="Calibri Light" w:eastAsia="Calibri Light" w:cs="Calibri Light"/>
          <w:i w:val="1"/>
          <w:iCs w:val="1"/>
          <w:noProof w:val="0"/>
          <w:sz w:val="20"/>
          <w:szCs w:val="20"/>
          <w:lang w:val="en-GB"/>
        </w:rPr>
        <w:t>School Psychology Review</w:t>
      </w:r>
      <w:r w:rsidRPr="5F565DF7" w:rsidR="6E4A36AA">
        <w:rPr>
          <w:rFonts w:ascii="Calibri Light" w:hAnsi="Calibri Light" w:eastAsia="Calibri Light" w:cs="Calibri Light"/>
          <w:noProof w:val="0"/>
          <w:sz w:val="20"/>
          <w:szCs w:val="20"/>
          <w:lang w:val="en-GB"/>
        </w:rPr>
        <w:t>, 50(4), pp. 546–559. doi:10.1080/2372966X.2021.1908091.</w:t>
      </w:r>
    </w:p>
    <w:p w:rsidR="00ED5964" w:rsidP="5F565DF7" w:rsidRDefault="00ED5964" w14:paraId="7BBDA737" w14:textId="6A680170">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Children’s Commissioner (2022) </w:t>
      </w:r>
      <w:r w:rsidRPr="5F565DF7" w:rsidR="6E4A36AA">
        <w:rPr>
          <w:rFonts w:ascii="Calibri Light" w:hAnsi="Calibri Light" w:eastAsia="Calibri Light" w:cs="Calibri Light"/>
          <w:i w:val="1"/>
          <w:iCs w:val="1"/>
          <w:noProof w:val="0"/>
          <w:sz w:val="20"/>
          <w:szCs w:val="20"/>
          <w:lang w:val="en-GB"/>
        </w:rPr>
        <w:t>Where are England’s children? Interim findings from the Children’s Commissioner’s attendance audit</w:t>
      </w:r>
      <w:r w:rsidRPr="5F565DF7" w:rsidR="6E4A36AA">
        <w:rPr>
          <w:rFonts w:ascii="Calibri Light" w:hAnsi="Calibri Light" w:eastAsia="Calibri Light" w:cs="Calibri Light"/>
          <w:noProof w:val="0"/>
          <w:sz w:val="20"/>
          <w:szCs w:val="20"/>
          <w:lang w:val="en-GB"/>
        </w:rPr>
        <w:t xml:space="preserve">. Available at: </w:t>
      </w:r>
      <w:hyperlink r:id="R97bc9ba0abd04a29">
        <w:r w:rsidRPr="5F565DF7" w:rsidR="6E4A36AA">
          <w:rPr>
            <w:rStyle w:val="Hyperlink"/>
            <w:noProof w:val="0"/>
            <w:lang w:val="en-GB"/>
          </w:rPr>
          <w:t>https://www.childrenscommissioner.gov.uk/report/where-are-englands-children-interim-findings-from-the-childrens-commissioners-attendance-audit/</w:t>
        </w:r>
      </w:hyperlink>
      <w:r w:rsidRPr="5F565DF7" w:rsidR="6E4A36AA">
        <w:rPr>
          <w:rFonts w:ascii="Calibri Light" w:hAnsi="Calibri Light" w:eastAsia="Calibri Light" w:cs="Calibri Light"/>
          <w:noProof w:val="0"/>
          <w:sz w:val="20"/>
          <w:szCs w:val="20"/>
          <w:lang w:val="en-GB"/>
        </w:rPr>
        <w:t xml:space="preserve"> (Accessed: 19 July 2026).</w:t>
      </w:r>
    </w:p>
    <w:p w:rsidR="00ED5964" w:rsidP="5F565DF7" w:rsidRDefault="00ED5964" w14:paraId="70AA758C" w14:textId="7EA2F0D2">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Cook, P.J., Dodge, K.A., Gifford, E.J. and Schulting, A.B. (2017) ‘A new program to prevent primary school absenteeism: Results of a pilot study in five schools’, </w:t>
      </w:r>
      <w:r w:rsidRPr="5F565DF7" w:rsidR="6E4A36AA">
        <w:rPr>
          <w:rFonts w:ascii="Calibri Light" w:hAnsi="Calibri Light" w:eastAsia="Calibri Light" w:cs="Calibri Light"/>
          <w:i w:val="1"/>
          <w:iCs w:val="1"/>
          <w:noProof w:val="0"/>
          <w:sz w:val="20"/>
          <w:szCs w:val="20"/>
          <w:lang w:val="en-GB"/>
        </w:rPr>
        <w:t>Children and Youth Services Review</w:t>
      </w:r>
      <w:r w:rsidRPr="5F565DF7" w:rsidR="6E4A36AA">
        <w:rPr>
          <w:rFonts w:ascii="Calibri Light" w:hAnsi="Calibri Light" w:eastAsia="Calibri Light" w:cs="Calibri Light"/>
          <w:noProof w:val="0"/>
          <w:sz w:val="20"/>
          <w:szCs w:val="20"/>
          <w:lang w:val="en-GB"/>
        </w:rPr>
        <w:t>, 82, pp. 262–270. doi:10.1016/j.childyouth.2017.09.017.</w:t>
      </w:r>
    </w:p>
    <w:p w:rsidR="00ED5964" w:rsidP="5F565DF7" w:rsidRDefault="00ED5964" w14:paraId="19648A12" w14:textId="42199F27">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Department for Education (2022) </w:t>
      </w:r>
      <w:r w:rsidRPr="5F565DF7" w:rsidR="6E4A36AA">
        <w:rPr>
          <w:rFonts w:ascii="Calibri Light" w:hAnsi="Calibri Light" w:eastAsia="Calibri Light" w:cs="Calibri Light"/>
          <w:i w:val="1"/>
          <w:iCs w:val="1"/>
          <w:noProof w:val="0"/>
          <w:sz w:val="20"/>
          <w:szCs w:val="20"/>
          <w:lang w:val="en-GB"/>
        </w:rPr>
        <w:t>Pupil absences in England</w:t>
      </w:r>
      <w:r w:rsidRPr="5F565DF7" w:rsidR="6E4A36AA">
        <w:rPr>
          <w:rFonts w:ascii="Calibri Light" w:hAnsi="Calibri Light" w:eastAsia="Calibri Light" w:cs="Calibri Light"/>
          <w:noProof w:val="0"/>
          <w:sz w:val="20"/>
          <w:szCs w:val="20"/>
          <w:lang w:val="en-GB"/>
        </w:rPr>
        <w:t xml:space="preserve">. Available at: </w:t>
      </w:r>
      <w:hyperlink r:id="Re67cd89ce52149f2">
        <w:r w:rsidRPr="5F565DF7" w:rsidR="6E4A36AA">
          <w:rPr>
            <w:rStyle w:val="Hyperlink"/>
            <w:noProof w:val="0"/>
            <w:lang w:val="en-GB"/>
          </w:rPr>
          <w:t>https://explore-education-statistics.service.gov.uk/find-statistics/pupil-absence-in-schools-in-england</w:t>
        </w:r>
      </w:hyperlink>
      <w:r w:rsidRPr="5F565DF7" w:rsidR="6E4A36AA">
        <w:rPr>
          <w:rFonts w:ascii="Calibri Light" w:hAnsi="Calibri Light" w:eastAsia="Calibri Light" w:cs="Calibri Light"/>
          <w:noProof w:val="0"/>
          <w:sz w:val="20"/>
          <w:szCs w:val="20"/>
          <w:lang w:val="en-GB"/>
        </w:rPr>
        <w:t xml:space="preserve"> (Accessed: 19 July 2026).</w:t>
      </w:r>
    </w:p>
    <w:p w:rsidR="00ED5964" w:rsidP="5F565DF7" w:rsidRDefault="00ED5964" w14:paraId="5EC1D37A" w14:textId="47C9C144">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Egger, H.L., Costello, E.J. and Angold, A. (2003) ‘School refusal and psychiatric disorders: A community study’, </w:t>
      </w:r>
      <w:r w:rsidRPr="5F565DF7" w:rsidR="6E4A36AA">
        <w:rPr>
          <w:rFonts w:ascii="Calibri Light" w:hAnsi="Calibri Light" w:eastAsia="Calibri Light" w:cs="Calibri Light"/>
          <w:i w:val="1"/>
          <w:iCs w:val="1"/>
          <w:noProof w:val="0"/>
          <w:sz w:val="20"/>
          <w:szCs w:val="20"/>
          <w:lang w:val="en-GB"/>
        </w:rPr>
        <w:t>Journal of the American Academy of Child and Adolescent Psychiatry</w:t>
      </w:r>
      <w:r w:rsidRPr="5F565DF7" w:rsidR="6E4A36AA">
        <w:rPr>
          <w:rFonts w:ascii="Calibri Light" w:hAnsi="Calibri Light" w:eastAsia="Calibri Light" w:cs="Calibri Light"/>
          <w:noProof w:val="0"/>
          <w:sz w:val="20"/>
          <w:szCs w:val="20"/>
          <w:lang w:val="en-GB"/>
        </w:rPr>
        <w:t>, 42(7), pp. 797–807. doi:10.1097/01.CHI.0000046865.56865.79.</w:t>
      </w:r>
    </w:p>
    <w:p w:rsidR="00ED5964" w:rsidP="5F565DF7" w:rsidRDefault="00ED5964" w14:paraId="6230FB9A" w14:textId="188AC695">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Gale, N.K., Heath, G., Cameron, E., Rashid, S. and Redwood, S. (2013) ‘Using the framework method for the analysis of qualitative data in multi-disciplinary health research’, </w:t>
      </w:r>
      <w:r w:rsidRPr="5F565DF7" w:rsidR="6E4A36AA">
        <w:rPr>
          <w:rFonts w:ascii="Calibri Light" w:hAnsi="Calibri Light" w:eastAsia="Calibri Light" w:cs="Calibri Light"/>
          <w:i w:val="1"/>
          <w:iCs w:val="1"/>
          <w:noProof w:val="0"/>
          <w:sz w:val="20"/>
          <w:szCs w:val="20"/>
          <w:lang w:val="en-GB"/>
        </w:rPr>
        <w:t>BMC Medical Research Methodology</w:t>
      </w:r>
      <w:r w:rsidRPr="5F565DF7" w:rsidR="6E4A36AA">
        <w:rPr>
          <w:rFonts w:ascii="Calibri Light" w:hAnsi="Calibri Light" w:eastAsia="Calibri Light" w:cs="Calibri Light"/>
          <w:noProof w:val="0"/>
          <w:sz w:val="20"/>
          <w:szCs w:val="20"/>
          <w:lang w:val="en-GB"/>
        </w:rPr>
        <w:t>, 13(1), p.117. doi:10.1186/1471-2288-13-117.</w:t>
      </w:r>
    </w:p>
    <w:p w:rsidR="00ED5964" w:rsidP="5F565DF7" w:rsidRDefault="00ED5964" w14:paraId="656ED5B5" w14:textId="7F835DE9">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Heyne, D., Gren-Landell, M., Melvin, G. and Gentle-Genitty, C. (2019) ‘Differentiation between school attendance problems: Why and how?’, </w:t>
      </w:r>
      <w:r w:rsidRPr="5F565DF7" w:rsidR="6E4A36AA">
        <w:rPr>
          <w:rFonts w:ascii="Calibri Light" w:hAnsi="Calibri Light" w:eastAsia="Calibri Light" w:cs="Calibri Light"/>
          <w:i w:val="1"/>
          <w:iCs w:val="1"/>
          <w:noProof w:val="0"/>
          <w:sz w:val="20"/>
          <w:szCs w:val="20"/>
          <w:lang w:val="en-GB"/>
        </w:rPr>
        <w:t>Cognitive and Behavioral Practice</w:t>
      </w:r>
      <w:r w:rsidRPr="5F565DF7" w:rsidR="6E4A36AA">
        <w:rPr>
          <w:rFonts w:ascii="Calibri Light" w:hAnsi="Calibri Light" w:eastAsia="Calibri Light" w:cs="Calibri Light"/>
          <w:noProof w:val="0"/>
          <w:sz w:val="20"/>
          <w:szCs w:val="20"/>
          <w:lang w:val="en-GB"/>
        </w:rPr>
        <w:t>, 26(1), pp. 8–34. doi:10.1016/j.cbpra.2018.03.006.</w:t>
      </w:r>
    </w:p>
    <w:p w:rsidR="00ED5964" w:rsidP="5F565DF7" w:rsidRDefault="00ED5964" w14:paraId="6CD8F590" w14:textId="78D2DB79">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Jeffs, E., Lucas, N. and Walls, T. (2021) ‘COVID-19: Parent and caregiver concerns about reopening New Zealand schools’, </w:t>
      </w:r>
      <w:r w:rsidRPr="5F565DF7" w:rsidR="6E4A36AA">
        <w:rPr>
          <w:rFonts w:ascii="Calibri Light" w:hAnsi="Calibri Light" w:eastAsia="Calibri Light" w:cs="Calibri Light"/>
          <w:i w:val="1"/>
          <w:iCs w:val="1"/>
          <w:noProof w:val="0"/>
          <w:sz w:val="20"/>
          <w:szCs w:val="20"/>
          <w:lang w:val="en-GB"/>
        </w:rPr>
        <w:t>Journal of Paediatrics and Child Health</w:t>
      </w:r>
      <w:r w:rsidRPr="5F565DF7" w:rsidR="6E4A36AA">
        <w:rPr>
          <w:rFonts w:ascii="Calibri Light" w:hAnsi="Calibri Light" w:eastAsia="Calibri Light" w:cs="Calibri Light"/>
          <w:noProof w:val="0"/>
          <w:sz w:val="20"/>
          <w:szCs w:val="20"/>
          <w:lang w:val="en-GB"/>
        </w:rPr>
        <w:t>, 57(3), pp. 403–408. doi:10.1111/JPC.15234.</w:t>
      </w:r>
    </w:p>
    <w:p w:rsidR="00ED5964" w:rsidP="5F565DF7" w:rsidRDefault="00ED5964" w14:paraId="2E6CAC1E" w14:textId="6120D03C">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Kalvin, C.B., Jordan, R.P., Rowley, S.N., Weis, A., Wood, K.S., Wood, J.J., Ibrahim, K. and Sukhodolsky, D.G. (2021) ‘Conducting CBT for anxiety in children with autism spectrum disorder during COVID-19 pandemic’, </w:t>
      </w:r>
      <w:r w:rsidRPr="5F565DF7" w:rsidR="6E4A36AA">
        <w:rPr>
          <w:rFonts w:ascii="Calibri Light" w:hAnsi="Calibri Light" w:eastAsia="Calibri Light" w:cs="Calibri Light"/>
          <w:i w:val="1"/>
          <w:iCs w:val="1"/>
          <w:noProof w:val="0"/>
          <w:sz w:val="20"/>
          <w:szCs w:val="20"/>
          <w:lang w:val="en-GB"/>
        </w:rPr>
        <w:t>Journal of Autism and Developmental Disorders</w:t>
      </w:r>
      <w:r w:rsidRPr="5F565DF7" w:rsidR="6E4A36AA">
        <w:rPr>
          <w:rFonts w:ascii="Calibri Light" w:hAnsi="Calibri Light" w:eastAsia="Calibri Light" w:cs="Calibri Light"/>
          <w:noProof w:val="0"/>
          <w:sz w:val="20"/>
          <w:szCs w:val="20"/>
          <w:lang w:val="en-GB"/>
        </w:rPr>
        <w:t>, 51(11), pp. 4239–4247. doi:10.1007/S10803-020-04845-1.</w:t>
      </w:r>
    </w:p>
    <w:p w:rsidR="00ED5964" w:rsidP="5F565DF7" w:rsidRDefault="00ED5964" w14:paraId="34D0CE9D" w14:textId="6DCFDB1E">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Kearney, C.A. (2016) </w:t>
      </w:r>
      <w:r w:rsidRPr="5F565DF7" w:rsidR="6E4A36AA">
        <w:rPr>
          <w:rFonts w:ascii="Calibri Light" w:hAnsi="Calibri Light" w:eastAsia="Calibri Light" w:cs="Calibri Light"/>
          <w:i w:val="1"/>
          <w:iCs w:val="1"/>
          <w:noProof w:val="0"/>
          <w:sz w:val="20"/>
          <w:szCs w:val="20"/>
          <w:lang w:val="en-GB"/>
        </w:rPr>
        <w:t>Managing school absenteeism at multiple tiers: An evidence-based and practical guide for professionals</w:t>
      </w:r>
      <w:r w:rsidRPr="5F565DF7" w:rsidR="6E4A36AA">
        <w:rPr>
          <w:rFonts w:ascii="Calibri Light" w:hAnsi="Calibri Light" w:eastAsia="Calibri Light" w:cs="Calibri Light"/>
          <w:noProof w:val="0"/>
          <w:sz w:val="20"/>
          <w:szCs w:val="20"/>
          <w:lang w:val="en-GB"/>
        </w:rPr>
        <w:t>. Oxford: Oxford University Press.</w:t>
      </w:r>
    </w:p>
    <w:p w:rsidR="00ED5964" w:rsidP="5F565DF7" w:rsidRDefault="00ED5964" w14:paraId="25A5D218" w14:textId="5D797B62">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Kearney, C.A. and Graczyk, P. (2014) ‘A response to intervention model to promote school attendance and decrease school absenteeism’, </w:t>
      </w:r>
      <w:r w:rsidRPr="5F565DF7" w:rsidR="6E4A36AA">
        <w:rPr>
          <w:rFonts w:ascii="Calibri Light" w:hAnsi="Calibri Light" w:eastAsia="Calibri Light" w:cs="Calibri Light"/>
          <w:i w:val="1"/>
          <w:iCs w:val="1"/>
          <w:noProof w:val="0"/>
          <w:sz w:val="20"/>
          <w:szCs w:val="20"/>
          <w:lang w:val="en-GB"/>
        </w:rPr>
        <w:t>Child and Youth Care Forum</w:t>
      </w:r>
      <w:r w:rsidRPr="5F565DF7" w:rsidR="6E4A36AA">
        <w:rPr>
          <w:rFonts w:ascii="Calibri Light" w:hAnsi="Calibri Light" w:eastAsia="Calibri Light" w:cs="Calibri Light"/>
          <w:noProof w:val="0"/>
          <w:sz w:val="20"/>
          <w:szCs w:val="20"/>
          <w:lang w:val="en-GB"/>
        </w:rPr>
        <w:t>, 43(1), pp. 1–25. doi:10.1007/s10566-013-9222-1.</w:t>
      </w:r>
    </w:p>
    <w:p w:rsidR="00ED5964" w:rsidP="5F565DF7" w:rsidRDefault="00ED5964" w14:paraId="0B5BE6D3" w14:textId="398742EA">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Lebowitz, E.R., Omer, H., Hermes, H. and Scahill, L. (2014) ‘Parent training for childhood anxiety disorders: The SPACE program’, </w:t>
      </w:r>
      <w:r w:rsidRPr="5F565DF7" w:rsidR="6E4A36AA">
        <w:rPr>
          <w:rFonts w:ascii="Calibri Light" w:hAnsi="Calibri Light" w:eastAsia="Calibri Light" w:cs="Calibri Light"/>
          <w:i w:val="1"/>
          <w:iCs w:val="1"/>
          <w:noProof w:val="0"/>
          <w:sz w:val="20"/>
          <w:szCs w:val="20"/>
          <w:lang w:val="en-GB"/>
        </w:rPr>
        <w:t>Cognitive and Behavioral Practice</w:t>
      </w:r>
      <w:r w:rsidRPr="5F565DF7" w:rsidR="6E4A36AA">
        <w:rPr>
          <w:rFonts w:ascii="Calibri Light" w:hAnsi="Calibri Light" w:eastAsia="Calibri Light" w:cs="Calibri Light"/>
          <w:noProof w:val="0"/>
          <w:sz w:val="20"/>
          <w:szCs w:val="20"/>
          <w:lang w:val="en-GB"/>
        </w:rPr>
        <w:t>, 21(4), pp. 456–469. doi:10.1016/j.cbpra.2013.10.004.</w:t>
      </w:r>
    </w:p>
    <w:p w:rsidR="00ED5964" w:rsidP="5F565DF7" w:rsidRDefault="00ED5964" w14:paraId="4B97145A" w14:textId="3EDCC149">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McDonald, B., Lester, K.J. and Michelson, D. (2023) ‘“She didn’t know how to go back”: School attendance problems in the context of the COVID-19 pandemic—A multiple stakeholder qualitative study with parents and professionals’, </w:t>
      </w:r>
      <w:r w:rsidRPr="5F565DF7" w:rsidR="6E4A36AA">
        <w:rPr>
          <w:rFonts w:ascii="Calibri Light" w:hAnsi="Calibri Light" w:eastAsia="Calibri Light" w:cs="Calibri Light"/>
          <w:i w:val="1"/>
          <w:iCs w:val="1"/>
          <w:noProof w:val="0"/>
          <w:sz w:val="20"/>
          <w:szCs w:val="20"/>
          <w:lang w:val="en-GB"/>
        </w:rPr>
        <w:t>British Journal of Educational Psychology</w:t>
      </w:r>
      <w:r w:rsidRPr="5F565DF7" w:rsidR="6E4A36AA">
        <w:rPr>
          <w:rFonts w:ascii="Calibri Light" w:hAnsi="Calibri Light" w:eastAsia="Calibri Light" w:cs="Calibri Light"/>
          <w:noProof w:val="0"/>
          <w:sz w:val="20"/>
          <w:szCs w:val="20"/>
          <w:lang w:val="en-GB"/>
        </w:rPr>
        <w:t>, 93, pp. 386–401. doi:10.1111/bjep.12562.</w:t>
      </w:r>
    </w:p>
    <w:p w:rsidR="00ED5964" w:rsidP="5F565DF7" w:rsidRDefault="00ED5964" w14:paraId="23F0CB54" w14:textId="29BD8D15">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Melvin, G.A., Heyne, D., Gray, K.M., Hastings, R.P., Totsika, V., Tonge, B.J. and Freeman, M.M. (2019) ‘The Kids and Teens at School (KiTeS) framework: An inclusive bioecological systems approach to understanding school absenteeism and school attendance problems’, </w:t>
      </w:r>
      <w:r w:rsidRPr="5F565DF7" w:rsidR="6E4A36AA">
        <w:rPr>
          <w:rFonts w:ascii="Calibri Light" w:hAnsi="Calibri Light" w:eastAsia="Calibri Light" w:cs="Calibri Light"/>
          <w:i w:val="1"/>
          <w:iCs w:val="1"/>
          <w:noProof w:val="0"/>
          <w:sz w:val="20"/>
          <w:szCs w:val="20"/>
          <w:lang w:val="en-GB"/>
        </w:rPr>
        <w:t>Frontiers in Education</w:t>
      </w:r>
      <w:r w:rsidRPr="5F565DF7" w:rsidR="6E4A36AA">
        <w:rPr>
          <w:rFonts w:ascii="Calibri Light" w:hAnsi="Calibri Light" w:eastAsia="Calibri Light" w:cs="Calibri Light"/>
          <w:noProof w:val="0"/>
          <w:sz w:val="20"/>
          <w:szCs w:val="20"/>
          <w:lang w:val="en-GB"/>
        </w:rPr>
        <w:t>, 4(61), pp. 1–9. doi:10.3389/feduc.2019.00061.</w:t>
      </w:r>
    </w:p>
    <w:p w:rsidR="00ED5964" w:rsidP="5F565DF7" w:rsidRDefault="00ED5964" w14:paraId="426963BD" w14:textId="6FE207D6">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O’Connor, M.J. (2017) </w:t>
      </w:r>
      <w:r w:rsidRPr="5F565DF7" w:rsidR="6E4A36AA">
        <w:rPr>
          <w:rFonts w:ascii="Calibri Light" w:hAnsi="Calibri Light" w:eastAsia="Calibri Light" w:cs="Calibri Light"/>
          <w:i w:val="1"/>
          <w:iCs w:val="1"/>
          <w:noProof w:val="0"/>
          <w:sz w:val="20"/>
          <w:szCs w:val="20"/>
          <w:lang w:val="en-GB"/>
        </w:rPr>
        <w:t>School belonging and its effect on academic achievement and dropout gaps: Could a sense of school belonging influence racial gaps in high school students?</w:t>
      </w:r>
      <w:r w:rsidRPr="5F565DF7" w:rsidR="6E4A36AA">
        <w:rPr>
          <w:rFonts w:ascii="Calibri Light" w:hAnsi="Calibri Light" w:eastAsia="Calibri Light" w:cs="Calibri Light"/>
          <w:noProof w:val="0"/>
          <w:sz w:val="20"/>
          <w:szCs w:val="20"/>
          <w:lang w:val="en-GB"/>
        </w:rPr>
        <w:t xml:space="preserve"> Doctoral dissertation. State University of New York at Buffalo.</w:t>
      </w:r>
    </w:p>
    <w:p w:rsidR="00ED5964" w:rsidP="5F565DF7" w:rsidRDefault="00ED5964" w14:paraId="79166706" w14:textId="34116989">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Smith, T.E., Sheridan, S.M., Kim, E.M., Park, S. and Beretvas, S.N. (2020) ‘The effects of family-school partnership interventions on academic and social-emotional functioning: A meta-analysis exploring what works for whom’, </w:t>
      </w:r>
      <w:r w:rsidRPr="5F565DF7" w:rsidR="6E4A36AA">
        <w:rPr>
          <w:rFonts w:ascii="Calibri Light" w:hAnsi="Calibri Light" w:eastAsia="Calibri Light" w:cs="Calibri Light"/>
          <w:i w:val="1"/>
          <w:iCs w:val="1"/>
          <w:noProof w:val="0"/>
          <w:sz w:val="20"/>
          <w:szCs w:val="20"/>
          <w:lang w:val="en-GB"/>
        </w:rPr>
        <w:t>Educational Psychology Review</w:t>
      </w:r>
      <w:r w:rsidRPr="5F565DF7" w:rsidR="6E4A36AA">
        <w:rPr>
          <w:rFonts w:ascii="Calibri Light" w:hAnsi="Calibri Light" w:eastAsia="Calibri Light" w:cs="Calibri Light"/>
          <w:noProof w:val="0"/>
          <w:sz w:val="20"/>
          <w:szCs w:val="20"/>
          <w:lang w:val="en-GB"/>
        </w:rPr>
        <w:t>, 32(2), pp. 511–544. doi:10.1007/S10648-019-09509-W.</w:t>
      </w:r>
    </w:p>
    <w:p w:rsidR="00ED5964" w:rsidP="5F565DF7" w:rsidRDefault="00ED5964" w14:paraId="4F3C3498" w14:textId="2285686B">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Sonuga-Barke, E. and Fearon, P. (2021) ‘Editorial: Do lockdowns scar? Three putative mechanisms through which COVID-19 mitigation policies could cause long-term harm to young people’s mental health’, </w:t>
      </w:r>
      <w:r w:rsidRPr="5F565DF7" w:rsidR="6E4A36AA">
        <w:rPr>
          <w:rFonts w:ascii="Calibri Light" w:hAnsi="Calibri Light" w:eastAsia="Calibri Light" w:cs="Calibri Light"/>
          <w:i w:val="1"/>
          <w:iCs w:val="1"/>
          <w:noProof w:val="0"/>
          <w:sz w:val="20"/>
          <w:szCs w:val="20"/>
          <w:lang w:val="en-GB"/>
        </w:rPr>
        <w:t>Journal of Child Psychology and Psychiatry</w:t>
      </w:r>
      <w:r w:rsidRPr="5F565DF7" w:rsidR="6E4A36AA">
        <w:rPr>
          <w:rFonts w:ascii="Calibri Light" w:hAnsi="Calibri Light" w:eastAsia="Calibri Light" w:cs="Calibri Light"/>
          <w:noProof w:val="0"/>
          <w:sz w:val="20"/>
          <w:szCs w:val="20"/>
          <w:lang w:val="en-GB"/>
        </w:rPr>
        <w:t>, 62(12), pp. 1375–1378. doi:10.1111/JCPP.13537.</w:t>
      </w:r>
    </w:p>
    <w:p w:rsidR="00ED5964" w:rsidP="5F565DF7" w:rsidRDefault="00ED5964" w14:paraId="7A9A1ABD" w14:textId="01E384F1">
      <w:pPr>
        <w:spacing w:before="240" w:beforeAutospacing="off" w:after="240" w:afterAutospacing="off"/>
        <w:jc w:val="both"/>
      </w:pPr>
      <w:r w:rsidRPr="5F565DF7" w:rsidR="6E4A36AA">
        <w:rPr>
          <w:rFonts w:ascii="Calibri Light" w:hAnsi="Calibri Light" w:eastAsia="Calibri Light" w:cs="Calibri Light"/>
          <w:noProof w:val="0"/>
          <w:sz w:val="20"/>
          <w:szCs w:val="20"/>
          <w:lang w:val="en-GB"/>
        </w:rPr>
        <w:t xml:space="preserve">Waite, P., Patalay, P., Moltrecht, B., McElroy, E. and Creswell, C. (2020) </w:t>
      </w:r>
      <w:r w:rsidRPr="5F565DF7" w:rsidR="6E4A36AA">
        <w:rPr>
          <w:rFonts w:ascii="Calibri Light" w:hAnsi="Calibri Light" w:eastAsia="Calibri Light" w:cs="Calibri Light"/>
          <w:i w:val="1"/>
          <w:iCs w:val="1"/>
          <w:noProof w:val="0"/>
          <w:sz w:val="20"/>
          <w:szCs w:val="20"/>
          <w:lang w:val="en-GB"/>
        </w:rPr>
        <w:t>COVID-19 worries, parent/carer stress and support needs, by child special educational needs and parent/carer work status</w:t>
      </w:r>
      <w:r w:rsidRPr="5F565DF7" w:rsidR="6E4A36AA">
        <w:rPr>
          <w:rFonts w:ascii="Calibri Light" w:hAnsi="Calibri Light" w:eastAsia="Calibri Light" w:cs="Calibri Light"/>
          <w:noProof w:val="0"/>
          <w:sz w:val="20"/>
          <w:szCs w:val="20"/>
          <w:lang w:val="en-GB"/>
        </w:rPr>
        <w:t xml:space="preserve">. Available at: </w:t>
      </w:r>
      <w:hyperlink r:id="Rae049861edb14bde">
        <w:r w:rsidRPr="5F565DF7" w:rsidR="6E4A36AA">
          <w:rPr>
            <w:rStyle w:val="Hyperlink"/>
            <w:noProof w:val="0"/>
            <w:lang w:val="en-GB"/>
          </w:rPr>
          <w:t>http://cospaceoxford.org/findings/exercise-social-behaviours/</w:t>
        </w:r>
      </w:hyperlink>
      <w:r w:rsidRPr="5F565DF7" w:rsidR="6E4A36AA">
        <w:rPr>
          <w:rFonts w:ascii="Calibri Light" w:hAnsi="Calibri Light" w:eastAsia="Calibri Light" w:cs="Calibri Light"/>
          <w:noProof w:val="0"/>
          <w:sz w:val="20"/>
          <w:szCs w:val="20"/>
          <w:lang w:val="en-GB"/>
        </w:rPr>
        <w:t xml:space="preserve"> (Accessed: 19 July 2026).</w:t>
      </w:r>
    </w:p>
    <w:p w:rsidR="00ED5964" w:rsidP="5F565DF7" w:rsidRDefault="00ED5964" w14:paraId="0C6F95D6" w14:textId="64C39B31">
      <w:pPr>
        <w:jc w:val="both"/>
        <w:rPr>
          <w:rFonts w:ascii="Calibri Light" w:hAnsi="Calibri Light" w:eastAsia="Calibri Light" w:cs="Calibri Light" w:asciiTheme="majorAscii" w:hAnsiTheme="majorAscii" w:eastAsiaTheme="majorAscii" w:cstheme="majorAscii"/>
          <w:sz w:val="20"/>
          <w:szCs w:val="20"/>
        </w:rPr>
      </w:pPr>
    </w:p>
    <w:p w:rsidRPr="005E44B5" w:rsidR="004552CE" w:rsidP="5F565DF7" w:rsidRDefault="004552CE" w14:paraId="1D0F2D59" w14:textId="04FD5966">
      <w:pPr>
        <w:rPr>
          <w:rFonts w:ascii="Calibri Light" w:hAnsi="Calibri Light" w:eastAsia="Calibri Light" w:cs="Calibri Light" w:asciiTheme="majorAscii" w:hAnsiTheme="majorAscii" w:eastAsiaTheme="majorAscii" w:cstheme="majorAscii"/>
          <w:color w:val="FF0000"/>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287" w:rsidP="003C7C97" w:rsidRDefault="00907287" w14:paraId="06D563E8" w14:textId="77777777">
      <w:pPr>
        <w:spacing w:after="0" w:line="240" w:lineRule="auto"/>
      </w:pPr>
      <w:r>
        <w:separator/>
      </w:r>
    </w:p>
  </w:endnote>
  <w:endnote w:type="continuationSeparator" w:id="0">
    <w:p w:rsidR="00907287" w:rsidP="003C7C97" w:rsidRDefault="00907287" w14:paraId="4C0FD60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287" w:rsidP="003C7C97" w:rsidRDefault="00907287" w14:paraId="62F46ADD" w14:textId="77777777">
      <w:pPr>
        <w:spacing w:after="0" w:line="240" w:lineRule="auto"/>
      </w:pPr>
      <w:r>
        <w:separator/>
      </w:r>
    </w:p>
  </w:footnote>
  <w:footnote w:type="continuationSeparator" w:id="0">
    <w:p w:rsidR="00907287" w:rsidP="003C7C97" w:rsidRDefault="00907287" w14:paraId="080E6BA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6143C1"/>
    <w:multiLevelType w:val="hybridMultilevel"/>
    <w:tmpl w:val="0E5AFB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27B6F27"/>
    <w:multiLevelType w:val="hybridMultilevel"/>
    <w:tmpl w:val="6E4A9608"/>
    <w:lvl w:ilvl="0" w:tplc="C9AE9C64">
      <w:numFmt w:val="bullet"/>
      <w:lvlText w:val="•"/>
      <w:lvlJc w:val="left"/>
      <w:pPr>
        <w:ind w:left="1080" w:hanging="720"/>
      </w:pPr>
      <w:rPr>
        <w:rFonts w:hint="default" w:ascii="Segoe UI" w:hAnsi="Segoe UI" w:cs="Segoe UI" w:eastAsiaTheme="minorEastAsia"/>
      </w:rPr>
    </w:lvl>
    <w:lvl w:ilvl="1" w:tplc="18582B54">
      <w:numFmt w:val="bullet"/>
      <w:lvlText w:val=""/>
      <w:lvlJc w:val="left"/>
      <w:pPr>
        <w:ind w:left="1800" w:hanging="720"/>
      </w:pPr>
      <w:rPr>
        <w:rFonts w:hint="default" w:ascii="Symbol" w:hAnsi="Symbol" w:eastAsiaTheme="minorEastAsia" w:cstheme="minorBid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2FB766A"/>
    <w:multiLevelType w:val="hybridMultilevel"/>
    <w:tmpl w:val="0C2A007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AC12DD7"/>
    <w:multiLevelType w:val="hybridMultilevel"/>
    <w:tmpl w:val="7E26D982"/>
    <w:lvl w:ilvl="0" w:tplc="C9AE9C64">
      <w:numFmt w:val="bullet"/>
      <w:lvlText w:val="•"/>
      <w:lvlJc w:val="left"/>
      <w:pPr>
        <w:ind w:left="1800" w:hanging="720"/>
      </w:pPr>
      <w:rPr>
        <w:rFonts w:hint="default" w:ascii="Segoe UI" w:hAnsi="Segoe UI" w:cs="Segoe UI" w:eastAsiaTheme="minorEastAsi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2D21A93"/>
    <w:multiLevelType w:val="hybridMultilevel"/>
    <w:tmpl w:val="4A9477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A611320"/>
    <w:multiLevelType w:val="hybridMultilevel"/>
    <w:tmpl w:val="58201714"/>
    <w:lvl w:ilvl="0" w:tplc="08090003">
      <w:start w:val="1"/>
      <w:numFmt w:val="bullet"/>
      <w:lvlText w:val="o"/>
      <w:lvlJc w:val="left"/>
      <w:pPr>
        <w:ind w:left="720" w:hanging="360"/>
      </w:pPr>
      <w:rPr>
        <w:rFonts w:hint="default" w:ascii="Courier New" w:hAnsi="Courier New" w:cs="Courier New"/>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0E4ED9"/>
    <w:multiLevelType w:val="hybridMultilevel"/>
    <w:tmpl w:val="8634F622"/>
    <w:lvl w:ilvl="0" w:tplc="08090003">
      <w:start w:val="1"/>
      <w:numFmt w:val="bullet"/>
      <w:lvlText w:val="o"/>
      <w:lvlJc w:val="left"/>
      <w:pPr>
        <w:ind w:left="720" w:hanging="360"/>
      </w:pPr>
      <w:rPr>
        <w:rFonts w:hint="default" w:ascii="Courier New" w:hAnsi="Courier New" w:cs="Courier New"/>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80F37A7"/>
    <w:multiLevelType w:val="hybridMultilevel"/>
    <w:tmpl w:val="08B0ADAC"/>
    <w:lvl w:ilvl="0" w:tplc="08090001">
      <w:start w:val="1"/>
      <w:numFmt w:val="bullet"/>
      <w:lvlText w:val=""/>
      <w:lvlJc w:val="left"/>
      <w:pPr>
        <w:ind w:left="1800" w:hanging="72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9F3429B"/>
    <w:multiLevelType w:val="hybridMultilevel"/>
    <w:tmpl w:val="BB6E0F7C"/>
    <w:lvl w:ilvl="0" w:tplc="08090001">
      <w:start w:val="1"/>
      <w:numFmt w:val="bullet"/>
      <w:lvlText w:val=""/>
      <w:lvlJc w:val="left"/>
      <w:pPr>
        <w:ind w:left="720" w:hanging="360"/>
      </w:pPr>
      <w:rPr>
        <w:rFonts w:hint="default" w:ascii="Symbol" w:hAnsi="Symbol"/>
      </w:rPr>
    </w:lvl>
    <w:lvl w:ilvl="1" w:tplc="54908928">
      <w:numFmt w:val="bullet"/>
      <w:lvlText w:val="•"/>
      <w:lvlJc w:val="left"/>
      <w:pPr>
        <w:ind w:left="1800" w:hanging="720"/>
      </w:pPr>
      <w:rPr>
        <w:rFonts w:hint="default" w:ascii="Segoe UI" w:hAnsi="Segoe UI" w:cs="Segoe UI" w:eastAsiaTheme="minorEastAsia"/>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2"/>
  </w:num>
  <w:num w:numId="4" w16cid:durableId="931426930">
    <w:abstractNumId w:val="25"/>
  </w:num>
  <w:num w:numId="5" w16cid:durableId="1422484198">
    <w:abstractNumId w:val="21"/>
  </w:num>
  <w:num w:numId="6" w16cid:durableId="552929862">
    <w:abstractNumId w:val="22"/>
  </w:num>
  <w:num w:numId="7" w16cid:durableId="587203086">
    <w:abstractNumId w:val="26"/>
  </w:num>
  <w:num w:numId="8" w16cid:durableId="389156196">
    <w:abstractNumId w:val="17"/>
  </w:num>
  <w:num w:numId="9" w16cid:durableId="1393503788">
    <w:abstractNumId w:val="4"/>
  </w:num>
  <w:num w:numId="10" w16cid:durableId="1579359955">
    <w:abstractNumId w:val="14"/>
  </w:num>
  <w:num w:numId="11" w16cid:durableId="806699681">
    <w:abstractNumId w:val="16"/>
  </w:num>
  <w:num w:numId="12" w16cid:durableId="1314750107">
    <w:abstractNumId w:val="13"/>
  </w:num>
  <w:num w:numId="13" w16cid:durableId="1766919701">
    <w:abstractNumId w:val="20"/>
  </w:num>
  <w:num w:numId="14" w16cid:durableId="1957908719">
    <w:abstractNumId w:val="9"/>
  </w:num>
  <w:num w:numId="15" w16cid:durableId="1132019979">
    <w:abstractNumId w:val="3"/>
  </w:num>
  <w:num w:numId="16" w16cid:durableId="1457524365">
    <w:abstractNumId w:val="6"/>
  </w:num>
  <w:num w:numId="17" w16cid:durableId="1386294306">
    <w:abstractNumId w:val="28"/>
  </w:num>
  <w:num w:numId="18" w16cid:durableId="1838374920">
    <w:abstractNumId w:val="23"/>
  </w:num>
  <w:num w:numId="19" w16cid:durableId="1827044992">
    <w:abstractNumId w:val="8"/>
  </w:num>
  <w:num w:numId="20" w16cid:durableId="895820667">
    <w:abstractNumId w:val="19"/>
  </w:num>
  <w:num w:numId="21" w16cid:durableId="817497522">
    <w:abstractNumId w:val="30"/>
  </w:num>
  <w:num w:numId="22" w16cid:durableId="725690465">
    <w:abstractNumId w:val="0"/>
  </w:num>
  <w:num w:numId="23" w16cid:durableId="1727988970">
    <w:abstractNumId w:val="10"/>
  </w:num>
  <w:num w:numId="24" w16cid:durableId="12190578">
    <w:abstractNumId w:val="5"/>
  </w:num>
  <w:num w:numId="25" w16cid:durableId="710569722">
    <w:abstractNumId w:val="11"/>
  </w:num>
  <w:num w:numId="26" w16cid:durableId="1148400219">
    <w:abstractNumId w:val="27"/>
  </w:num>
  <w:num w:numId="27" w16cid:durableId="306206197">
    <w:abstractNumId w:val="15"/>
  </w:num>
  <w:num w:numId="28" w16cid:durableId="478228848">
    <w:abstractNumId w:val="24"/>
  </w:num>
  <w:num w:numId="29" w16cid:durableId="1868250093">
    <w:abstractNumId w:val="18"/>
  </w:num>
  <w:num w:numId="30" w16cid:durableId="17197285">
    <w:abstractNumId w:val="29"/>
  </w:num>
  <w:num w:numId="31" w16cid:durableId="1219708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1209"/>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07287"/>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D868"/>
    <w:rsid w:val="00E82723"/>
    <w:rsid w:val="00EA29A5"/>
    <w:rsid w:val="00EC107C"/>
    <w:rsid w:val="00EC60EF"/>
    <w:rsid w:val="00EC7EBE"/>
    <w:rsid w:val="00EC7FD2"/>
    <w:rsid w:val="00ED5964"/>
    <w:rsid w:val="00F1720B"/>
    <w:rsid w:val="00F36ADC"/>
    <w:rsid w:val="00F430B7"/>
    <w:rsid w:val="00F514B7"/>
    <w:rsid w:val="00F605C6"/>
    <w:rsid w:val="00F6785B"/>
    <w:rsid w:val="00F734EE"/>
    <w:rsid w:val="00F915D6"/>
    <w:rsid w:val="00FF2B0A"/>
    <w:rsid w:val="00FF5D06"/>
    <w:rsid w:val="025433FC"/>
    <w:rsid w:val="0487CA74"/>
    <w:rsid w:val="06602915"/>
    <w:rsid w:val="07FED1E1"/>
    <w:rsid w:val="08CD5BFF"/>
    <w:rsid w:val="0C627B88"/>
    <w:rsid w:val="0D677ED6"/>
    <w:rsid w:val="0E41E7F2"/>
    <w:rsid w:val="0FF01804"/>
    <w:rsid w:val="102CD8C1"/>
    <w:rsid w:val="1171346D"/>
    <w:rsid w:val="12C06628"/>
    <w:rsid w:val="157D4096"/>
    <w:rsid w:val="15C26768"/>
    <w:rsid w:val="16031703"/>
    <w:rsid w:val="184693E4"/>
    <w:rsid w:val="187234F8"/>
    <w:rsid w:val="1A358995"/>
    <w:rsid w:val="1C9EA173"/>
    <w:rsid w:val="1E174BDE"/>
    <w:rsid w:val="1E26189C"/>
    <w:rsid w:val="1E75F40D"/>
    <w:rsid w:val="2165094A"/>
    <w:rsid w:val="2512E0D7"/>
    <w:rsid w:val="26015F0C"/>
    <w:rsid w:val="29072EE9"/>
    <w:rsid w:val="2ABF6CCB"/>
    <w:rsid w:val="2D0187BA"/>
    <w:rsid w:val="2E714E72"/>
    <w:rsid w:val="2EDA9A61"/>
    <w:rsid w:val="2EDDA810"/>
    <w:rsid w:val="2F171164"/>
    <w:rsid w:val="301A831A"/>
    <w:rsid w:val="311C484E"/>
    <w:rsid w:val="32083454"/>
    <w:rsid w:val="328ABFE9"/>
    <w:rsid w:val="35CE8670"/>
    <w:rsid w:val="36E58FF2"/>
    <w:rsid w:val="378D7515"/>
    <w:rsid w:val="37A2FF74"/>
    <w:rsid w:val="391301BA"/>
    <w:rsid w:val="39938B1E"/>
    <w:rsid w:val="3CCF29D0"/>
    <w:rsid w:val="3D9C23C5"/>
    <w:rsid w:val="42227C9F"/>
    <w:rsid w:val="43305A38"/>
    <w:rsid w:val="43577787"/>
    <w:rsid w:val="439EFF2A"/>
    <w:rsid w:val="449D3FC2"/>
    <w:rsid w:val="4702F5FE"/>
    <w:rsid w:val="494A30E1"/>
    <w:rsid w:val="4A687B74"/>
    <w:rsid w:val="4A8CF21F"/>
    <w:rsid w:val="4C0168DB"/>
    <w:rsid w:val="4DC4B66D"/>
    <w:rsid w:val="4DDC4E0F"/>
    <w:rsid w:val="4EBE6B9F"/>
    <w:rsid w:val="4EDDE190"/>
    <w:rsid w:val="4FA06C8E"/>
    <w:rsid w:val="50142562"/>
    <w:rsid w:val="55213CD7"/>
    <w:rsid w:val="5524AFBB"/>
    <w:rsid w:val="5691D82C"/>
    <w:rsid w:val="59FAE0CD"/>
    <w:rsid w:val="5A38D9CD"/>
    <w:rsid w:val="5C1FF71D"/>
    <w:rsid w:val="5C2AED51"/>
    <w:rsid w:val="5D7A8A07"/>
    <w:rsid w:val="5E0A313F"/>
    <w:rsid w:val="5E282050"/>
    <w:rsid w:val="5F565DF7"/>
    <w:rsid w:val="5F8126EE"/>
    <w:rsid w:val="60543146"/>
    <w:rsid w:val="63919261"/>
    <w:rsid w:val="63C4CCBD"/>
    <w:rsid w:val="64E16E86"/>
    <w:rsid w:val="6550897D"/>
    <w:rsid w:val="672BBF9B"/>
    <w:rsid w:val="679BB9B7"/>
    <w:rsid w:val="684E83CB"/>
    <w:rsid w:val="694E9B5A"/>
    <w:rsid w:val="6AC49C5C"/>
    <w:rsid w:val="6E263DDB"/>
    <w:rsid w:val="6E4A36AA"/>
    <w:rsid w:val="6E95FDA8"/>
    <w:rsid w:val="6F1F9D73"/>
    <w:rsid w:val="72256720"/>
    <w:rsid w:val="7533C554"/>
    <w:rsid w:val="753A5B53"/>
    <w:rsid w:val="77330FE5"/>
    <w:rsid w:val="77989C78"/>
    <w:rsid w:val="79EF017F"/>
    <w:rsid w:val="7A85A9A6"/>
    <w:rsid w:val="7A867952"/>
    <w:rsid w:val="7A9BD1B2"/>
    <w:rsid w:val="7AB01122"/>
    <w:rsid w:val="7DD83C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4.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ustomXml" Target="../customXml/item2.xml" Id="rId1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childrenscommissioner.gov.uk/report/where-are-englands-children-interim-findings-from-the-childrens-commissioners-attendance-audit/" TargetMode="External" Id="R97bc9ba0abd04a29" /><Relationship Type="http://schemas.openxmlformats.org/officeDocument/2006/relationships/hyperlink" Target="https://explore-education-statistics.service.gov.uk/find-statistics/pupil-absence-in-schools-in-england" TargetMode="External" Id="Re67cd89ce52149f2" /><Relationship Type="http://schemas.openxmlformats.org/officeDocument/2006/relationships/hyperlink" Target="http://cospaceoxford.org/findings/exercise-social-behaviours/" TargetMode="External" Id="Rae049861edb14b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7990FB2-219C-4EF1-AF99-49F2BB9A7F8B}"/>
</file>

<file path=customXml/itemProps3.xml><?xml version="1.0" encoding="utf-8"?>
<ds:datastoreItem xmlns:ds="http://schemas.openxmlformats.org/officeDocument/2006/customXml" ds:itemID="{15CEF242-167A-4C51-9AE0-D2CDB065401C}"/>
</file>

<file path=customXml/itemProps4.xml><?xml version="1.0" encoding="utf-8"?>
<ds:datastoreItem xmlns:ds="http://schemas.openxmlformats.org/officeDocument/2006/customXml" ds:itemID="{B1EC4FD5-AD8C-4A6D-9A02-9BDF86B6DC0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Satinder Kaur (2535123)</lastModifiedBy>
  <revision>6</revision>
  <dcterms:created xsi:type="dcterms:W3CDTF">2026-07-09T13:53:00.0000000Z</dcterms:created>
  <dcterms:modified xsi:type="dcterms:W3CDTF">2026-07-19T13:22:58.1058534Z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0x0101004C25E9F81069594B8EEEA5603A582845</vt:lpwstr>
  </property>
</Properties>
</file>