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0381AD" w14:textId="546A168F" w:rsidR="004168F2" w:rsidRPr="004168F2" w:rsidRDefault="004168F2" w:rsidP="004168F2">
      <w:pPr>
        <w:pStyle w:val="Header"/>
        <w:jc w:val="right"/>
        <w:rPr>
          <w:rFonts w:ascii="Arial" w:hAnsi="Arial" w:cs="Arial"/>
          <w:b/>
          <w:sz w:val="24"/>
          <w:szCs w:val="28"/>
        </w:rPr>
      </w:pPr>
      <w:r w:rsidRPr="004168F2">
        <w:rPr>
          <w:rFonts w:ascii="Arial" w:hAnsi="Arial" w:cs="Arial"/>
          <w:noProof/>
          <w:sz w:val="20"/>
        </w:rPr>
        <w:drawing>
          <wp:anchor distT="0" distB="0" distL="114300" distR="114300" simplePos="0" relativeHeight="251659264" behindDoc="0" locked="0" layoutInCell="1" allowOverlap="1" wp14:anchorId="31FC7667" wp14:editId="3D572D1A">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4168F2">
        <w:rPr>
          <w:rFonts w:ascii="Arial" w:hAnsi="Arial" w:cs="Arial"/>
          <w:sz w:val="20"/>
        </w:rPr>
        <w:t xml:space="preserve"> </w:t>
      </w:r>
      <w:r w:rsidRPr="004168F2">
        <w:rPr>
          <w:rFonts w:ascii="Arial" w:hAnsi="Arial" w:cs="Arial"/>
          <w:b/>
          <w:sz w:val="24"/>
          <w:szCs w:val="28"/>
        </w:rPr>
        <w:t>ATODIAD GA36d</w:t>
      </w:r>
    </w:p>
    <w:p w14:paraId="1192A364" w14:textId="77777777" w:rsidR="004168F2" w:rsidRPr="004168F2" w:rsidRDefault="004168F2" w:rsidP="004168F2">
      <w:pPr>
        <w:rPr>
          <w:rFonts w:ascii="Arial" w:hAnsi="Arial" w:cs="Arial"/>
          <w:sz w:val="20"/>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4168F2" w:rsidRPr="004168F2" w14:paraId="3C065A80" w14:textId="77777777" w:rsidTr="00945F0D">
        <w:tc>
          <w:tcPr>
            <w:tcW w:w="8618" w:type="dxa"/>
            <w:shd w:val="clear" w:color="auto" w:fill="C0C0C0"/>
          </w:tcPr>
          <w:p w14:paraId="4192E920" w14:textId="77777777" w:rsidR="004168F2" w:rsidRPr="004168F2" w:rsidRDefault="004168F2" w:rsidP="00945F0D">
            <w:pPr>
              <w:pStyle w:val="Heading4"/>
              <w:rPr>
                <w:rFonts w:ascii="Arial" w:hAnsi="Arial" w:cs="Arial"/>
                <w:b/>
                <w:sz w:val="36"/>
              </w:rPr>
            </w:pPr>
            <w:r w:rsidRPr="004168F2">
              <w:rPr>
                <w:rFonts w:ascii="Arial" w:hAnsi="Arial" w:cs="Arial"/>
                <w:b/>
                <w:sz w:val="36"/>
                <w:lang w:val="cy-GB"/>
              </w:rPr>
              <w:t>MANYLEB ASESU LEFEL 7</w:t>
            </w:r>
            <w:r w:rsidRPr="004168F2">
              <w:rPr>
                <w:rFonts w:ascii="Arial" w:hAnsi="Arial" w:cs="Arial"/>
                <w:b/>
                <w:sz w:val="36"/>
              </w:rPr>
              <w:t xml:space="preserve"> </w:t>
            </w:r>
          </w:p>
        </w:tc>
      </w:tr>
    </w:tbl>
    <w:p w14:paraId="5ACAAD3A" w14:textId="77777777" w:rsidR="004168F2" w:rsidRPr="004168F2" w:rsidRDefault="004168F2" w:rsidP="004168F2">
      <w:pPr>
        <w:rPr>
          <w:rFonts w:ascii="Arial" w:hAnsi="Arial" w:cs="Arial"/>
          <w:b/>
          <w:i/>
          <w:sz w:val="28"/>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168F2" w:rsidRPr="004168F2" w14:paraId="0C1C9EED" w14:textId="77777777" w:rsidTr="00945F0D">
        <w:tc>
          <w:tcPr>
            <w:tcW w:w="2093" w:type="dxa"/>
            <w:shd w:val="pct15" w:color="auto" w:fill="auto"/>
          </w:tcPr>
          <w:p w14:paraId="2C6463E9"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Enw’r myfyriwr:</w:t>
            </w:r>
          </w:p>
        </w:tc>
        <w:tc>
          <w:tcPr>
            <w:tcW w:w="3293" w:type="dxa"/>
          </w:tcPr>
          <w:p w14:paraId="2259B352"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Shannon Hughes</w:t>
            </w:r>
          </w:p>
        </w:tc>
        <w:tc>
          <w:tcPr>
            <w:tcW w:w="2268" w:type="dxa"/>
            <w:shd w:val="clear" w:color="auto" w:fill="D9D9D9"/>
          </w:tcPr>
          <w:p w14:paraId="664103D0"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Rhif Adnabod y myfyriwr:</w:t>
            </w:r>
          </w:p>
        </w:tc>
        <w:tc>
          <w:tcPr>
            <w:tcW w:w="2268" w:type="dxa"/>
          </w:tcPr>
          <w:p w14:paraId="673C3726"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1800276</w:t>
            </w:r>
          </w:p>
        </w:tc>
      </w:tr>
      <w:tr w:rsidR="004168F2" w:rsidRPr="004168F2" w14:paraId="3E814685" w14:textId="77777777" w:rsidTr="00945F0D">
        <w:tc>
          <w:tcPr>
            <w:tcW w:w="2093" w:type="dxa"/>
            <w:shd w:val="pct15" w:color="auto" w:fill="auto"/>
          </w:tcPr>
          <w:p w14:paraId="41098FB6"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Rhaglen:</w:t>
            </w:r>
          </w:p>
        </w:tc>
        <w:tc>
          <w:tcPr>
            <w:tcW w:w="7829" w:type="dxa"/>
            <w:gridSpan w:val="3"/>
          </w:tcPr>
          <w:p w14:paraId="26DB1A00"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TAR Uwchradd</w:t>
            </w:r>
          </w:p>
        </w:tc>
      </w:tr>
      <w:tr w:rsidR="004168F2" w:rsidRPr="004168F2" w14:paraId="652B0A87" w14:textId="77777777" w:rsidTr="00945F0D">
        <w:tc>
          <w:tcPr>
            <w:tcW w:w="2093" w:type="dxa"/>
            <w:shd w:val="pct15" w:color="auto" w:fill="auto"/>
          </w:tcPr>
          <w:p w14:paraId="007B31F7"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Modwl:</w:t>
            </w:r>
          </w:p>
        </w:tc>
        <w:tc>
          <w:tcPr>
            <w:tcW w:w="7829" w:type="dxa"/>
            <w:gridSpan w:val="3"/>
            <w:shd w:val="clear" w:color="auto" w:fill="auto"/>
          </w:tcPr>
          <w:p w14:paraId="11387573" w14:textId="77777777" w:rsidR="004168F2" w:rsidRPr="004168F2" w:rsidRDefault="004168F2" w:rsidP="00945F0D">
            <w:pPr>
              <w:pStyle w:val="NormalWeb"/>
              <w:rPr>
                <w:sz w:val="22"/>
              </w:rPr>
            </w:pPr>
            <w:proofErr w:type="spellStart"/>
            <w:r w:rsidRPr="004168F2">
              <w:rPr>
                <w:rFonts w:ascii="Arial" w:hAnsi="Arial" w:cs="Arial"/>
                <w:b/>
                <w:bCs/>
                <w:sz w:val="20"/>
                <w:szCs w:val="22"/>
              </w:rPr>
              <w:t>Datblygu</w:t>
            </w:r>
            <w:proofErr w:type="spellEnd"/>
            <w:r w:rsidRPr="004168F2">
              <w:rPr>
                <w:rFonts w:ascii="Arial" w:hAnsi="Arial" w:cs="Arial"/>
                <w:b/>
                <w:bCs/>
                <w:sz w:val="20"/>
                <w:szCs w:val="22"/>
              </w:rPr>
              <w:t xml:space="preserve"> a </w:t>
            </w:r>
            <w:proofErr w:type="spellStart"/>
            <w:r w:rsidRPr="004168F2">
              <w:rPr>
                <w:rFonts w:ascii="Arial" w:hAnsi="Arial" w:cs="Arial"/>
                <w:b/>
                <w:bCs/>
                <w:sz w:val="20"/>
                <w:szCs w:val="22"/>
              </w:rPr>
              <w:t>Chyfoethogi’r</w:t>
            </w:r>
            <w:proofErr w:type="spellEnd"/>
            <w:r w:rsidRPr="004168F2">
              <w:rPr>
                <w:rFonts w:ascii="Arial" w:hAnsi="Arial" w:cs="Arial"/>
                <w:b/>
                <w:bCs/>
                <w:sz w:val="20"/>
                <w:szCs w:val="22"/>
              </w:rPr>
              <w:t xml:space="preserve"> </w:t>
            </w:r>
            <w:proofErr w:type="spellStart"/>
            <w:r w:rsidRPr="004168F2">
              <w:rPr>
                <w:rFonts w:ascii="Arial" w:hAnsi="Arial" w:cs="Arial"/>
                <w:b/>
                <w:bCs/>
                <w:sz w:val="20"/>
                <w:szCs w:val="22"/>
              </w:rPr>
              <w:t>Cwricwlwm</w:t>
            </w:r>
            <w:proofErr w:type="spellEnd"/>
            <w:r w:rsidRPr="004168F2">
              <w:rPr>
                <w:rFonts w:ascii="Arial" w:hAnsi="Arial" w:cs="Arial"/>
                <w:b/>
                <w:bCs/>
                <w:sz w:val="20"/>
                <w:szCs w:val="22"/>
              </w:rPr>
              <w:t xml:space="preserve"> </w:t>
            </w:r>
          </w:p>
          <w:p w14:paraId="3DFE7068" w14:textId="77777777" w:rsidR="004168F2" w:rsidRPr="004168F2" w:rsidRDefault="004168F2" w:rsidP="00945F0D">
            <w:pPr>
              <w:spacing w:before="120" w:after="120"/>
              <w:jc w:val="both"/>
              <w:rPr>
                <w:rFonts w:ascii="Arial" w:hAnsi="Arial" w:cs="Arial"/>
                <w:b/>
                <w:sz w:val="20"/>
              </w:rPr>
            </w:pPr>
          </w:p>
        </w:tc>
      </w:tr>
      <w:tr w:rsidR="004168F2" w:rsidRPr="004168F2" w14:paraId="6ED0016E" w14:textId="77777777" w:rsidTr="00945F0D">
        <w:tc>
          <w:tcPr>
            <w:tcW w:w="2093" w:type="dxa"/>
            <w:shd w:val="pct15" w:color="auto" w:fill="auto"/>
          </w:tcPr>
          <w:p w14:paraId="3F3FBCCD"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Cod y modwl:</w:t>
            </w:r>
          </w:p>
        </w:tc>
        <w:tc>
          <w:tcPr>
            <w:tcW w:w="3293" w:type="dxa"/>
          </w:tcPr>
          <w:p w14:paraId="0B3AE38F"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ECSP7002C</w:t>
            </w:r>
          </w:p>
        </w:tc>
        <w:tc>
          <w:tcPr>
            <w:tcW w:w="2268" w:type="dxa"/>
            <w:shd w:val="clear" w:color="auto" w:fill="D9D9D9"/>
          </w:tcPr>
          <w:p w14:paraId="6D38ABAE" w14:textId="77777777" w:rsidR="004168F2" w:rsidRPr="004168F2" w:rsidRDefault="004168F2" w:rsidP="00945F0D">
            <w:pPr>
              <w:pStyle w:val="Heading2"/>
              <w:rPr>
                <w:rFonts w:ascii="Arial" w:hAnsi="Arial" w:cs="Arial"/>
                <w:sz w:val="20"/>
                <w:szCs w:val="22"/>
              </w:rPr>
            </w:pPr>
            <w:r w:rsidRPr="004168F2">
              <w:rPr>
                <w:rFonts w:ascii="Arial" w:hAnsi="Arial" w:cs="Arial"/>
                <w:sz w:val="20"/>
                <w:szCs w:val="22"/>
                <w:lang w:val="cy-GB"/>
              </w:rPr>
              <w:t>Cyfraniad at Asesiad Cyffredinol y Modwl  (%):</w:t>
            </w:r>
          </w:p>
        </w:tc>
        <w:tc>
          <w:tcPr>
            <w:tcW w:w="2268" w:type="dxa"/>
          </w:tcPr>
          <w:p w14:paraId="321F1E09"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100%</w:t>
            </w:r>
          </w:p>
        </w:tc>
      </w:tr>
      <w:tr w:rsidR="004168F2" w:rsidRPr="004168F2" w14:paraId="1BD9CDE6" w14:textId="77777777" w:rsidTr="00945F0D">
        <w:tc>
          <w:tcPr>
            <w:tcW w:w="2093" w:type="dxa"/>
            <w:shd w:val="pct15" w:color="auto" w:fill="auto"/>
          </w:tcPr>
          <w:p w14:paraId="3CD3C1B6"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Darlithydd:</w:t>
            </w:r>
          </w:p>
        </w:tc>
        <w:tc>
          <w:tcPr>
            <w:tcW w:w="3293" w:type="dxa"/>
          </w:tcPr>
          <w:p w14:paraId="22BB3A90"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Helen Denny</w:t>
            </w:r>
          </w:p>
        </w:tc>
        <w:tc>
          <w:tcPr>
            <w:tcW w:w="2268" w:type="dxa"/>
            <w:shd w:val="clear" w:color="auto" w:fill="D9D9D9"/>
          </w:tcPr>
          <w:p w14:paraId="03C258D1"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Gwiriwr Mewnol:</w:t>
            </w:r>
          </w:p>
        </w:tc>
        <w:tc>
          <w:tcPr>
            <w:tcW w:w="2268" w:type="dxa"/>
          </w:tcPr>
          <w:p w14:paraId="51D60DBC" w14:textId="77777777" w:rsidR="004168F2" w:rsidRPr="004168F2" w:rsidRDefault="004168F2" w:rsidP="00945F0D">
            <w:pPr>
              <w:spacing w:before="120" w:after="120"/>
              <w:jc w:val="both"/>
              <w:rPr>
                <w:rFonts w:ascii="Arial" w:hAnsi="Arial" w:cs="Arial"/>
                <w:b/>
                <w:sz w:val="20"/>
              </w:rPr>
            </w:pPr>
          </w:p>
        </w:tc>
      </w:tr>
      <w:tr w:rsidR="004168F2" w:rsidRPr="004168F2" w14:paraId="4458BA21" w14:textId="77777777" w:rsidTr="00945F0D">
        <w:tc>
          <w:tcPr>
            <w:tcW w:w="2093" w:type="dxa"/>
            <w:shd w:val="pct15" w:color="auto" w:fill="auto"/>
          </w:tcPr>
          <w:p w14:paraId="0DBCB9EA"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Teitl yr Aseiniad:</w:t>
            </w:r>
          </w:p>
        </w:tc>
        <w:tc>
          <w:tcPr>
            <w:tcW w:w="3293" w:type="dxa"/>
          </w:tcPr>
          <w:p w14:paraId="1C34F2D1" w14:textId="77777777" w:rsidR="004168F2" w:rsidRPr="004168F2" w:rsidRDefault="004168F2" w:rsidP="00945F0D">
            <w:pPr>
              <w:pStyle w:val="NormalWeb"/>
              <w:rPr>
                <w:sz w:val="22"/>
              </w:rPr>
            </w:pPr>
            <w:proofErr w:type="spellStart"/>
            <w:r w:rsidRPr="004168F2">
              <w:rPr>
                <w:rFonts w:ascii="Arial" w:hAnsi="Arial" w:cs="Arial"/>
                <w:b/>
                <w:bCs/>
                <w:color w:val="1C1C1C"/>
                <w:sz w:val="20"/>
                <w:szCs w:val="22"/>
              </w:rPr>
              <w:t>Astudiaeth</w:t>
            </w:r>
            <w:proofErr w:type="spellEnd"/>
            <w:r w:rsidRPr="004168F2">
              <w:rPr>
                <w:rFonts w:ascii="Arial" w:hAnsi="Arial" w:cs="Arial"/>
                <w:b/>
                <w:bCs/>
                <w:color w:val="1C1C1C"/>
                <w:sz w:val="20"/>
                <w:szCs w:val="22"/>
              </w:rPr>
              <w:t xml:space="preserve"> </w:t>
            </w:r>
            <w:proofErr w:type="spellStart"/>
            <w:r w:rsidRPr="004168F2">
              <w:rPr>
                <w:rFonts w:ascii="Arial" w:hAnsi="Arial" w:cs="Arial"/>
                <w:b/>
                <w:bCs/>
                <w:color w:val="1C1C1C"/>
                <w:sz w:val="20"/>
                <w:szCs w:val="22"/>
              </w:rPr>
              <w:t>Ymchwil</w:t>
            </w:r>
            <w:proofErr w:type="spellEnd"/>
            <w:r w:rsidRPr="004168F2">
              <w:rPr>
                <w:rFonts w:ascii="Arial" w:hAnsi="Arial" w:cs="Arial"/>
                <w:b/>
                <w:bCs/>
                <w:color w:val="1C1C1C"/>
                <w:sz w:val="20"/>
                <w:szCs w:val="22"/>
              </w:rPr>
              <w:t xml:space="preserve"> </w:t>
            </w:r>
            <w:proofErr w:type="spellStart"/>
            <w:r w:rsidRPr="004168F2">
              <w:rPr>
                <w:rFonts w:ascii="Arial" w:hAnsi="Arial" w:cs="Arial"/>
                <w:b/>
                <w:bCs/>
                <w:color w:val="1C1C1C"/>
                <w:sz w:val="20"/>
                <w:szCs w:val="22"/>
              </w:rPr>
              <w:t>yn</w:t>
            </w:r>
            <w:proofErr w:type="spellEnd"/>
            <w:r w:rsidRPr="004168F2">
              <w:rPr>
                <w:rFonts w:ascii="Arial" w:hAnsi="Arial" w:cs="Arial"/>
                <w:b/>
                <w:bCs/>
                <w:color w:val="1C1C1C"/>
                <w:sz w:val="20"/>
                <w:szCs w:val="22"/>
              </w:rPr>
              <w:t xml:space="preserve"> </w:t>
            </w:r>
            <w:proofErr w:type="spellStart"/>
            <w:r w:rsidRPr="004168F2">
              <w:rPr>
                <w:rFonts w:ascii="Arial" w:hAnsi="Arial" w:cs="Arial"/>
                <w:b/>
                <w:bCs/>
                <w:color w:val="1C1C1C"/>
                <w:sz w:val="20"/>
                <w:szCs w:val="22"/>
              </w:rPr>
              <w:t>cynnwys</w:t>
            </w:r>
            <w:proofErr w:type="spellEnd"/>
            <w:r w:rsidRPr="004168F2">
              <w:rPr>
                <w:rFonts w:ascii="Arial" w:hAnsi="Arial" w:cs="Arial"/>
                <w:b/>
                <w:bCs/>
                <w:color w:val="1C1C1C"/>
                <w:sz w:val="20"/>
                <w:szCs w:val="22"/>
              </w:rPr>
              <w:t xml:space="preserve"> </w:t>
            </w:r>
            <w:proofErr w:type="spellStart"/>
            <w:r w:rsidRPr="004168F2">
              <w:rPr>
                <w:rFonts w:ascii="Arial" w:hAnsi="Arial" w:cs="Arial"/>
                <w:b/>
                <w:bCs/>
                <w:sz w:val="20"/>
                <w:szCs w:val="22"/>
              </w:rPr>
              <w:t>Ffurflen</w:t>
            </w:r>
            <w:proofErr w:type="spellEnd"/>
            <w:r w:rsidRPr="004168F2">
              <w:rPr>
                <w:rFonts w:ascii="Arial" w:hAnsi="Arial" w:cs="Arial"/>
                <w:b/>
                <w:bCs/>
                <w:sz w:val="20"/>
                <w:szCs w:val="22"/>
              </w:rPr>
              <w:t xml:space="preserve"> </w:t>
            </w:r>
            <w:proofErr w:type="spellStart"/>
            <w:r w:rsidRPr="004168F2">
              <w:rPr>
                <w:rFonts w:ascii="Arial" w:hAnsi="Arial" w:cs="Arial"/>
                <w:b/>
                <w:bCs/>
                <w:sz w:val="20"/>
                <w:szCs w:val="22"/>
              </w:rPr>
              <w:t>Foeseg</w:t>
            </w:r>
            <w:proofErr w:type="spellEnd"/>
            <w:r w:rsidRPr="004168F2">
              <w:rPr>
                <w:rFonts w:ascii="Arial" w:hAnsi="Arial" w:cs="Arial"/>
                <w:b/>
                <w:bCs/>
                <w:sz w:val="20"/>
                <w:szCs w:val="22"/>
              </w:rPr>
              <w:t xml:space="preserve"> </w:t>
            </w:r>
          </w:p>
          <w:p w14:paraId="3654073B" w14:textId="77777777" w:rsidR="004168F2" w:rsidRPr="004168F2" w:rsidRDefault="004168F2" w:rsidP="00945F0D">
            <w:pPr>
              <w:spacing w:before="120" w:after="120"/>
              <w:jc w:val="both"/>
              <w:rPr>
                <w:rFonts w:ascii="Arial" w:hAnsi="Arial" w:cs="Arial"/>
                <w:b/>
                <w:sz w:val="20"/>
              </w:rPr>
            </w:pPr>
          </w:p>
        </w:tc>
        <w:tc>
          <w:tcPr>
            <w:tcW w:w="2268" w:type="dxa"/>
            <w:shd w:val="pct15" w:color="auto" w:fill="auto"/>
          </w:tcPr>
          <w:p w14:paraId="50A62AF7"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 xml:space="preserve">Nifer o eiriau (neu’r cyfwerth): </w:t>
            </w:r>
          </w:p>
        </w:tc>
        <w:tc>
          <w:tcPr>
            <w:tcW w:w="2268" w:type="dxa"/>
          </w:tcPr>
          <w:p w14:paraId="11CB18FB" w14:textId="77777777" w:rsidR="004168F2" w:rsidRPr="004168F2" w:rsidRDefault="004168F2" w:rsidP="00945F0D">
            <w:pPr>
              <w:pStyle w:val="NormalWeb"/>
              <w:rPr>
                <w:sz w:val="22"/>
              </w:rPr>
            </w:pPr>
            <w:r w:rsidRPr="004168F2">
              <w:rPr>
                <w:rFonts w:ascii="Arial" w:hAnsi="Arial" w:cs="Arial"/>
                <w:b/>
                <w:bCs/>
                <w:sz w:val="20"/>
                <w:szCs w:val="22"/>
              </w:rPr>
              <w:t xml:space="preserve">10,000 words </w:t>
            </w:r>
            <w:proofErr w:type="spellStart"/>
            <w:r w:rsidRPr="004168F2">
              <w:rPr>
                <w:rFonts w:ascii="Arial" w:hAnsi="Arial" w:cs="Arial"/>
                <w:b/>
                <w:bCs/>
                <w:sz w:val="20"/>
                <w:szCs w:val="22"/>
              </w:rPr>
              <w:t>yn</w:t>
            </w:r>
            <w:proofErr w:type="spellEnd"/>
            <w:r w:rsidRPr="004168F2">
              <w:rPr>
                <w:rFonts w:ascii="Arial" w:hAnsi="Arial" w:cs="Arial"/>
                <w:b/>
                <w:bCs/>
                <w:sz w:val="20"/>
                <w:szCs w:val="22"/>
              </w:rPr>
              <w:t xml:space="preserve"> </w:t>
            </w:r>
            <w:proofErr w:type="spellStart"/>
            <w:r w:rsidRPr="004168F2">
              <w:rPr>
                <w:rFonts w:ascii="Arial" w:hAnsi="Arial" w:cs="Arial"/>
                <w:b/>
                <w:bCs/>
                <w:sz w:val="20"/>
                <w:szCs w:val="22"/>
              </w:rPr>
              <w:t>cynnwys</w:t>
            </w:r>
            <w:proofErr w:type="spellEnd"/>
            <w:r w:rsidRPr="004168F2">
              <w:rPr>
                <w:rFonts w:ascii="Arial" w:hAnsi="Arial" w:cs="Arial"/>
                <w:b/>
                <w:bCs/>
                <w:sz w:val="20"/>
                <w:szCs w:val="22"/>
              </w:rPr>
              <w:t xml:space="preserve"> </w:t>
            </w:r>
            <w:proofErr w:type="spellStart"/>
            <w:r w:rsidRPr="004168F2">
              <w:rPr>
                <w:rFonts w:ascii="Arial" w:hAnsi="Arial" w:cs="Arial"/>
                <w:b/>
                <w:bCs/>
                <w:sz w:val="20"/>
                <w:szCs w:val="22"/>
              </w:rPr>
              <w:t>ffurflen</w:t>
            </w:r>
            <w:proofErr w:type="spellEnd"/>
            <w:r w:rsidRPr="004168F2">
              <w:rPr>
                <w:rFonts w:ascii="Arial" w:hAnsi="Arial" w:cs="Arial"/>
                <w:b/>
                <w:bCs/>
                <w:sz w:val="20"/>
                <w:szCs w:val="22"/>
              </w:rPr>
              <w:t xml:space="preserve"> </w:t>
            </w:r>
            <w:proofErr w:type="spellStart"/>
            <w:r w:rsidRPr="004168F2">
              <w:rPr>
                <w:rFonts w:ascii="Arial" w:hAnsi="Arial" w:cs="Arial"/>
                <w:b/>
                <w:bCs/>
                <w:sz w:val="20"/>
                <w:szCs w:val="22"/>
              </w:rPr>
              <w:t>moeseg</w:t>
            </w:r>
            <w:proofErr w:type="spellEnd"/>
            <w:r w:rsidRPr="004168F2">
              <w:rPr>
                <w:rFonts w:ascii="Arial" w:hAnsi="Arial" w:cs="Arial"/>
                <w:b/>
                <w:bCs/>
                <w:sz w:val="20"/>
                <w:szCs w:val="22"/>
              </w:rPr>
              <w:t xml:space="preserve"> </w:t>
            </w:r>
            <w:proofErr w:type="gramStart"/>
            <w:r w:rsidRPr="004168F2">
              <w:rPr>
                <w:rFonts w:ascii="Arial" w:hAnsi="Arial" w:cs="Arial"/>
                <w:b/>
                <w:bCs/>
                <w:sz w:val="20"/>
                <w:szCs w:val="22"/>
              </w:rPr>
              <w:t xml:space="preserve">( </w:t>
            </w:r>
            <w:proofErr w:type="spellStart"/>
            <w:r w:rsidRPr="004168F2">
              <w:rPr>
                <w:rFonts w:ascii="Arial" w:hAnsi="Arial" w:cs="Arial"/>
                <w:b/>
                <w:bCs/>
                <w:sz w:val="20"/>
                <w:szCs w:val="22"/>
              </w:rPr>
              <w:t>i</w:t>
            </w:r>
            <w:proofErr w:type="spellEnd"/>
            <w:proofErr w:type="gramEnd"/>
            <w:r w:rsidRPr="004168F2">
              <w:rPr>
                <w:rFonts w:ascii="Arial" w:hAnsi="Arial" w:cs="Arial"/>
                <w:b/>
                <w:bCs/>
                <w:sz w:val="20"/>
                <w:szCs w:val="22"/>
              </w:rPr>
              <w:t xml:space="preserve"> </w:t>
            </w:r>
            <w:proofErr w:type="spellStart"/>
            <w:r w:rsidRPr="004168F2">
              <w:rPr>
                <w:rFonts w:ascii="Arial" w:hAnsi="Arial" w:cs="Arial"/>
                <w:b/>
                <w:bCs/>
                <w:sz w:val="20"/>
                <w:szCs w:val="22"/>
              </w:rPr>
              <w:t>gael</w:t>
            </w:r>
            <w:proofErr w:type="spellEnd"/>
            <w:r w:rsidRPr="004168F2">
              <w:rPr>
                <w:rFonts w:ascii="Arial" w:hAnsi="Arial" w:cs="Arial"/>
                <w:b/>
                <w:bCs/>
                <w:sz w:val="20"/>
                <w:szCs w:val="22"/>
              </w:rPr>
              <w:t xml:space="preserve"> </w:t>
            </w:r>
            <w:proofErr w:type="spellStart"/>
            <w:r w:rsidRPr="004168F2">
              <w:rPr>
                <w:rFonts w:ascii="Arial" w:hAnsi="Arial" w:cs="Arial"/>
                <w:b/>
                <w:bCs/>
                <w:sz w:val="20"/>
                <w:szCs w:val="22"/>
              </w:rPr>
              <w:t>ei</w:t>
            </w:r>
            <w:proofErr w:type="spellEnd"/>
            <w:r w:rsidRPr="004168F2">
              <w:rPr>
                <w:rFonts w:ascii="Arial" w:hAnsi="Arial" w:cs="Arial"/>
                <w:b/>
                <w:bCs/>
                <w:sz w:val="20"/>
                <w:szCs w:val="22"/>
              </w:rPr>
              <w:t xml:space="preserve"> </w:t>
            </w:r>
            <w:proofErr w:type="spellStart"/>
            <w:r w:rsidRPr="004168F2">
              <w:rPr>
                <w:rFonts w:ascii="Arial" w:hAnsi="Arial" w:cs="Arial"/>
                <w:b/>
                <w:bCs/>
                <w:sz w:val="20"/>
                <w:szCs w:val="22"/>
              </w:rPr>
              <w:t>roi</w:t>
            </w:r>
            <w:proofErr w:type="spellEnd"/>
            <w:r w:rsidRPr="004168F2">
              <w:rPr>
                <w:rFonts w:ascii="Arial" w:hAnsi="Arial" w:cs="Arial"/>
                <w:b/>
                <w:bCs/>
                <w:sz w:val="20"/>
                <w:szCs w:val="22"/>
              </w:rPr>
              <w:t xml:space="preserve"> I </w:t>
            </w:r>
            <w:proofErr w:type="spellStart"/>
            <w:r w:rsidRPr="004168F2">
              <w:rPr>
                <w:rFonts w:ascii="Arial" w:hAnsi="Arial" w:cs="Arial"/>
                <w:b/>
                <w:bCs/>
                <w:sz w:val="20"/>
                <w:szCs w:val="22"/>
              </w:rPr>
              <w:t>mewn</w:t>
            </w:r>
            <w:proofErr w:type="spellEnd"/>
            <w:r w:rsidRPr="004168F2">
              <w:rPr>
                <w:rFonts w:ascii="Arial" w:hAnsi="Arial" w:cs="Arial"/>
                <w:b/>
                <w:bCs/>
                <w:sz w:val="20"/>
                <w:szCs w:val="22"/>
              </w:rPr>
              <w:t xml:space="preserve"> </w:t>
            </w:r>
            <w:proofErr w:type="spellStart"/>
            <w:r w:rsidRPr="004168F2">
              <w:rPr>
                <w:rFonts w:ascii="Arial" w:hAnsi="Arial" w:cs="Arial"/>
                <w:b/>
                <w:bCs/>
                <w:sz w:val="20"/>
                <w:szCs w:val="22"/>
              </w:rPr>
              <w:t>Ionawr</w:t>
            </w:r>
            <w:proofErr w:type="spellEnd"/>
            <w:r w:rsidRPr="004168F2">
              <w:rPr>
                <w:rFonts w:ascii="Arial" w:hAnsi="Arial" w:cs="Arial"/>
                <w:b/>
                <w:bCs/>
                <w:sz w:val="20"/>
                <w:szCs w:val="22"/>
              </w:rPr>
              <w:t xml:space="preserve"> 11 2019) </w:t>
            </w:r>
          </w:p>
          <w:p w14:paraId="378A0118" w14:textId="77777777" w:rsidR="004168F2" w:rsidRPr="004168F2" w:rsidRDefault="004168F2" w:rsidP="00945F0D">
            <w:pPr>
              <w:spacing w:before="120" w:after="120"/>
              <w:jc w:val="both"/>
              <w:rPr>
                <w:rFonts w:ascii="Arial" w:hAnsi="Arial" w:cs="Arial"/>
                <w:b/>
                <w:sz w:val="20"/>
              </w:rPr>
            </w:pPr>
          </w:p>
        </w:tc>
      </w:tr>
      <w:tr w:rsidR="004168F2" w:rsidRPr="004168F2" w14:paraId="30432521" w14:textId="77777777" w:rsidTr="00945F0D">
        <w:tc>
          <w:tcPr>
            <w:tcW w:w="2093" w:type="dxa"/>
            <w:shd w:val="pct15" w:color="auto" w:fill="auto"/>
          </w:tcPr>
          <w:p w14:paraId="1AE9579C"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Dyddiad cyflwyno:</w:t>
            </w:r>
          </w:p>
        </w:tc>
        <w:tc>
          <w:tcPr>
            <w:tcW w:w="3293" w:type="dxa"/>
            <w:shd w:val="clear" w:color="auto" w:fill="auto"/>
          </w:tcPr>
          <w:p w14:paraId="04D2CA6D" w14:textId="77777777" w:rsidR="004168F2" w:rsidRPr="004168F2" w:rsidRDefault="004168F2" w:rsidP="00945F0D">
            <w:pPr>
              <w:pStyle w:val="NormalWeb"/>
              <w:rPr>
                <w:sz w:val="22"/>
              </w:rPr>
            </w:pPr>
            <w:r w:rsidRPr="004168F2">
              <w:rPr>
                <w:rFonts w:ascii="Arial" w:hAnsi="Arial" w:cs="Arial"/>
                <w:b/>
                <w:bCs/>
                <w:sz w:val="20"/>
                <w:szCs w:val="22"/>
              </w:rPr>
              <w:t xml:space="preserve">13 Mai 2019 </w:t>
            </w:r>
          </w:p>
          <w:p w14:paraId="25AC6767" w14:textId="77777777" w:rsidR="004168F2" w:rsidRPr="004168F2" w:rsidRDefault="004168F2" w:rsidP="00945F0D">
            <w:pPr>
              <w:spacing w:before="120" w:after="120"/>
              <w:jc w:val="both"/>
              <w:rPr>
                <w:rFonts w:ascii="Arial" w:hAnsi="Arial" w:cs="Arial"/>
                <w:b/>
                <w:sz w:val="20"/>
              </w:rPr>
            </w:pPr>
          </w:p>
        </w:tc>
        <w:tc>
          <w:tcPr>
            <w:tcW w:w="2268" w:type="dxa"/>
            <w:shd w:val="pct15" w:color="auto" w:fill="auto"/>
          </w:tcPr>
          <w:p w14:paraId="6207AFE9"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 xml:space="preserve">Dyddiad dychwelyd marciau dros dro ac adborth ysgrifenedig: </w:t>
            </w:r>
          </w:p>
        </w:tc>
        <w:tc>
          <w:tcPr>
            <w:tcW w:w="2268" w:type="dxa"/>
          </w:tcPr>
          <w:p w14:paraId="5BF46126" w14:textId="77777777" w:rsidR="004168F2" w:rsidRPr="004168F2" w:rsidRDefault="004168F2" w:rsidP="00945F0D">
            <w:pPr>
              <w:pStyle w:val="NormalWeb"/>
              <w:rPr>
                <w:sz w:val="22"/>
              </w:rPr>
            </w:pPr>
            <w:r w:rsidRPr="004168F2">
              <w:rPr>
                <w:rFonts w:ascii="Arial" w:hAnsi="Arial" w:cs="Arial"/>
                <w:b/>
                <w:bCs/>
                <w:sz w:val="20"/>
                <w:szCs w:val="22"/>
              </w:rPr>
              <w:t xml:space="preserve">10 </w:t>
            </w:r>
            <w:proofErr w:type="spellStart"/>
            <w:r w:rsidRPr="004168F2">
              <w:rPr>
                <w:rFonts w:ascii="Arial" w:hAnsi="Arial" w:cs="Arial"/>
                <w:b/>
                <w:bCs/>
                <w:sz w:val="20"/>
                <w:szCs w:val="22"/>
              </w:rPr>
              <w:t>Mehefin</w:t>
            </w:r>
            <w:proofErr w:type="spellEnd"/>
            <w:r w:rsidRPr="004168F2">
              <w:rPr>
                <w:rFonts w:ascii="Arial" w:hAnsi="Arial" w:cs="Arial"/>
                <w:b/>
                <w:bCs/>
                <w:sz w:val="20"/>
                <w:szCs w:val="22"/>
              </w:rPr>
              <w:t xml:space="preserve"> 2019 </w:t>
            </w:r>
          </w:p>
          <w:p w14:paraId="493FD109" w14:textId="77777777" w:rsidR="004168F2" w:rsidRPr="004168F2" w:rsidRDefault="004168F2" w:rsidP="00945F0D">
            <w:pPr>
              <w:spacing w:before="120" w:after="120"/>
              <w:jc w:val="both"/>
              <w:rPr>
                <w:rFonts w:ascii="Arial" w:hAnsi="Arial" w:cs="Arial"/>
                <w:b/>
                <w:sz w:val="20"/>
              </w:rPr>
            </w:pPr>
          </w:p>
        </w:tc>
      </w:tr>
      <w:tr w:rsidR="004168F2" w:rsidRPr="004168F2" w14:paraId="38E0C1A9" w14:textId="77777777" w:rsidTr="00945F0D">
        <w:tc>
          <w:tcPr>
            <w:tcW w:w="2093" w:type="dxa"/>
            <w:shd w:val="pct15" w:color="auto" w:fill="auto"/>
          </w:tcPr>
          <w:p w14:paraId="1AF43B2E"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 xml:space="preserve">Dull cyflwyno: </w:t>
            </w:r>
          </w:p>
        </w:tc>
        <w:tc>
          <w:tcPr>
            <w:tcW w:w="7829" w:type="dxa"/>
            <w:gridSpan w:val="3"/>
            <w:shd w:val="clear" w:color="auto" w:fill="auto"/>
          </w:tcPr>
          <w:p w14:paraId="268F2589" w14:textId="77777777" w:rsidR="004168F2" w:rsidRPr="004168F2" w:rsidRDefault="004168F2" w:rsidP="00945F0D">
            <w:pPr>
              <w:rPr>
                <w:rFonts w:ascii="Arial" w:hAnsi="Arial" w:cs="Arial"/>
                <w:sz w:val="20"/>
              </w:rPr>
            </w:pPr>
            <w:r w:rsidRPr="004168F2">
              <w:rPr>
                <w:rFonts w:ascii="Arial" w:hAnsi="Arial" w:cs="Arial"/>
                <w:sz w:val="20"/>
              </w:rPr>
              <w:t>Lle bo’n ymarferol ac yn bosibl, rhaid cyflwyno pob asesiad ysgrifenedig drwy Turnitin, oni nodir yn wahanol gan y Darlithydd.  (PEIDIWCH â rhoi’r fanyleb asesu hon i mewn i Turnitin neu bydd yn cyfateb i lawer o bethau tebyg yng nghyflwyniadau myfyrwyr eraill.)</w:t>
            </w:r>
          </w:p>
          <w:p w14:paraId="5C9FB9BB"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 xml:space="preserve">Dull cyflwyno arall (os ydy’n berthnasol): </w:t>
            </w:r>
          </w:p>
          <w:p w14:paraId="76A52747" w14:textId="77777777" w:rsidR="004168F2" w:rsidRPr="004168F2" w:rsidRDefault="004168F2" w:rsidP="00945F0D">
            <w:pPr>
              <w:spacing w:before="120" w:after="120"/>
              <w:jc w:val="both"/>
              <w:rPr>
                <w:rFonts w:ascii="Arial" w:hAnsi="Arial" w:cs="Arial"/>
                <w:b/>
                <w:sz w:val="20"/>
              </w:rPr>
            </w:pPr>
            <w:r w:rsidRPr="004168F2">
              <w:rPr>
                <w:rFonts w:ascii="Arial" w:hAnsi="Arial" w:cs="Arial"/>
                <w:b/>
                <w:sz w:val="20"/>
              </w:rPr>
              <w:t xml:space="preserve">Bydd cyflwyno’r asesiad yn hwyr yn arwain at ddyfarnu marc cosb.  </w:t>
            </w:r>
            <w:r w:rsidRPr="004168F2">
              <w:rPr>
                <w:rFonts w:ascii="Arial" w:hAnsi="Arial" w:cs="Arial"/>
                <w:sz w:val="20"/>
              </w:rPr>
              <w:t xml:space="preserve">Cosbau am gyflwyno’n hwyr: Hyd at wythnos yn hwyr, uchafswm marc o 50%.  Dros wythnos yn hwyr, 0%.  Y Panel Amgylchiadau Esgusodol yn unig all gymeradwyo newid dyddiadau cyflwyno. </w:t>
            </w:r>
          </w:p>
        </w:tc>
      </w:tr>
      <w:tr w:rsidR="004168F2" w:rsidRPr="004168F2" w14:paraId="47AC2461" w14:textId="77777777" w:rsidTr="00945F0D">
        <w:tc>
          <w:tcPr>
            <w:tcW w:w="2093" w:type="dxa"/>
            <w:shd w:val="pct15" w:color="auto" w:fill="auto"/>
          </w:tcPr>
          <w:p w14:paraId="21723568" w14:textId="77777777" w:rsidR="004168F2" w:rsidRPr="004168F2" w:rsidRDefault="004168F2" w:rsidP="00945F0D">
            <w:pPr>
              <w:spacing w:before="120" w:after="120"/>
              <w:rPr>
                <w:rFonts w:ascii="Arial" w:hAnsi="Arial" w:cs="Arial"/>
                <w:b/>
                <w:sz w:val="20"/>
              </w:rPr>
            </w:pPr>
            <w:r w:rsidRPr="004168F2">
              <w:rPr>
                <w:rFonts w:ascii="Arial" w:hAnsi="Arial" w:cs="Arial"/>
                <w:b/>
                <w:sz w:val="20"/>
              </w:rPr>
              <w:t xml:space="preserve">Gonestrwydd academaidd / cyfeirnodi: </w:t>
            </w:r>
          </w:p>
        </w:tc>
        <w:tc>
          <w:tcPr>
            <w:tcW w:w="7829" w:type="dxa"/>
            <w:gridSpan w:val="3"/>
            <w:shd w:val="clear" w:color="auto" w:fill="auto"/>
          </w:tcPr>
          <w:p w14:paraId="3577956C" w14:textId="77777777" w:rsidR="004168F2" w:rsidRPr="004168F2" w:rsidRDefault="004168F2" w:rsidP="00945F0D">
            <w:pPr>
              <w:spacing w:before="120" w:after="120"/>
              <w:jc w:val="both"/>
              <w:rPr>
                <w:rFonts w:ascii="Arial" w:hAnsi="Arial" w:cs="Arial"/>
                <w:sz w:val="20"/>
              </w:rPr>
            </w:pPr>
            <w:r w:rsidRPr="004168F2">
              <w:rPr>
                <w:rFonts w:ascii="Arial" w:hAnsi="Arial" w:cs="Arial"/>
                <w:sz w:val="20"/>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2A6F52C2" w14:textId="30660346" w:rsidR="00174124" w:rsidRDefault="001B5BDB" w:rsidP="00817424">
      <w:pPr>
        <w:rPr>
          <w:b/>
          <w:sz w:val="32"/>
        </w:rPr>
      </w:pPr>
      <w:r>
        <w:rPr>
          <w:rFonts w:ascii="Calibri" w:hAnsi="Calibri" w:cs="Calibri"/>
          <w:b/>
          <w:bCs/>
          <w:sz w:val="32"/>
          <w:szCs w:val="32"/>
        </w:rPr>
        <w:lastRenderedPageBreak/>
        <w:t>Astudiaeth i asesu effeithiolrwydd asesu cymheiriaid ar gynnydd disgyblion mewn dosbarth cyfnod allweddol 3.</w:t>
      </w:r>
    </w:p>
    <w:p w14:paraId="0BC695CD" w14:textId="77777777" w:rsidR="005A3411" w:rsidRPr="00A77523" w:rsidRDefault="005A3411" w:rsidP="00817424">
      <w:pPr>
        <w:rPr>
          <w:b/>
          <w:sz w:val="36"/>
        </w:rPr>
      </w:pPr>
    </w:p>
    <w:p w14:paraId="5C6D8B39" w14:textId="77777777" w:rsidR="005A3411" w:rsidRPr="00A77523" w:rsidRDefault="005A3411" w:rsidP="005A3411">
      <w:pPr>
        <w:spacing w:line="360" w:lineRule="auto"/>
        <w:rPr>
          <w:b/>
          <w:sz w:val="28"/>
          <w:u w:val="single"/>
        </w:rPr>
      </w:pPr>
      <w:r w:rsidRPr="00A77523">
        <w:rPr>
          <w:b/>
          <w:sz w:val="28"/>
          <w:u w:val="single"/>
        </w:rPr>
        <w:t>Cyflwyniad</w:t>
      </w:r>
    </w:p>
    <w:p w14:paraId="7182FAEC" w14:textId="3D9845BF" w:rsidR="004E5A1E" w:rsidRDefault="00FB7BB3" w:rsidP="005A3411">
      <w:pPr>
        <w:spacing w:line="360" w:lineRule="auto"/>
        <w:rPr>
          <w:sz w:val="24"/>
        </w:rPr>
      </w:pPr>
      <w:r>
        <w:rPr>
          <w:rFonts w:ascii="Calibri" w:hAnsi="Calibri" w:cs="Calibri"/>
          <w:sz w:val="24"/>
          <w:szCs w:val="24"/>
        </w:rPr>
        <w:t xml:space="preserve">Mae ysgol A yn ysgol cyfrwng Cymraeg gyda 914 o blant. Mae deg pwynt un y cant (10.1%) o’r disgyblion yn gymwys ar gyfer prydau ysgol am ddim,  sydd wedi disgyn ers 2016 a oedd yn 12.7% </w:t>
      </w:r>
      <w:r w:rsidR="00BF7A99">
        <w:rPr>
          <w:rFonts w:ascii="Calibri" w:hAnsi="Calibri" w:cs="Calibri"/>
          <w:sz w:val="24"/>
          <w:szCs w:val="24"/>
        </w:rPr>
        <w:fldChar w:fldCharType="begin"/>
      </w:r>
      <w:r w:rsidR="00E72DE9">
        <w:rPr>
          <w:rFonts w:ascii="Calibri" w:hAnsi="Calibri" w:cs="Calibri"/>
          <w:sz w:val="24"/>
          <w:szCs w:val="24"/>
        </w:rPr>
        <w:instrText xml:space="preserve"> ADDIN EN.CITE &lt;EndNote&gt;&lt;Cite&gt;&lt;Author&gt;Welsh&lt;/Author&gt;&lt;Year&gt;2018&lt;/Year&gt;&lt;IDText&gt;My Local School&lt;/IDText&gt;&lt;DisplayText&gt;(Government, 2018)&lt;/DisplayText&gt;&lt;record&gt;&lt;urls&gt;&lt;related-urls&gt;&lt;url&gt;http://mylocalschool.wales.gov.uk/School/6694064?lang=en&lt;/url&gt;&lt;/related-urls&gt;&lt;/urls&gt;&lt;titles&gt;&lt;title&gt;My Local School&lt;/title&gt;&lt;/titles&gt;&lt;number&gt;18/01/2019&lt;/number&gt;&lt;contributors&gt;&lt;authors&gt;&lt;author&gt;Welsh Government&lt;/author&gt;&lt;/authors&gt;&lt;/contributors&gt;&lt;added-date format="utc"&gt;1547804034&lt;/added-date&gt;&lt;ref-type name="Web Page"&gt;12&lt;/ref-type&gt;&lt;dates&gt;&lt;year&gt;2018&lt;/year&gt;&lt;/dates&gt;&lt;rec-number&gt;280&lt;/rec-number&gt;&lt;last-updated-date format="utc"&gt;1547805665&lt;/last-updated-date&gt;&lt;/record&gt;&lt;/Cite&gt;&lt;/EndNote&gt;</w:instrText>
      </w:r>
      <w:r w:rsidR="00BF7A99">
        <w:rPr>
          <w:rFonts w:ascii="Calibri" w:hAnsi="Calibri" w:cs="Calibri"/>
          <w:sz w:val="24"/>
          <w:szCs w:val="24"/>
        </w:rPr>
        <w:fldChar w:fldCharType="separate"/>
      </w:r>
      <w:r w:rsidR="00E72DE9">
        <w:rPr>
          <w:rFonts w:ascii="Calibri" w:hAnsi="Calibri" w:cs="Calibri"/>
          <w:noProof/>
          <w:sz w:val="24"/>
          <w:szCs w:val="24"/>
        </w:rPr>
        <w:t>(Government, 2018)</w:t>
      </w:r>
      <w:r w:rsidR="00BF7A99">
        <w:rPr>
          <w:rFonts w:ascii="Calibri" w:hAnsi="Calibri" w:cs="Calibri"/>
          <w:sz w:val="24"/>
          <w:szCs w:val="24"/>
        </w:rPr>
        <w:fldChar w:fldCharType="end"/>
      </w:r>
      <w:r w:rsidR="00BF7A99">
        <w:rPr>
          <w:rFonts w:ascii="Calibri" w:hAnsi="Calibri" w:cs="Calibri"/>
          <w:sz w:val="24"/>
          <w:szCs w:val="24"/>
        </w:rPr>
        <w:t xml:space="preserve">. </w:t>
      </w:r>
      <w:r>
        <w:rPr>
          <w:rFonts w:ascii="Calibri" w:hAnsi="Calibri" w:cs="Calibri"/>
          <w:sz w:val="24"/>
          <w:szCs w:val="24"/>
        </w:rPr>
        <w:t>Mae’r ysgol yn cwympo o fewn categori gwyrdd o fewn system categoreiddio ysgolion cenedlaethol ar ôl symud i fyny o felyn i wyrdd yn 2017. Mae gan yr ysgol uned anghenion dysgu ychwanegol ac o ganlyniad, mae ugain y cant o’r disgyblion ar y gofrestr anghenion dysgu ychwanegol. Mae 7% o’r disgyblion gyda datganiad anghenion dysgu ychwanegol sy’n uwch na’r gyfradd genedlaethol sef 2.5%</w:t>
      </w:r>
      <w:r w:rsidR="005C21D0">
        <w:rPr>
          <w:rFonts w:ascii="Calibri" w:hAnsi="Calibri" w:cs="Calibri"/>
          <w:sz w:val="24"/>
          <w:szCs w:val="24"/>
        </w:rPr>
        <w:t xml:space="preserve"> </w:t>
      </w:r>
      <w:r w:rsidR="005C21D0">
        <w:rPr>
          <w:rFonts w:ascii="Calibri" w:hAnsi="Calibri" w:cs="Calibri"/>
          <w:sz w:val="24"/>
          <w:szCs w:val="24"/>
        </w:rPr>
        <w:fldChar w:fldCharType="begin"/>
      </w:r>
      <w:r w:rsidR="00E72DE9">
        <w:rPr>
          <w:rFonts w:ascii="Calibri" w:hAnsi="Calibri" w:cs="Calibri"/>
          <w:sz w:val="24"/>
          <w:szCs w:val="24"/>
        </w:rPr>
        <w:instrText xml:space="preserve"> ADDIN EN.CITE &lt;EndNote&gt;&lt;Cite&gt;&lt;Author&gt;Welsh&lt;/Author&gt;&lt;Year&gt;2018&lt;/Year&gt;&lt;IDText&gt;My Local School&lt;/IDText&gt;&lt;DisplayText&gt;(Government, 2018)&lt;/DisplayText&gt;&lt;record&gt;&lt;urls&gt;&lt;related-urls&gt;&lt;url&gt;http://mylocalschool.wales.gov.uk/School/6694064?lang=en&lt;/url&gt;&lt;/related-urls&gt;&lt;/urls&gt;&lt;titles&gt;&lt;title&gt;My Local School&lt;/title&gt;&lt;/titles&gt;&lt;number&gt;18/01/2019&lt;/number&gt;&lt;contributors&gt;&lt;authors&gt;&lt;author&gt;Welsh Government&lt;/author&gt;&lt;/authors&gt;&lt;/contributors&gt;&lt;added-date format="utc"&gt;1547804034&lt;/added-date&gt;&lt;ref-type name="Web Page"&gt;12&lt;/ref-type&gt;&lt;dates&gt;&lt;year&gt;2018&lt;/year&gt;&lt;/dates&gt;&lt;rec-number&gt;280&lt;/rec-number&gt;&lt;last-updated-date format="utc"&gt;1547805665&lt;/last-updated-date&gt;&lt;/record&gt;&lt;/Cite&gt;&lt;/EndNote&gt;</w:instrText>
      </w:r>
      <w:r w:rsidR="005C21D0">
        <w:rPr>
          <w:rFonts w:ascii="Calibri" w:hAnsi="Calibri" w:cs="Calibri"/>
          <w:sz w:val="24"/>
          <w:szCs w:val="24"/>
        </w:rPr>
        <w:fldChar w:fldCharType="separate"/>
      </w:r>
      <w:r w:rsidR="00E72DE9">
        <w:rPr>
          <w:rFonts w:ascii="Calibri" w:hAnsi="Calibri" w:cs="Calibri"/>
          <w:noProof/>
          <w:sz w:val="24"/>
          <w:szCs w:val="24"/>
        </w:rPr>
        <w:t>(Government, 2018)</w:t>
      </w:r>
      <w:r w:rsidR="005C21D0">
        <w:rPr>
          <w:rFonts w:ascii="Calibri" w:hAnsi="Calibri" w:cs="Calibri"/>
          <w:sz w:val="24"/>
          <w:szCs w:val="24"/>
        </w:rPr>
        <w:fldChar w:fldCharType="end"/>
      </w:r>
      <w:r w:rsidR="005C21D0">
        <w:rPr>
          <w:rFonts w:ascii="Calibri" w:hAnsi="Calibri" w:cs="Calibri"/>
          <w:sz w:val="24"/>
          <w:szCs w:val="24"/>
        </w:rPr>
        <w:t xml:space="preserve">. </w:t>
      </w:r>
      <w:r>
        <w:rPr>
          <w:rFonts w:ascii="Calibri" w:hAnsi="Calibri" w:cs="Calibri"/>
          <w:sz w:val="24"/>
          <w:szCs w:val="24"/>
        </w:rPr>
        <w:t xml:space="preserve">Yn ogystal â hyn, mae chwedeg un y cant (61%) o’r disgyblion yn siarad Cymraeg adref. Cyllideb ysgol fesul disgybl yw £4749, a’r uchafswm rhanbarthol ar gyfer 2018-19 yw £4783. Yn ôl </w:t>
      </w:r>
      <w:r w:rsidR="00DF741E">
        <w:rPr>
          <w:rFonts w:ascii="Calibri" w:hAnsi="Calibri" w:cs="Calibri"/>
          <w:sz w:val="24"/>
          <w:szCs w:val="24"/>
        </w:rPr>
        <w:fldChar w:fldCharType="begin"/>
      </w:r>
      <w:r w:rsidR="00E72DE9">
        <w:rPr>
          <w:rFonts w:ascii="Calibri" w:hAnsi="Calibri" w:cs="Calibri"/>
          <w:sz w:val="24"/>
          <w:szCs w:val="24"/>
        </w:rPr>
        <w:instrText xml:space="preserve"> ADDIN EN.CITE &lt;EndNote&gt;&lt;Cite&gt;&lt;Author&gt;Estyn&lt;/Author&gt;&lt;Year&gt;2016&lt;/Year&gt;&lt;IDText&gt;A report on school A.&lt;/IDText&gt;&lt;DisplayText&gt;(Estyn, 2016)&lt;/DisplayText&gt;&lt;record&gt;&lt;urls&gt;&lt;related-urls&gt;&lt;url&gt;https://www.estyn.gov.wales/sites/default/files/documents/Ysgol%20Maes%20y%20Gwendraeth%20eng_1.pdf&lt;/url&gt;&lt;/related-urls&gt;&lt;/urls&gt;&lt;titles&gt;&lt;title&gt;A report on school A.&lt;/title&gt;&lt;/titles&gt;&lt;number&gt;18/01/2019&lt;/number&gt;&lt;contributors&gt;&lt;authors&gt;&lt;author&gt;Estyn&lt;/author&gt;&lt;/authors&gt;&lt;/contributors&gt;&lt;added-date format="utc"&gt;1547812106&lt;/added-date&gt;&lt;ref-type name="Web Page"&gt;12&lt;/ref-type&gt;&lt;dates&gt;&lt;year&gt;2016&lt;/year&gt;&lt;/dates&gt;&lt;rec-number&gt;283&lt;/rec-number&gt;&lt;last-updated-date format="utc"&gt;1547812194&lt;/last-updated-date&gt;&lt;/record&gt;&lt;/Cite&gt;&lt;/EndNote&gt;</w:instrText>
      </w:r>
      <w:r w:rsidR="00DF741E">
        <w:rPr>
          <w:rFonts w:ascii="Calibri" w:hAnsi="Calibri" w:cs="Calibri"/>
          <w:sz w:val="24"/>
          <w:szCs w:val="24"/>
        </w:rPr>
        <w:fldChar w:fldCharType="separate"/>
      </w:r>
      <w:r w:rsidR="00E72DE9">
        <w:rPr>
          <w:rFonts w:ascii="Calibri" w:hAnsi="Calibri" w:cs="Calibri"/>
          <w:noProof/>
          <w:sz w:val="24"/>
          <w:szCs w:val="24"/>
        </w:rPr>
        <w:t>(Estyn, 2016)</w:t>
      </w:r>
      <w:r w:rsidR="00DF741E">
        <w:rPr>
          <w:rFonts w:ascii="Calibri" w:hAnsi="Calibri" w:cs="Calibri"/>
          <w:sz w:val="24"/>
          <w:szCs w:val="24"/>
        </w:rPr>
        <w:fldChar w:fldCharType="end"/>
      </w:r>
      <w:r>
        <w:rPr>
          <w:rFonts w:ascii="Calibri" w:hAnsi="Calibri" w:cs="Calibri"/>
          <w:sz w:val="24"/>
          <w:szCs w:val="24"/>
        </w:rPr>
        <w:t xml:space="preserve"> roedd perfformiad yr ysgol wedi cael ei raddio’n foddhaol a’r rhagolygon i wella’r ysgol wedi cael ei raddio fel da. Cafodd yr ymchwil ei chynnal mewn dosbarth Daearyddiaeth blwyddyn 8 dros gyfres o dair gwers. O fewn pob gwers roedd yna elfen o asesu cymheiriaid ar ôl cwblhau tasgau, gyda’r disgwyl bydd canlyniadau profion yn gwella o ganlyniad. Pwrpas yr ymchwil yw asesu pa mor effeithiol yw’r dechneg asesu cymheiriaid ac i weld os oes gwelliant arwyddocaol yng nghanlyniadau’r disgyblion.</w:t>
      </w:r>
    </w:p>
    <w:p w14:paraId="603E7959" w14:textId="4E3C3EA0" w:rsidR="00E55420" w:rsidRPr="00A77523" w:rsidRDefault="00FB7BB3" w:rsidP="005A3411">
      <w:pPr>
        <w:spacing w:line="360" w:lineRule="auto"/>
        <w:rPr>
          <w:b/>
          <w:sz w:val="28"/>
          <w:u w:val="single"/>
        </w:rPr>
      </w:pPr>
      <w:r w:rsidRPr="00A77523">
        <w:rPr>
          <w:b/>
          <w:sz w:val="28"/>
          <w:u w:val="single"/>
        </w:rPr>
        <w:t>Adolygiad llenyddiaeth</w:t>
      </w:r>
    </w:p>
    <w:p w14:paraId="2A5F8D36" w14:textId="3C8F7BBE" w:rsidR="00942D34" w:rsidRDefault="002D06FB" w:rsidP="005A3411">
      <w:pPr>
        <w:spacing w:line="360" w:lineRule="auto"/>
        <w:rPr>
          <w:rFonts w:ascii="Calibri" w:hAnsi="Calibri" w:cs="Calibri"/>
          <w:sz w:val="24"/>
          <w:szCs w:val="24"/>
        </w:rPr>
      </w:pPr>
      <w:r>
        <w:rPr>
          <w:rFonts w:ascii="Calibri" w:hAnsi="Calibri" w:cs="Calibri"/>
          <w:sz w:val="24"/>
          <w:szCs w:val="24"/>
        </w:rPr>
        <w:t xml:space="preserve">Mae asesu yn elfen annatod o ddysgu ac addysgu, ac fe ddylid cydnabod ei phwysigrwydd. Cydnabydda </w:t>
      </w:r>
      <w:r>
        <w:rPr>
          <w:rFonts w:ascii="Calibri" w:hAnsi="Calibri" w:cs="Calibri"/>
          <w:noProof/>
          <w:sz w:val="24"/>
          <w:szCs w:val="24"/>
        </w:rPr>
        <w:t>Dillon a Maguire</w:t>
      </w:r>
      <w:r w:rsidR="002D4FF2">
        <w:rPr>
          <w:rFonts w:ascii="Calibri" w:hAnsi="Calibri" w:cs="Calibri"/>
          <w:noProof/>
          <w:sz w:val="24"/>
          <w:szCs w:val="24"/>
        </w:rPr>
        <w:t xml:space="preserve"> (</w:t>
      </w:r>
      <w:r>
        <w:rPr>
          <w:rFonts w:ascii="Calibri" w:hAnsi="Calibri" w:cs="Calibri"/>
          <w:noProof/>
          <w:sz w:val="24"/>
          <w:szCs w:val="24"/>
        </w:rPr>
        <w:t>2011)</w:t>
      </w:r>
      <w:r>
        <w:rPr>
          <w:rFonts w:ascii="Calibri" w:hAnsi="Calibri" w:cs="Calibri"/>
          <w:sz w:val="24"/>
          <w:szCs w:val="24"/>
        </w:rPr>
        <w:t xml:space="preserve"> bod asesu’n hanfodol o fewn y cylch dysgu ac addysgu, nid yn unig ar gyfer cynnydd y dysgwyr ond hefyd am gynnydd proffesiynol. Mae asesu yn broses gynlluniedig a systematig i gasglu a dehongli tystiolaeth am y dysgu er mwyn llunio barn am y dysgu </w:t>
      </w:r>
      <w:r>
        <w:rPr>
          <w:rFonts w:ascii="Calibri" w:hAnsi="Calibri" w:cs="Calibri"/>
          <w:noProof/>
          <w:sz w:val="24"/>
          <w:szCs w:val="24"/>
        </w:rPr>
        <w:t>(Isaacs</w:t>
      </w:r>
      <w:r>
        <w:rPr>
          <w:rFonts w:ascii="Calibri" w:hAnsi="Calibri" w:cs="Calibri"/>
          <w:i/>
          <w:iCs/>
          <w:noProof/>
          <w:sz w:val="24"/>
          <w:szCs w:val="24"/>
        </w:rPr>
        <w:t xml:space="preserve"> et al.</w:t>
      </w:r>
      <w:r>
        <w:rPr>
          <w:rFonts w:ascii="Calibri" w:hAnsi="Calibri" w:cs="Calibri"/>
          <w:noProof/>
          <w:sz w:val="24"/>
          <w:szCs w:val="24"/>
        </w:rPr>
        <w:t>, 2013)</w:t>
      </w:r>
      <w:r>
        <w:rPr>
          <w:rFonts w:ascii="Calibri" w:hAnsi="Calibri" w:cs="Calibri"/>
          <w:sz w:val="24"/>
          <w:szCs w:val="24"/>
        </w:rPr>
        <w:t xml:space="preserve">. Ceir dwy fath o asesu; asesu crynodol ac asesu ffurfiannol. Mae asesu crynodol fel arfer yn cael ei osod ar ddiwedd uned neu dymor ble ceir canlyniadau rhifiadol yn unig. Fel arfer mae’r canlyniadau rhifiadol yma yn cael eu defnyddio i greu tablau </w:t>
      </w:r>
      <w:r>
        <w:rPr>
          <w:rFonts w:ascii="Calibri" w:hAnsi="Calibri" w:cs="Calibri"/>
          <w:sz w:val="24"/>
          <w:szCs w:val="24"/>
        </w:rPr>
        <w:lastRenderedPageBreak/>
        <w:t xml:space="preserve">cynghrair er mwyn gwneud ysgolion yn gyfatebol am ei gweithredoedd </w:t>
      </w:r>
      <w:r>
        <w:rPr>
          <w:rFonts w:ascii="Calibri" w:hAnsi="Calibri" w:cs="Calibri"/>
          <w:noProof/>
          <w:sz w:val="24"/>
          <w:szCs w:val="24"/>
        </w:rPr>
        <w:t>(Black</w:t>
      </w:r>
      <w:r>
        <w:rPr>
          <w:rFonts w:ascii="Calibri" w:hAnsi="Calibri" w:cs="Calibri"/>
          <w:i/>
          <w:iCs/>
          <w:noProof/>
          <w:sz w:val="24"/>
          <w:szCs w:val="24"/>
        </w:rPr>
        <w:t xml:space="preserve"> et al.</w:t>
      </w:r>
      <w:r>
        <w:rPr>
          <w:rFonts w:ascii="Calibri" w:hAnsi="Calibri" w:cs="Calibri"/>
          <w:noProof/>
          <w:sz w:val="24"/>
          <w:szCs w:val="24"/>
        </w:rPr>
        <w:t>, 2003)</w:t>
      </w:r>
      <w:r>
        <w:rPr>
          <w:rFonts w:ascii="Calibri" w:hAnsi="Calibri" w:cs="Calibri"/>
          <w:sz w:val="24"/>
          <w:szCs w:val="24"/>
        </w:rPr>
        <w:t xml:space="preserve">. Yn wahanol i asesu crynodol mae asesu ffurfiannol yn cael ei weithredu’n gyson ar draws uned o waith ble ceir adborth cyson ar sut i wella. Yn ogystal â hyn, mae asesu ffurfiannol yn gallu digwydd sawl gwaith mewn gwers, maent yn cynnwys amrywiaeth o ddulliau o annog myfyrwyr i fynegi beth maen nhw'n ei feddwl a sawl ffordd wahanol o weithredu ar dystiolaeth o'r fath </w:t>
      </w:r>
      <w:r>
        <w:rPr>
          <w:rFonts w:ascii="Calibri" w:hAnsi="Calibri" w:cs="Calibri"/>
          <w:noProof/>
          <w:sz w:val="24"/>
          <w:szCs w:val="24"/>
        </w:rPr>
        <w:t>(Black</w:t>
      </w:r>
      <w:r>
        <w:rPr>
          <w:rFonts w:ascii="Calibri" w:hAnsi="Calibri" w:cs="Calibri"/>
          <w:i/>
          <w:iCs/>
          <w:noProof/>
          <w:sz w:val="24"/>
          <w:szCs w:val="24"/>
        </w:rPr>
        <w:t xml:space="preserve"> et al.</w:t>
      </w:r>
      <w:r>
        <w:rPr>
          <w:rFonts w:ascii="Calibri" w:hAnsi="Calibri" w:cs="Calibri"/>
          <w:noProof/>
          <w:sz w:val="24"/>
          <w:szCs w:val="24"/>
        </w:rPr>
        <w:t>, 2003)</w:t>
      </w:r>
      <w:r>
        <w:rPr>
          <w:rFonts w:ascii="Calibri" w:hAnsi="Calibri" w:cs="Calibri"/>
          <w:sz w:val="24"/>
          <w:szCs w:val="24"/>
        </w:rPr>
        <w:t xml:space="preserve">. Am amser hir mae asesu ffurfiannol wedi cael ei wneud gan athrawon, er hyn o fewn y blynyddoedd diwethaf mae wedi cael mwy o statws a phwysigrwydd; ac erbyn heddiw yn nodwedd ganolog yn strategaethau cenedlaethol </w:t>
      </w:r>
      <w:r>
        <w:rPr>
          <w:rFonts w:ascii="Calibri" w:hAnsi="Calibri" w:cs="Calibri"/>
          <w:noProof/>
          <w:sz w:val="24"/>
          <w:szCs w:val="24"/>
        </w:rPr>
        <w:t>(Pollard</w:t>
      </w:r>
      <w:r>
        <w:rPr>
          <w:rFonts w:ascii="Calibri" w:hAnsi="Calibri" w:cs="Calibri"/>
          <w:i/>
          <w:iCs/>
          <w:noProof/>
          <w:sz w:val="24"/>
          <w:szCs w:val="24"/>
        </w:rPr>
        <w:t xml:space="preserve"> et al.</w:t>
      </w:r>
      <w:r>
        <w:rPr>
          <w:rFonts w:ascii="Calibri" w:hAnsi="Calibri" w:cs="Calibri"/>
          <w:noProof/>
          <w:sz w:val="24"/>
          <w:szCs w:val="24"/>
        </w:rPr>
        <w:t>, 2014)</w:t>
      </w:r>
      <w:r>
        <w:rPr>
          <w:rFonts w:ascii="Calibri" w:hAnsi="Calibri" w:cs="Calibri"/>
          <w:sz w:val="24"/>
          <w:szCs w:val="24"/>
        </w:rPr>
        <w:t xml:space="preserve">. Er bod mwy o bwyslais ar asesu ffurfiannol dros y blynyddoedd diwethaf, awgrymir </w:t>
      </w:r>
      <w:r>
        <w:rPr>
          <w:rFonts w:ascii="Calibri" w:hAnsi="Calibri" w:cs="Calibri"/>
          <w:noProof/>
          <w:sz w:val="24"/>
          <w:szCs w:val="24"/>
        </w:rPr>
        <w:t>Black a Wiliam</w:t>
      </w:r>
      <w:r w:rsidR="00797752">
        <w:rPr>
          <w:rFonts w:ascii="Calibri" w:hAnsi="Calibri" w:cs="Calibri"/>
          <w:noProof/>
          <w:sz w:val="24"/>
          <w:szCs w:val="24"/>
        </w:rPr>
        <w:t xml:space="preserve"> (</w:t>
      </w:r>
      <w:r>
        <w:rPr>
          <w:rFonts w:ascii="Calibri" w:hAnsi="Calibri" w:cs="Calibri"/>
          <w:noProof/>
          <w:sz w:val="24"/>
          <w:szCs w:val="24"/>
        </w:rPr>
        <w:t>2009)</w:t>
      </w:r>
      <w:r>
        <w:rPr>
          <w:rFonts w:ascii="Calibri" w:hAnsi="Calibri" w:cs="Calibri"/>
          <w:sz w:val="24"/>
          <w:szCs w:val="24"/>
        </w:rPr>
        <w:t xml:space="preserve"> nid yw'n nodwedd gref o waith dosbarth ar hyn o bryd yn ôl tystiolaeth o holiaduron ar ymarferion athrawon. Dadleuir hefyd bod rhaid sefydlu arferion asesu ffurfiannol da mewn ystafelloedd dosbarth, ac felly er mwyn ei chyflawni rhaid bod athrawon yn gwneud newidiadau sylweddol. Er hyn, nodir fod y newidiadau yma yn ddichonadwy ac y bydd athrawon yn gallu cynnwys y newidiadau yn llwyddiannus o fewn eu gwersi, os yw hynny’n wir yna ni fydd dal angen newidiadau sylweddol i arferion athrawon. Mae sawl ffordd i ymgorffori asesu ffurfiannol o fewn gwersi gan gynnwys rhannu amcanion y wers, cwestiynu, hunanasesu, asesu cymheiriaid a rhoi adborth </w:t>
      </w:r>
      <w:r>
        <w:rPr>
          <w:rFonts w:ascii="Calibri" w:hAnsi="Calibri" w:cs="Calibri"/>
          <w:noProof/>
          <w:sz w:val="24"/>
          <w:szCs w:val="24"/>
        </w:rPr>
        <w:t>(Pollard, 2008)</w:t>
      </w:r>
      <w:r>
        <w:rPr>
          <w:rFonts w:ascii="Calibri" w:hAnsi="Calibri" w:cs="Calibri"/>
          <w:sz w:val="24"/>
          <w:szCs w:val="24"/>
        </w:rPr>
        <w:t>. Asesu ar gyfer dysgu yw’r term a ddefnyddir i’r mathau yma o asesu.</w:t>
      </w:r>
    </w:p>
    <w:p w14:paraId="3C33B16E" w14:textId="250D9FD5" w:rsidR="00532304" w:rsidRDefault="002D06FB" w:rsidP="005A3411">
      <w:pPr>
        <w:spacing w:line="360" w:lineRule="auto"/>
        <w:rPr>
          <w:rFonts w:ascii="Calibri" w:hAnsi="Calibri" w:cs="Calibri"/>
          <w:sz w:val="24"/>
          <w:szCs w:val="24"/>
        </w:rPr>
      </w:pPr>
      <w:r>
        <w:rPr>
          <w:rFonts w:ascii="Calibri" w:hAnsi="Calibri" w:cs="Calibri"/>
          <w:sz w:val="24"/>
          <w:szCs w:val="24"/>
        </w:rPr>
        <w:tab/>
        <w:t xml:space="preserve">Ceir sawl ddiffiniad o asesu ar gyfer dysgu. Awgrymir </w:t>
      </w:r>
      <w:r>
        <w:rPr>
          <w:rFonts w:ascii="Calibri" w:hAnsi="Calibri" w:cs="Calibri"/>
          <w:noProof/>
          <w:sz w:val="24"/>
          <w:szCs w:val="24"/>
        </w:rPr>
        <w:t>Black</w:t>
      </w:r>
      <w:r>
        <w:rPr>
          <w:rFonts w:ascii="Calibri" w:hAnsi="Calibri" w:cs="Calibri"/>
          <w:i/>
          <w:iCs/>
          <w:noProof/>
          <w:sz w:val="24"/>
          <w:szCs w:val="24"/>
        </w:rPr>
        <w:t xml:space="preserve"> et al.</w:t>
      </w:r>
      <w:r>
        <w:rPr>
          <w:rFonts w:ascii="Calibri" w:hAnsi="Calibri" w:cs="Calibri"/>
          <w:noProof/>
          <w:sz w:val="24"/>
          <w:szCs w:val="24"/>
        </w:rPr>
        <w:t xml:space="preserve"> </w:t>
      </w:r>
      <w:r w:rsidR="00797752">
        <w:rPr>
          <w:rFonts w:ascii="Calibri" w:hAnsi="Calibri" w:cs="Calibri"/>
          <w:noProof/>
          <w:sz w:val="24"/>
          <w:szCs w:val="24"/>
        </w:rPr>
        <w:t>(</w:t>
      </w:r>
      <w:r>
        <w:rPr>
          <w:rFonts w:ascii="Calibri" w:hAnsi="Calibri" w:cs="Calibri"/>
          <w:noProof/>
          <w:sz w:val="24"/>
          <w:szCs w:val="24"/>
        </w:rPr>
        <w:t>2003)</w:t>
      </w:r>
      <w:r>
        <w:rPr>
          <w:rFonts w:ascii="Calibri" w:hAnsi="Calibri" w:cs="Calibri"/>
          <w:sz w:val="24"/>
          <w:szCs w:val="24"/>
        </w:rPr>
        <w:t xml:space="preserve"> bod asesu ar gyfer dysgu fel arfer yn anffurfiol ac maent wedi cael ei ymgorffori o fewn pob agwedd o ddysgu ac addysgu. Nodir hefyd gall weithgaredd asesu helpu dysgu os yw'n darparu gwybodaeth i'w defnyddio fel adborth gan athrawon, gan fyfyrwyr wrth asesu eu hunain a'i gilydd er mwyn addasu'r gweithgareddau addysgu ar gyfer y dyfodol. Dadleuir </w:t>
      </w:r>
      <w:r>
        <w:rPr>
          <w:rFonts w:ascii="Calibri" w:hAnsi="Calibri" w:cs="Calibri"/>
          <w:noProof/>
          <w:sz w:val="24"/>
          <w:szCs w:val="24"/>
        </w:rPr>
        <w:t>Harris</w:t>
      </w:r>
      <w:r>
        <w:rPr>
          <w:rFonts w:ascii="Calibri" w:hAnsi="Calibri" w:cs="Calibri"/>
          <w:i/>
          <w:iCs/>
          <w:noProof/>
          <w:sz w:val="24"/>
          <w:szCs w:val="24"/>
        </w:rPr>
        <w:t xml:space="preserve"> et al.</w:t>
      </w:r>
      <w:r>
        <w:rPr>
          <w:rFonts w:ascii="Calibri" w:hAnsi="Calibri" w:cs="Calibri"/>
          <w:noProof/>
          <w:sz w:val="24"/>
          <w:szCs w:val="24"/>
        </w:rPr>
        <w:t xml:space="preserve"> </w:t>
      </w:r>
      <w:r w:rsidR="00B7515C">
        <w:rPr>
          <w:rFonts w:ascii="Calibri" w:hAnsi="Calibri" w:cs="Calibri"/>
          <w:noProof/>
          <w:sz w:val="24"/>
          <w:szCs w:val="24"/>
        </w:rPr>
        <w:t>(</w:t>
      </w:r>
      <w:r>
        <w:rPr>
          <w:rFonts w:ascii="Calibri" w:hAnsi="Calibri" w:cs="Calibri"/>
          <w:noProof/>
          <w:sz w:val="24"/>
          <w:szCs w:val="24"/>
        </w:rPr>
        <w:t>2015)</w:t>
      </w:r>
      <w:r>
        <w:rPr>
          <w:rFonts w:ascii="Calibri" w:hAnsi="Calibri" w:cs="Calibri"/>
          <w:sz w:val="24"/>
          <w:szCs w:val="24"/>
        </w:rPr>
        <w:t xml:space="preserve"> bod o fewn asesu ar gyfer dysgu mae yna bwyslais cryf yn cael ei roi ar gyfranogiad gweithredol myfyrwyr wrth asesu. Dylid gwneud hwn trwy adfyfyrio a gwerthuso eu gwaith mewn ffordd gylchol ble maent wastad yn trio gwella a thrio darganfod strategaethau gwahanol ar sut i wneud hyn. Y diffiniad mwyaf cyffredin a amlinellir yng ngwaith </w:t>
      </w:r>
      <w:r>
        <w:rPr>
          <w:rFonts w:ascii="Calibri" w:hAnsi="Calibri" w:cs="Calibri"/>
          <w:noProof/>
          <w:sz w:val="24"/>
          <w:szCs w:val="24"/>
        </w:rPr>
        <w:t>Isaacs</w:t>
      </w:r>
      <w:r>
        <w:rPr>
          <w:rFonts w:ascii="Calibri" w:hAnsi="Calibri" w:cs="Calibri"/>
          <w:i/>
          <w:iCs/>
          <w:noProof/>
          <w:sz w:val="24"/>
          <w:szCs w:val="24"/>
        </w:rPr>
        <w:t xml:space="preserve"> et al.</w:t>
      </w:r>
      <w:r w:rsidR="00B7515C">
        <w:rPr>
          <w:rFonts w:ascii="Calibri" w:hAnsi="Calibri" w:cs="Calibri"/>
          <w:noProof/>
          <w:sz w:val="24"/>
          <w:szCs w:val="24"/>
        </w:rPr>
        <w:t xml:space="preserve"> (</w:t>
      </w:r>
      <w:r>
        <w:rPr>
          <w:rFonts w:ascii="Calibri" w:hAnsi="Calibri" w:cs="Calibri"/>
          <w:noProof/>
          <w:sz w:val="24"/>
          <w:szCs w:val="24"/>
        </w:rPr>
        <w:t>2013)</w:t>
      </w:r>
      <w:r>
        <w:rPr>
          <w:rFonts w:ascii="Calibri" w:hAnsi="Calibri" w:cs="Calibri"/>
          <w:sz w:val="24"/>
          <w:szCs w:val="24"/>
        </w:rPr>
        <w:t xml:space="preserve"> ac o fewn ddogfen genedlaethol </w:t>
      </w:r>
      <w:r w:rsidR="00B7515C">
        <w:rPr>
          <w:rFonts w:ascii="Calibri" w:hAnsi="Calibri" w:cs="Calibri"/>
          <w:noProof/>
          <w:sz w:val="24"/>
          <w:szCs w:val="24"/>
        </w:rPr>
        <w:t xml:space="preserve">Welsh </w:t>
      </w:r>
      <w:r>
        <w:rPr>
          <w:rFonts w:ascii="Calibri" w:hAnsi="Calibri" w:cs="Calibri"/>
          <w:noProof/>
          <w:sz w:val="24"/>
          <w:szCs w:val="24"/>
        </w:rPr>
        <w:t>Government</w:t>
      </w:r>
      <w:r w:rsidR="00B7515C">
        <w:rPr>
          <w:rFonts w:ascii="Calibri" w:hAnsi="Calibri" w:cs="Calibri"/>
          <w:noProof/>
          <w:sz w:val="24"/>
          <w:szCs w:val="24"/>
        </w:rPr>
        <w:t xml:space="preserve"> (</w:t>
      </w:r>
      <w:r>
        <w:rPr>
          <w:rFonts w:ascii="Calibri" w:hAnsi="Calibri" w:cs="Calibri"/>
          <w:noProof/>
          <w:sz w:val="24"/>
          <w:szCs w:val="24"/>
        </w:rPr>
        <w:t>2013)</w:t>
      </w:r>
      <w:r>
        <w:rPr>
          <w:rFonts w:ascii="Calibri" w:hAnsi="Calibri" w:cs="Calibri"/>
          <w:sz w:val="24"/>
          <w:szCs w:val="24"/>
        </w:rPr>
        <w:t xml:space="preserve"> yw’r diffiniad gan</w:t>
      </w:r>
      <w:r w:rsidR="00FE0D9B">
        <w:rPr>
          <w:rFonts w:ascii="Calibri" w:hAnsi="Calibri" w:cs="Calibri"/>
          <w:sz w:val="24"/>
          <w:szCs w:val="24"/>
        </w:rPr>
        <w:t xml:space="preserve"> y</w:t>
      </w:r>
      <w:r w:rsidR="0011101A">
        <w:rPr>
          <w:rFonts w:ascii="Calibri" w:hAnsi="Calibri" w:cs="Calibri"/>
          <w:sz w:val="24"/>
          <w:szCs w:val="24"/>
        </w:rPr>
        <w:t xml:space="preserve"> Grŵp Diwygio Asesu</w:t>
      </w:r>
      <w:r w:rsidR="00B7515C">
        <w:rPr>
          <w:rFonts w:ascii="Calibri" w:hAnsi="Calibri" w:cs="Calibri"/>
          <w:noProof/>
          <w:sz w:val="24"/>
          <w:szCs w:val="24"/>
        </w:rPr>
        <w:t xml:space="preserve"> (</w:t>
      </w:r>
      <w:r>
        <w:rPr>
          <w:rFonts w:ascii="Calibri" w:hAnsi="Calibri" w:cs="Calibri"/>
          <w:noProof/>
          <w:sz w:val="24"/>
          <w:szCs w:val="24"/>
        </w:rPr>
        <w:t>1999)</w:t>
      </w:r>
      <w:r>
        <w:rPr>
          <w:rFonts w:ascii="Calibri" w:hAnsi="Calibri" w:cs="Calibri"/>
          <w:sz w:val="24"/>
          <w:szCs w:val="24"/>
        </w:rPr>
        <w:t xml:space="preserve">. Nodir bod asesu ar gyfer dysgu yw’r broses o ddehongli tystiolaeth i'w </w:t>
      </w:r>
      <w:r>
        <w:rPr>
          <w:rFonts w:ascii="Calibri" w:hAnsi="Calibri" w:cs="Calibri"/>
          <w:sz w:val="24"/>
          <w:szCs w:val="24"/>
        </w:rPr>
        <w:lastRenderedPageBreak/>
        <w:t xml:space="preserve">defnyddio gan y dysgwyr a'u hathrawes i benderfynu ble mae’r dysgwyr wedi cyrraedd yn eu dysgu, ble mae angen iddynt fynd, a sut i gyrraedd yno. Er mwyn gallu cyrraedd y man yma rhaid bod adborth gan athrawon a myfyrwyr eraill yn rhan o’r broses asesu a dysgu. Dulliau arall a awgryma gan </w:t>
      </w:r>
      <w:r>
        <w:rPr>
          <w:rFonts w:ascii="Calibri" w:hAnsi="Calibri" w:cs="Calibri"/>
          <w:noProof/>
          <w:sz w:val="24"/>
          <w:szCs w:val="24"/>
        </w:rPr>
        <w:t>Isaacs</w:t>
      </w:r>
      <w:r>
        <w:rPr>
          <w:rFonts w:ascii="Calibri" w:hAnsi="Calibri" w:cs="Calibri"/>
          <w:i/>
          <w:iCs/>
          <w:noProof/>
          <w:sz w:val="24"/>
          <w:szCs w:val="24"/>
        </w:rPr>
        <w:t xml:space="preserve"> et al.</w:t>
      </w:r>
      <w:r w:rsidR="00811A2C">
        <w:rPr>
          <w:rFonts w:ascii="Calibri" w:hAnsi="Calibri" w:cs="Calibri"/>
          <w:noProof/>
          <w:sz w:val="24"/>
          <w:szCs w:val="24"/>
        </w:rPr>
        <w:t xml:space="preserve"> (</w:t>
      </w:r>
      <w:r>
        <w:rPr>
          <w:rFonts w:ascii="Calibri" w:hAnsi="Calibri" w:cs="Calibri"/>
          <w:noProof/>
          <w:sz w:val="24"/>
          <w:szCs w:val="24"/>
        </w:rPr>
        <w:t>2013)</w:t>
      </w:r>
      <w:r>
        <w:rPr>
          <w:rFonts w:ascii="Calibri" w:hAnsi="Calibri" w:cs="Calibri"/>
          <w:sz w:val="24"/>
          <w:szCs w:val="24"/>
        </w:rPr>
        <w:t xml:space="preserve"> yw hyrwyddo’r rhaniad o’r meini prawf llwyddiant gyda’r dysgwyr, y defnydd effeithiol o sgwrsio yn yr ystafell ddosbarth a holi a chefnogi hunanasesiad gan gymheiriaid fel rhan o'r broses asesu a dysgu. Awgryma hefyd bod wrth i asesu ar gyfer dysgu ddod yn fwy poblogaidd yna y bu esgyniad ar asesu crynodol a throad tuag at bersonoli dysgu, a chyflawnir hyn trwy wahanol fathau o asesu ar gyfer dysgu. Cytunwyd </w:t>
      </w:r>
      <w:r>
        <w:rPr>
          <w:rFonts w:ascii="Calibri" w:hAnsi="Calibri" w:cs="Calibri"/>
          <w:noProof/>
          <w:sz w:val="24"/>
          <w:szCs w:val="24"/>
        </w:rPr>
        <w:t>Wiliam</w:t>
      </w:r>
      <w:r w:rsidR="00811A2C">
        <w:rPr>
          <w:rFonts w:ascii="Calibri" w:hAnsi="Calibri" w:cs="Calibri"/>
          <w:noProof/>
          <w:sz w:val="24"/>
          <w:szCs w:val="24"/>
        </w:rPr>
        <w:t xml:space="preserve"> (</w:t>
      </w:r>
      <w:r>
        <w:rPr>
          <w:rFonts w:ascii="Calibri" w:hAnsi="Calibri" w:cs="Calibri"/>
          <w:noProof/>
          <w:sz w:val="24"/>
          <w:szCs w:val="24"/>
        </w:rPr>
        <w:t>2011)</w:t>
      </w:r>
      <w:r>
        <w:rPr>
          <w:rFonts w:ascii="Calibri" w:hAnsi="Calibri" w:cs="Calibri"/>
          <w:sz w:val="24"/>
          <w:szCs w:val="24"/>
        </w:rPr>
        <w:t xml:space="preserve"> gyda’r cysyniad yma o bersonoli dysgu, pwysleisir y pwysigrwydd o bersonoli cyfarwyddyd asesu a</w:t>
      </w:r>
      <w:r w:rsidR="0061265C">
        <w:rPr>
          <w:rFonts w:ascii="Calibri" w:hAnsi="Calibri" w:cs="Calibri"/>
          <w:sz w:val="24"/>
          <w:szCs w:val="24"/>
        </w:rPr>
        <w:t>c</w:t>
      </w:r>
      <w:r>
        <w:rPr>
          <w:rFonts w:ascii="Calibri" w:hAnsi="Calibri" w:cs="Calibri"/>
          <w:sz w:val="24"/>
          <w:szCs w:val="24"/>
        </w:rPr>
        <w:t xml:space="preserve"> adborth er mwyn weddu’r anghenion gwahanol pob disgybl. Ond cyn ffocysu ar y man ble disgwylir i’r dysgwyr gyrraedd rhaid gwneud barnau ar ble mae’r dysgwyr wedi cyrraedd yn eu dysgu’n barod. Gellir gwneud y barnau yma trwy wneud mathau gwahanol o asesiadau diagnostig. Mae enghreifftiau o’r mathau o asesiadau yn cael eu hamlinellu gan </w:t>
      </w:r>
      <w:r>
        <w:rPr>
          <w:rFonts w:ascii="Calibri" w:hAnsi="Calibri" w:cs="Calibri"/>
          <w:noProof/>
          <w:sz w:val="24"/>
          <w:szCs w:val="24"/>
        </w:rPr>
        <w:t>Isaacs</w:t>
      </w:r>
      <w:r>
        <w:rPr>
          <w:rFonts w:ascii="Calibri" w:hAnsi="Calibri" w:cs="Calibri"/>
          <w:i/>
          <w:iCs/>
          <w:noProof/>
          <w:sz w:val="24"/>
          <w:szCs w:val="24"/>
        </w:rPr>
        <w:t xml:space="preserve"> et al.</w:t>
      </w:r>
      <w:r w:rsidR="0061265C">
        <w:rPr>
          <w:rFonts w:ascii="Calibri" w:hAnsi="Calibri" w:cs="Calibri"/>
          <w:noProof/>
          <w:sz w:val="24"/>
          <w:szCs w:val="24"/>
        </w:rPr>
        <w:t xml:space="preserve"> (</w:t>
      </w:r>
      <w:r>
        <w:rPr>
          <w:rFonts w:ascii="Calibri" w:hAnsi="Calibri" w:cs="Calibri"/>
          <w:noProof/>
          <w:sz w:val="24"/>
          <w:szCs w:val="24"/>
        </w:rPr>
        <w:t>2013)</w:t>
      </w:r>
      <w:r>
        <w:rPr>
          <w:rFonts w:ascii="Calibri" w:hAnsi="Calibri" w:cs="Calibri"/>
          <w:sz w:val="24"/>
          <w:szCs w:val="24"/>
        </w:rPr>
        <w:t xml:space="preserve"> ac yn cynnwys casglu gwybodaeth o waith dosbarth neu brofion. Yn ogystal â hyn, gall ofyn cwestiynau penagored cyfoethog ganfod unrhyw gamsyniadau sydd gan fyfyrwyr. Mae gweithgaredd asesu yn gallu cyfrannu tuag at ddysgu os yw’n yn darparu gwybodaeth i'w defnyddio fel adborth gan athrawon, a gan eu myfyrwyr wrth asesu eu hunain a'i gilydd </w:t>
      </w:r>
      <w:r>
        <w:rPr>
          <w:rFonts w:ascii="Calibri" w:hAnsi="Calibri" w:cs="Calibri"/>
          <w:noProof/>
          <w:sz w:val="24"/>
          <w:szCs w:val="24"/>
        </w:rPr>
        <w:t>(Black</w:t>
      </w:r>
      <w:r>
        <w:rPr>
          <w:rFonts w:ascii="Calibri" w:hAnsi="Calibri" w:cs="Calibri"/>
          <w:i/>
          <w:iCs/>
          <w:noProof/>
          <w:sz w:val="24"/>
          <w:szCs w:val="24"/>
        </w:rPr>
        <w:t xml:space="preserve"> et al.</w:t>
      </w:r>
      <w:r>
        <w:rPr>
          <w:rFonts w:ascii="Calibri" w:hAnsi="Calibri" w:cs="Calibri"/>
          <w:noProof/>
          <w:sz w:val="24"/>
          <w:szCs w:val="24"/>
        </w:rPr>
        <w:t>, 2003)</w:t>
      </w:r>
      <w:r>
        <w:rPr>
          <w:rFonts w:ascii="Calibri" w:hAnsi="Calibri" w:cs="Calibri"/>
          <w:sz w:val="24"/>
          <w:szCs w:val="24"/>
        </w:rPr>
        <w:t xml:space="preserve">. Fel y nodir uchod, un ffordd o asesu ar gyfer dysgu yw rhoi adborth, nid oes angen i’r adborth yma cael ei roi gan athro, gall fod yn adborth o hunan asesu a trwy asesu cymheiriaid. Mae asesu cymheiriaid yn gyfrwng cryf o asesu ar gyfer dysgu oherwydd ei fod yn gwneud i’r myfyrwyr i gymryd rhan weithredol i werthuso eu dysgu </w:t>
      </w:r>
      <w:r>
        <w:rPr>
          <w:rFonts w:ascii="Calibri" w:hAnsi="Calibri" w:cs="Calibri"/>
          <w:noProof/>
          <w:sz w:val="24"/>
          <w:szCs w:val="24"/>
        </w:rPr>
        <w:t>(Rotsaert</w:t>
      </w:r>
      <w:r>
        <w:rPr>
          <w:rFonts w:ascii="Calibri" w:hAnsi="Calibri" w:cs="Calibri"/>
          <w:i/>
          <w:iCs/>
          <w:noProof/>
          <w:sz w:val="24"/>
          <w:szCs w:val="24"/>
        </w:rPr>
        <w:t xml:space="preserve"> et al.</w:t>
      </w:r>
      <w:r>
        <w:rPr>
          <w:rFonts w:ascii="Calibri" w:hAnsi="Calibri" w:cs="Calibri"/>
          <w:noProof/>
          <w:sz w:val="24"/>
          <w:szCs w:val="24"/>
        </w:rPr>
        <w:t>, 2018)</w:t>
      </w:r>
      <w:r>
        <w:rPr>
          <w:rFonts w:ascii="Calibri" w:hAnsi="Calibri" w:cs="Calibri"/>
          <w:sz w:val="24"/>
          <w:szCs w:val="24"/>
        </w:rPr>
        <w:t>.</w:t>
      </w:r>
    </w:p>
    <w:p w14:paraId="5F4AD2E1" w14:textId="3FF1369C" w:rsidR="00532304" w:rsidRDefault="002D06FB" w:rsidP="005A3411">
      <w:pPr>
        <w:spacing w:line="360" w:lineRule="auto"/>
        <w:rPr>
          <w:rFonts w:ascii="Calibri" w:hAnsi="Calibri" w:cs="Calibri"/>
          <w:sz w:val="24"/>
          <w:szCs w:val="24"/>
        </w:rPr>
      </w:pPr>
      <w:r>
        <w:rPr>
          <w:rFonts w:ascii="Calibri" w:hAnsi="Calibri" w:cs="Calibri"/>
          <w:sz w:val="24"/>
          <w:szCs w:val="24"/>
        </w:rPr>
        <w:tab/>
        <w:t xml:space="preserve">Mae asesu cymheiriaid yn sgil soffistigedig a all gymryd amser i feistroli ac o ganlyniad i hyn mae’n cael ei gyfarch yn fawr ond ychydig sy’n defnyddio mewn llawer o gyd-destunau addysgol </w:t>
      </w:r>
      <w:r>
        <w:rPr>
          <w:rFonts w:ascii="Calibri" w:hAnsi="Calibri" w:cs="Calibri"/>
          <w:noProof/>
          <w:sz w:val="24"/>
          <w:szCs w:val="24"/>
        </w:rPr>
        <w:t>(Isaacs</w:t>
      </w:r>
      <w:r>
        <w:rPr>
          <w:rFonts w:ascii="Calibri" w:hAnsi="Calibri" w:cs="Calibri"/>
          <w:i/>
          <w:iCs/>
          <w:noProof/>
          <w:sz w:val="24"/>
          <w:szCs w:val="24"/>
        </w:rPr>
        <w:t xml:space="preserve"> et al.</w:t>
      </w:r>
      <w:r>
        <w:rPr>
          <w:rFonts w:ascii="Calibri" w:hAnsi="Calibri" w:cs="Calibri"/>
          <w:noProof/>
          <w:sz w:val="24"/>
          <w:szCs w:val="24"/>
        </w:rPr>
        <w:t>, 2013)</w:t>
      </w:r>
      <w:r>
        <w:rPr>
          <w:rFonts w:ascii="Calibri" w:hAnsi="Calibri" w:cs="Calibri"/>
          <w:sz w:val="24"/>
          <w:szCs w:val="24"/>
        </w:rPr>
        <w:t xml:space="preserve">. Mae’n cael ei chynnal mewn parau neu grwpiau, ac yn weithgaredd lle mae dysgwyr yn mabwysiadu rôl ffrind beirniadol ac yn elwa o rannu syniadau a mewnwelediadau </w:t>
      </w:r>
      <w:r>
        <w:rPr>
          <w:rFonts w:ascii="Calibri" w:hAnsi="Calibri" w:cs="Calibri"/>
          <w:noProof/>
          <w:sz w:val="24"/>
          <w:szCs w:val="24"/>
        </w:rPr>
        <w:t>(Isaacs</w:t>
      </w:r>
      <w:r>
        <w:rPr>
          <w:rFonts w:ascii="Calibri" w:hAnsi="Calibri" w:cs="Calibri"/>
          <w:i/>
          <w:iCs/>
          <w:noProof/>
          <w:sz w:val="24"/>
          <w:szCs w:val="24"/>
        </w:rPr>
        <w:t xml:space="preserve"> et al.</w:t>
      </w:r>
      <w:r>
        <w:rPr>
          <w:rFonts w:ascii="Calibri" w:hAnsi="Calibri" w:cs="Calibri"/>
          <w:noProof/>
          <w:sz w:val="24"/>
          <w:szCs w:val="24"/>
        </w:rPr>
        <w:t>, 2013)</w:t>
      </w:r>
      <w:r>
        <w:rPr>
          <w:rFonts w:ascii="Calibri" w:hAnsi="Calibri" w:cs="Calibri"/>
          <w:sz w:val="24"/>
          <w:szCs w:val="24"/>
        </w:rPr>
        <w:t xml:space="preserve">. Disgwylir hefyd i asesu cymheiriaid gefnogi'r broses o ddysgu trwy ddarparu gwiriad canolradd o'r perfformiad yn erbyn y meini prawf, ynghyd ag adborth ar gryfderau, gwendidau neu awgrymiadau ar gyfer gwella </w:t>
      </w:r>
      <w:r>
        <w:rPr>
          <w:rFonts w:ascii="Calibri" w:hAnsi="Calibri" w:cs="Calibri"/>
          <w:noProof/>
          <w:sz w:val="24"/>
          <w:szCs w:val="24"/>
        </w:rPr>
        <w:t>(Gielen</w:t>
      </w:r>
      <w:r>
        <w:rPr>
          <w:rFonts w:ascii="Calibri" w:hAnsi="Calibri" w:cs="Calibri"/>
          <w:i/>
          <w:iCs/>
          <w:noProof/>
          <w:sz w:val="24"/>
          <w:szCs w:val="24"/>
        </w:rPr>
        <w:t xml:space="preserve"> et al.</w:t>
      </w:r>
      <w:r>
        <w:rPr>
          <w:rFonts w:ascii="Calibri" w:hAnsi="Calibri" w:cs="Calibri"/>
          <w:noProof/>
          <w:sz w:val="24"/>
          <w:szCs w:val="24"/>
        </w:rPr>
        <w:t>, 2010)</w:t>
      </w:r>
      <w:r>
        <w:rPr>
          <w:rFonts w:ascii="Calibri" w:hAnsi="Calibri" w:cs="Calibri"/>
          <w:sz w:val="24"/>
          <w:szCs w:val="24"/>
        </w:rPr>
        <w:t xml:space="preserve">. Ceir nifer o ddadleuon am effeithiolrwydd asesu cymheiriaid gyda sawl dadl sydd yn ei chefnogi’n </w:t>
      </w:r>
      <w:r>
        <w:rPr>
          <w:rFonts w:ascii="Calibri" w:hAnsi="Calibri" w:cs="Calibri"/>
          <w:sz w:val="24"/>
          <w:szCs w:val="24"/>
        </w:rPr>
        <w:lastRenderedPageBreak/>
        <w:t xml:space="preserve">gryf ac eraill yn cwestiynu ei ddilysrwydd fel math o adborth. Mae nifer o athrawon yn cwestiynu os yw’r dysgwyr yn gallu darparu adborth cywir a phriodol a fydd yn arwain at welliant a chynnydd </w:t>
      </w:r>
      <w:r>
        <w:rPr>
          <w:rFonts w:ascii="Calibri" w:hAnsi="Calibri" w:cs="Calibri"/>
          <w:noProof/>
          <w:sz w:val="24"/>
          <w:szCs w:val="24"/>
        </w:rPr>
        <w:t>(Harris</w:t>
      </w:r>
      <w:r>
        <w:rPr>
          <w:rFonts w:ascii="Calibri" w:hAnsi="Calibri" w:cs="Calibri"/>
          <w:i/>
          <w:iCs/>
          <w:noProof/>
          <w:sz w:val="24"/>
          <w:szCs w:val="24"/>
        </w:rPr>
        <w:t xml:space="preserve"> et al.</w:t>
      </w:r>
      <w:r>
        <w:rPr>
          <w:rFonts w:ascii="Calibri" w:hAnsi="Calibri" w:cs="Calibri"/>
          <w:noProof/>
          <w:sz w:val="24"/>
          <w:szCs w:val="24"/>
        </w:rPr>
        <w:t>, 2015)</w:t>
      </w:r>
      <w:r>
        <w:rPr>
          <w:rFonts w:ascii="Calibri" w:hAnsi="Calibri" w:cs="Calibri"/>
          <w:sz w:val="24"/>
          <w:szCs w:val="24"/>
        </w:rPr>
        <w:t xml:space="preserve">. Dadleuir nid yw adborth lefel isel neu sylwadau sydd ddim yn gysylltiedig â'r meini prawf llwyddiant yn rhoi syniadau ar sut i wella’n sylweddol mewn tasg. Yn ogystal â hyn, mae athrawon yn cael ei ystyried i fod yn arbenigwyr yn eu meysydd ac felly dim ond nhw sydd yn addas ar gyfer rhoi adborth gan eu bod yn gallu cynnig gwerthusiad gwrthrychol manwl </w:t>
      </w:r>
      <w:r>
        <w:rPr>
          <w:rFonts w:ascii="Calibri" w:hAnsi="Calibri" w:cs="Calibri"/>
          <w:noProof/>
          <w:sz w:val="24"/>
          <w:szCs w:val="24"/>
        </w:rPr>
        <w:t>(Fallows a Chandramohan, 2001)</w:t>
      </w:r>
      <w:r>
        <w:rPr>
          <w:rFonts w:ascii="Calibri" w:hAnsi="Calibri" w:cs="Calibri"/>
          <w:sz w:val="24"/>
          <w:szCs w:val="24"/>
        </w:rPr>
        <w:t xml:space="preserve">. Er hyn, gellir rhai dadlau bod adborth gan athrawon ddim yn ddigon personol. Awgryma </w:t>
      </w:r>
      <w:r>
        <w:rPr>
          <w:rFonts w:ascii="Calibri" w:hAnsi="Calibri" w:cs="Calibri"/>
          <w:noProof/>
          <w:sz w:val="24"/>
          <w:szCs w:val="24"/>
        </w:rPr>
        <w:t>Gielen</w:t>
      </w:r>
      <w:r>
        <w:rPr>
          <w:rFonts w:ascii="Calibri" w:hAnsi="Calibri" w:cs="Calibri"/>
          <w:i/>
          <w:iCs/>
          <w:noProof/>
          <w:sz w:val="24"/>
          <w:szCs w:val="24"/>
        </w:rPr>
        <w:t xml:space="preserve"> et al.</w:t>
      </w:r>
      <w:r w:rsidR="006C711F">
        <w:rPr>
          <w:rFonts w:ascii="Calibri" w:hAnsi="Calibri" w:cs="Calibri"/>
          <w:noProof/>
          <w:sz w:val="24"/>
          <w:szCs w:val="24"/>
        </w:rPr>
        <w:t xml:space="preserve"> (</w:t>
      </w:r>
      <w:r>
        <w:rPr>
          <w:rFonts w:ascii="Calibri" w:hAnsi="Calibri" w:cs="Calibri"/>
          <w:noProof/>
          <w:sz w:val="24"/>
          <w:szCs w:val="24"/>
        </w:rPr>
        <w:t>2010)</w:t>
      </w:r>
      <w:r>
        <w:rPr>
          <w:rFonts w:ascii="Calibri" w:hAnsi="Calibri" w:cs="Calibri"/>
          <w:sz w:val="24"/>
          <w:szCs w:val="24"/>
        </w:rPr>
        <w:t xml:space="preserve"> bod wrth i athrawon darparu adborth mwy amserol ac yn fwy aml, maent yn aml yn rhoi adborth cyffredinol gan ei fod yn fwy dichonadwy. Ni all y math yma o adborth fynd i'r afael ag anghenion personol y dysgwyr fel y gall adborth mwy personol.</w:t>
      </w:r>
      <w:r w:rsidR="00BA4DF5">
        <w:rPr>
          <w:rFonts w:ascii="Calibri" w:hAnsi="Calibri" w:cs="Calibri"/>
          <w:sz w:val="24"/>
          <w:szCs w:val="24"/>
        </w:rPr>
        <w:t xml:space="preserve"> Yn ôl ystyried y pwyntiau uchod, penderfynais roi meini prawf llwyddiant i’r dysgwyr i’w defnyddio wrth asesu gwaith cyfoedion</w:t>
      </w:r>
      <w:r w:rsidR="00FA02C8">
        <w:rPr>
          <w:rFonts w:ascii="Calibri" w:hAnsi="Calibri" w:cs="Calibri"/>
          <w:sz w:val="24"/>
          <w:szCs w:val="24"/>
        </w:rPr>
        <w:t xml:space="preserve"> er mwyn amlinellu’n glir </w:t>
      </w:r>
      <w:r w:rsidR="00230326">
        <w:rPr>
          <w:rFonts w:ascii="Calibri" w:hAnsi="Calibri" w:cs="Calibri"/>
          <w:sz w:val="24"/>
          <w:szCs w:val="24"/>
        </w:rPr>
        <w:t>sut i gyrraedd gofynion y dasg. P</w:t>
      </w:r>
      <w:r w:rsidR="00BA4DF5">
        <w:rPr>
          <w:rFonts w:ascii="Calibri" w:hAnsi="Calibri" w:cs="Calibri"/>
          <w:sz w:val="24"/>
          <w:szCs w:val="24"/>
        </w:rPr>
        <w:t xml:space="preserve">enderfynaf </w:t>
      </w:r>
      <w:r w:rsidR="00230326">
        <w:rPr>
          <w:rFonts w:ascii="Calibri" w:hAnsi="Calibri" w:cs="Calibri"/>
          <w:sz w:val="24"/>
          <w:szCs w:val="24"/>
        </w:rPr>
        <w:t>hefyd g</w:t>
      </w:r>
      <w:r w:rsidR="00BA4DF5">
        <w:rPr>
          <w:rFonts w:ascii="Calibri" w:hAnsi="Calibri" w:cs="Calibri"/>
          <w:sz w:val="24"/>
          <w:szCs w:val="24"/>
        </w:rPr>
        <w:t>weithredu asesu cymheiriaid o fewn pob gwers o fewn y gyfres o wersi er mwyn sicrhau cysondeb ac amlder i’r adborth.</w:t>
      </w:r>
    </w:p>
    <w:p w14:paraId="28CCB390" w14:textId="10C18C18" w:rsidR="0015088C" w:rsidRDefault="001B5BDB" w:rsidP="005A3411">
      <w:pPr>
        <w:spacing w:line="360" w:lineRule="auto"/>
        <w:rPr>
          <w:rFonts w:ascii="Calibri" w:hAnsi="Calibri" w:cs="Calibri"/>
          <w:sz w:val="24"/>
          <w:szCs w:val="24"/>
        </w:rPr>
      </w:pPr>
      <w:r>
        <w:rPr>
          <w:rFonts w:ascii="Calibri" w:hAnsi="Calibri" w:cs="Calibri"/>
          <w:sz w:val="24"/>
          <w:szCs w:val="24"/>
        </w:rPr>
        <w:tab/>
        <w:t xml:space="preserve">Yn gyffredinol, y ddadl fwyaf sy’n ymwneud ag asesu cymheiriaid yw hygrededd a dibynadwyedd o adborth sydd yn cael ei roi gan gymheiriaid. Mae </w:t>
      </w:r>
      <w:r>
        <w:rPr>
          <w:rFonts w:ascii="Calibri" w:hAnsi="Calibri" w:cs="Calibri"/>
          <w:noProof/>
          <w:sz w:val="24"/>
          <w:szCs w:val="24"/>
        </w:rPr>
        <w:t>Rotsaert</w:t>
      </w:r>
      <w:r>
        <w:rPr>
          <w:rFonts w:ascii="Calibri" w:hAnsi="Calibri" w:cs="Calibri"/>
          <w:i/>
          <w:iCs/>
          <w:noProof/>
          <w:sz w:val="24"/>
          <w:szCs w:val="24"/>
        </w:rPr>
        <w:t xml:space="preserve"> et al.</w:t>
      </w:r>
      <w:r>
        <w:rPr>
          <w:rFonts w:ascii="Calibri" w:hAnsi="Calibri" w:cs="Calibri"/>
          <w:noProof/>
          <w:sz w:val="24"/>
          <w:szCs w:val="24"/>
        </w:rPr>
        <w:t xml:space="preserve"> </w:t>
      </w:r>
      <w:r w:rsidR="006C711F">
        <w:rPr>
          <w:rFonts w:ascii="Calibri" w:hAnsi="Calibri" w:cs="Calibri"/>
          <w:noProof/>
          <w:sz w:val="24"/>
          <w:szCs w:val="24"/>
        </w:rPr>
        <w:t>(</w:t>
      </w:r>
      <w:r>
        <w:rPr>
          <w:rFonts w:ascii="Calibri" w:hAnsi="Calibri" w:cs="Calibri"/>
          <w:noProof/>
          <w:sz w:val="24"/>
          <w:szCs w:val="24"/>
        </w:rPr>
        <w:t>2018)</w:t>
      </w:r>
      <w:r>
        <w:rPr>
          <w:rFonts w:ascii="Calibri" w:hAnsi="Calibri" w:cs="Calibri"/>
          <w:sz w:val="24"/>
          <w:szCs w:val="24"/>
        </w:rPr>
        <w:t xml:space="preserve"> yn amlinellu rhesymau posib dros pam nad yw’r adborth sydd yn cael ei roi gan gymheiriaid yn ddibynadwy. Un rheswm a amlinellir yw’r gogwydd posib a all ddod o farcio a rhoi adborth ar waith cyfaill, o bosib gall fod pwysau yn cael ei roi ar y dysgwyr oherwydd eu cyfeillgarwch a gall arwain at ddysgwyr i beidio cymryd rhan. Mae </w:t>
      </w:r>
      <w:r w:rsidR="006C711F">
        <w:rPr>
          <w:rFonts w:ascii="Calibri" w:hAnsi="Calibri" w:cs="Calibri"/>
          <w:noProof/>
          <w:sz w:val="24"/>
          <w:szCs w:val="24"/>
        </w:rPr>
        <w:t>I</w:t>
      </w:r>
      <w:r>
        <w:rPr>
          <w:rFonts w:ascii="Calibri" w:hAnsi="Calibri" w:cs="Calibri"/>
          <w:noProof/>
          <w:sz w:val="24"/>
          <w:szCs w:val="24"/>
        </w:rPr>
        <w:t>zgar a Akturk</w:t>
      </w:r>
      <w:r w:rsidR="006C711F">
        <w:rPr>
          <w:rFonts w:ascii="Calibri" w:hAnsi="Calibri" w:cs="Calibri"/>
          <w:noProof/>
          <w:sz w:val="24"/>
          <w:szCs w:val="24"/>
        </w:rPr>
        <w:t xml:space="preserve"> (</w:t>
      </w:r>
      <w:r>
        <w:rPr>
          <w:rFonts w:ascii="Calibri" w:hAnsi="Calibri" w:cs="Calibri"/>
          <w:noProof/>
          <w:sz w:val="24"/>
          <w:szCs w:val="24"/>
        </w:rPr>
        <w:t>2018)</w:t>
      </w:r>
      <w:r>
        <w:rPr>
          <w:rFonts w:ascii="Calibri" w:hAnsi="Calibri" w:cs="Calibri"/>
          <w:sz w:val="24"/>
          <w:szCs w:val="24"/>
        </w:rPr>
        <w:t xml:space="preserve"> yn cefnogi’r ddadl yma pellach trwy nodi bod cysylltiadau cyfeillgarwch wedi cael effaith negyddol ar asesu. Darganfyddir bod y dysgwyr a chafodd y sgorau isaf oedd y rhai gyda chysylltiad cyfeillgarwch gwan. Yn ogystal â hyn, nodir bod y dysgwyr a oedd gyda chysylltiad cyfeillgarwch cryf yn orfoleddus gyda’i farciau. O bosib gellir datrys yr her yma trwy newid y gwaith i fod yn ddienw er mwyn sicrhau ni fydd y cysylltiadau cyfeillgarwch o fewn dosbarthiadau yn gallu cael effaith negyddol ar yr asesu. Rheswm arall a amlinellir gan </w:t>
      </w:r>
      <w:r>
        <w:rPr>
          <w:rFonts w:ascii="Calibri" w:hAnsi="Calibri" w:cs="Calibri"/>
          <w:noProof/>
          <w:sz w:val="24"/>
          <w:szCs w:val="24"/>
        </w:rPr>
        <w:t>Rotsaert</w:t>
      </w:r>
      <w:r>
        <w:rPr>
          <w:rFonts w:ascii="Calibri" w:hAnsi="Calibri" w:cs="Calibri"/>
          <w:i/>
          <w:iCs/>
          <w:noProof/>
          <w:sz w:val="24"/>
          <w:szCs w:val="24"/>
        </w:rPr>
        <w:t xml:space="preserve"> et al.</w:t>
      </w:r>
      <w:r w:rsidR="006C711F">
        <w:rPr>
          <w:rFonts w:ascii="Calibri" w:hAnsi="Calibri" w:cs="Calibri"/>
          <w:noProof/>
          <w:sz w:val="24"/>
          <w:szCs w:val="24"/>
        </w:rPr>
        <w:t xml:space="preserve"> (</w:t>
      </w:r>
      <w:r>
        <w:rPr>
          <w:rFonts w:ascii="Calibri" w:hAnsi="Calibri" w:cs="Calibri"/>
          <w:noProof/>
          <w:sz w:val="24"/>
          <w:szCs w:val="24"/>
        </w:rPr>
        <w:t>2018)</w:t>
      </w:r>
      <w:r>
        <w:rPr>
          <w:rFonts w:ascii="Calibri" w:hAnsi="Calibri" w:cs="Calibri"/>
          <w:sz w:val="24"/>
          <w:szCs w:val="24"/>
        </w:rPr>
        <w:t xml:space="preserve"> yw’r ymddiriedolaeth yn yr asesydd fel aseswr i allu darparu yn hyderus adborth dibynadwy a ddilys. Awgryma bydd dysgwyr ond yn gweithredu ar wybodaeth ddibynadwy ac os bydd yr adborth yn anrhagweladwy yna ni fydden nhw yn gweithredu ar yr adborth. Cytunwyd </w:t>
      </w:r>
      <w:r>
        <w:rPr>
          <w:rFonts w:ascii="Calibri" w:hAnsi="Calibri" w:cs="Calibri"/>
          <w:noProof/>
          <w:sz w:val="24"/>
          <w:szCs w:val="24"/>
        </w:rPr>
        <w:t>Gielen</w:t>
      </w:r>
      <w:r>
        <w:rPr>
          <w:rFonts w:ascii="Calibri" w:hAnsi="Calibri" w:cs="Calibri"/>
          <w:i/>
          <w:iCs/>
          <w:noProof/>
          <w:sz w:val="24"/>
          <w:szCs w:val="24"/>
        </w:rPr>
        <w:t xml:space="preserve"> et al.</w:t>
      </w:r>
      <w:r w:rsidR="006C711F">
        <w:rPr>
          <w:rFonts w:ascii="Calibri" w:hAnsi="Calibri" w:cs="Calibri"/>
          <w:noProof/>
          <w:sz w:val="24"/>
          <w:szCs w:val="24"/>
        </w:rPr>
        <w:t xml:space="preserve"> (</w:t>
      </w:r>
      <w:r>
        <w:rPr>
          <w:rFonts w:ascii="Calibri" w:hAnsi="Calibri" w:cs="Calibri"/>
          <w:noProof/>
          <w:sz w:val="24"/>
          <w:szCs w:val="24"/>
        </w:rPr>
        <w:t>2010)</w:t>
      </w:r>
      <w:r>
        <w:rPr>
          <w:rFonts w:ascii="Calibri" w:hAnsi="Calibri" w:cs="Calibri"/>
          <w:sz w:val="24"/>
          <w:szCs w:val="24"/>
        </w:rPr>
        <w:t xml:space="preserve"> </w:t>
      </w:r>
      <w:r>
        <w:rPr>
          <w:rFonts w:ascii="Calibri" w:hAnsi="Calibri" w:cs="Calibri"/>
          <w:sz w:val="24"/>
          <w:szCs w:val="24"/>
        </w:rPr>
        <w:lastRenderedPageBreak/>
        <w:t xml:space="preserve">gyda’r ddadl yma gan nodi bod cywirdeb adborth gan gymheiriaid yn amrywio. Dadleuir gall dyfarniadau neu gyngor gan gymheiriaid fod yn rhannol gywir, yn gwbl anghywir neu'n gamarweiniol. Ar ben hynny, nid yw'r asesydd cymheiriaid fel arfer yn cael ei ystyried fel ‘awdurdod gwybodaeth’, gan arwain at fwy o amharodrwydd wrth dderbyn barn neu gyngor gan gyfoed. Er hyn, darganfyddir </w:t>
      </w:r>
      <w:r>
        <w:rPr>
          <w:rFonts w:ascii="Calibri" w:hAnsi="Calibri" w:cs="Calibri"/>
          <w:noProof/>
          <w:sz w:val="24"/>
          <w:szCs w:val="24"/>
        </w:rPr>
        <w:t>Tsivitanidou</w:t>
      </w:r>
      <w:r>
        <w:rPr>
          <w:rFonts w:ascii="Calibri" w:hAnsi="Calibri" w:cs="Calibri"/>
          <w:i/>
          <w:iCs/>
          <w:noProof/>
          <w:sz w:val="24"/>
          <w:szCs w:val="24"/>
        </w:rPr>
        <w:t xml:space="preserve"> et al.</w:t>
      </w:r>
      <w:r w:rsidR="006C711F">
        <w:rPr>
          <w:rFonts w:ascii="Calibri" w:hAnsi="Calibri" w:cs="Calibri"/>
          <w:noProof/>
          <w:sz w:val="24"/>
          <w:szCs w:val="24"/>
        </w:rPr>
        <w:t xml:space="preserve"> (</w:t>
      </w:r>
      <w:r>
        <w:rPr>
          <w:rFonts w:ascii="Calibri" w:hAnsi="Calibri" w:cs="Calibri"/>
          <w:noProof/>
          <w:sz w:val="24"/>
          <w:szCs w:val="24"/>
        </w:rPr>
        <w:t>2011)</w:t>
      </w:r>
      <w:r>
        <w:rPr>
          <w:rFonts w:ascii="Calibri" w:hAnsi="Calibri" w:cs="Calibri"/>
          <w:sz w:val="24"/>
          <w:szCs w:val="24"/>
        </w:rPr>
        <w:t xml:space="preserve"> bod dysgwyr ar y cyfan yn cael agwedd cadarnhaol tuag at asesu cymheiriaid ac maent yn bwriadu ei weithredu eto. Canfuwyd hefyd bod gan fyfyrwyr y sgiliau, o leiaf y dechrau, sydd eu hangen ar gyfer gweithredu asesu cymheiriaid. Fe ddaeth y casgliadau yma o gyfres o arsylwadau a chyfweliadau ar 36 o ddysgwyr blwyddyn 7 ac ond yn archwilio barn y dysgwyr ar asesu cymheiriaid. Gall rhai dadlau er bod y dysgwyr yn cefnogi’r syniad o asesu cymheiriaid, doedd dim data wedi cael eu casglu i asesu ei effeithiolrwydd ar gynnydd y dysgwyr. Gan ystyried y pwyntiau uchod fe fydd hi’n cael ei ystyried i fod yn arfer dda i gadw gwaith y dysgwyr yn ddienw wrth weithredu asesu cymheiriaid. Er hyn, gall cadw anhysbysrwydd o fewn tasgau asesu cymheiriaid o bosib arwain at broblemau o reoli perfformiad gan nid y bydd yr athro yn adnabod cyrhaeddiad personol y dysgwyr.</w:t>
      </w:r>
    </w:p>
    <w:p w14:paraId="2066113E" w14:textId="36F053B5" w:rsidR="007D1AA8" w:rsidRDefault="002D06FB" w:rsidP="005A3411">
      <w:pPr>
        <w:spacing w:line="360" w:lineRule="auto"/>
        <w:rPr>
          <w:rFonts w:ascii="Calibri" w:hAnsi="Calibri" w:cs="Calibri"/>
          <w:sz w:val="24"/>
          <w:szCs w:val="24"/>
        </w:rPr>
      </w:pPr>
      <w:r>
        <w:rPr>
          <w:rFonts w:ascii="Calibri" w:hAnsi="Calibri" w:cs="Calibri"/>
          <w:sz w:val="24"/>
          <w:szCs w:val="24"/>
        </w:rPr>
        <w:tab/>
        <w:t xml:space="preserve">Ceir nifer o ddadleuon sy’n cefnogi asesu gyda rhai ymchwiliadau yn awgrymu bod asesu cymheiriaid wedi arwain at gynnydd sylweddol yng nghyrhaeddiad dysgwyr ar draws nifer o bynciau </w:t>
      </w:r>
      <w:r>
        <w:rPr>
          <w:rFonts w:ascii="Calibri" w:hAnsi="Calibri" w:cs="Calibri"/>
          <w:noProof/>
          <w:sz w:val="24"/>
          <w:szCs w:val="24"/>
        </w:rPr>
        <w:t>(Isaacs</w:t>
      </w:r>
      <w:r>
        <w:rPr>
          <w:rFonts w:ascii="Calibri" w:hAnsi="Calibri" w:cs="Calibri"/>
          <w:i/>
          <w:iCs/>
          <w:noProof/>
          <w:sz w:val="24"/>
          <w:szCs w:val="24"/>
        </w:rPr>
        <w:t xml:space="preserve"> et al.</w:t>
      </w:r>
      <w:r>
        <w:rPr>
          <w:rFonts w:ascii="Calibri" w:hAnsi="Calibri" w:cs="Calibri"/>
          <w:noProof/>
          <w:sz w:val="24"/>
          <w:szCs w:val="24"/>
        </w:rPr>
        <w:t>, 2013)</w:t>
      </w:r>
      <w:r>
        <w:rPr>
          <w:rFonts w:ascii="Calibri" w:hAnsi="Calibri" w:cs="Calibri"/>
          <w:sz w:val="24"/>
          <w:szCs w:val="24"/>
        </w:rPr>
        <w:t xml:space="preserve">. Awgryma hefyd bu tystiolaeth yng nghynnydd yn hunan-barch a hunanhyder y dysgwyr a hefyd fe wellodd sgiliau dysgu'r dysgwyr. Nodir </w:t>
      </w:r>
      <w:r>
        <w:rPr>
          <w:rFonts w:ascii="Calibri" w:hAnsi="Calibri" w:cs="Calibri"/>
          <w:noProof/>
          <w:sz w:val="24"/>
          <w:szCs w:val="24"/>
        </w:rPr>
        <w:t>Gielen</w:t>
      </w:r>
      <w:r>
        <w:rPr>
          <w:rFonts w:ascii="Calibri" w:hAnsi="Calibri" w:cs="Calibri"/>
          <w:i/>
          <w:iCs/>
          <w:noProof/>
          <w:sz w:val="24"/>
          <w:szCs w:val="24"/>
        </w:rPr>
        <w:t xml:space="preserve"> et al.</w:t>
      </w:r>
      <w:r w:rsidR="007D1048">
        <w:rPr>
          <w:rFonts w:ascii="Calibri" w:hAnsi="Calibri" w:cs="Calibri"/>
          <w:noProof/>
          <w:sz w:val="24"/>
          <w:szCs w:val="24"/>
        </w:rPr>
        <w:t xml:space="preserve"> (</w:t>
      </w:r>
      <w:r>
        <w:rPr>
          <w:rFonts w:ascii="Calibri" w:hAnsi="Calibri" w:cs="Calibri"/>
          <w:noProof/>
          <w:sz w:val="24"/>
          <w:szCs w:val="24"/>
        </w:rPr>
        <w:t>2010)</w:t>
      </w:r>
      <w:r>
        <w:rPr>
          <w:rFonts w:ascii="Calibri" w:hAnsi="Calibri" w:cs="Calibri"/>
          <w:sz w:val="24"/>
          <w:szCs w:val="24"/>
        </w:rPr>
        <w:t xml:space="preserve"> bod asesu cymheiriaid yn cynyddu gallu'r myfyrwyr i ddeall adborth. Pan fydd dysgwr yn gweld yr hyn sy'n digwydd wrth asesu ac yn cymryd rhan ynddo, mae’r nodau dysgu yn cael eu hegluro a'u mewnoli. Caiff y ddadl yma ei chefnogi gan </w:t>
      </w:r>
      <w:r>
        <w:rPr>
          <w:rFonts w:ascii="Calibri" w:hAnsi="Calibri" w:cs="Calibri"/>
          <w:noProof/>
          <w:sz w:val="24"/>
          <w:szCs w:val="24"/>
        </w:rPr>
        <w:t>Harris</w:t>
      </w:r>
      <w:r>
        <w:rPr>
          <w:rFonts w:ascii="Calibri" w:hAnsi="Calibri" w:cs="Calibri"/>
          <w:i/>
          <w:iCs/>
          <w:noProof/>
          <w:sz w:val="24"/>
          <w:szCs w:val="24"/>
        </w:rPr>
        <w:t xml:space="preserve"> et al.</w:t>
      </w:r>
      <w:r w:rsidR="007D1048">
        <w:rPr>
          <w:rFonts w:ascii="Calibri" w:hAnsi="Calibri" w:cs="Calibri"/>
          <w:noProof/>
          <w:sz w:val="24"/>
          <w:szCs w:val="24"/>
        </w:rPr>
        <w:t xml:space="preserve"> (</w:t>
      </w:r>
      <w:r>
        <w:rPr>
          <w:rFonts w:ascii="Calibri" w:hAnsi="Calibri" w:cs="Calibri"/>
          <w:noProof/>
          <w:sz w:val="24"/>
          <w:szCs w:val="24"/>
        </w:rPr>
        <w:t>2015)</w:t>
      </w:r>
      <w:r>
        <w:rPr>
          <w:rFonts w:ascii="Calibri" w:hAnsi="Calibri" w:cs="Calibri"/>
          <w:sz w:val="24"/>
          <w:szCs w:val="24"/>
        </w:rPr>
        <w:t xml:space="preserve"> sydd hefyd yn awgrymu bod cymryd rhan mewn arferion asesu yn rhoi mwy o ymdeimlad o berchnogaeth i fyfyrwyr dros eu gwaith. Yn ogystal â hyn, gall annog y dysgwyr i ddeall yn well y meini prawf llwyddiant ac o bosib arwain at welliant yng nghyfathrebu a chydweithio. Ceir rhagdybiaeth yma bod asesu cymheiriaid yn ddibynnol ar feini prawf llwyddiant cynhwysfawr. Er hyn ceir dadleuon sydd yn awgrymu bod ni fydd datblygu meini prawf manylach yn gwneud dyfarniadau yn fwy dibynadwy </w:t>
      </w:r>
      <w:r>
        <w:rPr>
          <w:rFonts w:ascii="Calibri" w:hAnsi="Calibri" w:cs="Calibri"/>
          <w:noProof/>
          <w:sz w:val="24"/>
          <w:szCs w:val="24"/>
        </w:rPr>
        <w:t>(McConlogue, 2012)</w:t>
      </w:r>
      <w:r>
        <w:rPr>
          <w:rFonts w:ascii="Calibri" w:hAnsi="Calibri" w:cs="Calibri"/>
          <w:sz w:val="24"/>
          <w:szCs w:val="24"/>
        </w:rPr>
        <w:t xml:space="preserve">. Esbonnir gall marcwyr fod yn gwneud defnydd ôl-weithredol o’r meini prawf llwyddiant; trwy benderfynu yn gyntaf ar farc yn ôl eu teimlad cychwynnol, ac yna’n </w:t>
      </w:r>
      <w:r>
        <w:rPr>
          <w:rFonts w:ascii="Calibri" w:hAnsi="Calibri" w:cs="Calibri"/>
          <w:sz w:val="24"/>
          <w:szCs w:val="24"/>
        </w:rPr>
        <w:lastRenderedPageBreak/>
        <w:t>defnyddio'r meini prawf i gyfiawnhau'r marc hwnnw. Anghytunwyd</w:t>
      </w:r>
      <w:r w:rsidR="00085341">
        <w:rPr>
          <w:rFonts w:ascii="Calibri" w:hAnsi="Calibri" w:cs="Calibri"/>
          <w:sz w:val="24"/>
          <w:szCs w:val="24"/>
        </w:rPr>
        <w:t xml:space="preserve"> </w:t>
      </w:r>
      <w:r>
        <w:rPr>
          <w:rFonts w:ascii="Calibri" w:hAnsi="Calibri" w:cs="Calibri"/>
          <w:noProof/>
          <w:sz w:val="24"/>
          <w:szCs w:val="24"/>
        </w:rPr>
        <w:t>Harris</w:t>
      </w:r>
      <w:r>
        <w:rPr>
          <w:rFonts w:ascii="Calibri" w:hAnsi="Calibri" w:cs="Calibri"/>
          <w:i/>
          <w:iCs/>
          <w:noProof/>
          <w:sz w:val="24"/>
          <w:szCs w:val="24"/>
        </w:rPr>
        <w:t xml:space="preserve"> et al.</w:t>
      </w:r>
      <w:r w:rsidR="00085341">
        <w:rPr>
          <w:rFonts w:ascii="Calibri" w:hAnsi="Calibri" w:cs="Calibri"/>
          <w:noProof/>
          <w:sz w:val="24"/>
          <w:szCs w:val="24"/>
        </w:rPr>
        <w:t xml:space="preserve"> (2</w:t>
      </w:r>
      <w:r>
        <w:rPr>
          <w:rFonts w:ascii="Calibri" w:hAnsi="Calibri" w:cs="Calibri"/>
          <w:noProof/>
          <w:sz w:val="24"/>
          <w:szCs w:val="24"/>
        </w:rPr>
        <w:t>015)</w:t>
      </w:r>
      <w:r>
        <w:rPr>
          <w:rFonts w:ascii="Calibri" w:hAnsi="Calibri" w:cs="Calibri"/>
          <w:sz w:val="24"/>
          <w:szCs w:val="24"/>
        </w:rPr>
        <w:t xml:space="preserve"> gyda’r farn yma gan bwysleisio pwysigrwydd model neu feini prawf llwyddiant wrth asesu cymheiriaid. Nodir bod rhaid darparu model a gellir ei ddefnyddio i werthuso lefelau'r adborth y mae myfyrwyr yn ei gynhyrchu. Mae hwn mewn tro yn arwain at asesu effeithiolrwydd y dysgwyr o asesu trwy adnabod gwendidau’r dysgwyr ac er mwyn adnabod y mannau sydd angen mwy o arweiniad a hyfforddiant.</w:t>
      </w:r>
    </w:p>
    <w:p w14:paraId="6E5A454D" w14:textId="6D452F1E" w:rsidR="00391990" w:rsidRDefault="001B5BDB" w:rsidP="005A3411">
      <w:pPr>
        <w:spacing w:line="360" w:lineRule="auto"/>
        <w:rPr>
          <w:rFonts w:ascii="Calibri" w:hAnsi="Calibri" w:cs="Calibri"/>
          <w:sz w:val="24"/>
          <w:szCs w:val="24"/>
        </w:rPr>
      </w:pPr>
      <w:r>
        <w:rPr>
          <w:rFonts w:ascii="Calibri" w:hAnsi="Calibri" w:cs="Calibri"/>
          <w:sz w:val="24"/>
          <w:szCs w:val="24"/>
        </w:rPr>
        <w:tab/>
        <w:t xml:space="preserve">Un ddadl gyffredin o blaid asesu cymheiriaid yw bod yr asesydd a’r dysgwyr sy’n derbyn yr adborth ‘ar yr un donfedd’. Dadleuir </w:t>
      </w:r>
      <w:r>
        <w:rPr>
          <w:rFonts w:ascii="Calibri" w:hAnsi="Calibri" w:cs="Calibri"/>
          <w:noProof/>
          <w:sz w:val="24"/>
          <w:szCs w:val="24"/>
        </w:rPr>
        <w:t>Rotsaert</w:t>
      </w:r>
      <w:r>
        <w:rPr>
          <w:rFonts w:ascii="Calibri" w:hAnsi="Calibri" w:cs="Calibri"/>
          <w:i/>
          <w:iCs/>
          <w:noProof/>
          <w:sz w:val="24"/>
          <w:szCs w:val="24"/>
        </w:rPr>
        <w:t xml:space="preserve"> et al.</w:t>
      </w:r>
      <w:r w:rsidR="00E72DE9">
        <w:rPr>
          <w:rFonts w:ascii="Calibri" w:hAnsi="Calibri" w:cs="Calibri"/>
          <w:noProof/>
          <w:sz w:val="24"/>
          <w:szCs w:val="24"/>
        </w:rPr>
        <w:t xml:space="preserve"> (</w:t>
      </w:r>
      <w:r>
        <w:rPr>
          <w:rFonts w:ascii="Calibri" w:hAnsi="Calibri" w:cs="Calibri"/>
          <w:noProof/>
          <w:sz w:val="24"/>
          <w:szCs w:val="24"/>
        </w:rPr>
        <w:t>2018)</w:t>
      </w:r>
      <w:r>
        <w:rPr>
          <w:rFonts w:ascii="Calibri" w:hAnsi="Calibri" w:cs="Calibri"/>
          <w:sz w:val="24"/>
          <w:szCs w:val="24"/>
        </w:rPr>
        <w:t xml:space="preserve"> bod asesu cymheiriaid yn gwneud adborth yn fwy dealladwy a defnyddiol gan eu bod wedi ysgrifennu gan asesydd o’r un oedran neu o’r un gallu. Yn yr achos yma felly, bydd disgyblion yn fwy parod i herio adborth gan yr asesydd oherwydd nad ydynt yn gweld yr asesydd fel arbenigwr fel y byddan nhw’n gweld athro. Yn ogystal â hyn, nodir </w:t>
      </w:r>
      <w:r>
        <w:rPr>
          <w:rFonts w:ascii="Calibri" w:hAnsi="Calibri" w:cs="Calibri"/>
          <w:noProof/>
          <w:sz w:val="24"/>
          <w:szCs w:val="24"/>
        </w:rPr>
        <w:t>Gielen</w:t>
      </w:r>
      <w:r>
        <w:rPr>
          <w:rFonts w:ascii="Calibri" w:hAnsi="Calibri" w:cs="Calibri"/>
          <w:i/>
          <w:iCs/>
          <w:noProof/>
          <w:sz w:val="24"/>
          <w:szCs w:val="24"/>
        </w:rPr>
        <w:t xml:space="preserve"> et al.</w:t>
      </w:r>
      <w:r w:rsidR="00E72DE9">
        <w:rPr>
          <w:rFonts w:ascii="Calibri" w:hAnsi="Calibri" w:cs="Calibri"/>
          <w:noProof/>
          <w:sz w:val="24"/>
          <w:szCs w:val="24"/>
        </w:rPr>
        <w:t xml:space="preserve"> (</w:t>
      </w:r>
      <w:r>
        <w:rPr>
          <w:rFonts w:ascii="Calibri" w:hAnsi="Calibri" w:cs="Calibri"/>
          <w:noProof/>
          <w:sz w:val="24"/>
          <w:szCs w:val="24"/>
        </w:rPr>
        <w:t>2010)</w:t>
      </w:r>
      <w:r>
        <w:rPr>
          <w:rFonts w:ascii="Calibri" w:hAnsi="Calibri" w:cs="Calibri"/>
          <w:sz w:val="24"/>
          <w:szCs w:val="24"/>
        </w:rPr>
        <w:t xml:space="preserve"> bod adborth gan athrawon wedi gostwng hunan gywiriadau myfyrwyr. Rheswm posib am hyn yw bod y myfyrwyr yn tybio bod yr athro wedi mynd i'r afael â phob gwall ac nad oedd angen cywiriadau pellach. Felly, wrth weithredu asesu cymheiriaid bydd yn medru datblygu dysgwyr mwy beirniadol o’u gwaith. Cefnogir y ddadl yma gan </w:t>
      </w:r>
      <w:r>
        <w:rPr>
          <w:rFonts w:ascii="Calibri" w:hAnsi="Calibri" w:cs="Calibri"/>
          <w:noProof/>
          <w:sz w:val="24"/>
          <w:szCs w:val="24"/>
        </w:rPr>
        <w:t>McConlogue</w:t>
      </w:r>
      <w:r w:rsidR="00E72DE9">
        <w:rPr>
          <w:rFonts w:ascii="Calibri" w:hAnsi="Calibri" w:cs="Calibri"/>
          <w:noProof/>
          <w:sz w:val="24"/>
          <w:szCs w:val="24"/>
        </w:rPr>
        <w:t xml:space="preserve"> (</w:t>
      </w:r>
      <w:r>
        <w:rPr>
          <w:rFonts w:ascii="Calibri" w:hAnsi="Calibri" w:cs="Calibri"/>
          <w:noProof/>
          <w:sz w:val="24"/>
          <w:szCs w:val="24"/>
        </w:rPr>
        <w:t>2012)</w:t>
      </w:r>
      <w:r>
        <w:rPr>
          <w:rFonts w:ascii="Calibri" w:hAnsi="Calibri" w:cs="Calibri"/>
          <w:sz w:val="24"/>
          <w:szCs w:val="24"/>
        </w:rPr>
        <w:t xml:space="preserve"> gan nodi fod asesu cymheiriaid yn hyrwyddo meddwl yn fwy beirniadol ac mewn tro, arwain at y gwerthfawrogiad o waith eu hunain a gwaith pobl eraill. Maent yn cyflawni hyn trwy herio rhagdybiaethau myfyrwyr bod rhoi adborth yn wrthrychol, yn y gobaith y bydd yn datblygu eu hymdeimlad o werth eu gwaith a helpu i lunio ac amddiffyn barnau am waith eu hunain a gwaith pobl eraill. Er bod nifer yn cefnogi ac yn gweld gwerth asesu cymheiriaid i ddatblygu dysgwyr mwy beirniadol, ceir hefyd pryderon am gywirdeb yr adborth sy’n cael eu rhoi gan y dysgwyr. Mae athrawon yn dod ag arbenigedd o brofiadau o roi adborth ar dasgau tebyg, maent hefyd yn adnabod ffyrdd o ddatrys yr aseiniadau gan gynnig cymorth sy’n gysylltiedig â hyn </w:t>
      </w:r>
      <w:r>
        <w:rPr>
          <w:rFonts w:ascii="Calibri" w:hAnsi="Calibri" w:cs="Calibri"/>
          <w:noProof/>
          <w:sz w:val="24"/>
          <w:szCs w:val="24"/>
        </w:rPr>
        <w:t>(Gielen</w:t>
      </w:r>
      <w:r>
        <w:rPr>
          <w:rFonts w:ascii="Calibri" w:hAnsi="Calibri" w:cs="Calibri"/>
          <w:i/>
          <w:iCs/>
          <w:noProof/>
          <w:sz w:val="24"/>
          <w:szCs w:val="24"/>
        </w:rPr>
        <w:t xml:space="preserve"> et al.</w:t>
      </w:r>
      <w:r>
        <w:rPr>
          <w:rFonts w:ascii="Calibri" w:hAnsi="Calibri" w:cs="Calibri"/>
          <w:noProof/>
          <w:sz w:val="24"/>
          <w:szCs w:val="24"/>
        </w:rPr>
        <w:t>, 2010b)</w:t>
      </w:r>
      <w:r>
        <w:rPr>
          <w:rFonts w:ascii="Calibri" w:hAnsi="Calibri" w:cs="Calibri"/>
          <w:sz w:val="24"/>
          <w:szCs w:val="24"/>
        </w:rPr>
        <w:t xml:space="preserve">. Dadleuir bod athrawon yn gallu adnabod y gwallau yn well na’r dysgwyr o ganlyniad i adnabod yr anawsterau a ddaeth o waith y dysgwyr blaenorol. Awgrymir felly, nid yw disgyblion bob amser yn cael eu hystyried fel asesydd priodol gan nad oes ganddynt y modd i gynnig adborth o’r un safon ag athrawon. Atgyfnerthir y ddadl yma gan </w:t>
      </w:r>
      <w:r>
        <w:rPr>
          <w:rFonts w:ascii="Calibri" w:hAnsi="Calibri" w:cs="Calibri"/>
          <w:noProof/>
          <w:sz w:val="24"/>
          <w:szCs w:val="24"/>
        </w:rPr>
        <w:t>Lin</w:t>
      </w:r>
      <w:r>
        <w:rPr>
          <w:rFonts w:ascii="Calibri" w:hAnsi="Calibri" w:cs="Calibri"/>
          <w:i/>
          <w:iCs/>
          <w:noProof/>
          <w:sz w:val="24"/>
          <w:szCs w:val="24"/>
        </w:rPr>
        <w:t xml:space="preserve"> et al.</w:t>
      </w:r>
      <w:r w:rsidR="00E72DE9">
        <w:rPr>
          <w:rFonts w:ascii="Calibri" w:hAnsi="Calibri" w:cs="Calibri"/>
          <w:noProof/>
          <w:sz w:val="24"/>
          <w:szCs w:val="24"/>
        </w:rPr>
        <w:t xml:space="preserve"> (</w:t>
      </w:r>
      <w:r>
        <w:rPr>
          <w:rFonts w:ascii="Calibri" w:hAnsi="Calibri" w:cs="Calibri"/>
          <w:noProof/>
          <w:sz w:val="24"/>
          <w:szCs w:val="24"/>
        </w:rPr>
        <w:t>2006)</w:t>
      </w:r>
      <w:r>
        <w:rPr>
          <w:rFonts w:ascii="Calibri" w:hAnsi="Calibri" w:cs="Calibri"/>
          <w:sz w:val="24"/>
          <w:szCs w:val="24"/>
        </w:rPr>
        <w:t xml:space="preserve"> ble ddarganfyddir bod o fewn grwpiau o ddisgyblion a wnaeth ymateb </w:t>
      </w:r>
      <w:r>
        <w:rPr>
          <w:rFonts w:ascii="Calibri" w:hAnsi="Calibri" w:cs="Calibri"/>
          <w:sz w:val="24"/>
          <w:szCs w:val="24"/>
        </w:rPr>
        <w:lastRenderedPageBreak/>
        <w:t>i adborth gan athro gweler cynnydd sylweddol yn eu cyrhaeddiad o’i gymharu â’r grŵp a wnaeth ond ymateb i adborth gan fyfyrwyr eraill.</w:t>
      </w:r>
    </w:p>
    <w:p w14:paraId="27DAB5E6" w14:textId="16484EF1" w:rsidR="00E96D58" w:rsidRDefault="001B5BDB" w:rsidP="005A3411">
      <w:pPr>
        <w:spacing w:line="360" w:lineRule="auto"/>
        <w:rPr>
          <w:rFonts w:ascii="Calibri" w:hAnsi="Calibri" w:cs="Calibri"/>
          <w:sz w:val="24"/>
          <w:szCs w:val="24"/>
        </w:rPr>
      </w:pPr>
      <w:r>
        <w:rPr>
          <w:rFonts w:ascii="Calibri" w:hAnsi="Calibri" w:cs="Calibri"/>
          <w:sz w:val="24"/>
          <w:szCs w:val="24"/>
        </w:rPr>
        <w:tab/>
        <w:t xml:space="preserve">Yn ogystal â’r manteision a hawlir ar gyfer y dysgwyr o asesu cymheiriaid, ceir hefyd manteision i athrawon. Awgrymir </w:t>
      </w:r>
      <w:r>
        <w:rPr>
          <w:rFonts w:ascii="Calibri" w:hAnsi="Calibri" w:cs="Calibri"/>
          <w:noProof/>
          <w:sz w:val="24"/>
          <w:szCs w:val="24"/>
        </w:rPr>
        <w:t>Isaacs</w:t>
      </w:r>
      <w:r>
        <w:rPr>
          <w:rFonts w:ascii="Calibri" w:hAnsi="Calibri" w:cs="Calibri"/>
          <w:i/>
          <w:iCs/>
          <w:noProof/>
          <w:sz w:val="24"/>
          <w:szCs w:val="24"/>
        </w:rPr>
        <w:t xml:space="preserve"> et al.</w:t>
      </w:r>
      <w:r w:rsidR="00E72DE9">
        <w:rPr>
          <w:rFonts w:ascii="Calibri" w:hAnsi="Calibri" w:cs="Calibri"/>
          <w:noProof/>
          <w:sz w:val="24"/>
          <w:szCs w:val="24"/>
        </w:rPr>
        <w:t xml:space="preserve"> (</w:t>
      </w:r>
      <w:r>
        <w:rPr>
          <w:rFonts w:ascii="Calibri" w:hAnsi="Calibri" w:cs="Calibri"/>
          <w:noProof/>
          <w:sz w:val="24"/>
          <w:szCs w:val="24"/>
        </w:rPr>
        <w:t>2013)</w:t>
      </w:r>
      <w:r>
        <w:rPr>
          <w:rFonts w:ascii="Calibri" w:hAnsi="Calibri" w:cs="Calibri"/>
          <w:sz w:val="24"/>
          <w:szCs w:val="24"/>
        </w:rPr>
        <w:t xml:space="preserve"> y gall gweithredu asesu cymheiriaid yn gyson yn yr ystafell ddosbarth symud y cyfrifoldeb o’r athro i’r dysgwyr. Nodir trwy wneud hyn, bydd cyfle i’r athro i gamu’n ôl o’r cyflwyno a rhoi cyfle i arsylwi, bydd hyn mewn tro yn arwain at ddysgwyr mwy annibynnol. Dadleuir fe fydd hwn yn fantais i’r athro yn yr hir dymor gan y bydd yr annibyniaeth yn lleihau’r angen o ddisgyblu a gweithredu strategaethau rheoli ymddygiad a mwy o gyfle i addysgu. Gall adborth gan gymheiriaid hefyd fod yn rhan o gynnydd yn amlder neu faint yr adborth sy’n cael eu rhoi </w:t>
      </w:r>
      <w:r>
        <w:rPr>
          <w:rFonts w:ascii="Calibri" w:hAnsi="Calibri" w:cs="Calibri"/>
          <w:noProof/>
          <w:sz w:val="24"/>
          <w:szCs w:val="24"/>
        </w:rPr>
        <w:t>(Gibbs and Simpson, 2004)</w:t>
      </w:r>
      <w:r>
        <w:rPr>
          <w:rFonts w:ascii="Calibri" w:hAnsi="Calibri" w:cs="Calibri"/>
          <w:sz w:val="24"/>
          <w:szCs w:val="24"/>
        </w:rPr>
        <w:t xml:space="preserve">. Pwysleisir hefyd nad yw rhoi adborth ar ddiwedd y broses ddysgu yn ddigon i gefnogi dysgu yn effeithiol ac y gallai ysgogi rhwystredigaeth yn y dysgwr. O ganlyniad, gall asesu cymheiriaid bod yn gyfrwng i ddarparu’r adborth yma ar hyd y broses dysgu. Er hyn, er mwyn gallu cyflawni asesu cymheiriaid i’w llawn botensial rhaid cynnig yr hyfforddiant priodol i’r dysgwyr i allu darparu gwybodaeth addysgiadol a chywir. Gall asesydd cymheiriaid â llai o sgiliau asesu, ond mwy o amser a hyfforddiant i wneud hynny, cynhyrchu adborth o ddibynadwyedd a dilysrwydd cyfartal i athro </w:t>
      </w:r>
      <w:r>
        <w:rPr>
          <w:rFonts w:ascii="Calibri" w:hAnsi="Calibri" w:cs="Calibri"/>
          <w:noProof/>
          <w:sz w:val="24"/>
          <w:szCs w:val="24"/>
        </w:rPr>
        <w:t>(Topping, 2009)</w:t>
      </w:r>
      <w:r>
        <w:rPr>
          <w:rFonts w:ascii="Calibri" w:hAnsi="Calibri" w:cs="Calibri"/>
          <w:sz w:val="24"/>
          <w:szCs w:val="24"/>
        </w:rPr>
        <w:t xml:space="preserve">. Cefnogir y ddadl yma gan </w:t>
      </w:r>
      <w:r>
        <w:rPr>
          <w:rFonts w:ascii="Calibri" w:hAnsi="Calibri" w:cs="Calibri"/>
          <w:noProof/>
          <w:sz w:val="24"/>
          <w:szCs w:val="24"/>
        </w:rPr>
        <w:t>Gielen</w:t>
      </w:r>
      <w:r>
        <w:rPr>
          <w:rFonts w:ascii="Calibri" w:hAnsi="Calibri" w:cs="Calibri"/>
          <w:i/>
          <w:iCs/>
          <w:noProof/>
          <w:sz w:val="24"/>
          <w:szCs w:val="24"/>
        </w:rPr>
        <w:t xml:space="preserve"> et al.</w:t>
      </w:r>
      <w:r w:rsidR="00E72DE9">
        <w:rPr>
          <w:rFonts w:ascii="Calibri" w:hAnsi="Calibri" w:cs="Calibri"/>
          <w:noProof/>
          <w:sz w:val="24"/>
          <w:szCs w:val="24"/>
        </w:rPr>
        <w:t xml:space="preserve"> (</w:t>
      </w:r>
      <w:r>
        <w:rPr>
          <w:rFonts w:ascii="Calibri" w:hAnsi="Calibri" w:cs="Calibri"/>
          <w:noProof/>
          <w:sz w:val="24"/>
          <w:szCs w:val="24"/>
        </w:rPr>
        <w:t>2010)</w:t>
      </w:r>
      <w:r>
        <w:rPr>
          <w:rFonts w:ascii="Calibri" w:hAnsi="Calibri" w:cs="Calibri"/>
          <w:sz w:val="24"/>
          <w:szCs w:val="24"/>
        </w:rPr>
        <w:t xml:space="preserve"> a </w:t>
      </w:r>
      <w:r w:rsidR="00E72DE9">
        <w:rPr>
          <w:rFonts w:ascii="Calibri" w:hAnsi="Calibri" w:cs="Calibri"/>
          <w:noProof/>
          <w:sz w:val="24"/>
          <w:szCs w:val="24"/>
        </w:rPr>
        <w:t>S</w:t>
      </w:r>
      <w:r>
        <w:rPr>
          <w:rFonts w:ascii="Calibri" w:hAnsi="Calibri" w:cs="Calibri"/>
          <w:noProof/>
          <w:sz w:val="24"/>
          <w:szCs w:val="24"/>
        </w:rPr>
        <w:t>adler</w:t>
      </w:r>
      <w:r w:rsidR="00E72DE9">
        <w:rPr>
          <w:rFonts w:ascii="Calibri" w:hAnsi="Calibri" w:cs="Calibri"/>
          <w:noProof/>
          <w:sz w:val="24"/>
          <w:szCs w:val="24"/>
        </w:rPr>
        <w:t xml:space="preserve"> (</w:t>
      </w:r>
      <w:r>
        <w:rPr>
          <w:rFonts w:ascii="Calibri" w:hAnsi="Calibri" w:cs="Calibri"/>
          <w:noProof/>
          <w:sz w:val="24"/>
          <w:szCs w:val="24"/>
        </w:rPr>
        <w:t>1998)</w:t>
      </w:r>
      <w:r>
        <w:rPr>
          <w:rFonts w:ascii="Calibri" w:hAnsi="Calibri" w:cs="Calibri"/>
          <w:sz w:val="24"/>
          <w:szCs w:val="24"/>
        </w:rPr>
        <w:t>, awgrymir y data y casglwyd y gall adborth gan gymheiriaid cael ei amnewid gydag adborth athrawon heb golli effeithiolrwydd sylweddol yn y tymor hir. Maent hefyd yn pwysleisio bod ansawdd yr adborth yma yn ddibynnol ar hyfforddiant i’r dysgwyr a pharodrwydd i’w derbyn fel rhan o asesu. Er bod awgrym bydd asesu cymheiriaid yn symud y cyfrifoldeb o’r athro i’r dysgwyr, maen amlwg bod er mwyn iddo allu gweithio’n effeithiol bydd rhaid hyfforddi’r dysgwyr. Ni fydd y dysgwyr yn datblygu’r sgiliau yma o fewn un wers ac felly y bydd yn broses hir a fydd angen cael ei weithredu ar lefel ysgol er mwyn sicrhau safon a chywirdeb i’r adborth. Sydd o bosib yn medru atal athrawon rhag eu gweithredu gan mai cynnig adborth eu hunan yn dod yn naturiol ac yn fwy dibynadwy.</w:t>
      </w:r>
    </w:p>
    <w:p w14:paraId="2B07CC82" w14:textId="351819C1" w:rsidR="003E76F2" w:rsidRDefault="002D06FB" w:rsidP="005A3411">
      <w:pPr>
        <w:spacing w:line="360" w:lineRule="auto"/>
        <w:rPr>
          <w:rFonts w:ascii="Calibri" w:hAnsi="Calibri" w:cs="Calibri"/>
          <w:sz w:val="24"/>
          <w:szCs w:val="24"/>
        </w:rPr>
      </w:pPr>
      <w:r>
        <w:rPr>
          <w:rFonts w:ascii="Calibri" w:hAnsi="Calibri" w:cs="Calibri"/>
          <w:sz w:val="24"/>
          <w:szCs w:val="24"/>
        </w:rPr>
        <w:tab/>
        <w:t xml:space="preserve">Gan ystyried yr holl bwyntiau uchod, gellir adnabod bod angen i gydweithwyr i arbrofi ag amrywiaeth o ddulliau asesu. Amlinellir </w:t>
      </w:r>
      <w:r>
        <w:rPr>
          <w:rFonts w:ascii="Calibri" w:hAnsi="Calibri" w:cs="Calibri"/>
          <w:noProof/>
          <w:sz w:val="24"/>
          <w:szCs w:val="24"/>
        </w:rPr>
        <w:t>Gibbs a Simpson</w:t>
      </w:r>
      <w:r w:rsidR="00E72DE9">
        <w:rPr>
          <w:rFonts w:ascii="Calibri" w:hAnsi="Calibri" w:cs="Calibri"/>
          <w:noProof/>
          <w:sz w:val="24"/>
          <w:szCs w:val="24"/>
        </w:rPr>
        <w:t xml:space="preserve"> (</w:t>
      </w:r>
      <w:r>
        <w:rPr>
          <w:rFonts w:ascii="Calibri" w:hAnsi="Calibri" w:cs="Calibri"/>
          <w:noProof/>
          <w:sz w:val="24"/>
          <w:szCs w:val="24"/>
        </w:rPr>
        <w:t>2004)</w:t>
      </w:r>
      <w:r>
        <w:rPr>
          <w:rFonts w:ascii="Calibri" w:hAnsi="Calibri" w:cs="Calibri"/>
          <w:sz w:val="24"/>
          <w:szCs w:val="24"/>
        </w:rPr>
        <w:t xml:space="preserve"> y wahanol gyflyrau lle mae adborth yn cael dylanwad cadarnhaol ar ddysgu. Nodir dylai adborth fod yn ddigonol o ran </w:t>
      </w:r>
      <w:r>
        <w:rPr>
          <w:rFonts w:ascii="Calibri" w:hAnsi="Calibri" w:cs="Calibri"/>
          <w:sz w:val="24"/>
          <w:szCs w:val="24"/>
        </w:rPr>
        <w:lastRenderedPageBreak/>
        <w:t xml:space="preserve">amlder a manylder, yn canolbwyntio ar berfformiad ac ar ddysgu'r myfyrwyr yn hytrach nodweddion personol, yn amserol fel i fod yn cael ei dderbyn gan fyfyrwyr tra ei fod yn dal i fod yn bwysig ac mewn pryd i'w gyflwyno neu i ofyn am gymorth pellach, yn briodol i nod yr aseiniad a'i feini prawf, yr ymatebwyd iddo, ac y gweithredwyd arno </w:t>
      </w:r>
      <w:r>
        <w:rPr>
          <w:rFonts w:ascii="Calibri" w:hAnsi="Calibri" w:cs="Calibri"/>
          <w:noProof/>
          <w:sz w:val="24"/>
          <w:szCs w:val="24"/>
        </w:rPr>
        <w:t>(Gibbs a Simpson, 2004)</w:t>
      </w:r>
      <w:r>
        <w:rPr>
          <w:rFonts w:ascii="Calibri" w:hAnsi="Calibri" w:cs="Calibri"/>
          <w:sz w:val="24"/>
          <w:szCs w:val="24"/>
        </w:rPr>
        <w:t>.</w:t>
      </w:r>
      <w:r w:rsidR="00A77523">
        <w:rPr>
          <w:rFonts w:ascii="Calibri" w:hAnsi="Calibri" w:cs="Calibri"/>
          <w:sz w:val="24"/>
          <w:szCs w:val="24"/>
        </w:rPr>
        <w:t xml:space="preserve"> </w:t>
      </w:r>
      <w:r w:rsidR="00AC0725">
        <w:rPr>
          <w:rFonts w:ascii="Calibri" w:hAnsi="Calibri" w:cs="Calibri"/>
          <w:sz w:val="24"/>
          <w:szCs w:val="24"/>
        </w:rPr>
        <w:t xml:space="preserve"> Ystyriaf felly’r cyflyrau yma wrth weithredu asesu cymheiriaid yn yr ymchwiliad yma.</w:t>
      </w:r>
    </w:p>
    <w:p w14:paraId="4A76B6DE" w14:textId="609025E8" w:rsidR="00E9207C" w:rsidRDefault="00E9207C" w:rsidP="005A3411">
      <w:pPr>
        <w:spacing w:line="360" w:lineRule="auto"/>
        <w:rPr>
          <w:rFonts w:ascii="Calibri" w:hAnsi="Calibri" w:cs="Calibri"/>
          <w:b/>
          <w:sz w:val="28"/>
          <w:szCs w:val="24"/>
          <w:u w:val="single"/>
        </w:rPr>
      </w:pPr>
      <w:r w:rsidRPr="00E9207C">
        <w:rPr>
          <w:rFonts w:ascii="Calibri" w:hAnsi="Calibri" w:cs="Calibri"/>
          <w:b/>
          <w:sz w:val="28"/>
          <w:szCs w:val="24"/>
          <w:u w:val="single"/>
        </w:rPr>
        <w:t>Polisi ac ymarfer yr ysgol</w:t>
      </w:r>
    </w:p>
    <w:p w14:paraId="088DC7FF" w14:textId="7A40761B" w:rsidR="007D718E" w:rsidRPr="00B53225" w:rsidRDefault="001B5BDB" w:rsidP="00ED181B">
      <w:pPr>
        <w:spacing w:line="360" w:lineRule="auto"/>
        <w:rPr>
          <w:rFonts w:cstheme="minorHAnsi"/>
          <w:b/>
          <w:bCs/>
          <w:sz w:val="24"/>
          <w:szCs w:val="24"/>
          <w:lang w:val="en-US"/>
        </w:rPr>
      </w:pPr>
      <w:r>
        <w:rPr>
          <w:rFonts w:ascii="Calibri" w:hAnsi="Calibri" w:cs="Calibri"/>
          <w:sz w:val="24"/>
          <w:szCs w:val="24"/>
        </w:rPr>
        <w:t xml:space="preserve">Yn ysgol A nid oes policy ffurfiol ysgol asesu cymheiriaid yn bodoli, er defnyddir strategaethau graddfa fach mewn ambell wers Daearyddiaeth a arsylwyd. Er bod system ysgol gyfan yn cael ei gweithredu o ran adborth ble maent yn ymateb i unrhyw adborth a rhoddir gan yr athro mewn pen gwyrdd nid oes strategaethau o asesu cymheiriaid yn amlwg. O fewn y gwersi a arsylwyd ceir strategaethau asesu cymheiriaid graddfa fach sy’n ymwneud ac asesu profion cyfoed ac asesu cwestiynau byr cyfoed. Mae’r mathau yma o dasgau fel arfer yn cynnwys atebion un ateb neu un frawddeg sy’n cael ei farcio gan ddefnyddio cynllun marcio. Gellir dadlau bod y math yma o asesu cymheiriaid yn rhoi llai o gyfrifoldeb ac ymddiriedaeth yn y dysgwyr oherwydd eu bod yn unig yn nodi os oedd yr ateb yn gywir neu’n anghywir gan ddefnyddio cynllun marcio a rhoddir gan yr athro. Mae hwn yn gwrthwynebu’r syniad gan </w:t>
      </w:r>
      <w:r>
        <w:rPr>
          <w:rFonts w:ascii="Calibri" w:hAnsi="Calibri" w:cs="Calibri"/>
          <w:noProof/>
          <w:sz w:val="24"/>
          <w:szCs w:val="24"/>
        </w:rPr>
        <w:t>Isaacs</w:t>
      </w:r>
      <w:r>
        <w:rPr>
          <w:rFonts w:ascii="Calibri" w:hAnsi="Calibri" w:cs="Calibri"/>
          <w:i/>
          <w:iCs/>
          <w:noProof/>
          <w:sz w:val="24"/>
          <w:szCs w:val="24"/>
        </w:rPr>
        <w:t xml:space="preserve"> et al.</w:t>
      </w:r>
      <w:r w:rsidR="00E72DE9">
        <w:rPr>
          <w:rFonts w:ascii="Calibri" w:hAnsi="Calibri" w:cs="Calibri"/>
          <w:noProof/>
          <w:sz w:val="24"/>
          <w:szCs w:val="24"/>
        </w:rPr>
        <w:t xml:space="preserve"> (</w:t>
      </w:r>
      <w:r>
        <w:rPr>
          <w:rFonts w:ascii="Calibri" w:hAnsi="Calibri" w:cs="Calibri"/>
          <w:noProof/>
          <w:sz w:val="24"/>
          <w:szCs w:val="24"/>
        </w:rPr>
        <w:t>2013)</w:t>
      </w:r>
      <w:r>
        <w:rPr>
          <w:rFonts w:ascii="Calibri" w:hAnsi="Calibri" w:cs="Calibri"/>
          <w:sz w:val="24"/>
          <w:szCs w:val="24"/>
        </w:rPr>
        <w:t xml:space="preserve"> sy’n dadlau y bydd asesu cymheiriaid yn arwain at ddysgwyr mwyn annibynnol sydd yn cymryd cyfrifoldeb dros eu dysgu. O fewn y gwersi a arsylwyd ni weler unrhyw dystiolaeth o roi adborth manwl i waith cyfoed neu gyfoedion yn lleisio’u barn ar waith cyfoed. O bosib gall y pwysau cymdeithasol sy’n cael eu rhoi ar gyfoedion wrth asesu cymheiriaid a amlinellir gan </w:t>
      </w:r>
      <w:r>
        <w:rPr>
          <w:rFonts w:ascii="Calibri" w:hAnsi="Calibri" w:cs="Calibri"/>
          <w:noProof/>
          <w:sz w:val="24"/>
          <w:szCs w:val="24"/>
        </w:rPr>
        <w:t>Gielen</w:t>
      </w:r>
      <w:r>
        <w:rPr>
          <w:rFonts w:ascii="Calibri" w:hAnsi="Calibri" w:cs="Calibri"/>
          <w:i/>
          <w:iCs/>
          <w:noProof/>
          <w:sz w:val="24"/>
          <w:szCs w:val="24"/>
        </w:rPr>
        <w:t xml:space="preserve"> et al.</w:t>
      </w:r>
      <w:r w:rsidR="00E72DE9">
        <w:rPr>
          <w:rFonts w:ascii="Calibri" w:hAnsi="Calibri" w:cs="Calibri"/>
          <w:noProof/>
          <w:sz w:val="24"/>
          <w:szCs w:val="24"/>
        </w:rPr>
        <w:t xml:space="preserve"> (</w:t>
      </w:r>
      <w:r>
        <w:rPr>
          <w:rFonts w:ascii="Calibri" w:hAnsi="Calibri" w:cs="Calibri"/>
          <w:noProof/>
          <w:sz w:val="24"/>
          <w:szCs w:val="24"/>
        </w:rPr>
        <w:t>2010)</w:t>
      </w:r>
      <w:r>
        <w:rPr>
          <w:rFonts w:ascii="Calibri" w:hAnsi="Calibri" w:cs="Calibri"/>
          <w:sz w:val="24"/>
          <w:szCs w:val="24"/>
        </w:rPr>
        <w:t xml:space="preserve"> wedi arwain at y math yma o asesu cymheiriaid i gael ei osgoi o fewn gwersi. Er hynny, mae’r darganfyddiadau uchod wedi seilio ar arsylwadau gwersi Daearyddiaeth yn unig ac er nad oedd bolisi ysgol gyfan o bosib y bydd mwy o athrawon yn gweithredu gwahanol strategaethau asesu cymheiriaid ar draws yr ysgol. Yn ogystal â hyn, o fewn cynllun datblygu ysgol (CDY) ysgol A, ceir flaenoriaeth o gryfhau a chysoni’r lefel o her yn yr addysgu. Un o’r camau gweithredu i geisio mynd i’r afael a’r flaenoriaeth yma yw ymestyn systemau llais y dysgwr ar draws yr adrannau er mwyn i ddisgyblion berchnogi eu dysgu. Er mwyn cyflawni’r cam gweithredu yma gellir cryfhau’r effeithiolrwydd o strategaethau asesu cymheiriaid sy’n cael eu gweithredu’n </w:t>
      </w:r>
      <w:r>
        <w:rPr>
          <w:rFonts w:ascii="Calibri" w:hAnsi="Calibri" w:cs="Calibri"/>
          <w:sz w:val="24"/>
          <w:szCs w:val="24"/>
        </w:rPr>
        <w:lastRenderedPageBreak/>
        <w:t>barod o fewn yr ysgol gan hefyd cyflwyno strategaethau newydd a chyfoes. Pwrpas yr ymchwiliad yma felly yw asesu’r effeithiolrwydd y dulliau sy’n cael eu gweithredu’n barod o fewn yr ysgol gan gynnig gwybodaeth ar gryfderau a gwendidau’r dulliau sydd yn seiliedig ar y canlyniadau a ganfyddir.</w:t>
      </w:r>
    </w:p>
    <w:p w14:paraId="150B309E" w14:textId="0AAE4416" w:rsidR="00AC0725" w:rsidRDefault="0049503C" w:rsidP="005A3411">
      <w:pPr>
        <w:spacing w:line="360" w:lineRule="auto"/>
        <w:rPr>
          <w:rFonts w:ascii="Calibri" w:hAnsi="Calibri" w:cs="Calibri"/>
          <w:b/>
          <w:sz w:val="28"/>
          <w:szCs w:val="24"/>
          <w:u w:val="single"/>
        </w:rPr>
      </w:pPr>
      <w:r>
        <w:rPr>
          <w:rFonts w:ascii="Calibri" w:hAnsi="Calibri" w:cs="Calibri"/>
          <w:b/>
          <w:sz w:val="28"/>
          <w:szCs w:val="24"/>
          <w:u w:val="single"/>
        </w:rPr>
        <w:t>Methodoleg a Moeseg</w:t>
      </w:r>
    </w:p>
    <w:p w14:paraId="5A76C573" w14:textId="035709C8" w:rsidR="0049503C" w:rsidRDefault="00183F46" w:rsidP="005A3411">
      <w:pPr>
        <w:spacing w:line="360" w:lineRule="auto"/>
        <w:rPr>
          <w:rFonts w:ascii="Calibri" w:hAnsi="Calibri" w:cs="Calibri"/>
          <w:sz w:val="24"/>
          <w:szCs w:val="24"/>
        </w:rPr>
      </w:pPr>
      <w:r>
        <w:rPr>
          <w:rFonts w:ascii="Calibri" w:hAnsi="Calibri" w:cs="Calibri"/>
          <w:sz w:val="24"/>
          <w:szCs w:val="24"/>
        </w:rPr>
        <w:t>Y fethodoleg a ddefnyddir yn yr ymchwiliad yma yw ymchwil gweithredol. Ceir nifer o ddiffiniadau ar gyfer beth yw ymchwil gweithredol. Nodir</w:t>
      </w:r>
      <w:r w:rsidR="00E72DE9">
        <w:rPr>
          <w:rFonts w:ascii="Calibri" w:hAnsi="Calibri" w:cs="Calibri"/>
          <w:sz w:val="24"/>
          <w:szCs w:val="24"/>
        </w:rPr>
        <w:t xml:space="preserve"> </w:t>
      </w:r>
      <w:r>
        <w:rPr>
          <w:rFonts w:ascii="Calibri" w:hAnsi="Calibri" w:cs="Calibri"/>
          <w:noProof/>
          <w:sz w:val="24"/>
          <w:szCs w:val="24"/>
        </w:rPr>
        <w:t>Koshy</w:t>
      </w:r>
      <w:r w:rsidR="00E72DE9">
        <w:rPr>
          <w:rFonts w:ascii="Calibri" w:hAnsi="Calibri" w:cs="Calibri"/>
          <w:noProof/>
          <w:sz w:val="24"/>
          <w:szCs w:val="24"/>
        </w:rPr>
        <w:t xml:space="preserve"> (</w:t>
      </w:r>
      <w:r>
        <w:rPr>
          <w:rFonts w:ascii="Calibri" w:hAnsi="Calibri" w:cs="Calibri"/>
          <w:noProof/>
          <w:sz w:val="24"/>
          <w:szCs w:val="24"/>
        </w:rPr>
        <w:t>2009)</w:t>
      </w:r>
      <w:r>
        <w:rPr>
          <w:rFonts w:ascii="Calibri" w:hAnsi="Calibri" w:cs="Calibri"/>
          <w:sz w:val="24"/>
          <w:szCs w:val="24"/>
        </w:rPr>
        <w:t xml:space="preserve"> bod ymchwil gweithredol yn ddull a ddefnyddir i wella ymarferion. Mae'n cynnwys camau o weithredu, gwerthuso, a myfyrio’n feirniadol; yna, yn seiliedig ar y dystiolaeth a gasglwyd, gall weithredu newidiadau yn ymarferion. Mae </w:t>
      </w:r>
      <w:r>
        <w:rPr>
          <w:rFonts w:ascii="Calibri" w:hAnsi="Calibri" w:cs="Calibri"/>
          <w:noProof/>
          <w:sz w:val="24"/>
          <w:szCs w:val="24"/>
        </w:rPr>
        <w:t>Kemmis a McTaggart</w:t>
      </w:r>
      <w:r w:rsidR="00E72DE9">
        <w:rPr>
          <w:rFonts w:ascii="Calibri" w:hAnsi="Calibri" w:cs="Calibri"/>
          <w:noProof/>
          <w:sz w:val="24"/>
          <w:szCs w:val="24"/>
        </w:rPr>
        <w:t xml:space="preserve"> (</w:t>
      </w:r>
      <w:r>
        <w:rPr>
          <w:rFonts w:ascii="Calibri" w:hAnsi="Calibri" w:cs="Calibri"/>
          <w:noProof/>
          <w:sz w:val="24"/>
          <w:szCs w:val="24"/>
        </w:rPr>
        <w:t>2000)</w:t>
      </w:r>
      <w:r>
        <w:rPr>
          <w:rFonts w:ascii="Calibri" w:hAnsi="Calibri" w:cs="Calibri"/>
          <w:sz w:val="24"/>
          <w:szCs w:val="24"/>
        </w:rPr>
        <w:t xml:space="preserve"> yn ymestyn y diffiniad yma gan nodi bod ymchwil weithredol yn cynnwys cylchdro hunan myfyriol o’r camau gweithredu yma. Nodir fod y cylchdro yn cynnwys paratoi ar gyfer newid, gweithredu ac arsylwi’r prosesau a’r canlyniadau ac yna ailgynllunio a myfyrio ar gyfer gweithredu eto. Cefnogir y ddadl yma gan </w:t>
      </w:r>
      <w:r>
        <w:rPr>
          <w:rFonts w:ascii="Calibri" w:hAnsi="Calibri" w:cs="Calibri"/>
          <w:noProof/>
          <w:sz w:val="24"/>
          <w:szCs w:val="24"/>
        </w:rPr>
        <w:t>Ebbutt</w:t>
      </w:r>
      <w:r w:rsidR="00E72DE9">
        <w:rPr>
          <w:rFonts w:ascii="Calibri" w:hAnsi="Calibri" w:cs="Calibri"/>
          <w:noProof/>
          <w:sz w:val="24"/>
          <w:szCs w:val="24"/>
        </w:rPr>
        <w:t xml:space="preserve"> (</w:t>
      </w:r>
      <w:r>
        <w:rPr>
          <w:rFonts w:ascii="Calibri" w:hAnsi="Calibri" w:cs="Calibri"/>
          <w:noProof/>
          <w:sz w:val="24"/>
          <w:szCs w:val="24"/>
        </w:rPr>
        <w:t>1985)</w:t>
      </w:r>
      <w:r>
        <w:rPr>
          <w:rFonts w:ascii="Calibri" w:hAnsi="Calibri" w:cs="Calibri"/>
          <w:sz w:val="24"/>
          <w:szCs w:val="24"/>
        </w:rPr>
        <w:t xml:space="preserve"> sy’n ehangu’r ddadl trwy bwysleisio’r gwahaniaeth rhwng ymchwil cyffredinol ac ymchwil gweithredol. Awgrymir bod ymchwil weithredol yn rhoi cynnig ar syniad yn ymarferol gyda golwg ar wella neu newid rhywbeth, gan geisio cael effaith wirioneddol ar y sefyllfa. Mewn llawer o ddulliau arall o ymchwil, os nad y rhan fwyaf ohonynt, hyd yn oed ym maes y gwyddorau cymdeithasol, mae ymchwil yn rhywbeth sy'n cael ei wneud am ymarfer neu ei gymhwyso i ddefnyddio mewn ymarfer </w:t>
      </w:r>
      <w:r>
        <w:rPr>
          <w:rFonts w:ascii="Calibri" w:hAnsi="Calibri" w:cs="Calibri"/>
          <w:noProof/>
          <w:sz w:val="24"/>
          <w:szCs w:val="24"/>
        </w:rPr>
        <w:t>(McAteer, 2013)</w:t>
      </w:r>
      <w:r>
        <w:rPr>
          <w:rFonts w:ascii="Calibri" w:hAnsi="Calibri" w:cs="Calibri"/>
          <w:sz w:val="24"/>
          <w:szCs w:val="24"/>
        </w:rPr>
        <w:t>. Ac fel arfer bydd rhywfaint o bellter a datgysylltiad rhwng yr ymchwilydd a phwnc yr ymchwil honno.</w:t>
      </w:r>
    </w:p>
    <w:p w14:paraId="0107F38D" w14:textId="79D26EA3" w:rsidR="00AC4505" w:rsidRDefault="00183F46" w:rsidP="005A3411">
      <w:pPr>
        <w:spacing w:line="360" w:lineRule="auto"/>
        <w:rPr>
          <w:rFonts w:ascii="Calibri" w:hAnsi="Calibri" w:cs="Calibri"/>
          <w:sz w:val="24"/>
          <w:szCs w:val="24"/>
        </w:rPr>
      </w:pPr>
      <w:r>
        <w:rPr>
          <w:rFonts w:ascii="Calibri" w:hAnsi="Calibri" w:cs="Calibri"/>
          <w:sz w:val="24"/>
          <w:szCs w:val="24"/>
        </w:rPr>
        <w:tab/>
        <w:t xml:space="preserve">Un o’r cysyniadau a godir yn aml sy’n ymwneud ac ymchwil gweithredol yw’r cyfranogiad gweithredol o’r ymchwilydd. Diffinir </w:t>
      </w:r>
      <w:r>
        <w:rPr>
          <w:rFonts w:ascii="Calibri" w:hAnsi="Calibri" w:cs="Calibri"/>
          <w:noProof/>
          <w:sz w:val="24"/>
          <w:szCs w:val="24"/>
        </w:rPr>
        <w:t>Stringer</w:t>
      </w:r>
      <w:r w:rsidR="00E72DE9">
        <w:rPr>
          <w:rFonts w:ascii="Calibri" w:hAnsi="Calibri" w:cs="Calibri"/>
          <w:noProof/>
          <w:sz w:val="24"/>
          <w:szCs w:val="24"/>
        </w:rPr>
        <w:t xml:space="preserve"> (</w:t>
      </w:r>
      <w:r>
        <w:rPr>
          <w:rFonts w:ascii="Calibri" w:hAnsi="Calibri" w:cs="Calibri"/>
          <w:noProof/>
          <w:sz w:val="24"/>
          <w:szCs w:val="24"/>
        </w:rPr>
        <w:t>2008)</w:t>
      </w:r>
      <w:r>
        <w:rPr>
          <w:rFonts w:ascii="Calibri" w:hAnsi="Calibri" w:cs="Calibri"/>
          <w:sz w:val="24"/>
          <w:szCs w:val="24"/>
        </w:rPr>
        <w:t xml:space="preserve"> ymchwil gweithredol fel ymagwedd a allai arwain at ganlyniadau ymarferol a ddamcaniaethol, mewn ffyrdd sy'n darparu amodau ar gyfer gweithredu parhaus gan hefyd ffurfio ymdeimlad o gymuned. Mae proses adlewyrchol sy’n ymgysylltu’r cyfranogwyr gyda’r broses ymchwilio. Yn wahanol i fathau eraill o ymchwil, mae ymchwil weithredol yn aml yn cael ei arwain gan fewnwyr, a ddiffinnir fel y rhai sy'n wynebu'r sefyllfa neu sy'n ceisio datblygu eu harfer, yn hytrach nag arbenigwr allanol sy'n gwneud ymchwil ar bobl eraill </w:t>
      </w:r>
      <w:r>
        <w:rPr>
          <w:rFonts w:ascii="Calibri" w:hAnsi="Calibri" w:cs="Calibri"/>
          <w:noProof/>
          <w:sz w:val="24"/>
          <w:szCs w:val="24"/>
        </w:rPr>
        <w:t>(Arthur</w:t>
      </w:r>
      <w:r>
        <w:rPr>
          <w:rFonts w:ascii="Calibri" w:hAnsi="Calibri" w:cs="Calibri"/>
          <w:i/>
          <w:iCs/>
          <w:noProof/>
          <w:sz w:val="24"/>
          <w:szCs w:val="24"/>
        </w:rPr>
        <w:t xml:space="preserve"> et al.</w:t>
      </w:r>
      <w:r>
        <w:rPr>
          <w:rFonts w:ascii="Calibri" w:hAnsi="Calibri" w:cs="Calibri"/>
          <w:noProof/>
          <w:sz w:val="24"/>
          <w:szCs w:val="24"/>
        </w:rPr>
        <w:t>, 2012)</w:t>
      </w:r>
      <w:r>
        <w:rPr>
          <w:rFonts w:ascii="Calibri" w:hAnsi="Calibri" w:cs="Calibri"/>
          <w:sz w:val="24"/>
          <w:szCs w:val="24"/>
        </w:rPr>
        <w:t xml:space="preserve">. Nodwedd allweddol arall awgrymir yw bod </w:t>
      </w:r>
      <w:r>
        <w:rPr>
          <w:rFonts w:ascii="Calibri" w:hAnsi="Calibri" w:cs="Calibri"/>
          <w:sz w:val="24"/>
          <w:szCs w:val="24"/>
        </w:rPr>
        <w:lastRenderedPageBreak/>
        <w:t xml:space="preserve">yr ymchwil yn weithred ac nid yw'n canolbwyntio ar ddisgrifiadau. Honnir hefyd bod ymchwil gweithredol yn pontio'r bwlch rhwng y damcaniaethau a’r ymarfer oherwydd mae dysgu a newid yn digwydd o fewn y broses ymchwil gweithredol. Cefnogir y ddadl yma gan </w:t>
      </w:r>
      <w:r>
        <w:rPr>
          <w:rFonts w:ascii="Calibri" w:hAnsi="Calibri" w:cs="Calibri"/>
          <w:noProof/>
          <w:sz w:val="24"/>
          <w:szCs w:val="24"/>
        </w:rPr>
        <w:t>Baumfield</w:t>
      </w:r>
      <w:r>
        <w:rPr>
          <w:rFonts w:ascii="Calibri" w:hAnsi="Calibri" w:cs="Calibri"/>
          <w:i/>
          <w:iCs/>
          <w:noProof/>
          <w:sz w:val="24"/>
          <w:szCs w:val="24"/>
        </w:rPr>
        <w:t xml:space="preserve"> et al.</w:t>
      </w:r>
      <w:r w:rsidR="00E72DE9">
        <w:rPr>
          <w:rFonts w:ascii="Calibri" w:hAnsi="Calibri" w:cs="Calibri"/>
          <w:noProof/>
          <w:sz w:val="24"/>
          <w:szCs w:val="24"/>
        </w:rPr>
        <w:t xml:space="preserve"> (</w:t>
      </w:r>
      <w:r>
        <w:rPr>
          <w:rFonts w:ascii="Calibri" w:hAnsi="Calibri" w:cs="Calibri"/>
          <w:noProof/>
          <w:sz w:val="24"/>
          <w:szCs w:val="24"/>
        </w:rPr>
        <w:t>2012)</w:t>
      </w:r>
      <w:r>
        <w:rPr>
          <w:rFonts w:ascii="Calibri" w:hAnsi="Calibri" w:cs="Calibri"/>
          <w:sz w:val="24"/>
          <w:szCs w:val="24"/>
        </w:rPr>
        <w:t xml:space="preserve"> gan nodi fod o fewn ymchwil gweithredol mae’r ymchwilydd yn newid o fod yn ymchwiliwr i ymarferydd ymchwilgar. Dadleuir bod y cam gyntaf yn y broses o ymchwil gweithredol yw’r symudiad i ymarferydd ymchwilgar sydd yn medru myfyrio ar ei weithredoedd cyfredol ac yn arwain at ymchwil gweithredol parhaus. Er hyn, ceir ddadl wrthwynebol sy’n awgrymu bod un o nodweddion o ymchwil gweithredol yw ei fod fel arfer yn cael ei weithredu gan academyddion allanol neu ymchwilwyr hyfforddedig ac yn cael awdurdod dros yr ymarfer presennol o fewn y lleoliad (Mcateer, 2013). O ganlyniad i hyn felly, mae athrawon yn teimlo fel bod eu gwybodaeth a’u dealltwriaeth broffesiynol ddim yn cael ei werthfawrogi  a’u gwybodaeth ddamcaniaethol yn annigonol. Er hyn, mae’r ddadl yma yn un ynysig ac yn gyferbyniol i’r dadleuon arall gan Stringer (2008), Arthur et al. (2012) a Baumfield et al. (2012) sydd yn cefnogi’r cysyniad o’r ymarferydd ymchwilgar.</w:t>
      </w:r>
    </w:p>
    <w:p w14:paraId="4B01EF46" w14:textId="1CAC3EDC" w:rsidR="009A4983" w:rsidRDefault="00183F46" w:rsidP="005A3411">
      <w:pPr>
        <w:spacing w:line="360" w:lineRule="auto"/>
        <w:rPr>
          <w:rFonts w:ascii="Calibri" w:hAnsi="Calibri" w:cs="Calibri"/>
          <w:sz w:val="24"/>
          <w:szCs w:val="24"/>
        </w:rPr>
      </w:pPr>
      <w:r>
        <w:rPr>
          <w:rFonts w:ascii="Calibri" w:hAnsi="Calibri" w:cs="Calibri"/>
          <w:sz w:val="24"/>
          <w:szCs w:val="24"/>
        </w:rPr>
        <w:tab/>
        <w:t>Un o bryderon sy’n codi o’r cysyniad o ymarferydd ymchwilgar yw os yw’r ymchwil gweithredol sy’n cael ei chynnal yn gallu cael ei alw’n ymchwil (Wilson, 201</w:t>
      </w:r>
      <w:r w:rsidR="00272204">
        <w:rPr>
          <w:rFonts w:ascii="Calibri" w:hAnsi="Calibri" w:cs="Calibri"/>
          <w:sz w:val="24"/>
          <w:szCs w:val="24"/>
        </w:rPr>
        <w:t>7</w:t>
      </w:r>
      <w:r w:rsidR="00B0727F">
        <w:rPr>
          <w:rFonts w:ascii="Calibri" w:hAnsi="Calibri" w:cs="Calibri"/>
          <w:sz w:val="24"/>
          <w:szCs w:val="24"/>
        </w:rPr>
        <w:t>)</w:t>
      </w:r>
      <w:r>
        <w:rPr>
          <w:rFonts w:ascii="Calibri" w:hAnsi="Calibri" w:cs="Calibri"/>
          <w:sz w:val="24"/>
          <w:szCs w:val="24"/>
        </w:rPr>
        <w:t>. Dadleuir nifer o feirniaid o ymchwil gweithredol bod damcaniaethau ymchwil addysgol a ddarganfyddir gan yr ymarferydd ymchwilgar ddim mor ddilys neu ddibynadwy a’r damcaniaethau a chyflwynir gan ddamcaniaethwr addysg. Awgrymir hefyd bod y ddealltwriaeth a enillir wrth ymchwilio arfer arferol fel arfer yn aros gyda’r ymarferydd yn unig yn hytrach na chael ei chyflwyno a chyhoeddi’n eang. O ganlyniad i hyn, mae’r darganfyddiadau felly’n cael eu hystyried yn llai gwerthfawr. Anfantais arall o ymchwil gweithredol yw’r lefel o gyfranogiad gan yr ymchwilydd o fewn yr ymchwiliad a’r perthnasau rhwng yr ymchwilydd a’r unigolion sy’n rhan o’r ymchwil (Baumfield, 2013). Awgrymir felly, gall y perthnasau yma arwain at duedd ddiarwybod sydd felly yn anfoesegol ac yn gallu arwain at ganlyniadau annibynadwy. Yn ogystal â hyn, ceir ddadleuon gwrthwynebol i’r dull o ymchwil gweithredol a ddefnyddir yn yr ymchwiliad yma. Awgrymir Somekh (200</w:t>
      </w:r>
      <w:r w:rsidR="004168F2">
        <w:rPr>
          <w:rFonts w:ascii="Calibri" w:hAnsi="Calibri" w:cs="Calibri"/>
          <w:sz w:val="24"/>
          <w:szCs w:val="24"/>
        </w:rPr>
        <w:t>5</w:t>
      </w:r>
      <w:r>
        <w:rPr>
          <w:rFonts w:ascii="Calibri" w:hAnsi="Calibri" w:cs="Calibri"/>
          <w:sz w:val="24"/>
          <w:szCs w:val="24"/>
        </w:rPr>
        <w:t xml:space="preserve">) bod ymchwil gweithredol fel arfer yn cael ei chynnal gan bartneriaeth gydweithredol o gyfranogwyr ac ymchwilwyr ble mae’r perthnasau cryf er mwyn uchafu cyd gefnogaeth. Cefnogir y ddadl yma gan Koshy (2009), awgrymir hefyd bod ymchwil gweithredol </w:t>
      </w:r>
      <w:r>
        <w:rPr>
          <w:rFonts w:ascii="Calibri" w:hAnsi="Calibri" w:cs="Calibri"/>
          <w:sz w:val="24"/>
          <w:szCs w:val="24"/>
        </w:rPr>
        <w:lastRenderedPageBreak/>
        <w:t>yn broses cyfranogol a chydweithredol sy’n cael ei chynnal gan unigolion sy’n gweithio tuag at ddiben cyffredin. Y dull a ddefnyddir yn yr ymchwiliad yma yw un unigol yn hytrach na chydweithredol. Er bod yr ymchwil wedi cael ei chynnal yn unigol maent dal yn dilyn yr un egwyddorion a amlinellir gan Somekh (200</w:t>
      </w:r>
      <w:r w:rsidR="004168F2">
        <w:rPr>
          <w:rFonts w:ascii="Calibri" w:hAnsi="Calibri" w:cs="Calibri"/>
          <w:sz w:val="24"/>
          <w:szCs w:val="24"/>
        </w:rPr>
        <w:t>5</w:t>
      </w:r>
      <w:r>
        <w:rPr>
          <w:rFonts w:ascii="Calibri" w:hAnsi="Calibri" w:cs="Calibri"/>
          <w:sz w:val="24"/>
          <w:szCs w:val="24"/>
        </w:rPr>
        <w:t>).</w:t>
      </w:r>
    </w:p>
    <w:p w14:paraId="7B3A8F0B" w14:textId="75D3943E" w:rsidR="007C5C83" w:rsidRDefault="00183F46" w:rsidP="005A3411">
      <w:pPr>
        <w:spacing w:line="360" w:lineRule="auto"/>
        <w:rPr>
          <w:rFonts w:ascii="Calibri" w:hAnsi="Calibri" w:cs="Calibri"/>
          <w:sz w:val="24"/>
          <w:szCs w:val="24"/>
        </w:rPr>
      </w:pPr>
      <w:r>
        <w:rPr>
          <w:rFonts w:ascii="Calibri" w:hAnsi="Calibri" w:cs="Calibri"/>
          <w:sz w:val="24"/>
          <w:szCs w:val="24"/>
        </w:rPr>
        <w:tab/>
        <w:t>Y fethodoleg a ddefnyddir yn yr ymchwiliad yma yn dilyn canllawiau a amlinellir gan Somekh (200</w:t>
      </w:r>
      <w:r w:rsidR="004168F2">
        <w:rPr>
          <w:rFonts w:ascii="Calibri" w:hAnsi="Calibri" w:cs="Calibri"/>
          <w:sz w:val="24"/>
          <w:szCs w:val="24"/>
        </w:rPr>
        <w:t>5</w:t>
      </w:r>
      <w:r>
        <w:rPr>
          <w:rFonts w:ascii="Calibri" w:hAnsi="Calibri" w:cs="Calibri"/>
          <w:sz w:val="24"/>
          <w:szCs w:val="24"/>
        </w:rPr>
        <w:t>). Nodir fod y camau canlynol yn gylchoedd hyblyg cyfannol yn hytrach na chamau ar wahân. Gweithredir y camau canlynol yn yr ymchwiliad yma; casgliad o ddata cychwynnol sy’n ymwneud a’r cwestiwn ymchwil, dadansoddiad a dehongliad o’r data a gasglwyd, y paratoad a chyflwyniad o’r strategaethau gweithredu,  gwerthusiad o’r strategaethau trwy gasgliad o ddata pellach (Somekh, 200</w:t>
      </w:r>
      <w:r w:rsidR="004168F2">
        <w:rPr>
          <w:rFonts w:ascii="Calibri" w:hAnsi="Calibri" w:cs="Calibri"/>
          <w:sz w:val="24"/>
          <w:szCs w:val="24"/>
        </w:rPr>
        <w:t>5</w:t>
      </w:r>
      <w:r>
        <w:rPr>
          <w:rFonts w:ascii="Calibri" w:hAnsi="Calibri" w:cs="Calibri"/>
          <w:sz w:val="24"/>
          <w:szCs w:val="24"/>
        </w:rPr>
        <w:t>). Y dull casglu data a ddefnyddir yn yr ymchwiliad yma yw prawf diagnostic cyn yr ymyrraeth a phrawf diagnostig ar ôl yr ymyrraeth. Mae’r prawf yn cael ei chynnal cyn i’r arbrawf ddechrau ac enwir y prawf yma y prawf cyn yr ymyrraeth, yna bydd y strategaethau yn cael ei weithredu a bydd prawf arall ar ôl sef y prawf ar ôl yr ymyrraeth (Somekh a Lewin, 2011). Un fantais o’r dull yma o gasglu data yw ei fod yn mesur newid mewn sefyllfa, ac fe ystyrir fel y dull mwyaf priodol i fesur effeithiolrwydd ymyriad newydd; rheswm am hyn yw oherwydd bod gan y dull y gallu o asesu ardrawiad yr ymyrraeth (Kumar, 2014). Er hyn, awgrymir gan fod y math yma o gasglu data yn mesur cyfanswm y newid, nid yw’n bosib pob tro i ganfod os mai newidynnau annibynnol neu allanol sy’n gyfrifol am y newid yn y newidyn dibynnol (Kumar, 2014).</w:t>
      </w:r>
    </w:p>
    <w:p w14:paraId="76B1E465" w14:textId="6E0110C6" w:rsidR="00C77604" w:rsidRDefault="001B5BDB" w:rsidP="007C5C83">
      <w:pPr>
        <w:spacing w:line="360" w:lineRule="auto"/>
        <w:ind w:firstLine="720"/>
        <w:rPr>
          <w:rFonts w:ascii="Calibri" w:hAnsi="Calibri" w:cs="Calibri"/>
          <w:sz w:val="24"/>
          <w:szCs w:val="24"/>
        </w:rPr>
      </w:pPr>
      <w:r>
        <w:rPr>
          <w:rFonts w:ascii="Calibri" w:hAnsi="Calibri" w:cs="Calibri"/>
          <w:sz w:val="24"/>
          <w:szCs w:val="24"/>
        </w:rPr>
        <w:t xml:space="preserve">Cafodd yr ymchwiliad ei chynnal mewn dosbarth Daearyddiaeth blwyddyn 8 gyda 32 o ddysgwyr dros gyfnod o dair gwers a ddefnyddir y dull samplu yn ôl cyfleustra. Ar ddechrau uned newydd o waith ar afonydd fe gyflwynwyd y prawf diagnostig cyn ymyrraeth yn y wers gyntaf. Rheswm am hyn yw asesu dealltwriaeth gychwynnol y dysgwyr o’r pwnc. Roedd y prawf yma yn brawf gyda 10 cwestiwn dewis lluosog a oedd yn seiliedig ar y testunau y bydd yn cael eu dysgu yn ystod y tair gwers ddilynol. Yna, cyflwynir yr ymyrraeth sef yr asesu cymheiriaid a bydd yn cael ei gweithredu o fewn pob gwers. Cafodd yr un prawf ei ddarparu eto ar ôl yr ymyrraeth er mwyn asesu cynnydd y dysgwyr ac effeithiolrwydd yr ymyrraeth. Nid oedd canlyniadau o’r prawf yma wedi cael eu rhannu gyda’r dysgwyr ac y bu’r canlyniadau wedi cadw’n gyfrinachol ar ffon gof wedi’i amgodio. Er hyn, roedd adborth cyffredinol yn cael ei roi </w:t>
      </w:r>
      <w:r>
        <w:rPr>
          <w:rFonts w:ascii="Calibri" w:hAnsi="Calibri" w:cs="Calibri"/>
          <w:sz w:val="24"/>
          <w:szCs w:val="24"/>
        </w:rPr>
        <w:lastRenderedPageBreak/>
        <w:t>ar lafar i’r dysgwyr ar ôl casglu a marcio’r profion. O fewn y gwersi dilynol fe gyflwynwyd elfennau gwahanol o asesu cymheiriaid gan gynnwys strategaethau a oedd yn gyfarwydd i’r dysgwyr yn barod. Enghreifftiau o’r mathau o asesu cymheiriaid oedd marcio cwestiynau graddfa fach, megis cwestiynau un ateb neu un frawddeg gan ddefnyddio meini prawf llwyddiant. Yn ogystal â hyn, cyflwynir dull anghyfarwydd i’r dysgwyr o asesu cymheiriaid o roi adborth gan ddefnyddio’r dechneg o ddwy seren a dymuniad ar ôl tasgau disgrifio ysgrifenedig. Cyflwynir eto meini prawf llwyddiant ar gyfer y dull yma i’r dysgwyr i ddefnyddio wrth roi adborth ond ni ddarparir hyfforddiant cyn yr ymyrraeth. Y rhagdybiaeth yw y bydd y gweithrediad o’r asesu cymheiriaid yn arwain at gynnydd sylweddol yng nghanlyniadau'r dysgwyr yn yr ail brawf sy’n cael ei osod ar ôl yr ymyrraeth.</w:t>
      </w:r>
    </w:p>
    <w:p w14:paraId="5CD7F1E2" w14:textId="308D8470" w:rsidR="00681EF7" w:rsidRDefault="001B5BDB" w:rsidP="00681EF7">
      <w:pPr>
        <w:spacing w:line="360" w:lineRule="auto"/>
        <w:ind w:firstLine="720"/>
        <w:rPr>
          <w:rFonts w:ascii="Calibri" w:hAnsi="Calibri" w:cs="Calibri"/>
          <w:sz w:val="24"/>
          <w:szCs w:val="24"/>
        </w:rPr>
      </w:pPr>
      <w:r>
        <w:rPr>
          <w:rFonts w:ascii="Calibri" w:hAnsi="Calibri" w:cs="Calibri"/>
          <w:sz w:val="24"/>
          <w:szCs w:val="24"/>
        </w:rPr>
        <w:t xml:space="preserve">Cyn casglu data, mae gan ymchwilwyr gyfrifoldeb i feddwl trwy eu dyletswydd gofal er mwyn adnabod risgiau posib, ac i’w baratoi ar gyfer a bod mewn sefyllfa i leihau a rheoli unrhyw ofid all godi (BERA, 2018). O ganlyniad i'w ffocws ar bobl, mae materion moesegol yn ganolog bwysig mewn ymchwil sy’n ymwneud a’r gwyddorau cymdeithasol. Mae gwybodaeth yn rhoi pŵer, felly wrth gasglu data mae angen i ymchwilwyr fod yn sensitif i'r ffyrdd posibl y gall cymryd rhan yn yr ymchwil effeithio ar y cyfranogwyr (Somekh a Lewin, 2011). Mae ymchwilwyr gwyddorau cymdeithasol fel arfer yn pwysleisio'r angen i sefydlu perthynas o ymddiriedaeth gyda'r cyfranogwyr, fel yr amod angenrheidiol ar gyfer cynnal ymchwil o ansawdd uchel (Somekh a Lewin, 2011). Cafodd yr ymchwil felly ei chynnal o fewn dosbarth ble roedd perthynas gadarn wedi’u ddatblygu yn barod a ble roedd yr ymchwilydd yn wyneb cyfarwydd i’r cyfranogwyr. Er mwyn sicrhau bod yr ymchwil yn foesegol gywir dilynwyd canllawiau a amlinellir gan BERA (2018), Cod Moeseg PCYDDS a’r Ddeddf Diogelu Data. Roedd yr ymchwiliad yn arsylwi ar gyfranogwyr a hwythau’n ymwybodol o hynny a cyn dechrau’r ymchwiliad cafodd hawliau’r cyfranogwyr eu sefydlu iddynt gan roi’r dewis iddynt i gyfrannu yn yr ymchwil neu i dynnu yn ôl. Yn ogystal â hyn, pwysleisir hawliau’r cyfranogwyr i allu tynnu yn ôl o’r ymchwiliad ar unrhyw adeg. Esbonnir hefyd pwrpas yr ymchwiliad a’r dulliau y bydd yn cael eu defnyddio yn yr ymchwiliad ac o ganlyniad roedd y cyfranogwyr yn gallu gwneud dewis gwybodus ynglŷn â’u cyfranogiad. Esbonnir hefyd cyn cychwyn yr ymchwil bydd yr ymchwiliad i gyd yn gyfrinachol a bydd eu hunaniaeth yn anhysbys trwy gydol yr ymchwiliad. Roedd y data a </w:t>
      </w:r>
      <w:r>
        <w:rPr>
          <w:rFonts w:ascii="Calibri" w:hAnsi="Calibri" w:cs="Calibri"/>
          <w:sz w:val="24"/>
          <w:szCs w:val="24"/>
        </w:rPr>
        <w:lastRenderedPageBreak/>
        <w:t>gasglwyd yn ystod yr ymchwil hefyd yn gyfrinachol ac yn ddienw ac fe gafodd hwn hefyd ei bwysleisio i’r cyfranogwyr trwy gydol yr ymchwiliad. Yn ogystal â hyn, roedd y data a gasglwyd yn cael eu storio ar ffon gof wedi’i amgodio er mwyn dilyn canllawiau'r Ddeddf Diogelu Data ac i sicrhau anhysbysrwydd a chyfrinachedd y data. Yn ogystal â hyn, mae diogelu lles corfforol a seicolegol yr ymchwiliwr a’r cyfranogwyr yn rhan o’r cyfrifoldeb moesegol yr ymchwilydd a’r sefydliad ac felly dylid asesiad risg cael ei chynnal i asesu risgiau posib i’r cyfranogwyr a’r ymchwilydd (BERA, 2018). O ganlyniad amlinellir y risgiau canlynol a ystyrir wrth gynllunio’r ymchwiliad; risg o gyfranogwyr yn teimlo o dan bwysau i gymryd rhan, caiff y risg yma ei leihau gan esbonio’r broses caniatâd gwybodus i’r cyfranogwyr gan esbonio ni fydd unrhyw effaith ar eu cynnydd os ydyn nhw’n cymryd rhan neu beidio.</w:t>
      </w:r>
    </w:p>
    <w:p w14:paraId="17DDB3DC" w14:textId="0274245E" w:rsidR="00F26FC6" w:rsidRDefault="00A01E5C" w:rsidP="00681EF7">
      <w:pPr>
        <w:spacing w:line="360" w:lineRule="auto"/>
        <w:rPr>
          <w:rFonts w:ascii="Calibri" w:hAnsi="Calibri" w:cs="Calibri"/>
          <w:b/>
          <w:sz w:val="28"/>
          <w:szCs w:val="24"/>
          <w:u w:val="single"/>
        </w:rPr>
      </w:pPr>
      <w:r>
        <w:rPr>
          <w:rFonts w:ascii="Calibri" w:hAnsi="Calibri" w:cs="Calibri"/>
          <w:b/>
          <w:sz w:val="28"/>
          <w:szCs w:val="24"/>
          <w:u w:val="single"/>
        </w:rPr>
        <w:t>Gwerthusiad</w:t>
      </w:r>
    </w:p>
    <w:p w14:paraId="3CA3CE6A" w14:textId="330DE8FA" w:rsidR="00C47359" w:rsidRDefault="00EC6D18" w:rsidP="00681EF7">
      <w:pPr>
        <w:spacing w:line="360" w:lineRule="auto"/>
        <w:rPr>
          <w:rFonts w:ascii="Calibri" w:hAnsi="Calibri" w:cs="Calibri"/>
          <w:sz w:val="24"/>
          <w:szCs w:val="24"/>
        </w:rPr>
      </w:pPr>
      <w:r>
        <w:rPr>
          <w:rFonts w:ascii="Calibri" w:hAnsi="Calibri" w:cs="Calibri"/>
          <w:sz w:val="24"/>
          <w:szCs w:val="24"/>
        </w:rPr>
        <w:t>Ar y cyfan mae’r canlyniadau yn cyfiawnhau’r rhagdybiaeth bod yr ymyrraeth sef asesu cymheiriaid wedi cael effaith gadarnhaol ar ganlyniadau’r prawf ar ôl ymyrraeth y cyfranogwyr. Er hyn, ceir rhai eithriadau ac y bu angen archwiliad manylach i resymau posib dros yr eithriadau annisgwyl. Rhaid nodi’n gyntaf bod er mai dosbarth o 32 o ddysgwyr yw’r dosbarth a chafodd eu samplu roedd 11 o ddysgwyr yn absennol ar ryw adeg ar hyd y tair gwers ac er mwyn sicrhau canlyniadau teg a dibynadwy nid oedd modd cynnwys eu canlyniadau yn yr ymchwil.</w:t>
      </w:r>
    </w:p>
    <w:p w14:paraId="36838CDB" w14:textId="6FBF90B0" w:rsidR="004A7582" w:rsidRDefault="004A7582" w:rsidP="00681EF7">
      <w:pPr>
        <w:spacing w:line="360" w:lineRule="auto"/>
        <w:rPr>
          <w:rFonts w:ascii="Calibri" w:hAnsi="Calibri" w:cs="Calibri"/>
          <w:sz w:val="24"/>
          <w:szCs w:val="24"/>
        </w:rPr>
      </w:pPr>
    </w:p>
    <w:p w14:paraId="231E95B1" w14:textId="77777777" w:rsidR="004A7582" w:rsidRPr="00C47359" w:rsidRDefault="004A7582" w:rsidP="00681EF7">
      <w:pPr>
        <w:spacing w:line="360" w:lineRule="auto"/>
        <w:rPr>
          <w:rFonts w:ascii="Calibri" w:hAnsi="Calibri" w:cs="Calibri"/>
          <w:sz w:val="24"/>
          <w:szCs w:val="24"/>
        </w:rPr>
      </w:pPr>
    </w:p>
    <w:p w14:paraId="28D8D033" w14:textId="77777777" w:rsidR="004A7582" w:rsidRDefault="007F3830" w:rsidP="00681EF7">
      <w:pPr>
        <w:spacing w:line="360" w:lineRule="auto"/>
        <w:rPr>
          <w:rFonts w:ascii="Calibri" w:hAnsi="Calibri" w:cs="Calibri"/>
          <w:sz w:val="24"/>
          <w:szCs w:val="24"/>
        </w:rPr>
      </w:pPr>
      <w:r>
        <w:rPr>
          <w:noProof/>
        </w:rPr>
        <w:lastRenderedPageBreak/>
        <w:drawing>
          <wp:inline distT="0" distB="0" distL="0" distR="0" wp14:anchorId="7C26ADC9" wp14:editId="44AA0840">
            <wp:extent cx="5704449" cy="3235569"/>
            <wp:effectExtent l="0" t="0" r="10795" b="3175"/>
            <wp:docPr id="1" name="Chart 1">
              <a:extLst xmlns:a="http://schemas.openxmlformats.org/drawingml/2006/main">
                <a:ext uri="{FF2B5EF4-FFF2-40B4-BE49-F238E27FC236}">
                  <a16:creationId xmlns:a16="http://schemas.microsoft.com/office/drawing/2014/main" id="{E37C3C05-DCB0-4F49-A0B4-22FB4724CA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0FF9F3A" w14:textId="4614D915" w:rsidR="005C761B" w:rsidRPr="004A7582" w:rsidRDefault="005C761B" w:rsidP="00681EF7">
      <w:pPr>
        <w:spacing w:line="360" w:lineRule="auto"/>
        <w:rPr>
          <w:rFonts w:ascii="Calibri" w:hAnsi="Calibri" w:cs="Calibri"/>
          <w:i/>
          <w:sz w:val="24"/>
          <w:szCs w:val="24"/>
        </w:rPr>
      </w:pPr>
      <w:r w:rsidRPr="004A7582">
        <w:rPr>
          <w:rFonts w:ascii="Calibri" w:hAnsi="Calibri" w:cs="Calibri"/>
          <w:b/>
          <w:i/>
          <w:sz w:val="24"/>
          <w:szCs w:val="24"/>
        </w:rPr>
        <w:t>Ffigwr 1</w:t>
      </w:r>
      <w:r w:rsidR="009B0F6D" w:rsidRPr="004A7582">
        <w:rPr>
          <w:rFonts w:ascii="Calibri" w:hAnsi="Calibri" w:cs="Calibri"/>
          <w:b/>
          <w:i/>
          <w:sz w:val="24"/>
          <w:szCs w:val="24"/>
        </w:rPr>
        <w:t xml:space="preserve">: </w:t>
      </w:r>
      <w:r w:rsidR="009B0F6D" w:rsidRPr="004A7582">
        <w:rPr>
          <w:rFonts w:ascii="Calibri" w:hAnsi="Calibri" w:cs="Calibri"/>
          <w:i/>
          <w:sz w:val="24"/>
          <w:szCs w:val="24"/>
        </w:rPr>
        <w:t xml:space="preserve">Graff i ddangos </w:t>
      </w:r>
      <w:r w:rsidR="00D169FD" w:rsidRPr="004A7582">
        <w:rPr>
          <w:rFonts w:ascii="Calibri" w:hAnsi="Calibri" w:cs="Calibri"/>
          <w:i/>
          <w:sz w:val="24"/>
          <w:szCs w:val="24"/>
        </w:rPr>
        <w:t xml:space="preserve">canlyniadau profion cyn ac ar </w:t>
      </w:r>
      <w:r w:rsidR="0076324C" w:rsidRPr="004A7582">
        <w:rPr>
          <w:rFonts w:ascii="Calibri" w:hAnsi="Calibri" w:cs="Calibri"/>
          <w:i/>
          <w:sz w:val="24"/>
          <w:szCs w:val="24"/>
        </w:rPr>
        <w:t>ôl</w:t>
      </w:r>
      <w:r w:rsidR="003F2703" w:rsidRPr="004A7582">
        <w:rPr>
          <w:rFonts w:ascii="Calibri" w:hAnsi="Calibri" w:cs="Calibri"/>
          <w:i/>
          <w:sz w:val="24"/>
          <w:szCs w:val="24"/>
        </w:rPr>
        <w:t xml:space="preserve"> yr ymyrraeth.</w:t>
      </w:r>
    </w:p>
    <w:p w14:paraId="2ED32B22" w14:textId="77777777" w:rsidR="004A7582" w:rsidRDefault="004A7582" w:rsidP="00681EF7">
      <w:pPr>
        <w:spacing w:line="360" w:lineRule="auto"/>
        <w:rPr>
          <w:rFonts w:ascii="Calibri" w:hAnsi="Calibri" w:cs="Calibri"/>
          <w:sz w:val="24"/>
          <w:szCs w:val="24"/>
        </w:rPr>
      </w:pPr>
    </w:p>
    <w:p w14:paraId="04C51200" w14:textId="1E661015" w:rsidR="003F2703" w:rsidRDefault="006C043B" w:rsidP="00681EF7">
      <w:pPr>
        <w:spacing w:line="360" w:lineRule="auto"/>
        <w:rPr>
          <w:rFonts w:ascii="Calibri" w:hAnsi="Calibri" w:cs="Calibri"/>
          <w:sz w:val="24"/>
          <w:szCs w:val="24"/>
        </w:rPr>
      </w:pPr>
      <w:r>
        <w:rPr>
          <w:rFonts w:ascii="Calibri" w:hAnsi="Calibri" w:cs="Calibri"/>
          <w:sz w:val="24"/>
          <w:szCs w:val="24"/>
        </w:rPr>
        <w:t>Fel y gweler yn ffigwr 1 roedd canlyniadau’r prawf cyn yr ymyrraeth yn wan ar y cyfan gyda 85.7% o ddisgyblion wedi llwyddo i gael 4 neu lai yn unig yn y prawf a disgybl U heb lwyddo i ennill 1 marc. Gellir hefyd weld yn ffigwr 1 bod bron bawb (85.7%) wedi gwneud cynnydd yn y prawf a osodir ar ôl yr ymyrraeth i gymharu â’r prawf cychwynnol a osodir cyn yr ymyrraeth. Er hyn, gweler disgyniad o 1 marc yng nghanlyniadau disgybl B a C ac fe wnaeth canlyniadau disgybl D aros yr un fath. Yn ogystal â hyn, dim ond 23.8% o ddisgyblion a oedd wedi llwyddo cael 8 neu fwy yn y prawf a oedd yn annisgwyl gan fod y rhagdybiaeth yn awgrymu y bu cynnydd sylweddol yng nghanlyniadau’r dysgwyr. Yn y prawf a osodir cyn yr ymyrraeth y sgôr cyfartalog yw 3 ac yn brawf a osodir ar ôl yr ymyrraeth y sgôr cyfartalog yw 5.6. Ceir cynnig yn unig felly o 2.6 ar gyfartaledd sydd ddim yn gynnydd sylweddol fel y disgwylir.</w:t>
      </w:r>
      <w:r w:rsidR="004A7582">
        <w:rPr>
          <w:rFonts w:ascii="Calibri" w:hAnsi="Calibri" w:cs="Calibri"/>
          <w:sz w:val="24"/>
          <w:szCs w:val="24"/>
        </w:rPr>
        <w:t xml:space="preserve"> Wrth fyfyrio ar y dulliau a ddefnyddir yn yr ymchwiliad gellir felly esbonio pam mae’r canlyniadau yn annisgwyl.</w:t>
      </w:r>
    </w:p>
    <w:p w14:paraId="4C83B983" w14:textId="4CCCB1B9" w:rsidR="004A7582" w:rsidRDefault="00B96894" w:rsidP="00681EF7">
      <w:pPr>
        <w:spacing w:line="360" w:lineRule="auto"/>
        <w:rPr>
          <w:rFonts w:ascii="Calibri" w:hAnsi="Calibri" w:cs="Calibri"/>
          <w:sz w:val="24"/>
          <w:szCs w:val="24"/>
        </w:rPr>
      </w:pPr>
      <w:r>
        <w:rPr>
          <w:rFonts w:ascii="Calibri" w:hAnsi="Calibri" w:cs="Calibri"/>
          <w:sz w:val="24"/>
          <w:szCs w:val="24"/>
        </w:rPr>
        <w:tab/>
        <w:t xml:space="preserve">Y dull a ddefnyddir yn yr ymchwiliad i gasglu data oedd y profion diagnostic cyn ac ar ôl yr ymyrraeth. Roedd y prawf gychwynnol wedi cael ei roi ar ddechrau uned newydd o waith ble roedd dim dealltwriaeth neu ddealltwriaeth gyfyng o’r testun wedi cael ei ddysgu eto. Wrth </w:t>
      </w:r>
      <w:r>
        <w:rPr>
          <w:rFonts w:ascii="Calibri" w:hAnsi="Calibri" w:cs="Calibri"/>
          <w:sz w:val="24"/>
          <w:szCs w:val="24"/>
        </w:rPr>
        <w:lastRenderedPageBreak/>
        <w:t>edrych ar y canlyniadau amrywiol o’r prawf cyn yr ymyrraeth yn ffigwr 1 gyda chanlyniadau yn amrywio o 0 i 7 ceir awgrym bod y dysgwyr wedi dyfalu’r atebion gan nad oedden nhw’n gyfarwydd ar destun. Cyhoeddir hefyd ar ddechrau’r ymchwil nad oedd y canlyniadau yn y profion yn mynd i effeithio cynnydd y dysgwyr, ac o bosib efallai roedd y dysgwyr yn gweld y prawf yn ddibwrpas ac felly heb drio’u gorau i gyflawni eu llawn botensial. Mae’r canfyddiadau yma yn cyd-fynd a chysyniad gan Kumar (2014) sydd yn nodi er bod y profion diagnostig cyn ac ar ôl ymyrraeth yn ddull da o fesur newidiad mewn sefyllfa, maent hefyd yn nodi nid yw’n bosib canfod os yw newidynnau annibynnol neu allanol sydd yn gyfrifol am gynhyrchu’r newid yn y newidyn dibynnol. O ganlyniad, os yw’r ddamcaniaeth yn wir fod y dysgwyr wedi gweld y prawf yn ddibwrpas ac felly wedi dyfalu eu hatebion yna nid yw’r canlyniadau a gynhyrchir yn y prawf cyntaf yn argraff wir o ddealltwriaeth gychwynnol y dysgwyr.</w:t>
      </w:r>
    </w:p>
    <w:p w14:paraId="487E8CA4" w14:textId="5BB8AEDD" w:rsidR="00C9365A" w:rsidRDefault="00B96894" w:rsidP="00681EF7">
      <w:pPr>
        <w:spacing w:line="360" w:lineRule="auto"/>
        <w:rPr>
          <w:rFonts w:ascii="Calibri" w:hAnsi="Calibri" w:cs="Calibri"/>
          <w:sz w:val="24"/>
          <w:szCs w:val="24"/>
        </w:rPr>
      </w:pPr>
      <w:r>
        <w:rPr>
          <w:rFonts w:ascii="Calibri" w:hAnsi="Calibri" w:cs="Calibri"/>
          <w:sz w:val="24"/>
          <w:szCs w:val="24"/>
        </w:rPr>
        <w:tab/>
        <w:t>Y dull asesu cymheiriaid a ddefnyddir yn yr ymchwiliad oedd asesu gwaith cyfoed ar ôl tasgau bach un ateb neu un frawddeg gan ddefnyddio cynllun marcio. Dewisir y math yma o ddull gan ei fod yn gyfarwydd i’r dysgwyr ac yn addas ar gyfer mathau o dasgau. Cyflwynir hefyd meini prawf llwyddiant i’r dysgwyr i ddefnyddio wrth asesu gwaith cyfoed ac felly fe ddarparir llawer o arweiniad wrth weithredu’r ymyrraeth. Nid oedd cyfle yn y mathau o dasgau i’r dysgwyr i asesu gwaith ysgrifenedig hir ac felly nid oedd cyfle ganddynt i roi adborth manwl ar dasgau. Awgrymir Isaacs (2013) bod asesu cymheiriaid yn hyrwyddo dysgu’n annibynnol ac yn y pendraw yn lleihau baich marcio a rhoi adborth athrawon gan y bydd y dysgwyr yn gallu rhoi adborth o’r un safon. Er hyn, nid oedd hwn yn ymddangosiadol yn yr ymchwiliad yma gan fod y dysgwyr yn ddibynnol iawn ar arweiniad yr athro, y cynlluniau marcio a’r meini prawf llwyddiant. O bosib, roedd y mathau o dasgau a ddefnyddir yn yr ymchwiliad wedi cyfyngu gallu’r dysgwyr i ddatblygu’r sgil yma a’r annibyniaeth i farcio ac i roi adborth ar waith cyfoed. Yn ogystal â hyn, dadleuir McConlogue (2012) bod rhoi meini prawf llwyddiant a chynllun marcio manwl i’r dysgwyr wrth asesu gwaith cyfoed ddim yn gwneud dyfarniadau yn fwy dibynadwy. Awgrymir bod trwy herio rhagdybiaethau myfyrwyr bod marcio yn wrthrychol, efallai y byddwn yn datblygu eu hymdeimlad o werth eu gwaith, yn eu helpu i lunio ac amddiffyn barnau am eu gwaith eu hunain a gwaith pobl eraill, sydd mewn tro yn datblygu dysgwyr mwy annibynnol.</w:t>
      </w:r>
    </w:p>
    <w:p w14:paraId="40393F2C" w14:textId="27CBE8F4" w:rsidR="00407A71" w:rsidRDefault="00B96894" w:rsidP="00681EF7">
      <w:pPr>
        <w:spacing w:line="360" w:lineRule="auto"/>
        <w:rPr>
          <w:rFonts w:ascii="Calibri" w:hAnsi="Calibri" w:cs="Calibri"/>
          <w:sz w:val="24"/>
          <w:szCs w:val="24"/>
        </w:rPr>
      </w:pPr>
      <w:r>
        <w:rPr>
          <w:rFonts w:ascii="Calibri" w:hAnsi="Calibri" w:cs="Calibri"/>
          <w:sz w:val="24"/>
          <w:szCs w:val="24"/>
        </w:rPr>
        <w:lastRenderedPageBreak/>
        <w:tab/>
        <w:t>Er bod arweiniad wedi cael ei ddarparu i’r dysgwyr wrth asesu cymheiriaid, nid oedd digon o amser ar hyfforddi’r dysgwyr i allu asesu gwaith cyfoed. O ganlyniad i hyn, nid yw’r dysgwyr felly wedi datblygu’r sgil o asesu cymheiriaid ar gyfer y dyfodol pan fydd y mathau o dasgau’n wahanol. Nodir Isaacs (2013) bod angen hyfforddiant da, ymarfer rheolaidd ac adborth ar roi adborth er mwyn sicrhau bod yr asesu cymheiriaid yn cael effaith gadarnhaol ar gynnydd y dysgwyr. Awgrymir trwy sefydlu asesu cymheiriaid fel rhan o wersi y bydd yn cynyddu ei effaith a’i dibynadwyedd. Er hyn, er mwyn i asesu cymheiriaid i ddod yn sgil naturiol i’r dysgwyr rhaid bod yn cael ei gweithredu ar hyd yr ysgol yn hytrach nag mewn rhai pynciau. Os mae’r dysgwyr yn dod i mewn i’r arfer o wneud ar draw pob pwnc yna ni fydd angen cymaint o hyfforddiant gan yr athrawon. O ganlyniad, os ddarperir polisi ysgol gyfan o asesu cymheiriaid yna o bosib ceir canlyniadau mwy cadarnhaol.</w:t>
      </w:r>
    </w:p>
    <w:p w14:paraId="06CCCC3B" w14:textId="0C0A6B3C" w:rsidR="00735B3C" w:rsidRDefault="001B5BDB" w:rsidP="00681EF7">
      <w:pPr>
        <w:spacing w:line="360" w:lineRule="auto"/>
        <w:rPr>
          <w:rFonts w:ascii="Calibri" w:hAnsi="Calibri" w:cs="Calibri"/>
          <w:sz w:val="24"/>
          <w:szCs w:val="24"/>
        </w:rPr>
      </w:pPr>
      <w:r>
        <w:rPr>
          <w:rFonts w:ascii="Calibri" w:hAnsi="Calibri" w:cs="Calibri"/>
          <w:sz w:val="24"/>
          <w:szCs w:val="24"/>
        </w:rPr>
        <w:tab/>
        <w:t>Fel y gweler yn ffigwr 1 ni wnaeth disgyblion B, C a D dangos cynnydd yn y prawf a osodir ar ôl yr ymyrraeth, gyda canlyniadau disgyblion B a C yn gwaethygu yn y prawf ar ôl yr ymyrraeth. Rheswm posib am hyn yw pwysau cymdeithasol gan eu ffrindiau neu gyfoedion roedd yn eistedd ar eu pwys. Un o’r peryglon o asesu cymheiriaid a amlinellir gan Rotsaert (2018) yw'r bod bondiau cyfeillgarwch yn gallu arwain at ragfarn wrth farcio neu roi adborth. Er hyn, dim ond nifer fach o astudiaethau sydd wedi mynd i'r afael â'r pwnc hwn yn uniongyrchol. Strategaethau posib y gall lleihau’r effaith o bwysau cymdeithasol gan ffrindiau yw gwneud pob tasg yn ddienw a dosbarthu’r gwaith ar hap i’r dosbarth fel bod hunaniaeth y dysgwyr yn anhysbys i’w chyfoed ac felly bydd llai o ragfarn wrth farcio a rhoi adborth. Strategaeth arall hefyd gall lleihau’r effaith ar bwysau cymdeithasol yw gweithredu cynllun eistedd newydd a gwahanu grwpiau cyfeillgarwch. Er hyn, awgrymir Rotsart (2018) nid yn unig yw bondiau cyfeillgarwch sy’n gallu cael effaith negyddol ar effeithiolrwydd asesu cymheiriaid. Nodir fod ymddiriedaeth yn yr asesydd hefyd yn ffactor i ystyried, gyda dysgwyr yn cwestiynu dibynadwyedd a dilysrwydd adborth gan rywun nad ydynt yn ymddiried ynddo. Dim ond ar sail gwybodaeth ddibynadwy y bydd myfyrwyr yn gweithredu; os ydynt yn credu bod sylwadau yn anrhagweladwy, ni fyddant yn gweithredu arnynt.</w:t>
      </w:r>
    </w:p>
    <w:p w14:paraId="6D60E0B3" w14:textId="6CB30886" w:rsidR="00D05814" w:rsidRDefault="001B5BDB" w:rsidP="00D05814">
      <w:pPr>
        <w:spacing w:line="360" w:lineRule="auto"/>
        <w:rPr>
          <w:rFonts w:ascii="Calibri" w:hAnsi="Calibri" w:cs="Calibri"/>
          <w:sz w:val="24"/>
          <w:szCs w:val="24"/>
        </w:rPr>
      </w:pPr>
      <w:r>
        <w:rPr>
          <w:rFonts w:ascii="Calibri" w:hAnsi="Calibri" w:cs="Calibri"/>
          <w:sz w:val="24"/>
          <w:szCs w:val="24"/>
        </w:rPr>
        <w:tab/>
        <w:t xml:space="preserve">Rhaid hefyd ystyried bod yr ymchwil wedi cael ei chynnal yn ystod uned newydd o waith ble doedd dim gwybodaeth flaenorol gan y dysgwyr ar y testun. O ganlyniad, gall hwn wedi cael </w:t>
      </w:r>
      <w:r>
        <w:rPr>
          <w:rFonts w:ascii="Calibri" w:hAnsi="Calibri" w:cs="Calibri"/>
          <w:sz w:val="24"/>
          <w:szCs w:val="24"/>
        </w:rPr>
        <w:lastRenderedPageBreak/>
        <w:t>effaith ar ganlyniadau’r prawf cyn yr ymyrraeth gan fod y dysgwyr o bosib wedi cylchi unrhyw ateb a dyfalu gan nad oedd gwybodaeth flaenorol ganddynt. Mae hwn hefyd yn golygu bod canlyniadau’r prawf cyn yr ymyrraeth o bosib yn annibynadwy a hefyd nid yn adlewyrchiad cywir o ddealltwriaeth gychwynnol y dysgwyr. O ganlyniad, os oedd y dysgwyr wedi cael y canlyniad gyntaf ar hap nid yw’n bosib felly asesu gwir gynnydd y dysgwyr. Yn ogystal â hyn, gall y cynnydd yng nghanlyniadau’r dysgwyr fod yn argraff o’r dysgu. Gan fod yr ymchwil wedi cael ei chynnal cyn uned waith ac wedi cael ail brawf ar ol i’r testun cael ei ddysgu, gall y canlyniadau awgrymu fod y dysgwyr wedi deall y gwaith. O bosib, ceir un canlyniad hyd yn oed os nad oedd yr ymyrraeth wedi cael eu gweithredu. Ac fel canlyniad, maent hefyd yn anodd asesu effeithiolrwydd asesu cymheiriaid.</w:t>
      </w:r>
    </w:p>
    <w:p w14:paraId="00F57844" w14:textId="70615119" w:rsidR="00D05814" w:rsidRDefault="00D05814" w:rsidP="00D05814">
      <w:pPr>
        <w:spacing w:line="360" w:lineRule="auto"/>
        <w:rPr>
          <w:rFonts w:ascii="Calibri" w:hAnsi="Calibri" w:cs="Calibri"/>
          <w:b/>
          <w:sz w:val="28"/>
          <w:szCs w:val="24"/>
          <w:u w:val="single"/>
        </w:rPr>
      </w:pPr>
      <w:r>
        <w:rPr>
          <w:rFonts w:ascii="Calibri" w:hAnsi="Calibri" w:cs="Calibri"/>
          <w:b/>
          <w:sz w:val="28"/>
          <w:szCs w:val="24"/>
          <w:u w:val="single"/>
        </w:rPr>
        <w:t>C</w:t>
      </w:r>
      <w:r w:rsidR="0012120F">
        <w:rPr>
          <w:rFonts w:ascii="Calibri" w:hAnsi="Calibri" w:cs="Calibri"/>
          <w:b/>
          <w:sz w:val="28"/>
          <w:szCs w:val="24"/>
          <w:u w:val="single"/>
        </w:rPr>
        <w:t>asgliad</w:t>
      </w:r>
    </w:p>
    <w:p w14:paraId="60713294" w14:textId="2D56529F" w:rsidR="0043224C" w:rsidRDefault="00DA62C8" w:rsidP="00D05814">
      <w:pPr>
        <w:spacing w:line="360" w:lineRule="auto"/>
        <w:rPr>
          <w:rFonts w:ascii="Calibri" w:hAnsi="Calibri" w:cs="Calibri"/>
          <w:sz w:val="24"/>
          <w:szCs w:val="24"/>
        </w:rPr>
      </w:pPr>
      <w:r>
        <w:rPr>
          <w:rFonts w:ascii="Calibri" w:hAnsi="Calibri" w:cs="Calibri"/>
          <w:sz w:val="24"/>
          <w:szCs w:val="24"/>
        </w:rPr>
        <w:t>I gloi, ar y cyfan gweler effaith cadarnhaol ar gynnydd y dysgwyr gyda 85.7% wedi gwella’u canlyniadau yn y prawf ar ôl yr ymyrraeth. Er hyn, ni ellir cadarnhau’n bendant fod asesu cymheiriaid yn cael effaith cadarnhaol ar gynnydd disgyblion gan fod canlyniadau 2 disgybl wedi gwaethygu yn y prawf ar ôl yr ymyrraeth a chanlyniadau 1 disgybl wedi aros yr un fath. Yn ogystal â hyn, nid yw’r cynnydd wedi bod yn sylweddol gyda’r marc cyfartalog yn y prawf ond wedi codi gan 2.6. Mae’r canlyniadau felly’n awgrymu bod mewn rhan fwyaf o achosion mae asesu cymheiriaid yn cael effaith gadarnhaol ar gynnydd dysgwyr ond hefyd mae’n amlwg bod rhai ffactorau wedi cyfrannu at amrywiadau yng nghynnydd rhai disgyblion. Mae’r canlyniadau yma yn unol â chanfyddiadau Gielen (2010) sydd hefyd yn awgrymu bod y gall adborth gan gymheiriaid amnewid adborth gan athrawon heb golli effeithiolrwydd sylweddol yn y tymor hir. Er hyn, nid yw’n wir ar gyfer y dosbarth cyfan gan fod 3 disgybl heb ddangos cynnydd. Rhaid felly gwneud ymchwil pellach i all gadarnhau’n bendant os yw asesu cymheiriaid yn cael effaith cadarnhaol ar gynnydd y dysgwyr.</w:t>
      </w:r>
    </w:p>
    <w:p w14:paraId="39176790" w14:textId="5DC5E978" w:rsidR="00225A8F" w:rsidRDefault="00DA62C8" w:rsidP="00D05814">
      <w:pPr>
        <w:spacing w:line="360" w:lineRule="auto"/>
        <w:rPr>
          <w:rFonts w:ascii="Calibri" w:hAnsi="Calibri" w:cs="Calibri"/>
          <w:sz w:val="24"/>
          <w:szCs w:val="24"/>
        </w:rPr>
      </w:pPr>
      <w:r>
        <w:rPr>
          <w:rFonts w:ascii="Calibri" w:hAnsi="Calibri" w:cs="Calibri"/>
          <w:sz w:val="24"/>
          <w:szCs w:val="24"/>
        </w:rPr>
        <w:tab/>
        <w:t xml:space="preserve">Wrth gynnal ymchwil pellach bydd rhaid ymchwilio cywirdeb yr adborth a rhoddir gan y cyfoedion, pwysau cymdeithasol sy’n gallu dylanwadu’r adborth a rhoddir, annibyniaeth y dysgwyr wrth asesu a’r hyfforddiant a rhoddir a sut mae’r ffactorau yma yn dylanwadu ar effeithiolrwydd asesu cymheiriaid. Yn unol â chanfyddiadau gan Harris (2015), nid yw adborth </w:t>
      </w:r>
      <w:r>
        <w:rPr>
          <w:rFonts w:ascii="Calibri" w:hAnsi="Calibri" w:cs="Calibri"/>
          <w:sz w:val="24"/>
          <w:szCs w:val="24"/>
        </w:rPr>
        <w:lastRenderedPageBreak/>
        <w:t>lefel isel neu sylwad sydd ddim yn gysylltiedig â’r meini prawf yn mynd i arwain at wellhad mewn tasg oherwydd nid yw’r dysgwyr yn gwybod yn union sut i wella. O ganlyniad felly, nid yw’r mathau o dasgau yn yr ymchwiliad yma wedi caniatáu sylwadau cynhwysfawr a fydd yn gallu arwain at gynnydd sylweddol. Ac o bosib, nid oedd y disgyblion ble roedd eu canlyniadau wedi gwaethygu wedi derbyn adborth o safon gan eu cyfoed ac wedi felly arwain at y gostyngiad yma yn eu canlyniadau.</w:t>
      </w:r>
    </w:p>
    <w:p w14:paraId="19776838" w14:textId="12923232" w:rsidR="00225A8F" w:rsidRDefault="00DA62C8" w:rsidP="00D05814">
      <w:pPr>
        <w:spacing w:line="360" w:lineRule="auto"/>
        <w:rPr>
          <w:rFonts w:ascii="Calibri" w:hAnsi="Calibri" w:cs="Calibri"/>
          <w:sz w:val="24"/>
          <w:szCs w:val="24"/>
        </w:rPr>
      </w:pPr>
      <w:r>
        <w:rPr>
          <w:rFonts w:ascii="Calibri" w:hAnsi="Calibri" w:cs="Calibri"/>
          <w:sz w:val="24"/>
          <w:szCs w:val="24"/>
        </w:rPr>
        <w:tab/>
        <w:t>Rhaid hefyd cwestiynu hygrededd a dibynadwyedd yr adborth a rhoddir i’r dysgwyr ble roedd eu canlyniadau wedi gwaethygu. Awgrymir Izgar a Aturk (2018) bod cysylltiadau cyfeillgarwch yn cael effaith negyddol ar asesu ac mewn tro, cynnydd. O bosib, roedd y disgyblion yma yn eistedd ar bwys cyfaill ac roedd y cyfaill yma o dan bwysau wrth farcio a rhoi adborth ac felly nid oedd yr adborth a rhoddir yn ddibynadwy neu gywir. O ganlyniad i hyn, mae’r adborth anghywir yma wedi cael effaith niweidiol ar gynnydd y dysgwyr o gymharu â gweddill y dosbarth.</w:t>
      </w:r>
    </w:p>
    <w:p w14:paraId="0E262BE9" w14:textId="563CDF3D" w:rsidR="0055502A" w:rsidRDefault="00DA62C8" w:rsidP="00D05814">
      <w:pPr>
        <w:spacing w:line="360" w:lineRule="auto"/>
        <w:rPr>
          <w:rFonts w:ascii="Calibri" w:hAnsi="Calibri" w:cs="Calibri"/>
          <w:sz w:val="24"/>
          <w:szCs w:val="24"/>
        </w:rPr>
      </w:pPr>
      <w:r>
        <w:rPr>
          <w:rFonts w:ascii="Calibri" w:hAnsi="Calibri" w:cs="Calibri"/>
          <w:sz w:val="24"/>
          <w:szCs w:val="24"/>
        </w:rPr>
        <w:tab/>
        <w:t>Mae'n bwysig i nodi hefyd diffyg annibyniaeth y dysgwyr wrth asesu cyfoed. Er bod y dulliau o asesu cyfoedion yn rhai cyfarwydd i’r dysgwyr roedd dal angen tipyn o arweiniad  ac atgofion o’r mathau o sylwadau i’w rhoi. Nodir Harris et al. (2015) bod cymryd rhan mewn arferion asesu yn rhoi mwy o ymdeimlad o berchnogaeth i fyfyrwyr dros eu gwaith a gall deall yn well y meini prawf llwyddiant arwain at gynnydd yn eu gwaith. Mae’r canfyddiadau yn yr ymchwiliad yma yn awgrymu bod y cysyniad yma’n wir gan fod rhan fwyaf wedi dangos cynnydd. Er hyn, er mwyn gweld cynnydd mwy sylweddol bydd rhaid rhoi mwy o hyfforddiant ysgol gyfan yn cael eu rhoi.</w:t>
      </w:r>
    </w:p>
    <w:p w14:paraId="1D6D86BA" w14:textId="6C2D2DE5" w:rsidR="00BF02BD" w:rsidRDefault="00DA62C8" w:rsidP="00D05814">
      <w:pPr>
        <w:spacing w:line="360" w:lineRule="auto"/>
        <w:rPr>
          <w:rFonts w:ascii="Calibri" w:hAnsi="Calibri" w:cs="Calibri"/>
          <w:sz w:val="24"/>
          <w:szCs w:val="24"/>
        </w:rPr>
      </w:pPr>
      <w:r>
        <w:rPr>
          <w:rFonts w:ascii="Calibri" w:hAnsi="Calibri" w:cs="Calibri"/>
          <w:sz w:val="24"/>
          <w:szCs w:val="24"/>
        </w:rPr>
        <w:tab/>
        <w:t>Er mwyn gweld cynnydd mwy sylweddol yng nghanlyniadau’r dysgwyr y bu’n rhaid rhoi mwy o hyfforddiant i’r dysgwyr. Awgrymir Gibbs a Simpson (2004) bod er mwyn i asesu cymheiriaid cyrraedd ei llawn botensial rhaid cynnig hyfforddiant priodol i’r dysgwyr fel eu bod yn gallu darparu gwybodaeth addysgiadol a chywir. Er mwyn i’r technegau yma felly i fod yn gyfarwydd ac yn naturiol iddynt bydd rhaid gweld polisi ysgol gyfan yn cael ei chyflwyno er mwyn sicrhau cysondeb. Os gynhalir yr ymchwiliad eto ar ôl bod polisi ysgol gyfan wedi’i gweithredu o bosib bydd cynnydd mwy sylweddol yng nghanlyniadau’r dysgwyr.</w:t>
      </w:r>
    </w:p>
    <w:p w14:paraId="4341B9FD" w14:textId="660BD78C" w:rsidR="0012120F" w:rsidRDefault="001B5BDB" w:rsidP="00D05814">
      <w:pPr>
        <w:spacing w:line="360" w:lineRule="auto"/>
        <w:rPr>
          <w:rFonts w:ascii="Calibri" w:hAnsi="Calibri" w:cs="Calibri"/>
          <w:b/>
          <w:sz w:val="28"/>
          <w:szCs w:val="24"/>
          <w:u w:val="single"/>
        </w:rPr>
      </w:pPr>
      <w:r>
        <w:rPr>
          <w:rFonts w:ascii="Calibri" w:hAnsi="Calibri" w:cs="Calibri"/>
          <w:b/>
          <w:bCs/>
          <w:sz w:val="28"/>
          <w:szCs w:val="28"/>
          <w:u w:val="single"/>
        </w:rPr>
        <w:lastRenderedPageBreak/>
        <w:t>Cyfyngiadau a datblygiadau'r dyfodol</w:t>
      </w:r>
    </w:p>
    <w:p w14:paraId="55B7BB3C" w14:textId="4AD07D6F" w:rsidR="008441B4" w:rsidRDefault="001B5BDB" w:rsidP="006335FC">
      <w:pPr>
        <w:spacing w:line="360" w:lineRule="auto"/>
        <w:rPr>
          <w:rFonts w:ascii="Calibri" w:hAnsi="Calibri" w:cs="Calibri"/>
          <w:sz w:val="24"/>
          <w:szCs w:val="24"/>
        </w:rPr>
      </w:pPr>
      <w:r>
        <w:rPr>
          <w:rFonts w:ascii="Calibri" w:hAnsi="Calibri" w:cs="Calibri"/>
          <w:sz w:val="24"/>
          <w:szCs w:val="24"/>
        </w:rPr>
        <w:t>Mae'n bwysig nodi bod y canfyddiadau a chanfyddir yn yr ymchwiliad yma ond yn berthnasol i’r cyd-destun hwn. Rhaid felly trin y canfyddiadau hyn yn ofalus o fewn cyd-destun newydd, ac efallai ni fydd yr un canlyniadau'n amlwg mewn cyd-destun gwahanol, bydd yn rhaid ystyried ffactorau eraill pe bydd yr ymchwiliad yn cael eu gweithredu mewn cyd-destun arall. Y rheswm am hyn yw gwneud yn siŵr bod yr ymchwiliad yn cael ei chynnal yn foesegol gywir ac fel bod dim tueddiadau. Yn ogystal â hyn, trwy weithredu’r ymyrraeth ar ddechrau uned waith newydd ble doedd dim gwybodaeth flaenorol yn hytrach nag y gweithrediad ar waith ble mae rhywfaint o ddealltwriaeth o bosib wedi cael effaith negyddol ar y canlyniadau. Os bydd yr ymchwiliad yma yn cael ei chynnal yn y dyfodol fe fydd yn gwneud mwy o synnwyr i asesu effaith yr ymyrraeth ar uned gwaith ble yr oedd rhywfaint o wybodaeth flaenorol gan y dysgwyr er mwyn data mwy cynrychioliadol. Cyfyngiad arall i’r ymchwiliad yma yw amser. Roedd amser cyfyng iawn i wneud yr ymchwiliad gyda dim ond cyfres o dair gwers i allu gweithredu’r ymyrraeth ac asesu’i effaith. O bosib, nid oedd tair gwers yn ddigon hir i ddechrau gweld newidiadau ac felly bydd angen gweithredu dros gyfnod hirach o amser i asesu gwir effaith yr ymyrraeth. Yn ogystal â hyn, gyda’r amser cyfyng yma nid oedd yn bosib gweithredu amrywiaeth o strategaethau gwahanol o asesu cyfoedion y bydd o bosib wedi cael gwell effaith ar gynnydd y dysgwyr. Roedd yr ymchwiliad hefyd ond wedi cael ei chynnal mewn un dosbarth gyda 32 o ddysgwyr felly roedd y sampl yn un fach ac er mwyn cyfoethogi’r canlyniadau yna bydd rhaid gweithredu’r ymyrraeth dros sawl dosbarth i asesu gwir effaith yr ymyrraeth. Y cyfyngiad olaf o’r ymchwiliad oedd absenoldeb disgyblion. Mae amgylchedd ysgol yn gymhleth yn logistaidd a cheir nifer o absenoldebau annisgwyl. O ganlyniad, ni all canlyniadau rhai myfyrwyr gael eu cynrychioli yn y data oherwydd roedden nhw wedi colli un wers ac felly colli rhan o’r ymyrraeth. Yn ogystal â hyn, os nad oedd unigolyn wedi gwneud y prawf cyn yr ymyrraeth yna nid oedd yn bosib ei chynnwys yn yr ymchwiliad gan nad oedd yn bosib asesu ei chynnydd.</w:t>
      </w:r>
    </w:p>
    <w:p w14:paraId="64289172" w14:textId="17766B0F" w:rsidR="002C7A68" w:rsidRDefault="000018E3" w:rsidP="005A3411">
      <w:pPr>
        <w:spacing w:line="360" w:lineRule="auto"/>
        <w:rPr>
          <w:sz w:val="24"/>
        </w:rPr>
      </w:pPr>
      <w:r>
        <w:rPr>
          <w:sz w:val="24"/>
        </w:rPr>
        <w:t xml:space="preserve">Cyfrif </w:t>
      </w:r>
      <w:r w:rsidR="00FB25A7">
        <w:rPr>
          <w:sz w:val="24"/>
        </w:rPr>
        <w:t>g</w:t>
      </w:r>
      <w:r>
        <w:rPr>
          <w:sz w:val="24"/>
        </w:rPr>
        <w:t xml:space="preserve">eiriau: </w:t>
      </w:r>
      <w:r w:rsidR="00FB25A7">
        <w:rPr>
          <w:sz w:val="24"/>
        </w:rPr>
        <w:t>7551</w:t>
      </w:r>
    </w:p>
    <w:p w14:paraId="4DC12D25" w14:textId="77777777" w:rsidR="001B5BDB" w:rsidRDefault="001B5BDB" w:rsidP="005A3411">
      <w:pPr>
        <w:spacing w:line="360" w:lineRule="auto"/>
        <w:rPr>
          <w:sz w:val="24"/>
        </w:rPr>
      </w:pPr>
      <w:bookmarkStart w:id="0" w:name="cysill"/>
      <w:bookmarkEnd w:id="0"/>
    </w:p>
    <w:p w14:paraId="551CE2FD" w14:textId="77777777" w:rsidR="001B5BDB" w:rsidRPr="002F1CCB" w:rsidRDefault="001B5BDB" w:rsidP="005A3411">
      <w:pPr>
        <w:spacing w:line="360" w:lineRule="auto"/>
        <w:rPr>
          <w:sz w:val="24"/>
        </w:rPr>
      </w:pPr>
    </w:p>
    <w:p w14:paraId="505CF6A9" w14:textId="6EDB862A" w:rsidR="00E72DE9" w:rsidRDefault="00E4538D" w:rsidP="005A3411">
      <w:pPr>
        <w:spacing w:line="360" w:lineRule="auto"/>
        <w:rPr>
          <w:b/>
          <w:sz w:val="24"/>
          <w:u w:val="single"/>
        </w:rPr>
      </w:pPr>
      <w:r>
        <w:rPr>
          <w:b/>
          <w:sz w:val="24"/>
          <w:u w:val="single"/>
        </w:rPr>
        <w:lastRenderedPageBreak/>
        <w:t>Llyfryddiaeth</w:t>
      </w:r>
    </w:p>
    <w:p w14:paraId="2475636A" w14:textId="51CF58D0" w:rsidR="00DA768B" w:rsidRDefault="00DA768B" w:rsidP="00DA768B">
      <w:pPr>
        <w:pStyle w:val="EndNoteBibliography"/>
        <w:spacing w:after="0"/>
      </w:pPr>
      <w:r>
        <w:t>Assessment Reform Group</w:t>
      </w:r>
      <w:r w:rsidRPr="00B0727F">
        <w:t>. (1999) 'Assessment for learning: beyond the black box.'. University of Cambridge, Faculty of Education.</w:t>
      </w:r>
    </w:p>
    <w:p w14:paraId="1A8F1010" w14:textId="7D67E9E2" w:rsidR="004168F2" w:rsidRDefault="004168F2" w:rsidP="00DA768B">
      <w:pPr>
        <w:pStyle w:val="EndNoteBibliography"/>
        <w:spacing w:after="0"/>
      </w:pPr>
    </w:p>
    <w:p w14:paraId="16848C86" w14:textId="69FDBDE9" w:rsidR="004168F2" w:rsidRPr="00B0727F" w:rsidRDefault="004168F2" w:rsidP="00DA768B">
      <w:pPr>
        <w:pStyle w:val="EndNoteBibliography"/>
        <w:spacing w:after="0"/>
      </w:pPr>
      <w:r w:rsidRPr="004B611F">
        <w:t xml:space="preserve">Baumfield, V., Hall, E. and Wall, K. (2012) </w:t>
      </w:r>
      <w:r w:rsidRPr="004B611F">
        <w:rPr>
          <w:i/>
        </w:rPr>
        <w:t>Action research in education: Learning through practitioner enquiry</w:t>
      </w:r>
      <w:r w:rsidRPr="004B611F">
        <w:t>. Sage.</w:t>
      </w:r>
    </w:p>
    <w:p w14:paraId="02D4455B" w14:textId="77777777" w:rsidR="00DA768B" w:rsidRDefault="00DA768B" w:rsidP="00B0727F">
      <w:pPr>
        <w:pStyle w:val="EndNoteBibliography"/>
        <w:spacing w:after="0"/>
        <w:rPr>
          <w:sz w:val="24"/>
        </w:rPr>
      </w:pPr>
    </w:p>
    <w:p w14:paraId="67888217" w14:textId="77777777" w:rsidR="00B0727F" w:rsidRDefault="00E72DE9" w:rsidP="00B0727F">
      <w:pPr>
        <w:pStyle w:val="EndNoteBibliography"/>
        <w:spacing w:after="0"/>
      </w:pPr>
      <w:r>
        <w:rPr>
          <w:sz w:val="24"/>
        </w:rPr>
        <w:fldChar w:fldCharType="begin"/>
      </w:r>
      <w:r>
        <w:rPr>
          <w:sz w:val="24"/>
        </w:rPr>
        <w:instrText xml:space="preserve"> ADDIN EN.REFLIST </w:instrText>
      </w:r>
      <w:r>
        <w:rPr>
          <w:sz w:val="24"/>
        </w:rPr>
        <w:fldChar w:fldCharType="separate"/>
      </w:r>
      <w:r w:rsidR="00393787">
        <w:t>British Educational Research Association (BERA)</w:t>
      </w:r>
      <w:r w:rsidR="00B0727F" w:rsidRPr="00B0727F">
        <w:t xml:space="preserve">. (2018) Ethical guidelines for educational research.' 4th. Available at: </w:t>
      </w:r>
      <w:hyperlink r:id="rId11" w:history="1">
        <w:r w:rsidR="00B0727F" w:rsidRPr="00B0727F">
          <w:rPr>
            <w:rStyle w:val="Hyperlink"/>
          </w:rPr>
          <w:t>https://www.bera.ac.uk/wp-content/uploads/2018/06/BERA-Ethical-Guidelines-for-Educational-Research_4thEdn_2018.pdf?noredirect=1</w:t>
        </w:r>
      </w:hyperlink>
      <w:r w:rsidR="00B0727F" w:rsidRPr="00B0727F">
        <w:t xml:space="preserve"> (Accessed: 10/05/2019).</w:t>
      </w:r>
    </w:p>
    <w:p w14:paraId="625DD67E" w14:textId="77777777" w:rsidR="00B0727F" w:rsidRPr="00B0727F" w:rsidRDefault="00B0727F" w:rsidP="00B0727F">
      <w:pPr>
        <w:pStyle w:val="EndNoteBibliography"/>
        <w:spacing w:after="0"/>
      </w:pPr>
    </w:p>
    <w:p w14:paraId="4BEC489A" w14:textId="6A5F3A01" w:rsidR="00B0727F" w:rsidRDefault="00B0727F" w:rsidP="00B0727F">
      <w:pPr>
        <w:pStyle w:val="EndNoteBibliography"/>
        <w:spacing w:after="0"/>
      </w:pPr>
      <w:r w:rsidRPr="00B0727F">
        <w:t xml:space="preserve">Black, P., Harrison, C. and Lee, C. (2003) </w:t>
      </w:r>
      <w:r w:rsidRPr="00B0727F">
        <w:rPr>
          <w:i/>
        </w:rPr>
        <w:t>Assessment for learning: Putting it into practice</w:t>
      </w:r>
      <w:r w:rsidRPr="00B0727F">
        <w:t>. McGraw-Hill Education (UK).</w:t>
      </w:r>
    </w:p>
    <w:p w14:paraId="624139C3" w14:textId="77777777" w:rsidR="00B0727F" w:rsidRPr="00B0727F" w:rsidRDefault="00B0727F" w:rsidP="00B0727F">
      <w:pPr>
        <w:pStyle w:val="EndNoteBibliography"/>
        <w:spacing w:after="0"/>
      </w:pPr>
    </w:p>
    <w:p w14:paraId="4C1DFEC0" w14:textId="0480DF5E" w:rsidR="00B0727F" w:rsidRDefault="00B0727F" w:rsidP="00B0727F">
      <w:pPr>
        <w:pStyle w:val="EndNoteBibliography"/>
        <w:spacing w:after="0"/>
      </w:pPr>
      <w:r w:rsidRPr="00B0727F">
        <w:t xml:space="preserve">Black, P. and Wiliam, D. (2009) 'Developing the theory of formative assessment', </w:t>
      </w:r>
      <w:r w:rsidRPr="00B0727F">
        <w:rPr>
          <w:i/>
        </w:rPr>
        <w:t>Educational Assessment, Evaluation and Accountability (formerly: Journal of Personnel Evaluation in Education)</w:t>
      </w:r>
      <w:r w:rsidRPr="00B0727F">
        <w:t>, 21(1), p. 5.</w:t>
      </w:r>
    </w:p>
    <w:p w14:paraId="5F05CE1F" w14:textId="679D993D" w:rsidR="00DA768B" w:rsidRDefault="00DA768B" w:rsidP="00B0727F">
      <w:pPr>
        <w:pStyle w:val="EndNoteBibliography"/>
        <w:spacing w:after="0"/>
      </w:pPr>
    </w:p>
    <w:p w14:paraId="21BBD360" w14:textId="5E83140D" w:rsidR="00B15F47" w:rsidRDefault="00B15F47" w:rsidP="00B15F47">
      <w:pPr>
        <w:pStyle w:val="EndNoteBibliography"/>
      </w:pPr>
      <w:r>
        <w:fldChar w:fldCharType="begin"/>
      </w:r>
      <w:r>
        <w:instrText xml:space="preserve"> ADDIN EN.REFLIST </w:instrText>
      </w:r>
      <w:r>
        <w:fldChar w:fldCharType="separate"/>
      </w:r>
      <w:r w:rsidRPr="009D6D96">
        <w:t>Cohen, L., Manion, L., Morrison, K. and Morrison, R. (2007) 'Research Methods in education , Rout ledge'. USA and Canada.</w:t>
      </w:r>
    </w:p>
    <w:p w14:paraId="65A526E3" w14:textId="58D6444D" w:rsidR="004168F2" w:rsidRPr="009D6D96" w:rsidRDefault="004168F2" w:rsidP="004168F2">
      <w:pPr>
        <w:pStyle w:val="EndNoteBibliography"/>
        <w:spacing w:after="0"/>
      </w:pPr>
      <w:r w:rsidRPr="004B611F">
        <w:t xml:space="preserve">Coe, R., Waring, M., Hedges, L. V. and Arthur, J. (2017) </w:t>
      </w:r>
      <w:r w:rsidRPr="004B611F">
        <w:rPr>
          <w:i/>
        </w:rPr>
        <w:t>Research methods and methodologies in education</w:t>
      </w:r>
      <w:r w:rsidRPr="004B611F">
        <w:t>. Sage.</w:t>
      </w:r>
    </w:p>
    <w:p w14:paraId="240CA7FB" w14:textId="3DA8E104" w:rsidR="00B15F47" w:rsidRPr="00B0727F" w:rsidRDefault="00B15F47" w:rsidP="00B15F47">
      <w:pPr>
        <w:pStyle w:val="EndNoteBibliography"/>
        <w:spacing w:after="0"/>
      </w:pPr>
      <w:r>
        <w:fldChar w:fldCharType="end"/>
      </w:r>
    </w:p>
    <w:p w14:paraId="221A6AAB" w14:textId="71F87092" w:rsidR="00B0727F" w:rsidRPr="00B0727F" w:rsidRDefault="00B0727F" w:rsidP="00DA768B">
      <w:pPr>
        <w:pStyle w:val="EndNoteBibliography"/>
      </w:pPr>
      <w:r w:rsidRPr="00B0727F">
        <w:t xml:space="preserve">Dillon, J. and Maguire, M. (2011) </w:t>
      </w:r>
      <w:r w:rsidRPr="00B0727F">
        <w:rPr>
          <w:i/>
        </w:rPr>
        <w:t>Becoming a teacher issues in secondary education</w:t>
      </w:r>
      <w:r w:rsidRPr="00B0727F">
        <w:t>. 4th ed. edn. Maidenhead [England]</w:t>
      </w:r>
      <w:r w:rsidR="00DA768B">
        <w:t xml:space="preserve"> </w:t>
      </w:r>
      <w:r w:rsidRPr="00B0727F">
        <w:t>Maidenhead: Maidenhead England : Open University.</w:t>
      </w:r>
    </w:p>
    <w:p w14:paraId="5C7FD415" w14:textId="63038926" w:rsidR="00B0727F" w:rsidRDefault="00B0727F" w:rsidP="00B0727F">
      <w:pPr>
        <w:pStyle w:val="EndNoteBibliography"/>
        <w:spacing w:after="0"/>
      </w:pPr>
      <w:r w:rsidRPr="00B0727F">
        <w:t xml:space="preserve">Estyn (2016) </w:t>
      </w:r>
      <w:r w:rsidRPr="00B0727F">
        <w:rPr>
          <w:i/>
        </w:rPr>
        <w:t>A report on school A.</w:t>
      </w:r>
      <w:r w:rsidRPr="00B0727F">
        <w:t xml:space="preserve"> Available at: </w:t>
      </w:r>
      <w:hyperlink r:id="rId12" w:history="1">
        <w:r w:rsidRPr="00B0727F">
          <w:rPr>
            <w:rStyle w:val="Hyperlink"/>
          </w:rPr>
          <w:t>https://www.estyn.gov.wales/sites/default/files/documents/Ysgol%20Maes%20y%20Gwendraeth%20eng_1.pdf</w:t>
        </w:r>
      </w:hyperlink>
      <w:r w:rsidRPr="00B0727F">
        <w:t xml:space="preserve"> (Accessed: 18/01/2019).</w:t>
      </w:r>
    </w:p>
    <w:p w14:paraId="19B1573D" w14:textId="77777777" w:rsidR="00DA768B" w:rsidRPr="00B0727F" w:rsidRDefault="00DA768B" w:rsidP="00B0727F">
      <w:pPr>
        <w:pStyle w:val="EndNoteBibliography"/>
        <w:spacing w:after="0"/>
      </w:pPr>
    </w:p>
    <w:p w14:paraId="66E7D270" w14:textId="436C903C" w:rsidR="00B0727F" w:rsidRDefault="00B0727F" w:rsidP="00B0727F">
      <w:pPr>
        <w:pStyle w:val="EndNoteBibliography"/>
        <w:spacing w:after="0"/>
      </w:pPr>
      <w:r w:rsidRPr="00B0727F">
        <w:t xml:space="preserve">Fallows, S. and Chandramohan, B. (2001) 'Multiple Approaches to Assessment: reflections on use of tutor, peer and self-assessment', </w:t>
      </w:r>
      <w:r w:rsidRPr="00B0727F">
        <w:rPr>
          <w:i/>
        </w:rPr>
        <w:t>Teaching in Higher Education</w:t>
      </w:r>
      <w:r w:rsidRPr="00B0727F">
        <w:t>, 6(2), pp. 229-246.</w:t>
      </w:r>
    </w:p>
    <w:p w14:paraId="36E615CE" w14:textId="77777777" w:rsidR="00DA768B" w:rsidRPr="00B0727F" w:rsidRDefault="00DA768B" w:rsidP="00B0727F">
      <w:pPr>
        <w:pStyle w:val="EndNoteBibliography"/>
        <w:spacing w:after="0"/>
      </w:pPr>
    </w:p>
    <w:p w14:paraId="7D322F5D" w14:textId="33DF48AB" w:rsidR="00B0727F" w:rsidRDefault="00B0727F" w:rsidP="00B0727F">
      <w:pPr>
        <w:pStyle w:val="EndNoteBibliography"/>
        <w:spacing w:after="0"/>
      </w:pPr>
      <w:r w:rsidRPr="00B0727F">
        <w:t xml:space="preserve">Gielen, S., Peeters, E., Dochy, F., Onghena, P. and Struyven, K. (2010a) 'Improving the effectiveness of peer feedback for learning', </w:t>
      </w:r>
      <w:r w:rsidRPr="00B0727F">
        <w:rPr>
          <w:i/>
        </w:rPr>
        <w:t>Learning and instruction</w:t>
      </w:r>
      <w:r w:rsidRPr="00B0727F">
        <w:t>, 20(4), pp. 304-315.</w:t>
      </w:r>
    </w:p>
    <w:p w14:paraId="17F390E1" w14:textId="77777777" w:rsidR="00DA768B" w:rsidRPr="00B0727F" w:rsidRDefault="00DA768B" w:rsidP="00B0727F">
      <w:pPr>
        <w:pStyle w:val="EndNoteBibliography"/>
        <w:spacing w:after="0"/>
      </w:pPr>
    </w:p>
    <w:p w14:paraId="5D2DBA0D" w14:textId="7609C986" w:rsidR="00B0727F" w:rsidRDefault="00B0727F" w:rsidP="00B0727F">
      <w:pPr>
        <w:pStyle w:val="EndNoteBibliography"/>
        <w:spacing w:after="0"/>
      </w:pPr>
      <w:r w:rsidRPr="00B0727F">
        <w:t xml:space="preserve">Gielen, S., Tops, L., Dochy, F., Onghena, P. and Smeets, S. (2010b) 'A comparative study of peer and teacher feedback and of various peer feedback forms in a secondary school writing curriculum', </w:t>
      </w:r>
      <w:r w:rsidRPr="00B0727F">
        <w:rPr>
          <w:i/>
        </w:rPr>
        <w:t>British educational research journal</w:t>
      </w:r>
      <w:r w:rsidRPr="00B0727F">
        <w:t>, 36(1), pp. 143-162.</w:t>
      </w:r>
    </w:p>
    <w:p w14:paraId="708505F3" w14:textId="77777777" w:rsidR="00DA768B" w:rsidRPr="00B0727F" w:rsidRDefault="00DA768B" w:rsidP="00B0727F">
      <w:pPr>
        <w:pStyle w:val="EndNoteBibliography"/>
        <w:spacing w:after="0"/>
      </w:pPr>
    </w:p>
    <w:p w14:paraId="318CA5E0" w14:textId="4198F0A9" w:rsidR="00B0727F" w:rsidRDefault="00B0727F" w:rsidP="00B0727F">
      <w:pPr>
        <w:pStyle w:val="EndNoteBibliography"/>
        <w:spacing w:after="0"/>
      </w:pPr>
      <w:r w:rsidRPr="00B0727F">
        <w:t xml:space="preserve">Harris, L. R., Brown, G. T. and Harnett, J. A. (2015) 'Analysis of New Zealand primary and secondary student peer-and self-assessment comments: Applying Hattie and Timperley’s feedback model', </w:t>
      </w:r>
      <w:r w:rsidRPr="00B0727F">
        <w:rPr>
          <w:i/>
        </w:rPr>
        <w:t>Assessment in Education: Principles, Policy &amp; Practice</w:t>
      </w:r>
      <w:r w:rsidRPr="00B0727F">
        <w:t>, 22(2), pp. 265-281.</w:t>
      </w:r>
    </w:p>
    <w:p w14:paraId="235561BB" w14:textId="1D9310B6" w:rsidR="004168F2" w:rsidRDefault="004168F2" w:rsidP="00B0727F">
      <w:pPr>
        <w:pStyle w:val="EndNoteBibliography"/>
        <w:spacing w:after="0"/>
      </w:pPr>
    </w:p>
    <w:p w14:paraId="2DF4DE6D" w14:textId="13F2EC60" w:rsidR="004168F2" w:rsidRDefault="004168F2" w:rsidP="004168F2">
      <w:pPr>
        <w:pStyle w:val="EndNoteBibliography"/>
      </w:pPr>
      <w:r w:rsidRPr="004B611F">
        <w:t xml:space="preserve">Hopkins, D. (2014) </w:t>
      </w:r>
      <w:r w:rsidRPr="004B611F">
        <w:rPr>
          <w:i/>
        </w:rPr>
        <w:t>Teacher's Guide To Classroom Research</w:t>
      </w:r>
      <w:r w:rsidRPr="004B611F">
        <w:t>. 5th ed. edn.: McGraw-Hill Education.</w:t>
      </w:r>
    </w:p>
    <w:p w14:paraId="5E895375" w14:textId="77777777" w:rsidR="00DA768B" w:rsidRPr="00B0727F" w:rsidRDefault="00DA768B" w:rsidP="00B0727F">
      <w:pPr>
        <w:pStyle w:val="EndNoteBibliography"/>
        <w:spacing w:after="0"/>
      </w:pPr>
    </w:p>
    <w:p w14:paraId="339D237C" w14:textId="5D813E5F" w:rsidR="00B0727F" w:rsidRDefault="00B0727F" w:rsidP="00B0727F">
      <w:pPr>
        <w:pStyle w:val="EndNoteBibliography"/>
        <w:spacing w:after="0"/>
      </w:pPr>
      <w:r w:rsidRPr="00B0727F">
        <w:lastRenderedPageBreak/>
        <w:t xml:space="preserve">Hovardas, T., Tsivitanidou, O. E. and Zacharia, Z. C. (2014) 'Peer versus expert feedback: An investigation of the quality of peer feedback among secondary school students', </w:t>
      </w:r>
      <w:r w:rsidRPr="00B0727F">
        <w:rPr>
          <w:i/>
        </w:rPr>
        <w:t>Computers &amp; Education</w:t>
      </w:r>
      <w:r w:rsidRPr="00B0727F">
        <w:t>, 71, pp. 133-152.</w:t>
      </w:r>
    </w:p>
    <w:p w14:paraId="4242A2CB" w14:textId="77777777" w:rsidR="00DF50A7" w:rsidRPr="00B0727F" w:rsidRDefault="00DF50A7" w:rsidP="00B0727F">
      <w:pPr>
        <w:pStyle w:val="EndNoteBibliography"/>
        <w:spacing w:after="0"/>
      </w:pPr>
    </w:p>
    <w:p w14:paraId="5A276EBB" w14:textId="116C2F40" w:rsidR="00B0727F" w:rsidRDefault="00B0727F" w:rsidP="00B0727F">
      <w:pPr>
        <w:pStyle w:val="EndNoteBibliography"/>
        <w:spacing w:after="0"/>
      </w:pPr>
      <w:r w:rsidRPr="00B0727F">
        <w:t xml:space="preserve">Isaacs, T., Zara, C., Herbert, G., Coombs, S. J. and Smith, C. (2013) </w:t>
      </w:r>
      <w:r w:rsidRPr="00B0727F">
        <w:rPr>
          <w:i/>
        </w:rPr>
        <w:t>Key concepts in educational assessment</w:t>
      </w:r>
      <w:r w:rsidRPr="00B0727F">
        <w:t>. Sage.</w:t>
      </w:r>
    </w:p>
    <w:p w14:paraId="7E5D5422" w14:textId="77777777" w:rsidR="00DF50A7" w:rsidRPr="00B0727F" w:rsidRDefault="00DF50A7" w:rsidP="00B0727F">
      <w:pPr>
        <w:pStyle w:val="EndNoteBibliography"/>
        <w:spacing w:after="0"/>
      </w:pPr>
    </w:p>
    <w:p w14:paraId="01CA38C9" w14:textId="5D718ACB" w:rsidR="00B0727F" w:rsidRDefault="00B0727F" w:rsidP="00B0727F">
      <w:pPr>
        <w:pStyle w:val="EndNoteBibliography"/>
        <w:spacing w:after="0"/>
      </w:pPr>
      <w:r w:rsidRPr="00B0727F">
        <w:t xml:space="preserve">Izgar, G. and Akturk, A. O. (2018) 'A Mixed Method Research on Peer Assessment', </w:t>
      </w:r>
      <w:r w:rsidRPr="00B0727F">
        <w:rPr>
          <w:i/>
        </w:rPr>
        <w:t>International Journal of Evaluation and Research in Education</w:t>
      </w:r>
      <w:r w:rsidRPr="00B0727F">
        <w:t>, 7(2), pp. 118-126.</w:t>
      </w:r>
    </w:p>
    <w:p w14:paraId="67E6840E" w14:textId="77777777" w:rsidR="00DF50A7" w:rsidRPr="00B0727F" w:rsidRDefault="00DF50A7" w:rsidP="00B0727F">
      <w:pPr>
        <w:pStyle w:val="EndNoteBibliography"/>
        <w:spacing w:after="0"/>
      </w:pPr>
    </w:p>
    <w:p w14:paraId="040A71F5" w14:textId="77777777" w:rsidR="00B0727F" w:rsidRPr="00B0727F" w:rsidRDefault="00B0727F" w:rsidP="00B0727F">
      <w:pPr>
        <w:pStyle w:val="EndNoteBibliography"/>
        <w:spacing w:after="0"/>
      </w:pPr>
      <w:r w:rsidRPr="00B0727F">
        <w:t xml:space="preserve">Kumar, R. (2019) </w:t>
      </w:r>
      <w:r w:rsidRPr="00B0727F">
        <w:rPr>
          <w:i/>
        </w:rPr>
        <w:t>Research methodology: A step-by-step guide for beginners</w:t>
      </w:r>
      <w:r w:rsidRPr="00B0727F">
        <w:t>. Sage Publications Limited.</w:t>
      </w:r>
    </w:p>
    <w:p w14:paraId="03C48BF8" w14:textId="39214C24" w:rsidR="00B0727F" w:rsidRDefault="00B0727F" w:rsidP="00B0727F">
      <w:pPr>
        <w:pStyle w:val="EndNoteBibliography"/>
        <w:spacing w:after="0"/>
      </w:pPr>
      <w:r w:rsidRPr="00B0727F">
        <w:t xml:space="preserve">Lewin, C. and Somekh, B. (2011) </w:t>
      </w:r>
      <w:r w:rsidRPr="00B0727F">
        <w:rPr>
          <w:i/>
        </w:rPr>
        <w:t>Theory and methods in social research</w:t>
      </w:r>
      <w:r w:rsidRPr="00B0727F">
        <w:t>. 2nd ed. edn. London: London : SAGE.</w:t>
      </w:r>
    </w:p>
    <w:p w14:paraId="4D72E661" w14:textId="4BFD0741" w:rsidR="004168F2" w:rsidRDefault="004168F2" w:rsidP="00B0727F">
      <w:pPr>
        <w:pStyle w:val="EndNoteBibliography"/>
        <w:spacing w:after="0"/>
      </w:pPr>
    </w:p>
    <w:p w14:paraId="6BA4CE19" w14:textId="3B1DF8AD" w:rsidR="00DF50A7" w:rsidRPr="00B0727F" w:rsidRDefault="004168F2" w:rsidP="004168F2">
      <w:pPr>
        <w:pStyle w:val="EndNoteBibliography"/>
      </w:pPr>
      <w:r w:rsidRPr="004B611F">
        <w:t xml:space="preserve">Lewin, C. and Somekh, B. (2011) </w:t>
      </w:r>
      <w:r w:rsidRPr="004B611F">
        <w:rPr>
          <w:i/>
        </w:rPr>
        <w:t>Theory and methods in social research</w:t>
      </w:r>
      <w:r w:rsidRPr="004B611F">
        <w:t>. 2nd ed. edn. London: London : SAGE.</w:t>
      </w:r>
    </w:p>
    <w:p w14:paraId="15CE7407" w14:textId="2C837E95" w:rsidR="00B0727F" w:rsidRDefault="00B0727F" w:rsidP="00B0727F">
      <w:pPr>
        <w:pStyle w:val="EndNoteBibliography"/>
        <w:spacing w:after="0"/>
      </w:pPr>
      <w:r w:rsidRPr="00B0727F">
        <w:t xml:space="preserve">Lin, K.-C., Yang, S.-H., Hung, J. C. and Wang, D.-M. (2006) 'Web-based appreciation and peer-assessment for visual-art education', </w:t>
      </w:r>
      <w:r w:rsidRPr="00B0727F">
        <w:rPr>
          <w:i/>
        </w:rPr>
        <w:t>International Journal of Distance Education Technologies (IJDET)</w:t>
      </w:r>
      <w:r w:rsidRPr="00B0727F">
        <w:t>, 4(4), pp. 5-14.</w:t>
      </w:r>
    </w:p>
    <w:p w14:paraId="4B9BEA60" w14:textId="4FD6A73D" w:rsidR="00DF50A7" w:rsidRDefault="00DF50A7" w:rsidP="00B0727F">
      <w:pPr>
        <w:pStyle w:val="EndNoteBibliography"/>
        <w:spacing w:after="0"/>
      </w:pPr>
    </w:p>
    <w:p w14:paraId="78DAA2ED" w14:textId="3A3C6C92" w:rsidR="004168F2" w:rsidRPr="00B0727F" w:rsidRDefault="004168F2" w:rsidP="004168F2">
      <w:pPr>
        <w:pStyle w:val="EndNoteBibliography"/>
      </w:pPr>
      <w:r w:rsidRPr="004B611F">
        <w:t xml:space="preserve">McAteer, M. (2013) </w:t>
      </w:r>
      <w:r w:rsidRPr="004B611F">
        <w:rPr>
          <w:i/>
        </w:rPr>
        <w:t>Action research in education</w:t>
      </w:r>
      <w:r w:rsidRPr="004B611F">
        <w:t>. Edited by British Educational Research, A. Los Angeles</w:t>
      </w:r>
      <w:r>
        <w:t xml:space="preserve"> </w:t>
      </w:r>
      <w:r w:rsidRPr="004B611F">
        <w:t>London: Los Angeles : SAGE.</w:t>
      </w:r>
    </w:p>
    <w:p w14:paraId="4C8C5158" w14:textId="377B5352" w:rsidR="00B0727F" w:rsidRDefault="00B0727F" w:rsidP="00B0727F">
      <w:pPr>
        <w:pStyle w:val="EndNoteBibliography"/>
        <w:spacing w:after="0"/>
      </w:pPr>
      <w:r w:rsidRPr="00B0727F">
        <w:t xml:space="preserve">McConlogue, T. (2012) 'But is it fair? Developing students’ understanding of grading complex written work through peer assessment', </w:t>
      </w:r>
      <w:r w:rsidRPr="00B0727F">
        <w:rPr>
          <w:i/>
        </w:rPr>
        <w:t>Assessment &amp; Evaluation in Higher Education</w:t>
      </w:r>
      <w:r w:rsidRPr="00B0727F">
        <w:t>, 37(1), pp. 113-123.</w:t>
      </w:r>
    </w:p>
    <w:p w14:paraId="11384097" w14:textId="77777777" w:rsidR="00DF50A7" w:rsidRPr="00B0727F" w:rsidRDefault="00DF50A7" w:rsidP="00B0727F">
      <w:pPr>
        <w:pStyle w:val="EndNoteBibliography"/>
        <w:spacing w:after="0"/>
      </w:pPr>
    </w:p>
    <w:p w14:paraId="73B8C04E" w14:textId="3612A57E" w:rsidR="00B0727F" w:rsidRDefault="00B0727F" w:rsidP="00B0727F">
      <w:pPr>
        <w:pStyle w:val="EndNoteBibliography"/>
        <w:spacing w:after="0"/>
      </w:pPr>
      <w:r w:rsidRPr="00B0727F">
        <w:t xml:space="preserve">Pollard, A. (2014) </w:t>
      </w:r>
      <w:r w:rsidRPr="00B0727F">
        <w:rPr>
          <w:i/>
        </w:rPr>
        <w:t>Reflective teaching in schools</w:t>
      </w:r>
      <w:r w:rsidRPr="00B0727F">
        <w:t>. 4th edition. edn. Edited by Black-Hawkins, K. London ; New York: London ; New York : Bloomsbury.</w:t>
      </w:r>
    </w:p>
    <w:p w14:paraId="046394F0" w14:textId="77777777" w:rsidR="00DF50A7" w:rsidRPr="00B0727F" w:rsidRDefault="00DF50A7" w:rsidP="00B0727F">
      <w:pPr>
        <w:pStyle w:val="EndNoteBibliography"/>
        <w:spacing w:after="0"/>
      </w:pPr>
    </w:p>
    <w:p w14:paraId="59315A5D" w14:textId="7B557D92" w:rsidR="00B0727F" w:rsidRDefault="00B0727F" w:rsidP="00B0727F">
      <w:pPr>
        <w:pStyle w:val="EndNoteBibliography"/>
        <w:spacing w:after="0"/>
      </w:pPr>
      <w:r w:rsidRPr="00B0727F">
        <w:t xml:space="preserve">Pollard, A. and Collins, J. (2005) </w:t>
      </w:r>
      <w:r w:rsidRPr="00B0727F">
        <w:rPr>
          <w:i/>
        </w:rPr>
        <w:t>Reflective teaching</w:t>
      </w:r>
      <w:r w:rsidRPr="00B0727F">
        <w:t>. A&amp;C Black.</w:t>
      </w:r>
    </w:p>
    <w:p w14:paraId="19BF47B2" w14:textId="77777777" w:rsidR="00DF50A7" w:rsidRPr="00B0727F" w:rsidRDefault="00DF50A7" w:rsidP="00B0727F">
      <w:pPr>
        <w:pStyle w:val="EndNoteBibliography"/>
        <w:spacing w:after="0"/>
      </w:pPr>
    </w:p>
    <w:p w14:paraId="7AED3428" w14:textId="4ED63EF8" w:rsidR="00B0727F" w:rsidRDefault="00B0727F" w:rsidP="00B0727F">
      <w:pPr>
        <w:pStyle w:val="EndNoteBibliography"/>
        <w:spacing w:after="0"/>
      </w:pPr>
      <w:r w:rsidRPr="00B0727F">
        <w:t xml:space="preserve">Rotsaert, T., Panadero, E. and Schellens, T. (2018) 'Peer assessment use, its social nature challenges and perceived educational value: A teachers’ survey study', </w:t>
      </w:r>
      <w:r w:rsidRPr="00B0727F">
        <w:rPr>
          <w:i/>
        </w:rPr>
        <w:t>Studies in Educational Evaluation</w:t>
      </w:r>
      <w:r w:rsidRPr="00B0727F">
        <w:t>, 59, pp. 124-132.</w:t>
      </w:r>
    </w:p>
    <w:p w14:paraId="3BC06D24" w14:textId="77777777" w:rsidR="00DF50A7" w:rsidRPr="00B0727F" w:rsidRDefault="00DF50A7" w:rsidP="00B0727F">
      <w:pPr>
        <w:pStyle w:val="EndNoteBibliography"/>
        <w:spacing w:after="0"/>
      </w:pPr>
    </w:p>
    <w:p w14:paraId="5DAD8A88" w14:textId="0C3A940D" w:rsidR="00B0727F" w:rsidRDefault="00B0727F" w:rsidP="00B0727F">
      <w:pPr>
        <w:pStyle w:val="EndNoteBibliography"/>
        <w:spacing w:after="0"/>
      </w:pPr>
      <w:r w:rsidRPr="00B0727F">
        <w:t xml:space="preserve">Rotsaert, T., Panadero, E., Schellens, T. and Raes, A. (2018) '“Now you know what you’re doing right and wrong!” Peer feedback quality in synchronous peer assessment in secondary education', </w:t>
      </w:r>
      <w:r w:rsidRPr="00B0727F">
        <w:rPr>
          <w:i/>
        </w:rPr>
        <w:t>European Journal of Psychology of Education</w:t>
      </w:r>
      <w:r w:rsidRPr="00B0727F">
        <w:t>, 33(2), pp. 255-275.</w:t>
      </w:r>
    </w:p>
    <w:p w14:paraId="750E92F8" w14:textId="77777777" w:rsidR="00DF50A7" w:rsidRPr="00B0727F" w:rsidRDefault="00DF50A7" w:rsidP="00B0727F">
      <w:pPr>
        <w:pStyle w:val="EndNoteBibliography"/>
        <w:spacing w:after="0"/>
      </w:pPr>
    </w:p>
    <w:p w14:paraId="07AC2473" w14:textId="02E50FA0" w:rsidR="00B0727F" w:rsidRDefault="00B0727F" w:rsidP="00B0727F">
      <w:pPr>
        <w:pStyle w:val="EndNoteBibliography"/>
        <w:spacing w:after="0"/>
      </w:pPr>
      <w:r w:rsidRPr="00B0727F">
        <w:t xml:space="preserve">Sadler, D. R. (1998) 'Formative assessment: Revisiting the territory', </w:t>
      </w:r>
      <w:r w:rsidRPr="00B0727F">
        <w:rPr>
          <w:i/>
        </w:rPr>
        <w:t>Assessment in education: principles, policy &amp; practice</w:t>
      </w:r>
      <w:r w:rsidRPr="00B0727F">
        <w:t>, 5(1), pp. 77-84.</w:t>
      </w:r>
    </w:p>
    <w:p w14:paraId="28950E8B" w14:textId="795BC4C9" w:rsidR="004168F2" w:rsidRDefault="004168F2" w:rsidP="00B0727F">
      <w:pPr>
        <w:pStyle w:val="EndNoteBibliography"/>
        <w:spacing w:after="0"/>
      </w:pPr>
    </w:p>
    <w:p w14:paraId="50993F24" w14:textId="0C88088C" w:rsidR="004168F2" w:rsidRDefault="004168F2" w:rsidP="004168F2">
      <w:pPr>
        <w:pStyle w:val="EndNoteBibliography"/>
      </w:pPr>
      <w:r w:rsidRPr="004B611F">
        <w:t xml:space="preserve">Somekh, B. (2005) </w:t>
      </w:r>
      <w:r w:rsidRPr="004B611F">
        <w:rPr>
          <w:i/>
        </w:rPr>
        <w:t>Action research: a methodology for change and development: a methodology for change and development</w:t>
      </w:r>
      <w:r w:rsidRPr="004B611F">
        <w:t>. McGraw-Hill Education (UK).</w:t>
      </w:r>
    </w:p>
    <w:p w14:paraId="631323C4" w14:textId="77777777" w:rsidR="00060505" w:rsidRPr="00B0727F" w:rsidRDefault="00060505" w:rsidP="00B0727F">
      <w:pPr>
        <w:pStyle w:val="EndNoteBibliography"/>
        <w:spacing w:after="0"/>
      </w:pPr>
    </w:p>
    <w:p w14:paraId="5FA280FB" w14:textId="704FF0A4" w:rsidR="00B0727F" w:rsidRDefault="00B0727F" w:rsidP="00B0727F">
      <w:pPr>
        <w:pStyle w:val="EndNoteBibliography"/>
        <w:spacing w:after="0"/>
      </w:pPr>
      <w:r w:rsidRPr="00B0727F">
        <w:t xml:space="preserve">Topping, K. J. (2009) 'Peer assessment', </w:t>
      </w:r>
      <w:r w:rsidRPr="00B0727F">
        <w:rPr>
          <w:i/>
        </w:rPr>
        <w:t>Theory into practice</w:t>
      </w:r>
      <w:r w:rsidRPr="00B0727F">
        <w:t>, 48(1), pp. 20-27.</w:t>
      </w:r>
    </w:p>
    <w:p w14:paraId="45CFA6A2" w14:textId="77777777" w:rsidR="00060505" w:rsidRPr="00B0727F" w:rsidRDefault="00060505" w:rsidP="00B0727F">
      <w:pPr>
        <w:pStyle w:val="EndNoteBibliography"/>
        <w:spacing w:after="0"/>
      </w:pPr>
    </w:p>
    <w:p w14:paraId="6A7E05EE" w14:textId="4A3873C9" w:rsidR="00B0727F" w:rsidRDefault="00B0727F" w:rsidP="00B0727F">
      <w:pPr>
        <w:pStyle w:val="EndNoteBibliography"/>
        <w:spacing w:after="0"/>
      </w:pPr>
      <w:r w:rsidRPr="00B0727F">
        <w:lastRenderedPageBreak/>
        <w:t xml:space="preserve">Tsivitanidou, O. E., Zacharia, Z. C. and Hovardas, T. (2011) 'Investigating secondary school students’ unmediated peer assessment skills', </w:t>
      </w:r>
      <w:r w:rsidRPr="00B0727F">
        <w:rPr>
          <w:i/>
        </w:rPr>
        <w:t>Learning and Instruction</w:t>
      </w:r>
      <w:r w:rsidRPr="00B0727F">
        <w:t>, 21(4), pp. 506-519.</w:t>
      </w:r>
    </w:p>
    <w:p w14:paraId="72BEC52D" w14:textId="77777777" w:rsidR="00060505" w:rsidRDefault="00060505" w:rsidP="00B0727F">
      <w:pPr>
        <w:pStyle w:val="EndNoteBibliography"/>
        <w:spacing w:after="0"/>
      </w:pPr>
    </w:p>
    <w:p w14:paraId="4383C122" w14:textId="77777777" w:rsidR="00DA768B" w:rsidRPr="00B0727F" w:rsidRDefault="00DA768B" w:rsidP="00DA768B">
      <w:pPr>
        <w:pStyle w:val="EndNoteBibliography"/>
        <w:spacing w:after="0"/>
      </w:pPr>
      <w:r w:rsidRPr="00B0727F">
        <w:t>W</w:t>
      </w:r>
      <w:r>
        <w:t>elsh Government</w:t>
      </w:r>
      <w:r w:rsidRPr="00B0727F">
        <w:t xml:space="preserve">. (2018) </w:t>
      </w:r>
      <w:r w:rsidRPr="00B0727F">
        <w:rPr>
          <w:i/>
        </w:rPr>
        <w:t>My Local School</w:t>
      </w:r>
      <w:r w:rsidRPr="00B0727F">
        <w:t xml:space="preserve">. Available at: </w:t>
      </w:r>
      <w:hyperlink r:id="rId13" w:history="1">
        <w:r w:rsidRPr="00B0727F">
          <w:rPr>
            <w:rStyle w:val="Hyperlink"/>
          </w:rPr>
          <w:t>http://mylocalschool.wales.gov.uk/School/6694064?lang=en</w:t>
        </w:r>
      </w:hyperlink>
      <w:r w:rsidRPr="00B0727F">
        <w:t xml:space="preserve"> (Accessed: 18/01/2019).</w:t>
      </w:r>
    </w:p>
    <w:p w14:paraId="469454BD" w14:textId="77777777" w:rsidR="00DA768B" w:rsidRPr="00B0727F" w:rsidRDefault="00DA768B" w:rsidP="00B0727F">
      <w:pPr>
        <w:pStyle w:val="EndNoteBibliography"/>
        <w:spacing w:after="0"/>
      </w:pPr>
    </w:p>
    <w:p w14:paraId="43DE15F9" w14:textId="77777777" w:rsidR="00B0727F" w:rsidRPr="00B0727F" w:rsidRDefault="00B0727F" w:rsidP="00B0727F">
      <w:pPr>
        <w:pStyle w:val="EndNoteBibliography"/>
      </w:pPr>
      <w:r w:rsidRPr="00B0727F">
        <w:t xml:space="preserve">Wiliam, D. (2011) 'What is assessment for learning?', </w:t>
      </w:r>
      <w:r w:rsidRPr="00B0727F">
        <w:rPr>
          <w:i/>
        </w:rPr>
        <w:t>Studies in educational evaluation</w:t>
      </w:r>
      <w:r w:rsidRPr="00B0727F">
        <w:t>, 37(1), pp. 3-14.</w:t>
      </w:r>
    </w:p>
    <w:p w14:paraId="70EC8C56" w14:textId="3B28ED75" w:rsidR="005A3411" w:rsidRDefault="00E72DE9" w:rsidP="005A3411">
      <w:pPr>
        <w:spacing w:line="360" w:lineRule="auto"/>
        <w:rPr>
          <w:sz w:val="24"/>
        </w:rPr>
      </w:pPr>
      <w:r>
        <w:rPr>
          <w:sz w:val="24"/>
        </w:rPr>
        <w:fldChar w:fldCharType="end"/>
      </w:r>
    </w:p>
    <w:p w14:paraId="4717266C" w14:textId="77777777" w:rsidR="008B2233" w:rsidRPr="008B2233" w:rsidRDefault="008B2233" w:rsidP="005A3411">
      <w:pPr>
        <w:spacing w:line="360" w:lineRule="auto"/>
        <w:rPr>
          <w:b/>
          <w:sz w:val="28"/>
          <w:u w:val="single"/>
        </w:rPr>
      </w:pPr>
      <w:bookmarkStart w:id="1" w:name="_GoBack"/>
      <w:bookmarkEnd w:id="1"/>
    </w:p>
    <w:sectPr w:rsidR="008B2233" w:rsidRPr="008B2233">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8AB2F4" w14:textId="77777777" w:rsidR="009B3DE4" w:rsidRDefault="009B3DE4" w:rsidP="00817424">
      <w:pPr>
        <w:spacing w:after="0" w:line="240" w:lineRule="auto"/>
      </w:pPr>
      <w:r>
        <w:separator/>
      </w:r>
    </w:p>
  </w:endnote>
  <w:endnote w:type="continuationSeparator" w:id="0">
    <w:p w14:paraId="0E10FE8E" w14:textId="77777777" w:rsidR="009B3DE4" w:rsidRDefault="009B3DE4" w:rsidP="008174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DE89EC" w14:textId="77777777" w:rsidR="009B3DE4" w:rsidRDefault="009B3DE4" w:rsidP="00817424">
      <w:pPr>
        <w:spacing w:after="0" w:line="240" w:lineRule="auto"/>
      </w:pPr>
      <w:r>
        <w:separator/>
      </w:r>
    </w:p>
  </w:footnote>
  <w:footnote w:type="continuationSeparator" w:id="0">
    <w:p w14:paraId="3B826C34" w14:textId="77777777" w:rsidR="009B3DE4" w:rsidRDefault="009B3DE4" w:rsidP="008174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0FE276" w14:textId="77777777" w:rsidR="00472FCE" w:rsidRDefault="00472FCE">
    <w:pPr>
      <w:pStyle w:val="Header"/>
    </w:pPr>
    <w:r>
      <w:t>ECSP7002 - 1800276</w:t>
    </w:r>
  </w:p>
  <w:p w14:paraId="706F7A2B" w14:textId="77777777" w:rsidR="00472FCE" w:rsidRDefault="00472F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6412B"/>
    <w:multiLevelType w:val="hybridMultilevel"/>
    <w:tmpl w:val="C13478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0A643C"/>
    <w:multiLevelType w:val="hybridMultilevel"/>
    <w:tmpl w:val="5546F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B5F76D1"/>
    <w:multiLevelType w:val="hybridMultilevel"/>
    <w:tmpl w:val="20D02F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 HWU Cite Them Right&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ENLayout&gt;"/>
    <w:docVar w:name="EN.Libraries" w:val="&lt;Libraries&gt;&lt;/Libraries&gt;"/>
  </w:docVars>
  <w:rsids>
    <w:rsidRoot w:val="003535E6"/>
    <w:rsid w:val="000018E3"/>
    <w:rsid w:val="00011445"/>
    <w:rsid w:val="00011F42"/>
    <w:rsid w:val="0001296D"/>
    <w:rsid w:val="00015555"/>
    <w:rsid w:val="00015D9B"/>
    <w:rsid w:val="00016B8A"/>
    <w:rsid w:val="00024DEE"/>
    <w:rsid w:val="000261F0"/>
    <w:rsid w:val="00031372"/>
    <w:rsid w:val="000313CF"/>
    <w:rsid w:val="00031508"/>
    <w:rsid w:val="00035237"/>
    <w:rsid w:val="000406D4"/>
    <w:rsid w:val="00041ACD"/>
    <w:rsid w:val="0004350B"/>
    <w:rsid w:val="00043A78"/>
    <w:rsid w:val="00043B04"/>
    <w:rsid w:val="00046A51"/>
    <w:rsid w:val="00051365"/>
    <w:rsid w:val="00054D2A"/>
    <w:rsid w:val="000572C6"/>
    <w:rsid w:val="00060505"/>
    <w:rsid w:val="00061ED4"/>
    <w:rsid w:val="000629ED"/>
    <w:rsid w:val="00071121"/>
    <w:rsid w:val="00072F76"/>
    <w:rsid w:val="00073999"/>
    <w:rsid w:val="0007705F"/>
    <w:rsid w:val="0008041F"/>
    <w:rsid w:val="00082D07"/>
    <w:rsid w:val="00085341"/>
    <w:rsid w:val="0009088C"/>
    <w:rsid w:val="00090D79"/>
    <w:rsid w:val="0009100D"/>
    <w:rsid w:val="00093D11"/>
    <w:rsid w:val="0009639D"/>
    <w:rsid w:val="000A0683"/>
    <w:rsid w:val="000A0988"/>
    <w:rsid w:val="000A1510"/>
    <w:rsid w:val="000A1BD6"/>
    <w:rsid w:val="000A5EA1"/>
    <w:rsid w:val="000B1C73"/>
    <w:rsid w:val="000B7960"/>
    <w:rsid w:val="000C0348"/>
    <w:rsid w:val="000C1F05"/>
    <w:rsid w:val="000C3C2E"/>
    <w:rsid w:val="000C5172"/>
    <w:rsid w:val="000C6A2A"/>
    <w:rsid w:val="000D5440"/>
    <w:rsid w:val="000D751B"/>
    <w:rsid w:val="000D7C2B"/>
    <w:rsid w:val="000E0ACE"/>
    <w:rsid w:val="000E1FC3"/>
    <w:rsid w:val="000E2C4B"/>
    <w:rsid w:val="000E3D1C"/>
    <w:rsid w:val="000E740B"/>
    <w:rsid w:val="000F25EA"/>
    <w:rsid w:val="000F5952"/>
    <w:rsid w:val="000F709E"/>
    <w:rsid w:val="000F7FC9"/>
    <w:rsid w:val="00104AAA"/>
    <w:rsid w:val="001077E5"/>
    <w:rsid w:val="00110A6A"/>
    <w:rsid w:val="0011101A"/>
    <w:rsid w:val="001127A8"/>
    <w:rsid w:val="001146AC"/>
    <w:rsid w:val="00115ADC"/>
    <w:rsid w:val="0011621A"/>
    <w:rsid w:val="00120B62"/>
    <w:rsid w:val="0012120F"/>
    <w:rsid w:val="00126089"/>
    <w:rsid w:val="001260F7"/>
    <w:rsid w:val="001300CA"/>
    <w:rsid w:val="0013029E"/>
    <w:rsid w:val="0013525A"/>
    <w:rsid w:val="00136F2B"/>
    <w:rsid w:val="00136FDD"/>
    <w:rsid w:val="00142168"/>
    <w:rsid w:val="001437F9"/>
    <w:rsid w:val="00143A3D"/>
    <w:rsid w:val="001445D8"/>
    <w:rsid w:val="0014607B"/>
    <w:rsid w:val="0015088C"/>
    <w:rsid w:val="00160DAC"/>
    <w:rsid w:val="00161B99"/>
    <w:rsid w:val="00161DC1"/>
    <w:rsid w:val="0016376B"/>
    <w:rsid w:val="00164636"/>
    <w:rsid w:val="00166F36"/>
    <w:rsid w:val="00174124"/>
    <w:rsid w:val="00175ECA"/>
    <w:rsid w:val="00177306"/>
    <w:rsid w:val="001806A7"/>
    <w:rsid w:val="00181EBE"/>
    <w:rsid w:val="00182CF8"/>
    <w:rsid w:val="00183F46"/>
    <w:rsid w:val="00184FB1"/>
    <w:rsid w:val="00185C91"/>
    <w:rsid w:val="001879FF"/>
    <w:rsid w:val="001901B6"/>
    <w:rsid w:val="001907AE"/>
    <w:rsid w:val="00191AE8"/>
    <w:rsid w:val="00196B55"/>
    <w:rsid w:val="00197759"/>
    <w:rsid w:val="001A1DA3"/>
    <w:rsid w:val="001A2272"/>
    <w:rsid w:val="001A44ED"/>
    <w:rsid w:val="001B5A3D"/>
    <w:rsid w:val="001B5BDB"/>
    <w:rsid w:val="001B6D19"/>
    <w:rsid w:val="001B7555"/>
    <w:rsid w:val="001B79AE"/>
    <w:rsid w:val="001C3513"/>
    <w:rsid w:val="001C3E1D"/>
    <w:rsid w:val="001C4205"/>
    <w:rsid w:val="001C4986"/>
    <w:rsid w:val="001C5484"/>
    <w:rsid w:val="001C6892"/>
    <w:rsid w:val="001D0A89"/>
    <w:rsid w:val="001D6296"/>
    <w:rsid w:val="001D6DF6"/>
    <w:rsid w:val="001D7864"/>
    <w:rsid w:val="001E09F7"/>
    <w:rsid w:val="001E1055"/>
    <w:rsid w:val="001E17FD"/>
    <w:rsid w:val="001E3AB8"/>
    <w:rsid w:val="001E41D9"/>
    <w:rsid w:val="001E42FE"/>
    <w:rsid w:val="001E4B48"/>
    <w:rsid w:val="001E5506"/>
    <w:rsid w:val="001F03F3"/>
    <w:rsid w:val="001F11FA"/>
    <w:rsid w:val="001F2C37"/>
    <w:rsid w:val="001F4841"/>
    <w:rsid w:val="001F635E"/>
    <w:rsid w:val="001F6F10"/>
    <w:rsid w:val="00200A86"/>
    <w:rsid w:val="002058DB"/>
    <w:rsid w:val="00210F66"/>
    <w:rsid w:val="00221131"/>
    <w:rsid w:val="00222C48"/>
    <w:rsid w:val="002248C5"/>
    <w:rsid w:val="00225A8F"/>
    <w:rsid w:val="00230326"/>
    <w:rsid w:val="00232EB0"/>
    <w:rsid w:val="0023401E"/>
    <w:rsid w:val="00235ABC"/>
    <w:rsid w:val="00250F14"/>
    <w:rsid w:val="00251660"/>
    <w:rsid w:val="00251C24"/>
    <w:rsid w:val="00253493"/>
    <w:rsid w:val="00255B04"/>
    <w:rsid w:val="0026158E"/>
    <w:rsid w:val="00263AF8"/>
    <w:rsid w:val="002676F1"/>
    <w:rsid w:val="00270DF5"/>
    <w:rsid w:val="002710DF"/>
    <w:rsid w:val="00271219"/>
    <w:rsid w:val="00272204"/>
    <w:rsid w:val="002743A2"/>
    <w:rsid w:val="00277414"/>
    <w:rsid w:val="00277FD2"/>
    <w:rsid w:val="002804F2"/>
    <w:rsid w:val="002817F5"/>
    <w:rsid w:val="0028220E"/>
    <w:rsid w:val="00282210"/>
    <w:rsid w:val="00285F78"/>
    <w:rsid w:val="002914B7"/>
    <w:rsid w:val="00291A73"/>
    <w:rsid w:val="00292E49"/>
    <w:rsid w:val="00297B3F"/>
    <w:rsid w:val="002A0B22"/>
    <w:rsid w:val="002A0F04"/>
    <w:rsid w:val="002A3D3A"/>
    <w:rsid w:val="002A4058"/>
    <w:rsid w:val="002A4D33"/>
    <w:rsid w:val="002A51DB"/>
    <w:rsid w:val="002B4CF2"/>
    <w:rsid w:val="002B6114"/>
    <w:rsid w:val="002B6DA8"/>
    <w:rsid w:val="002C1AB2"/>
    <w:rsid w:val="002C327B"/>
    <w:rsid w:val="002C4884"/>
    <w:rsid w:val="002C4C13"/>
    <w:rsid w:val="002C5C4A"/>
    <w:rsid w:val="002C6E57"/>
    <w:rsid w:val="002C7512"/>
    <w:rsid w:val="002C7A68"/>
    <w:rsid w:val="002D0065"/>
    <w:rsid w:val="002D06FB"/>
    <w:rsid w:val="002D1BB7"/>
    <w:rsid w:val="002D4FF2"/>
    <w:rsid w:val="002D5915"/>
    <w:rsid w:val="002D60C4"/>
    <w:rsid w:val="002D6FE3"/>
    <w:rsid w:val="002E0934"/>
    <w:rsid w:val="002E3CE4"/>
    <w:rsid w:val="002E5C5A"/>
    <w:rsid w:val="002F0EA5"/>
    <w:rsid w:val="002F1CCB"/>
    <w:rsid w:val="002F22B7"/>
    <w:rsid w:val="002F6450"/>
    <w:rsid w:val="002F6B07"/>
    <w:rsid w:val="003023E3"/>
    <w:rsid w:val="00302928"/>
    <w:rsid w:val="00310046"/>
    <w:rsid w:val="0032004B"/>
    <w:rsid w:val="00321FD0"/>
    <w:rsid w:val="00322AE3"/>
    <w:rsid w:val="003252B4"/>
    <w:rsid w:val="003330E8"/>
    <w:rsid w:val="00335F18"/>
    <w:rsid w:val="003379DC"/>
    <w:rsid w:val="003507D1"/>
    <w:rsid w:val="00351A6F"/>
    <w:rsid w:val="003535E6"/>
    <w:rsid w:val="0035365B"/>
    <w:rsid w:val="00355903"/>
    <w:rsid w:val="003560EA"/>
    <w:rsid w:val="00356BF0"/>
    <w:rsid w:val="00357B0E"/>
    <w:rsid w:val="00357C30"/>
    <w:rsid w:val="00360D0A"/>
    <w:rsid w:val="00362824"/>
    <w:rsid w:val="00363F1D"/>
    <w:rsid w:val="00365293"/>
    <w:rsid w:val="003669C3"/>
    <w:rsid w:val="00367CE9"/>
    <w:rsid w:val="00370C32"/>
    <w:rsid w:val="003713C3"/>
    <w:rsid w:val="00372977"/>
    <w:rsid w:val="00373E84"/>
    <w:rsid w:val="00375E81"/>
    <w:rsid w:val="0038063D"/>
    <w:rsid w:val="0038168C"/>
    <w:rsid w:val="00382E2B"/>
    <w:rsid w:val="00386061"/>
    <w:rsid w:val="00391990"/>
    <w:rsid w:val="00393787"/>
    <w:rsid w:val="00393BC5"/>
    <w:rsid w:val="00394569"/>
    <w:rsid w:val="0039555A"/>
    <w:rsid w:val="003965BA"/>
    <w:rsid w:val="00396F64"/>
    <w:rsid w:val="00397E56"/>
    <w:rsid w:val="003A7403"/>
    <w:rsid w:val="003B40C3"/>
    <w:rsid w:val="003B6993"/>
    <w:rsid w:val="003B708D"/>
    <w:rsid w:val="003C2855"/>
    <w:rsid w:val="003C5FBD"/>
    <w:rsid w:val="003C6152"/>
    <w:rsid w:val="003D1C33"/>
    <w:rsid w:val="003D256E"/>
    <w:rsid w:val="003D355E"/>
    <w:rsid w:val="003D48CC"/>
    <w:rsid w:val="003E1912"/>
    <w:rsid w:val="003E4A4B"/>
    <w:rsid w:val="003E5D5A"/>
    <w:rsid w:val="003E6DCE"/>
    <w:rsid w:val="003E76F2"/>
    <w:rsid w:val="003F114E"/>
    <w:rsid w:val="003F1F40"/>
    <w:rsid w:val="003F2703"/>
    <w:rsid w:val="003F3073"/>
    <w:rsid w:val="003F5DF7"/>
    <w:rsid w:val="003F63B7"/>
    <w:rsid w:val="003F7849"/>
    <w:rsid w:val="004008CA"/>
    <w:rsid w:val="00400D43"/>
    <w:rsid w:val="004016BC"/>
    <w:rsid w:val="00402768"/>
    <w:rsid w:val="00402A74"/>
    <w:rsid w:val="004048DF"/>
    <w:rsid w:val="004060DA"/>
    <w:rsid w:val="0040629A"/>
    <w:rsid w:val="00407A71"/>
    <w:rsid w:val="00407D64"/>
    <w:rsid w:val="00410291"/>
    <w:rsid w:val="004139B1"/>
    <w:rsid w:val="004166BE"/>
    <w:rsid w:val="004168F2"/>
    <w:rsid w:val="00423FF8"/>
    <w:rsid w:val="00426A66"/>
    <w:rsid w:val="00426C81"/>
    <w:rsid w:val="004303DD"/>
    <w:rsid w:val="0043224C"/>
    <w:rsid w:val="00434812"/>
    <w:rsid w:val="004410A5"/>
    <w:rsid w:val="004414E5"/>
    <w:rsid w:val="004436D4"/>
    <w:rsid w:val="0044447A"/>
    <w:rsid w:val="00445964"/>
    <w:rsid w:val="00454953"/>
    <w:rsid w:val="00460C2D"/>
    <w:rsid w:val="00461639"/>
    <w:rsid w:val="00466048"/>
    <w:rsid w:val="004663F5"/>
    <w:rsid w:val="00466F57"/>
    <w:rsid w:val="004675AD"/>
    <w:rsid w:val="00467877"/>
    <w:rsid w:val="00467F2F"/>
    <w:rsid w:val="00472FCE"/>
    <w:rsid w:val="00481FE1"/>
    <w:rsid w:val="0049503C"/>
    <w:rsid w:val="00495443"/>
    <w:rsid w:val="00497852"/>
    <w:rsid w:val="004A20A1"/>
    <w:rsid w:val="004A3EE4"/>
    <w:rsid w:val="004A6CE3"/>
    <w:rsid w:val="004A7582"/>
    <w:rsid w:val="004B07B4"/>
    <w:rsid w:val="004B167F"/>
    <w:rsid w:val="004B1872"/>
    <w:rsid w:val="004B39F4"/>
    <w:rsid w:val="004B430D"/>
    <w:rsid w:val="004B4499"/>
    <w:rsid w:val="004B4F46"/>
    <w:rsid w:val="004B5458"/>
    <w:rsid w:val="004B5D66"/>
    <w:rsid w:val="004B7E61"/>
    <w:rsid w:val="004C08BF"/>
    <w:rsid w:val="004C18C2"/>
    <w:rsid w:val="004C1981"/>
    <w:rsid w:val="004C5B44"/>
    <w:rsid w:val="004C711E"/>
    <w:rsid w:val="004D4870"/>
    <w:rsid w:val="004D4932"/>
    <w:rsid w:val="004D7AB8"/>
    <w:rsid w:val="004E0316"/>
    <w:rsid w:val="004E0734"/>
    <w:rsid w:val="004E0A12"/>
    <w:rsid w:val="004E44F3"/>
    <w:rsid w:val="004E5A1E"/>
    <w:rsid w:val="004E67AB"/>
    <w:rsid w:val="004E72E6"/>
    <w:rsid w:val="004E7E27"/>
    <w:rsid w:val="004F134D"/>
    <w:rsid w:val="004F7A1F"/>
    <w:rsid w:val="004F7F70"/>
    <w:rsid w:val="00501D62"/>
    <w:rsid w:val="00504D70"/>
    <w:rsid w:val="005056D3"/>
    <w:rsid w:val="0050646B"/>
    <w:rsid w:val="005067FF"/>
    <w:rsid w:val="00511F4E"/>
    <w:rsid w:val="00513513"/>
    <w:rsid w:val="00516D25"/>
    <w:rsid w:val="00523E5B"/>
    <w:rsid w:val="00530632"/>
    <w:rsid w:val="00531389"/>
    <w:rsid w:val="00532304"/>
    <w:rsid w:val="0053316C"/>
    <w:rsid w:val="005335A3"/>
    <w:rsid w:val="005363EE"/>
    <w:rsid w:val="0053690B"/>
    <w:rsid w:val="00536C78"/>
    <w:rsid w:val="0054049B"/>
    <w:rsid w:val="00540A80"/>
    <w:rsid w:val="00543116"/>
    <w:rsid w:val="00546C80"/>
    <w:rsid w:val="00553C1B"/>
    <w:rsid w:val="0055502A"/>
    <w:rsid w:val="00556A36"/>
    <w:rsid w:val="00557D5B"/>
    <w:rsid w:val="00557EF5"/>
    <w:rsid w:val="005618F9"/>
    <w:rsid w:val="0056225B"/>
    <w:rsid w:val="00564572"/>
    <w:rsid w:val="0056655F"/>
    <w:rsid w:val="00566F1A"/>
    <w:rsid w:val="00570B5C"/>
    <w:rsid w:val="0057108B"/>
    <w:rsid w:val="00573CB5"/>
    <w:rsid w:val="005822E7"/>
    <w:rsid w:val="0058598C"/>
    <w:rsid w:val="005873DB"/>
    <w:rsid w:val="005931DD"/>
    <w:rsid w:val="00595055"/>
    <w:rsid w:val="00595723"/>
    <w:rsid w:val="005A09B0"/>
    <w:rsid w:val="005A2917"/>
    <w:rsid w:val="005A3411"/>
    <w:rsid w:val="005A5DF5"/>
    <w:rsid w:val="005A6029"/>
    <w:rsid w:val="005A7612"/>
    <w:rsid w:val="005B050B"/>
    <w:rsid w:val="005B0A79"/>
    <w:rsid w:val="005B2A35"/>
    <w:rsid w:val="005B3A00"/>
    <w:rsid w:val="005B43C5"/>
    <w:rsid w:val="005B644A"/>
    <w:rsid w:val="005B78DE"/>
    <w:rsid w:val="005C21D0"/>
    <w:rsid w:val="005C4F7C"/>
    <w:rsid w:val="005C5334"/>
    <w:rsid w:val="005C67DE"/>
    <w:rsid w:val="005C761B"/>
    <w:rsid w:val="005D19F7"/>
    <w:rsid w:val="005D2437"/>
    <w:rsid w:val="005D6EB6"/>
    <w:rsid w:val="005D7263"/>
    <w:rsid w:val="005E7F48"/>
    <w:rsid w:val="005F0A61"/>
    <w:rsid w:val="005F299F"/>
    <w:rsid w:val="005F7196"/>
    <w:rsid w:val="00601AEC"/>
    <w:rsid w:val="006103FE"/>
    <w:rsid w:val="006115D5"/>
    <w:rsid w:val="00611667"/>
    <w:rsid w:val="0061265C"/>
    <w:rsid w:val="0061736B"/>
    <w:rsid w:val="00617FE3"/>
    <w:rsid w:val="00620341"/>
    <w:rsid w:val="00620683"/>
    <w:rsid w:val="00621E13"/>
    <w:rsid w:val="006224D2"/>
    <w:rsid w:val="00622C2F"/>
    <w:rsid w:val="0062313A"/>
    <w:rsid w:val="00623571"/>
    <w:rsid w:val="00623572"/>
    <w:rsid w:val="00626D97"/>
    <w:rsid w:val="0063305C"/>
    <w:rsid w:val="006335FC"/>
    <w:rsid w:val="00633F4E"/>
    <w:rsid w:val="00642424"/>
    <w:rsid w:val="00650B46"/>
    <w:rsid w:val="00651501"/>
    <w:rsid w:val="006516C1"/>
    <w:rsid w:val="006527A1"/>
    <w:rsid w:val="00653371"/>
    <w:rsid w:val="00654ADC"/>
    <w:rsid w:val="00657FB6"/>
    <w:rsid w:val="006620FF"/>
    <w:rsid w:val="0066245D"/>
    <w:rsid w:val="006637BE"/>
    <w:rsid w:val="006676FC"/>
    <w:rsid w:val="00681EF7"/>
    <w:rsid w:val="006867D3"/>
    <w:rsid w:val="0068683D"/>
    <w:rsid w:val="00687023"/>
    <w:rsid w:val="0068718E"/>
    <w:rsid w:val="00690ECD"/>
    <w:rsid w:val="00696913"/>
    <w:rsid w:val="006A07E8"/>
    <w:rsid w:val="006A1077"/>
    <w:rsid w:val="006A211F"/>
    <w:rsid w:val="006A59D9"/>
    <w:rsid w:val="006A5C2C"/>
    <w:rsid w:val="006A6A11"/>
    <w:rsid w:val="006B3CAD"/>
    <w:rsid w:val="006B5E44"/>
    <w:rsid w:val="006C043B"/>
    <w:rsid w:val="006C14D6"/>
    <w:rsid w:val="006C1B80"/>
    <w:rsid w:val="006C25B9"/>
    <w:rsid w:val="006C3FF3"/>
    <w:rsid w:val="006C711F"/>
    <w:rsid w:val="006D2DCD"/>
    <w:rsid w:val="006D635E"/>
    <w:rsid w:val="006E2036"/>
    <w:rsid w:val="006E2068"/>
    <w:rsid w:val="006E26C4"/>
    <w:rsid w:val="006E690F"/>
    <w:rsid w:val="006E6EA4"/>
    <w:rsid w:val="006F3435"/>
    <w:rsid w:val="006F555C"/>
    <w:rsid w:val="006F7492"/>
    <w:rsid w:val="0070360D"/>
    <w:rsid w:val="0071549C"/>
    <w:rsid w:val="00717924"/>
    <w:rsid w:val="00720BF5"/>
    <w:rsid w:val="007210D5"/>
    <w:rsid w:val="0072253D"/>
    <w:rsid w:val="0072391D"/>
    <w:rsid w:val="00723BD6"/>
    <w:rsid w:val="00727558"/>
    <w:rsid w:val="00730342"/>
    <w:rsid w:val="00735B3C"/>
    <w:rsid w:val="00737449"/>
    <w:rsid w:val="007417F5"/>
    <w:rsid w:val="00742D8D"/>
    <w:rsid w:val="007430C1"/>
    <w:rsid w:val="007461BE"/>
    <w:rsid w:val="0074770E"/>
    <w:rsid w:val="007507D8"/>
    <w:rsid w:val="0075085B"/>
    <w:rsid w:val="00752F64"/>
    <w:rsid w:val="00754C86"/>
    <w:rsid w:val="00760812"/>
    <w:rsid w:val="0076324C"/>
    <w:rsid w:val="007639C5"/>
    <w:rsid w:val="0076721B"/>
    <w:rsid w:val="00770D98"/>
    <w:rsid w:val="00772220"/>
    <w:rsid w:val="0077596B"/>
    <w:rsid w:val="0077664B"/>
    <w:rsid w:val="0078389F"/>
    <w:rsid w:val="00783A93"/>
    <w:rsid w:val="00784F20"/>
    <w:rsid w:val="00786153"/>
    <w:rsid w:val="00786A11"/>
    <w:rsid w:val="007904CF"/>
    <w:rsid w:val="00790C36"/>
    <w:rsid w:val="00792FB2"/>
    <w:rsid w:val="00793513"/>
    <w:rsid w:val="00797752"/>
    <w:rsid w:val="007A67F9"/>
    <w:rsid w:val="007B0516"/>
    <w:rsid w:val="007B3B65"/>
    <w:rsid w:val="007C10EA"/>
    <w:rsid w:val="007C4AAD"/>
    <w:rsid w:val="007C594E"/>
    <w:rsid w:val="007C5C83"/>
    <w:rsid w:val="007C6FAB"/>
    <w:rsid w:val="007C7420"/>
    <w:rsid w:val="007D1048"/>
    <w:rsid w:val="007D1AA8"/>
    <w:rsid w:val="007D2B68"/>
    <w:rsid w:val="007D55EB"/>
    <w:rsid w:val="007D6618"/>
    <w:rsid w:val="007D718E"/>
    <w:rsid w:val="007E0768"/>
    <w:rsid w:val="007E0CD5"/>
    <w:rsid w:val="007E1DEB"/>
    <w:rsid w:val="007E229F"/>
    <w:rsid w:val="007F1402"/>
    <w:rsid w:val="007F3830"/>
    <w:rsid w:val="007F4033"/>
    <w:rsid w:val="007F51D7"/>
    <w:rsid w:val="007F5ECF"/>
    <w:rsid w:val="007F6541"/>
    <w:rsid w:val="00802C3B"/>
    <w:rsid w:val="00803C4A"/>
    <w:rsid w:val="00803D9F"/>
    <w:rsid w:val="008050CD"/>
    <w:rsid w:val="008058B7"/>
    <w:rsid w:val="00805C36"/>
    <w:rsid w:val="008068F7"/>
    <w:rsid w:val="008111CC"/>
    <w:rsid w:val="00811A2C"/>
    <w:rsid w:val="00812133"/>
    <w:rsid w:val="00812DEB"/>
    <w:rsid w:val="00812F34"/>
    <w:rsid w:val="00813680"/>
    <w:rsid w:val="00813714"/>
    <w:rsid w:val="00813BD7"/>
    <w:rsid w:val="00815031"/>
    <w:rsid w:val="00816CA9"/>
    <w:rsid w:val="00817354"/>
    <w:rsid w:val="00817424"/>
    <w:rsid w:val="008248DF"/>
    <w:rsid w:val="00830310"/>
    <w:rsid w:val="00830DCA"/>
    <w:rsid w:val="008317BE"/>
    <w:rsid w:val="008318F1"/>
    <w:rsid w:val="00831B0C"/>
    <w:rsid w:val="00831B24"/>
    <w:rsid w:val="00832A0B"/>
    <w:rsid w:val="008335CF"/>
    <w:rsid w:val="00841E51"/>
    <w:rsid w:val="008441B4"/>
    <w:rsid w:val="00845258"/>
    <w:rsid w:val="00846BAD"/>
    <w:rsid w:val="0085258C"/>
    <w:rsid w:val="0085324F"/>
    <w:rsid w:val="00853D83"/>
    <w:rsid w:val="00853F3C"/>
    <w:rsid w:val="00855909"/>
    <w:rsid w:val="00863346"/>
    <w:rsid w:val="008679DD"/>
    <w:rsid w:val="0087199E"/>
    <w:rsid w:val="008725AA"/>
    <w:rsid w:val="00873C9A"/>
    <w:rsid w:val="008753D0"/>
    <w:rsid w:val="00875E92"/>
    <w:rsid w:val="00881EC8"/>
    <w:rsid w:val="00892D71"/>
    <w:rsid w:val="008A1616"/>
    <w:rsid w:val="008A179D"/>
    <w:rsid w:val="008A26DD"/>
    <w:rsid w:val="008A2A74"/>
    <w:rsid w:val="008A41D8"/>
    <w:rsid w:val="008B1A9C"/>
    <w:rsid w:val="008B2233"/>
    <w:rsid w:val="008C26A2"/>
    <w:rsid w:val="008C26B8"/>
    <w:rsid w:val="008C356D"/>
    <w:rsid w:val="008C359F"/>
    <w:rsid w:val="008C433C"/>
    <w:rsid w:val="008C5623"/>
    <w:rsid w:val="008C57C1"/>
    <w:rsid w:val="008C6183"/>
    <w:rsid w:val="008C7FF4"/>
    <w:rsid w:val="008D2BAD"/>
    <w:rsid w:val="008D7C8F"/>
    <w:rsid w:val="008E0772"/>
    <w:rsid w:val="008E2198"/>
    <w:rsid w:val="008E769C"/>
    <w:rsid w:val="008F087F"/>
    <w:rsid w:val="009017B9"/>
    <w:rsid w:val="00902F28"/>
    <w:rsid w:val="0090374E"/>
    <w:rsid w:val="00904341"/>
    <w:rsid w:val="00904E88"/>
    <w:rsid w:val="00906A2D"/>
    <w:rsid w:val="00914E99"/>
    <w:rsid w:val="00916468"/>
    <w:rsid w:val="009173FF"/>
    <w:rsid w:val="009208DB"/>
    <w:rsid w:val="00923AA8"/>
    <w:rsid w:val="00925A21"/>
    <w:rsid w:val="009335C1"/>
    <w:rsid w:val="009337EB"/>
    <w:rsid w:val="00934BF5"/>
    <w:rsid w:val="0094112E"/>
    <w:rsid w:val="00941DD1"/>
    <w:rsid w:val="00942D34"/>
    <w:rsid w:val="00943A7A"/>
    <w:rsid w:val="00944456"/>
    <w:rsid w:val="00944979"/>
    <w:rsid w:val="00951BCF"/>
    <w:rsid w:val="00953392"/>
    <w:rsid w:val="00962113"/>
    <w:rsid w:val="009670AB"/>
    <w:rsid w:val="00967138"/>
    <w:rsid w:val="0097158D"/>
    <w:rsid w:val="00972027"/>
    <w:rsid w:val="00974CA5"/>
    <w:rsid w:val="009818D8"/>
    <w:rsid w:val="00982F03"/>
    <w:rsid w:val="0098776D"/>
    <w:rsid w:val="0099078B"/>
    <w:rsid w:val="00991EF9"/>
    <w:rsid w:val="00993103"/>
    <w:rsid w:val="00995257"/>
    <w:rsid w:val="00995914"/>
    <w:rsid w:val="0099749D"/>
    <w:rsid w:val="0099761D"/>
    <w:rsid w:val="009A4983"/>
    <w:rsid w:val="009B0EB4"/>
    <w:rsid w:val="009B0F6D"/>
    <w:rsid w:val="009B1E04"/>
    <w:rsid w:val="009B2EA5"/>
    <w:rsid w:val="009B3DE4"/>
    <w:rsid w:val="009B59D5"/>
    <w:rsid w:val="009B6C3C"/>
    <w:rsid w:val="009B7648"/>
    <w:rsid w:val="009C1BFA"/>
    <w:rsid w:val="009C670B"/>
    <w:rsid w:val="009D1A04"/>
    <w:rsid w:val="009D212E"/>
    <w:rsid w:val="009D71FB"/>
    <w:rsid w:val="009D7822"/>
    <w:rsid w:val="009D798F"/>
    <w:rsid w:val="009E00CB"/>
    <w:rsid w:val="009E1805"/>
    <w:rsid w:val="009E21B5"/>
    <w:rsid w:val="009E29AC"/>
    <w:rsid w:val="009E4CE6"/>
    <w:rsid w:val="009E678D"/>
    <w:rsid w:val="009F0358"/>
    <w:rsid w:val="009F0E73"/>
    <w:rsid w:val="00A01A5A"/>
    <w:rsid w:val="00A01E5C"/>
    <w:rsid w:val="00A04AF4"/>
    <w:rsid w:val="00A06FD8"/>
    <w:rsid w:val="00A0788E"/>
    <w:rsid w:val="00A1725D"/>
    <w:rsid w:val="00A17398"/>
    <w:rsid w:val="00A207A1"/>
    <w:rsid w:val="00A23648"/>
    <w:rsid w:val="00A26F89"/>
    <w:rsid w:val="00A31F24"/>
    <w:rsid w:val="00A31F54"/>
    <w:rsid w:val="00A32DEA"/>
    <w:rsid w:val="00A36E99"/>
    <w:rsid w:val="00A37E26"/>
    <w:rsid w:val="00A40B0C"/>
    <w:rsid w:val="00A41B49"/>
    <w:rsid w:val="00A42D77"/>
    <w:rsid w:val="00A44822"/>
    <w:rsid w:val="00A471AD"/>
    <w:rsid w:val="00A50007"/>
    <w:rsid w:val="00A5276B"/>
    <w:rsid w:val="00A561E0"/>
    <w:rsid w:val="00A56917"/>
    <w:rsid w:val="00A57F34"/>
    <w:rsid w:val="00A60E99"/>
    <w:rsid w:val="00A64ADA"/>
    <w:rsid w:val="00A71D2B"/>
    <w:rsid w:val="00A72214"/>
    <w:rsid w:val="00A72B5E"/>
    <w:rsid w:val="00A74EBB"/>
    <w:rsid w:val="00A77523"/>
    <w:rsid w:val="00A810A0"/>
    <w:rsid w:val="00A81880"/>
    <w:rsid w:val="00A82195"/>
    <w:rsid w:val="00A82A41"/>
    <w:rsid w:val="00A83A14"/>
    <w:rsid w:val="00A86DE2"/>
    <w:rsid w:val="00A93072"/>
    <w:rsid w:val="00A93912"/>
    <w:rsid w:val="00A94D72"/>
    <w:rsid w:val="00A96280"/>
    <w:rsid w:val="00AA1304"/>
    <w:rsid w:val="00AA4439"/>
    <w:rsid w:val="00AA4F96"/>
    <w:rsid w:val="00AB12BC"/>
    <w:rsid w:val="00AC0725"/>
    <w:rsid w:val="00AC2470"/>
    <w:rsid w:val="00AC2E00"/>
    <w:rsid w:val="00AC4505"/>
    <w:rsid w:val="00AC533F"/>
    <w:rsid w:val="00AD2F39"/>
    <w:rsid w:val="00AD30D6"/>
    <w:rsid w:val="00AD37C6"/>
    <w:rsid w:val="00AE00A6"/>
    <w:rsid w:val="00AE0436"/>
    <w:rsid w:val="00AE092B"/>
    <w:rsid w:val="00AE3404"/>
    <w:rsid w:val="00AE766E"/>
    <w:rsid w:val="00AE7D89"/>
    <w:rsid w:val="00AF03C1"/>
    <w:rsid w:val="00AF1DCC"/>
    <w:rsid w:val="00AF25A9"/>
    <w:rsid w:val="00AF75AD"/>
    <w:rsid w:val="00B024CA"/>
    <w:rsid w:val="00B0271E"/>
    <w:rsid w:val="00B0324A"/>
    <w:rsid w:val="00B06156"/>
    <w:rsid w:val="00B06BE7"/>
    <w:rsid w:val="00B0727F"/>
    <w:rsid w:val="00B13205"/>
    <w:rsid w:val="00B13A84"/>
    <w:rsid w:val="00B15F47"/>
    <w:rsid w:val="00B17CEA"/>
    <w:rsid w:val="00B220BE"/>
    <w:rsid w:val="00B23344"/>
    <w:rsid w:val="00B24029"/>
    <w:rsid w:val="00B25FAD"/>
    <w:rsid w:val="00B26E7F"/>
    <w:rsid w:val="00B27980"/>
    <w:rsid w:val="00B311ED"/>
    <w:rsid w:val="00B349FD"/>
    <w:rsid w:val="00B355FB"/>
    <w:rsid w:val="00B36A0B"/>
    <w:rsid w:val="00B379BB"/>
    <w:rsid w:val="00B37A79"/>
    <w:rsid w:val="00B37B2D"/>
    <w:rsid w:val="00B432E6"/>
    <w:rsid w:val="00B4642B"/>
    <w:rsid w:val="00B51FD4"/>
    <w:rsid w:val="00B53225"/>
    <w:rsid w:val="00B55C82"/>
    <w:rsid w:val="00B57780"/>
    <w:rsid w:val="00B60984"/>
    <w:rsid w:val="00B61873"/>
    <w:rsid w:val="00B62FB5"/>
    <w:rsid w:val="00B70253"/>
    <w:rsid w:val="00B70A66"/>
    <w:rsid w:val="00B7515C"/>
    <w:rsid w:val="00B832DF"/>
    <w:rsid w:val="00B83A2E"/>
    <w:rsid w:val="00B8561E"/>
    <w:rsid w:val="00B860C8"/>
    <w:rsid w:val="00B861F2"/>
    <w:rsid w:val="00B934A8"/>
    <w:rsid w:val="00B96894"/>
    <w:rsid w:val="00B97566"/>
    <w:rsid w:val="00B97A56"/>
    <w:rsid w:val="00BA06DC"/>
    <w:rsid w:val="00BA1B8C"/>
    <w:rsid w:val="00BA210F"/>
    <w:rsid w:val="00BA3DC9"/>
    <w:rsid w:val="00BA4DF5"/>
    <w:rsid w:val="00BB0307"/>
    <w:rsid w:val="00BB1B8D"/>
    <w:rsid w:val="00BB3499"/>
    <w:rsid w:val="00BB3DAE"/>
    <w:rsid w:val="00BB3ED9"/>
    <w:rsid w:val="00BB58CC"/>
    <w:rsid w:val="00BB5ED1"/>
    <w:rsid w:val="00BB67CA"/>
    <w:rsid w:val="00BB6AD2"/>
    <w:rsid w:val="00BC0304"/>
    <w:rsid w:val="00BC045D"/>
    <w:rsid w:val="00BC1C63"/>
    <w:rsid w:val="00BC5A46"/>
    <w:rsid w:val="00BC6C13"/>
    <w:rsid w:val="00BC6F18"/>
    <w:rsid w:val="00BD2EA9"/>
    <w:rsid w:val="00BD5693"/>
    <w:rsid w:val="00BE1E55"/>
    <w:rsid w:val="00BE4FFA"/>
    <w:rsid w:val="00BE74FF"/>
    <w:rsid w:val="00BF02BD"/>
    <w:rsid w:val="00BF5D3E"/>
    <w:rsid w:val="00BF5F77"/>
    <w:rsid w:val="00BF6FD4"/>
    <w:rsid w:val="00BF7A99"/>
    <w:rsid w:val="00BF7F63"/>
    <w:rsid w:val="00C00BB3"/>
    <w:rsid w:val="00C07FA2"/>
    <w:rsid w:val="00C102E5"/>
    <w:rsid w:val="00C12A97"/>
    <w:rsid w:val="00C12DB7"/>
    <w:rsid w:val="00C13881"/>
    <w:rsid w:val="00C139B5"/>
    <w:rsid w:val="00C141F1"/>
    <w:rsid w:val="00C14CD6"/>
    <w:rsid w:val="00C14DD5"/>
    <w:rsid w:val="00C177F2"/>
    <w:rsid w:val="00C213D1"/>
    <w:rsid w:val="00C2281F"/>
    <w:rsid w:val="00C27724"/>
    <w:rsid w:val="00C308A7"/>
    <w:rsid w:val="00C36289"/>
    <w:rsid w:val="00C411AF"/>
    <w:rsid w:val="00C42497"/>
    <w:rsid w:val="00C425FC"/>
    <w:rsid w:val="00C431AF"/>
    <w:rsid w:val="00C43988"/>
    <w:rsid w:val="00C47359"/>
    <w:rsid w:val="00C51745"/>
    <w:rsid w:val="00C51BB0"/>
    <w:rsid w:val="00C52D2E"/>
    <w:rsid w:val="00C60BAB"/>
    <w:rsid w:val="00C60F00"/>
    <w:rsid w:val="00C63F88"/>
    <w:rsid w:val="00C65F57"/>
    <w:rsid w:val="00C66CC1"/>
    <w:rsid w:val="00C72615"/>
    <w:rsid w:val="00C77604"/>
    <w:rsid w:val="00C82E7E"/>
    <w:rsid w:val="00C83E4C"/>
    <w:rsid w:val="00C86830"/>
    <w:rsid w:val="00C86DA5"/>
    <w:rsid w:val="00C906D8"/>
    <w:rsid w:val="00C932FD"/>
    <w:rsid w:val="00C9365A"/>
    <w:rsid w:val="00C951C7"/>
    <w:rsid w:val="00C952A3"/>
    <w:rsid w:val="00CA120D"/>
    <w:rsid w:val="00CA6097"/>
    <w:rsid w:val="00CA7BA8"/>
    <w:rsid w:val="00CB2500"/>
    <w:rsid w:val="00CB372D"/>
    <w:rsid w:val="00CC0EAE"/>
    <w:rsid w:val="00CC194C"/>
    <w:rsid w:val="00CD0F4F"/>
    <w:rsid w:val="00CD1887"/>
    <w:rsid w:val="00CD246E"/>
    <w:rsid w:val="00CD5AA0"/>
    <w:rsid w:val="00CD5C30"/>
    <w:rsid w:val="00CD74D0"/>
    <w:rsid w:val="00CD77BC"/>
    <w:rsid w:val="00CE0E0C"/>
    <w:rsid w:val="00CE1706"/>
    <w:rsid w:val="00CE6187"/>
    <w:rsid w:val="00CF01A7"/>
    <w:rsid w:val="00CF6437"/>
    <w:rsid w:val="00CF6A08"/>
    <w:rsid w:val="00D01CC2"/>
    <w:rsid w:val="00D04695"/>
    <w:rsid w:val="00D05814"/>
    <w:rsid w:val="00D0780A"/>
    <w:rsid w:val="00D169FD"/>
    <w:rsid w:val="00D179A2"/>
    <w:rsid w:val="00D17F32"/>
    <w:rsid w:val="00D21222"/>
    <w:rsid w:val="00D21589"/>
    <w:rsid w:val="00D22D83"/>
    <w:rsid w:val="00D25B8B"/>
    <w:rsid w:val="00D329F0"/>
    <w:rsid w:val="00D33AA9"/>
    <w:rsid w:val="00D33DA2"/>
    <w:rsid w:val="00D354B5"/>
    <w:rsid w:val="00D36EB7"/>
    <w:rsid w:val="00D5284D"/>
    <w:rsid w:val="00D537A6"/>
    <w:rsid w:val="00D53ED7"/>
    <w:rsid w:val="00D5644C"/>
    <w:rsid w:val="00D620D6"/>
    <w:rsid w:val="00D66445"/>
    <w:rsid w:val="00D67786"/>
    <w:rsid w:val="00D74126"/>
    <w:rsid w:val="00D75718"/>
    <w:rsid w:val="00D76814"/>
    <w:rsid w:val="00D81012"/>
    <w:rsid w:val="00D81DB8"/>
    <w:rsid w:val="00D85106"/>
    <w:rsid w:val="00D909CD"/>
    <w:rsid w:val="00D91442"/>
    <w:rsid w:val="00D92F41"/>
    <w:rsid w:val="00D93039"/>
    <w:rsid w:val="00DA0863"/>
    <w:rsid w:val="00DA4AED"/>
    <w:rsid w:val="00DA530D"/>
    <w:rsid w:val="00DA5729"/>
    <w:rsid w:val="00DA62C8"/>
    <w:rsid w:val="00DA7047"/>
    <w:rsid w:val="00DA768B"/>
    <w:rsid w:val="00DB0F9A"/>
    <w:rsid w:val="00DB3A2D"/>
    <w:rsid w:val="00DB4FAF"/>
    <w:rsid w:val="00DC1F46"/>
    <w:rsid w:val="00DC5664"/>
    <w:rsid w:val="00DC7CAA"/>
    <w:rsid w:val="00DE33F0"/>
    <w:rsid w:val="00DE61C3"/>
    <w:rsid w:val="00DF27E1"/>
    <w:rsid w:val="00DF2EEF"/>
    <w:rsid w:val="00DF50A7"/>
    <w:rsid w:val="00DF51B5"/>
    <w:rsid w:val="00DF5461"/>
    <w:rsid w:val="00DF6C47"/>
    <w:rsid w:val="00DF73F7"/>
    <w:rsid w:val="00DF741E"/>
    <w:rsid w:val="00E01B2D"/>
    <w:rsid w:val="00E025F4"/>
    <w:rsid w:val="00E040EC"/>
    <w:rsid w:val="00E04596"/>
    <w:rsid w:val="00E04B36"/>
    <w:rsid w:val="00E0555D"/>
    <w:rsid w:val="00E10882"/>
    <w:rsid w:val="00E119F8"/>
    <w:rsid w:val="00E13139"/>
    <w:rsid w:val="00E141A8"/>
    <w:rsid w:val="00E16936"/>
    <w:rsid w:val="00E228E6"/>
    <w:rsid w:val="00E24515"/>
    <w:rsid w:val="00E25D5A"/>
    <w:rsid w:val="00E30DFE"/>
    <w:rsid w:val="00E32C30"/>
    <w:rsid w:val="00E40A01"/>
    <w:rsid w:val="00E42466"/>
    <w:rsid w:val="00E4538D"/>
    <w:rsid w:val="00E4750A"/>
    <w:rsid w:val="00E510CF"/>
    <w:rsid w:val="00E5134D"/>
    <w:rsid w:val="00E52D47"/>
    <w:rsid w:val="00E53E84"/>
    <w:rsid w:val="00E55420"/>
    <w:rsid w:val="00E56C2E"/>
    <w:rsid w:val="00E61167"/>
    <w:rsid w:val="00E62D76"/>
    <w:rsid w:val="00E632D6"/>
    <w:rsid w:val="00E66516"/>
    <w:rsid w:val="00E72DE9"/>
    <w:rsid w:val="00E73B0A"/>
    <w:rsid w:val="00E74EC6"/>
    <w:rsid w:val="00E75533"/>
    <w:rsid w:val="00E8370C"/>
    <w:rsid w:val="00E9207C"/>
    <w:rsid w:val="00E931EB"/>
    <w:rsid w:val="00E94615"/>
    <w:rsid w:val="00E956CF"/>
    <w:rsid w:val="00E95D62"/>
    <w:rsid w:val="00E96D58"/>
    <w:rsid w:val="00EA17DC"/>
    <w:rsid w:val="00EA72B5"/>
    <w:rsid w:val="00EB0680"/>
    <w:rsid w:val="00EB0734"/>
    <w:rsid w:val="00EB15B2"/>
    <w:rsid w:val="00EB3CE6"/>
    <w:rsid w:val="00EB45E4"/>
    <w:rsid w:val="00EB70C0"/>
    <w:rsid w:val="00EC0D45"/>
    <w:rsid w:val="00EC100D"/>
    <w:rsid w:val="00EC31DE"/>
    <w:rsid w:val="00EC3C32"/>
    <w:rsid w:val="00EC59B3"/>
    <w:rsid w:val="00EC5C74"/>
    <w:rsid w:val="00EC6C9A"/>
    <w:rsid w:val="00EC6D18"/>
    <w:rsid w:val="00EC75E4"/>
    <w:rsid w:val="00ED09FC"/>
    <w:rsid w:val="00ED0FA5"/>
    <w:rsid w:val="00ED181B"/>
    <w:rsid w:val="00ED3F2F"/>
    <w:rsid w:val="00ED47A7"/>
    <w:rsid w:val="00ED4D3F"/>
    <w:rsid w:val="00EE2DDE"/>
    <w:rsid w:val="00EE304C"/>
    <w:rsid w:val="00EE378E"/>
    <w:rsid w:val="00EE3B96"/>
    <w:rsid w:val="00EE4377"/>
    <w:rsid w:val="00EE5F9F"/>
    <w:rsid w:val="00EE694E"/>
    <w:rsid w:val="00EF2C90"/>
    <w:rsid w:val="00EF7C94"/>
    <w:rsid w:val="00F0119B"/>
    <w:rsid w:val="00F01951"/>
    <w:rsid w:val="00F03170"/>
    <w:rsid w:val="00F031E1"/>
    <w:rsid w:val="00F03A3A"/>
    <w:rsid w:val="00F06948"/>
    <w:rsid w:val="00F1609A"/>
    <w:rsid w:val="00F206B1"/>
    <w:rsid w:val="00F21AB0"/>
    <w:rsid w:val="00F23DF8"/>
    <w:rsid w:val="00F26417"/>
    <w:rsid w:val="00F2672A"/>
    <w:rsid w:val="00F26FC6"/>
    <w:rsid w:val="00F30D9A"/>
    <w:rsid w:val="00F31252"/>
    <w:rsid w:val="00F3145D"/>
    <w:rsid w:val="00F3188F"/>
    <w:rsid w:val="00F32E69"/>
    <w:rsid w:val="00F35728"/>
    <w:rsid w:val="00F37E77"/>
    <w:rsid w:val="00F422B3"/>
    <w:rsid w:val="00F42975"/>
    <w:rsid w:val="00F45B40"/>
    <w:rsid w:val="00F46804"/>
    <w:rsid w:val="00F50269"/>
    <w:rsid w:val="00F50327"/>
    <w:rsid w:val="00F50454"/>
    <w:rsid w:val="00F51621"/>
    <w:rsid w:val="00F51B6C"/>
    <w:rsid w:val="00F53DAA"/>
    <w:rsid w:val="00F55ACD"/>
    <w:rsid w:val="00F55BA1"/>
    <w:rsid w:val="00F57779"/>
    <w:rsid w:val="00F7491C"/>
    <w:rsid w:val="00F83750"/>
    <w:rsid w:val="00F83F51"/>
    <w:rsid w:val="00F84ECD"/>
    <w:rsid w:val="00F86191"/>
    <w:rsid w:val="00F909B4"/>
    <w:rsid w:val="00F91AAB"/>
    <w:rsid w:val="00F92D60"/>
    <w:rsid w:val="00F96518"/>
    <w:rsid w:val="00F9796D"/>
    <w:rsid w:val="00FA02C8"/>
    <w:rsid w:val="00FA160B"/>
    <w:rsid w:val="00FA1ABC"/>
    <w:rsid w:val="00FA33E0"/>
    <w:rsid w:val="00FA76CF"/>
    <w:rsid w:val="00FB00C0"/>
    <w:rsid w:val="00FB04E7"/>
    <w:rsid w:val="00FB25A7"/>
    <w:rsid w:val="00FB2ADD"/>
    <w:rsid w:val="00FB43C1"/>
    <w:rsid w:val="00FB5A8F"/>
    <w:rsid w:val="00FB70BF"/>
    <w:rsid w:val="00FB71A7"/>
    <w:rsid w:val="00FB7226"/>
    <w:rsid w:val="00FB7259"/>
    <w:rsid w:val="00FB7BB3"/>
    <w:rsid w:val="00FB7C2A"/>
    <w:rsid w:val="00FC08D6"/>
    <w:rsid w:val="00FC0AE2"/>
    <w:rsid w:val="00FC0E8B"/>
    <w:rsid w:val="00FC1023"/>
    <w:rsid w:val="00FC28A5"/>
    <w:rsid w:val="00FC2AA5"/>
    <w:rsid w:val="00FC319E"/>
    <w:rsid w:val="00FC3D0E"/>
    <w:rsid w:val="00FC738E"/>
    <w:rsid w:val="00FD0200"/>
    <w:rsid w:val="00FD2009"/>
    <w:rsid w:val="00FD3D65"/>
    <w:rsid w:val="00FD771F"/>
    <w:rsid w:val="00FE0D9B"/>
    <w:rsid w:val="00FE5C55"/>
    <w:rsid w:val="00FE63C2"/>
    <w:rsid w:val="00FE6D58"/>
    <w:rsid w:val="00FE7191"/>
    <w:rsid w:val="00FF0932"/>
    <w:rsid w:val="00FF57C9"/>
    <w:rsid w:val="00FF670A"/>
    <w:rsid w:val="00FF7C3F"/>
    <w:rsid w:val="00FF7D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711EAD"/>
  <w15:chartTrackingRefBased/>
  <w15:docId w15:val="{418E1DB5-839F-4762-83EB-618C581BA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2">
    <w:name w:val="heading 2"/>
    <w:basedOn w:val="Normal"/>
    <w:next w:val="Normal"/>
    <w:link w:val="Heading2Char"/>
    <w:qFormat/>
    <w:rsid w:val="004168F2"/>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4">
    <w:name w:val="heading 4"/>
    <w:basedOn w:val="Normal"/>
    <w:next w:val="Normal"/>
    <w:link w:val="Heading4Char"/>
    <w:qFormat/>
    <w:rsid w:val="004168F2"/>
    <w:pPr>
      <w:keepNext/>
      <w:spacing w:before="120" w:after="120" w:line="240" w:lineRule="auto"/>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817424"/>
    <w:pPr>
      <w:tabs>
        <w:tab w:val="center" w:pos="4680"/>
        <w:tab w:val="right" w:pos="9360"/>
      </w:tabs>
      <w:spacing w:after="0" w:line="240" w:lineRule="auto"/>
    </w:pPr>
  </w:style>
  <w:style w:type="character" w:customStyle="1" w:styleId="HeaderChar">
    <w:name w:val="Header Char"/>
    <w:basedOn w:val="DefaultParagraphFont"/>
    <w:link w:val="Header"/>
    <w:rsid w:val="00817424"/>
    <w:rPr>
      <w:lang w:val="cy-GB"/>
    </w:rPr>
  </w:style>
  <w:style w:type="paragraph" w:styleId="Footer">
    <w:name w:val="footer"/>
    <w:basedOn w:val="Normal"/>
    <w:link w:val="FooterChar"/>
    <w:uiPriority w:val="99"/>
    <w:unhideWhenUsed/>
    <w:rsid w:val="008174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7424"/>
    <w:rPr>
      <w:lang w:val="cy-GB"/>
    </w:rPr>
  </w:style>
  <w:style w:type="paragraph" w:customStyle="1" w:styleId="EndNoteBibliographyTitle">
    <w:name w:val="EndNote Bibliography Title"/>
    <w:basedOn w:val="Normal"/>
    <w:link w:val="EndNoteBibliographyTitleChar"/>
    <w:rsid w:val="004E5A1E"/>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4E5A1E"/>
    <w:rPr>
      <w:rFonts w:ascii="Calibri" w:hAnsi="Calibri" w:cs="Calibri"/>
      <w:noProof/>
    </w:rPr>
  </w:style>
  <w:style w:type="paragraph" w:customStyle="1" w:styleId="EndNoteBibliography">
    <w:name w:val="EndNote Bibliography"/>
    <w:basedOn w:val="Normal"/>
    <w:link w:val="EndNoteBibliographyChar"/>
    <w:rsid w:val="004E5A1E"/>
    <w:pPr>
      <w:spacing w:line="240" w:lineRule="auto"/>
    </w:pPr>
    <w:rPr>
      <w:rFonts w:ascii="Calibri" w:hAnsi="Calibri" w:cs="Calibri"/>
      <w:noProof/>
      <w:lang w:val="en-US"/>
    </w:rPr>
  </w:style>
  <w:style w:type="character" w:customStyle="1" w:styleId="EndNoteBibliographyChar">
    <w:name w:val="EndNote Bibliography Char"/>
    <w:basedOn w:val="DefaultParagraphFont"/>
    <w:link w:val="EndNoteBibliography"/>
    <w:rsid w:val="004E5A1E"/>
    <w:rPr>
      <w:rFonts w:ascii="Calibri" w:hAnsi="Calibri" w:cs="Calibri"/>
      <w:noProof/>
    </w:rPr>
  </w:style>
  <w:style w:type="character" w:styleId="Hyperlink">
    <w:name w:val="Hyperlink"/>
    <w:basedOn w:val="DefaultParagraphFont"/>
    <w:uiPriority w:val="99"/>
    <w:unhideWhenUsed/>
    <w:rsid w:val="004E5A1E"/>
    <w:rPr>
      <w:color w:val="0563C1" w:themeColor="hyperlink"/>
      <w:u w:val="single"/>
    </w:rPr>
  </w:style>
  <w:style w:type="character" w:styleId="UnresolvedMention">
    <w:name w:val="Unresolved Mention"/>
    <w:basedOn w:val="DefaultParagraphFont"/>
    <w:uiPriority w:val="99"/>
    <w:semiHidden/>
    <w:unhideWhenUsed/>
    <w:rsid w:val="004E5A1E"/>
    <w:rPr>
      <w:color w:val="605E5C"/>
      <w:shd w:val="clear" w:color="auto" w:fill="E1DFDD"/>
    </w:rPr>
  </w:style>
  <w:style w:type="paragraph" w:styleId="BalloonText">
    <w:name w:val="Balloon Text"/>
    <w:basedOn w:val="Normal"/>
    <w:link w:val="BalloonTextChar"/>
    <w:uiPriority w:val="99"/>
    <w:semiHidden/>
    <w:unhideWhenUsed/>
    <w:rsid w:val="00F26F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6FC6"/>
    <w:rPr>
      <w:rFonts w:ascii="Segoe UI" w:hAnsi="Segoe UI" w:cs="Segoe UI"/>
      <w:sz w:val="18"/>
      <w:szCs w:val="18"/>
      <w:lang w:val="cy-GB"/>
    </w:rPr>
  </w:style>
  <w:style w:type="paragraph" w:styleId="ListParagraph">
    <w:name w:val="List Paragraph"/>
    <w:basedOn w:val="Normal"/>
    <w:uiPriority w:val="34"/>
    <w:qFormat/>
    <w:rsid w:val="00AF03C1"/>
    <w:pPr>
      <w:ind w:left="720"/>
      <w:contextualSpacing/>
    </w:pPr>
  </w:style>
  <w:style w:type="character" w:customStyle="1" w:styleId="Heading2Char">
    <w:name w:val="Heading 2 Char"/>
    <w:basedOn w:val="DefaultParagraphFont"/>
    <w:link w:val="Heading2"/>
    <w:rsid w:val="004168F2"/>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4168F2"/>
    <w:rPr>
      <w:rFonts w:ascii="Times New Roman" w:eastAsia="Times New Roman" w:hAnsi="Times New Roman" w:cs="Times New Roman"/>
      <w:sz w:val="40"/>
      <w:szCs w:val="20"/>
      <w:lang w:val="en-GB" w:eastAsia="en-GB"/>
    </w:rPr>
  </w:style>
  <w:style w:type="paragraph" w:styleId="NormalWeb">
    <w:name w:val="Normal (Web)"/>
    <w:basedOn w:val="Normal"/>
    <w:uiPriority w:val="99"/>
    <w:rsid w:val="004168F2"/>
    <w:pPr>
      <w:spacing w:before="100" w:after="100" w:line="240" w:lineRule="auto"/>
    </w:pPr>
    <w:rPr>
      <w:rFonts w:ascii="Times New Roman" w:eastAsia="Times New Roman" w:hAnsi="Times New Roman" w:cs="Times New Roman"/>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4568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mylocalschool.wales.gov.uk/School/6694064?lang=e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styn.gov.wales/sites/default/files/documents/Ysgol%20Maes%20y%20Gwendraeth%20eng_1.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wp-content/uploads/2018/06/BERA-Ethical-Guidelines-for-Educational-Research_4thEdn_2018.pdf?noredirect=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hann\Documents\PGCE\ECSP7002%20-%2010000%20WORDS\DATA\graff%20canlyniadau.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u="sng"/>
              <a:t>Canlyniadau profion cyn ac ar ôl yr ymyrraeth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Sheet1!$D$4</c:f>
              <c:strCache>
                <c:ptCount val="1"/>
                <c:pt idx="0">
                  <c:v>Sgôr prawf 1</c:v>
                </c:pt>
              </c:strCache>
            </c:strRef>
          </c:tx>
          <c:spPr>
            <a:solidFill>
              <a:schemeClr val="accent1"/>
            </a:solidFill>
            <a:ln>
              <a:noFill/>
            </a:ln>
            <a:effectLst/>
          </c:spPr>
          <c:invertIfNegative val="0"/>
          <c:cat>
            <c:strRef>
              <c:f>Sheet1!$C$5:$C$25</c:f>
              <c:strCache>
                <c:ptCount val="21"/>
                <c:pt idx="0">
                  <c:v>A</c:v>
                </c:pt>
                <c:pt idx="1">
                  <c:v>B</c:v>
                </c:pt>
                <c:pt idx="2">
                  <c:v>C</c:v>
                </c:pt>
                <c:pt idx="3">
                  <c:v>D</c:v>
                </c:pt>
                <c:pt idx="4">
                  <c:v>E</c:v>
                </c:pt>
                <c:pt idx="5">
                  <c:v>F</c:v>
                </c:pt>
                <c:pt idx="6">
                  <c:v>G</c:v>
                </c:pt>
                <c:pt idx="7">
                  <c:v>H</c:v>
                </c:pt>
                <c:pt idx="8">
                  <c:v>I</c:v>
                </c:pt>
                <c:pt idx="9">
                  <c:v>J</c:v>
                </c:pt>
                <c:pt idx="10">
                  <c:v>K</c:v>
                </c:pt>
                <c:pt idx="11">
                  <c:v>L</c:v>
                </c:pt>
                <c:pt idx="12">
                  <c:v>M</c:v>
                </c:pt>
                <c:pt idx="13">
                  <c:v>N</c:v>
                </c:pt>
                <c:pt idx="14">
                  <c:v>O</c:v>
                </c:pt>
                <c:pt idx="15">
                  <c:v>P</c:v>
                </c:pt>
                <c:pt idx="16">
                  <c:v>Q</c:v>
                </c:pt>
                <c:pt idx="17">
                  <c:v>R</c:v>
                </c:pt>
                <c:pt idx="18">
                  <c:v>S</c:v>
                </c:pt>
                <c:pt idx="19">
                  <c:v>T</c:v>
                </c:pt>
                <c:pt idx="20">
                  <c:v>U</c:v>
                </c:pt>
              </c:strCache>
            </c:strRef>
          </c:cat>
          <c:val>
            <c:numRef>
              <c:f>Sheet1!$D$5:$D$25</c:f>
              <c:numCache>
                <c:formatCode>General</c:formatCode>
                <c:ptCount val="21"/>
                <c:pt idx="0">
                  <c:v>7</c:v>
                </c:pt>
                <c:pt idx="1">
                  <c:v>6</c:v>
                </c:pt>
                <c:pt idx="2">
                  <c:v>5</c:v>
                </c:pt>
                <c:pt idx="3">
                  <c:v>4</c:v>
                </c:pt>
                <c:pt idx="4">
                  <c:v>4</c:v>
                </c:pt>
                <c:pt idx="5">
                  <c:v>3</c:v>
                </c:pt>
                <c:pt idx="6">
                  <c:v>3</c:v>
                </c:pt>
                <c:pt idx="7">
                  <c:v>3</c:v>
                </c:pt>
                <c:pt idx="8">
                  <c:v>3</c:v>
                </c:pt>
                <c:pt idx="9">
                  <c:v>3</c:v>
                </c:pt>
                <c:pt idx="10">
                  <c:v>3</c:v>
                </c:pt>
                <c:pt idx="11">
                  <c:v>3</c:v>
                </c:pt>
                <c:pt idx="12">
                  <c:v>2</c:v>
                </c:pt>
                <c:pt idx="13">
                  <c:v>2</c:v>
                </c:pt>
                <c:pt idx="14">
                  <c:v>2</c:v>
                </c:pt>
                <c:pt idx="15">
                  <c:v>2</c:v>
                </c:pt>
                <c:pt idx="16">
                  <c:v>2</c:v>
                </c:pt>
                <c:pt idx="17">
                  <c:v>2</c:v>
                </c:pt>
                <c:pt idx="18">
                  <c:v>2</c:v>
                </c:pt>
                <c:pt idx="19">
                  <c:v>1</c:v>
                </c:pt>
                <c:pt idx="20">
                  <c:v>0</c:v>
                </c:pt>
              </c:numCache>
            </c:numRef>
          </c:val>
          <c:extLst>
            <c:ext xmlns:c16="http://schemas.microsoft.com/office/drawing/2014/chart" uri="{C3380CC4-5D6E-409C-BE32-E72D297353CC}">
              <c16:uniqueId val="{00000000-896F-4E35-BBDD-9E9BC2DB52FB}"/>
            </c:ext>
          </c:extLst>
        </c:ser>
        <c:ser>
          <c:idx val="1"/>
          <c:order val="1"/>
          <c:tx>
            <c:strRef>
              <c:f>Sheet1!$E$4</c:f>
              <c:strCache>
                <c:ptCount val="1"/>
                <c:pt idx="0">
                  <c:v>Sgôr prawf 2</c:v>
                </c:pt>
              </c:strCache>
            </c:strRef>
          </c:tx>
          <c:spPr>
            <a:solidFill>
              <a:schemeClr val="accent2"/>
            </a:solidFill>
            <a:ln>
              <a:noFill/>
            </a:ln>
            <a:effectLst/>
          </c:spPr>
          <c:invertIfNegative val="0"/>
          <c:cat>
            <c:strRef>
              <c:f>Sheet1!$C$5:$C$25</c:f>
              <c:strCache>
                <c:ptCount val="21"/>
                <c:pt idx="0">
                  <c:v>A</c:v>
                </c:pt>
                <c:pt idx="1">
                  <c:v>B</c:v>
                </c:pt>
                <c:pt idx="2">
                  <c:v>C</c:v>
                </c:pt>
                <c:pt idx="3">
                  <c:v>D</c:v>
                </c:pt>
                <c:pt idx="4">
                  <c:v>E</c:v>
                </c:pt>
                <c:pt idx="5">
                  <c:v>F</c:v>
                </c:pt>
                <c:pt idx="6">
                  <c:v>G</c:v>
                </c:pt>
                <c:pt idx="7">
                  <c:v>H</c:v>
                </c:pt>
                <c:pt idx="8">
                  <c:v>I</c:v>
                </c:pt>
                <c:pt idx="9">
                  <c:v>J</c:v>
                </c:pt>
                <c:pt idx="10">
                  <c:v>K</c:v>
                </c:pt>
                <c:pt idx="11">
                  <c:v>L</c:v>
                </c:pt>
                <c:pt idx="12">
                  <c:v>M</c:v>
                </c:pt>
                <c:pt idx="13">
                  <c:v>N</c:v>
                </c:pt>
                <c:pt idx="14">
                  <c:v>O</c:v>
                </c:pt>
                <c:pt idx="15">
                  <c:v>P</c:v>
                </c:pt>
                <c:pt idx="16">
                  <c:v>Q</c:v>
                </c:pt>
                <c:pt idx="17">
                  <c:v>R</c:v>
                </c:pt>
                <c:pt idx="18">
                  <c:v>S</c:v>
                </c:pt>
                <c:pt idx="19">
                  <c:v>T</c:v>
                </c:pt>
                <c:pt idx="20">
                  <c:v>U</c:v>
                </c:pt>
              </c:strCache>
            </c:strRef>
          </c:cat>
          <c:val>
            <c:numRef>
              <c:f>Sheet1!$E$5:$E$25</c:f>
              <c:numCache>
                <c:formatCode>General</c:formatCode>
                <c:ptCount val="21"/>
                <c:pt idx="0">
                  <c:v>10</c:v>
                </c:pt>
                <c:pt idx="1">
                  <c:v>5</c:v>
                </c:pt>
                <c:pt idx="2">
                  <c:v>4</c:v>
                </c:pt>
                <c:pt idx="3">
                  <c:v>4</c:v>
                </c:pt>
                <c:pt idx="4">
                  <c:v>8</c:v>
                </c:pt>
                <c:pt idx="5">
                  <c:v>8</c:v>
                </c:pt>
                <c:pt idx="6">
                  <c:v>6</c:v>
                </c:pt>
                <c:pt idx="7">
                  <c:v>8</c:v>
                </c:pt>
                <c:pt idx="8">
                  <c:v>10</c:v>
                </c:pt>
                <c:pt idx="9">
                  <c:v>6</c:v>
                </c:pt>
                <c:pt idx="10">
                  <c:v>4</c:v>
                </c:pt>
                <c:pt idx="11">
                  <c:v>7</c:v>
                </c:pt>
                <c:pt idx="12">
                  <c:v>5</c:v>
                </c:pt>
                <c:pt idx="13">
                  <c:v>5</c:v>
                </c:pt>
                <c:pt idx="14">
                  <c:v>7</c:v>
                </c:pt>
                <c:pt idx="15">
                  <c:v>6</c:v>
                </c:pt>
                <c:pt idx="16">
                  <c:v>7</c:v>
                </c:pt>
                <c:pt idx="17">
                  <c:v>5</c:v>
                </c:pt>
                <c:pt idx="18">
                  <c:v>6</c:v>
                </c:pt>
                <c:pt idx="19">
                  <c:v>5</c:v>
                </c:pt>
                <c:pt idx="20">
                  <c:v>6</c:v>
                </c:pt>
              </c:numCache>
            </c:numRef>
          </c:val>
          <c:extLst>
            <c:ext xmlns:c16="http://schemas.microsoft.com/office/drawing/2014/chart" uri="{C3380CC4-5D6E-409C-BE32-E72D297353CC}">
              <c16:uniqueId val="{00000001-896F-4E35-BBDD-9E9BC2DB52FB}"/>
            </c:ext>
          </c:extLst>
        </c:ser>
        <c:dLbls>
          <c:showLegendKey val="0"/>
          <c:showVal val="0"/>
          <c:showCatName val="0"/>
          <c:showSerName val="0"/>
          <c:showPercent val="0"/>
          <c:showBubbleSize val="0"/>
        </c:dLbls>
        <c:gapWidth val="219"/>
        <c:overlap val="-27"/>
        <c:axId val="478364472"/>
        <c:axId val="478365456"/>
      </c:barChart>
      <c:catAx>
        <c:axId val="478364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Disgyblion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365456"/>
        <c:crosses val="autoZero"/>
        <c:auto val="1"/>
        <c:lblAlgn val="ctr"/>
        <c:lblOffset val="100"/>
        <c:noMultiLvlLbl val="0"/>
      </c:catAx>
      <c:valAx>
        <c:axId val="478365456"/>
        <c:scaling>
          <c:orientation val="minMax"/>
          <c:max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Nifer</a:t>
                </a:r>
                <a:r>
                  <a:rPr lang="en-US" baseline="0"/>
                  <a:t> o gwestiynau cywir</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364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7B5891-B8EF-4F35-9925-20FA1CB24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8048</Words>
  <Characters>45880</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Hughes</dc:creator>
  <cp:keywords/>
  <dc:description/>
  <cp:lastModifiedBy>Shannon Hughes</cp:lastModifiedBy>
  <cp:revision>2</cp:revision>
  <dcterms:created xsi:type="dcterms:W3CDTF">2019-05-12T18:12:00Z</dcterms:created>
  <dcterms:modified xsi:type="dcterms:W3CDTF">2019-05-12T18:12:00Z</dcterms:modified>
</cp:coreProperties>
</file>