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2AD15" w14:textId="77777777" w:rsidR="00195A10" w:rsidRDefault="00195A10" w:rsidP="00195A10">
      <w:r>
        <w:t>Are hidden barriers holding your learners back?</w:t>
      </w:r>
    </w:p>
    <w:p w14:paraId="5386ED13" w14:textId="77777777" w:rsidR="00195A10" w:rsidRDefault="00195A10" w:rsidP="00195A10">
      <w:r>
        <w:t>Online learning now reaches more people than ever before, but wider access doesn’t mean everyone has the same experience. Learners have different backgrounds, levels of access and support — and these differences directly affect how they engage with and succeed in learning.</w:t>
      </w:r>
    </w:p>
    <w:p w14:paraId="7A41C1B3" w14:textId="77777777" w:rsidR="00195A10" w:rsidRDefault="00195A10" w:rsidP="00195A10"/>
    <w:p w14:paraId="41979D2D" w14:textId="47B0DB06" w:rsidR="00F963E6" w:rsidRDefault="00195A10" w:rsidP="00195A10">
      <w:r>
        <w:t>With our new guide, Bridging the hidden learning gap, you can uncover where learners may be getting left behind and understand how smart, human-</w:t>
      </w:r>
      <w:proofErr w:type="spellStart"/>
      <w:r>
        <w:t>centered</w:t>
      </w:r>
      <w:proofErr w:type="spellEnd"/>
      <w:r>
        <w:t xml:space="preserve"> design can close those gaps.</w:t>
      </w:r>
    </w:p>
    <w:sectPr w:rsidR="00F963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10"/>
    <w:rsid w:val="00195A10"/>
    <w:rsid w:val="004B4778"/>
    <w:rsid w:val="0069716D"/>
    <w:rsid w:val="00BD29F4"/>
    <w:rsid w:val="00F9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02FCD"/>
  <w15:chartTrackingRefBased/>
  <w15:docId w15:val="{559A4164-DD7C-4A44-9A0A-30E486F0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Lodwig</dc:creator>
  <cp:keywords/>
  <dc:description/>
  <cp:lastModifiedBy>Sian Lodwig</cp:lastModifiedBy>
  <cp:revision>1</cp:revision>
  <dcterms:created xsi:type="dcterms:W3CDTF">2026-03-04T14:54:00Z</dcterms:created>
  <dcterms:modified xsi:type="dcterms:W3CDTF">2026-03-04T14:55:00Z</dcterms:modified>
</cp:coreProperties>
</file>