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750C1" w14:textId="77777777" w:rsidR="007D37C4" w:rsidRDefault="007D37C4" w:rsidP="00D70DF5">
      <w:pPr>
        <w:jc w:val="center"/>
        <w:rPr>
          <w:rFonts w:ascii="Times New Roman" w:hAnsi="Times New Roman" w:cs="Times New Roman"/>
          <w:b/>
          <w:bCs/>
          <w:sz w:val="32"/>
          <w:szCs w:val="32"/>
        </w:rPr>
      </w:pPr>
    </w:p>
    <w:p w14:paraId="004997CF" w14:textId="77777777" w:rsidR="007D37C4" w:rsidRDefault="007D37C4" w:rsidP="00D70DF5">
      <w:pPr>
        <w:jc w:val="center"/>
        <w:rPr>
          <w:rFonts w:ascii="Times New Roman" w:hAnsi="Times New Roman" w:cs="Times New Roman"/>
          <w:b/>
          <w:bCs/>
          <w:sz w:val="32"/>
          <w:szCs w:val="32"/>
        </w:rPr>
      </w:pPr>
    </w:p>
    <w:p w14:paraId="2B50EB6A" w14:textId="77777777" w:rsidR="007D37C4" w:rsidRDefault="007D37C4" w:rsidP="00D70DF5">
      <w:pPr>
        <w:jc w:val="center"/>
        <w:rPr>
          <w:rFonts w:ascii="Times New Roman" w:hAnsi="Times New Roman" w:cs="Times New Roman"/>
          <w:b/>
          <w:bCs/>
          <w:sz w:val="32"/>
          <w:szCs w:val="32"/>
        </w:rPr>
      </w:pPr>
    </w:p>
    <w:p w14:paraId="4C8B61BD" w14:textId="77777777" w:rsidR="007D37C4" w:rsidRDefault="007D37C4" w:rsidP="00D70DF5">
      <w:pPr>
        <w:jc w:val="center"/>
        <w:rPr>
          <w:rFonts w:ascii="Times New Roman" w:hAnsi="Times New Roman" w:cs="Times New Roman"/>
          <w:b/>
          <w:bCs/>
          <w:sz w:val="32"/>
          <w:szCs w:val="32"/>
        </w:rPr>
      </w:pPr>
    </w:p>
    <w:p w14:paraId="21B9EF9C" w14:textId="0BD4CA7B" w:rsidR="002E58B8" w:rsidRDefault="007B525B" w:rsidP="00D70DF5">
      <w:pPr>
        <w:jc w:val="center"/>
        <w:rPr>
          <w:rFonts w:ascii="Times New Roman" w:hAnsi="Times New Roman" w:cs="Times New Roman"/>
          <w:b/>
          <w:bCs/>
          <w:sz w:val="32"/>
          <w:szCs w:val="32"/>
        </w:rPr>
      </w:pPr>
      <w:r>
        <w:rPr>
          <w:rFonts w:ascii="Times New Roman" w:hAnsi="Times New Roman" w:cs="Times New Roman"/>
          <w:b/>
          <w:bCs/>
          <w:sz w:val="32"/>
          <w:szCs w:val="32"/>
        </w:rPr>
        <w:t xml:space="preserve">Module </w:t>
      </w:r>
      <w:r w:rsidR="004F51B2">
        <w:rPr>
          <w:rFonts w:ascii="Times New Roman" w:hAnsi="Times New Roman" w:cs="Times New Roman"/>
          <w:b/>
          <w:bCs/>
          <w:sz w:val="32"/>
          <w:szCs w:val="32"/>
        </w:rPr>
        <w:t>N</w:t>
      </w:r>
      <w:r>
        <w:rPr>
          <w:rFonts w:ascii="Times New Roman" w:hAnsi="Times New Roman" w:cs="Times New Roman"/>
          <w:b/>
          <w:bCs/>
          <w:sz w:val="32"/>
          <w:szCs w:val="32"/>
        </w:rPr>
        <w:t>ame : Environmen</w:t>
      </w:r>
      <w:r w:rsidR="00B93230">
        <w:rPr>
          <w:rFonts w:ascii="Times New Roman" w:hAnsi="Times New Roman" w:cs="Times New Roman"/>
          <w:b/>
          <w:bCs/>
          <w:sz w:val="32"/>
          <w:szCs w:val="32"/>
        </w:rPr>
        <w:t xml:space="preserve">tal </w:t>
      </w:r>
      <w:r w:rsidR="00810255">
        <w:rPr>
          <w:rFonts w:ascii="Times New Roman" w:hAnsi="Times New Roman" w:cs="Times New Roman"/>
          <w:b/>
          <w:bCs/>
          <w:sz w:val="32"/>
          <w:szCs w:val="32"/>
        </w:rPr>
        <w:t xml:space="preserve">Planing and </w:t>
      </w:r>
      <w:r w:rsidR="002E58B8">
        <w:rPr>
          <w:rFonts w:ascii="Times New Roman" w:hAnsi="Times New Roman" w:cs="Times New Roman"/>
          <w:b/>
          <w:bCs/>
          <w:sz w:val="32"/>
          <w:szCs w:val="32"/>
        </w:rPr>
        <w:t xml:space="preserve">Policy </w:t>
      </w:r>
    </w:p>
    <w:p w14:paraId="1104CD5B" w14:textId="77777777" w:rsidR="002E58B8" w:rsidRDefault="002E58B8" w:rsidP="00D70DF5">
      <w:pPr>
        <w:jc w:val="center"/>
        <w:rPr>
          <w:rFonts w:ascii="Times New Roman" w:hAnsi="Times New Roman" w:cs="Times New Roman"/>
          <w:b/>
          <w:bCs/>
          <w:sz w:val="32"/>
          <w:szCs w:val="32"/>
        </w:rPr>
      </w:pPr>
    </w:p>
    <w:p w14:paraId="7530B6FD" w14:textId="3026CD99" w:rsidR="00D70DF5" w:rsidRDefault="000D681A" w:rsidP="00D70DF5">
      <w:pPr>
        <w:jc w:val="center"/>
        <w:rPr>
          <w:rFonts w:ascii="Times New Roman" w:hAnsi="Times New Roman" w:cs="Times New Roman"/>
          <w:b/>
          <w:bCs/>
          <w:sz w:val="32"/>
          <w:szCs w:val="32"/>
        </w:rPr>
      </w:pPr>
      <w:r>
        <w:rPr>
          <w:rFonts w:ascii="Times New Roman" w:hAnsi="Times New Roman" w:cs="Times New Roman"/>
          <w:b/>
          <w:bCs/>
          <w:sz w:val="32"/>
          <w:szCs w:val="32"/>
        </w:rPr>
        <w:t xml:space="preserve">Student </w:t>
      </w:r>
      <w:r w:rsidR="004F51B2">
        <w:rPr>
          <w:rFonts w:ascii="Times New Roman" w:hAnsi="Times New Roman" w:cs="Times New Roman"/>
          <w:b/>
          <w:bCs/>
          <w:sz w:val="32"/>
          <w:szCs w:val="32"/>
        </w:rPr>
        <w:t>N</w:t>
      </w:r>
      <w:r>
        <w:rPr>
          <w:rFonts w:ascii="Times New Roman" w:hAnsi="Times New Roman" w:cs="Times New Roman"/>
          <w:b/>
          <w:bCs/>
          <w:sz w:val="32"/>
          <w:szCs w:val="32"/>
        </w:rPr>
        <w:t>ame :Nikhil Rai</w:t>
      </w:r>
    </w:p>
    <w:p w14:paraId="6488C720" w14:textId="484F805B" w:rsidR="000D681A" w:rsidRDefault="004F51B2" w:rsidP="00D70DF5">
      <w:pPr>
        <w:jc w:val="center"/>
        <w:rPr>
          <w:rFonts w:ascii="Times New Roman" w:hAnsi="Times New Roman" w:cs="Times New Roman"/>
          <w:b/>
          <w:bCs/>
          <w:sz w:val="32"/>
          <w:szCs w:val="32"/>
        </w:rPr>
      </w:pPr>
      <w:r>
        <w:rPr>
          <w:rFonts w:ascii="Times New Roman" w:hAnsi="Times New Roman" w:cs="Times New Roman"/>
          <w:b/>
          <w:bCs/>
          <w:sz w:val="32"/>
          <w:szCs w:val="32"/>
        </w:rPr>
        <w:t>S</w:t>
      </w:r>
      <w:r w:rsidR="000D681A">
        <w:rPr>
          <w:rFonts w:ascii="Times New Roman" w:hAnsi="Times New Roman" w:cs="Times New Roman"/>
          <w:b/>
          <w:bCs/>
          <w:sz w:val="32"/>
          <w:szCs w:val="32"/>
        </w:rPr>
        <w:t xml:space="preserve">tudent </w:t>
      </w:r>
      <w:r>
        <w:rPr>
          <w:rFonts w:ascii="Times New Roman" w:hAnsi="Times New Roman" w:cs="Times New Roman"/>
          <w:b/>
          <w:bCs/>
          <w:sz w:val="32"/>
          <w:szCs w:val="32"/>
        </w:rPr>
        <w:t>ID</w:t>
      </w:r>
      <w:r w:rsidR="000D681A">
        <w:rPr>
          <w:rFonts w:ascii="Times New Roman" w:hAnsi="Times New Roman" w:cs="Times New Roman"/>
          <w:b/>
          <w:bCs/>
          <w:sz w:val="32"/>
          <w:szCs w:val="32"/>
        </w:rPr>
        <w:t xml:space="preserve"> :</w:t>
      </w:r>
      <w:r w:rsidR="009742BE">
        <w:rPr>
          <w:rFonts w:ascii="Times New Roman" w:hAnsi="Times New Roman" w:cs="Times New Roman"/>
          <w:b/>
          <w:bCs/>
          <w:sz w:val="32"/>
          <w:szCs w:val="32"/>
        </w:rPr>
        <w:t>2511003</w:t>
      </w:r>
    </w:p>
    <w:p w14:paraId="5FAAA189" w14:textId="314E6071" w:rsidR="007F75D5" w:rsidRDefault="00FF4D01" w:rsidP="00D70DF5">
      <w:pPr>
        <w:jc w:val="center"/>
        <w:rPr>
          <w:rFonts w:ascii="Times New Roman" w:hAnsi="Times New Roman" w:cs="Times New Roman"/>
          <w:b/>
          <w:bCs/>
          <w:sz w:val="32"/>
          <w:szCs w:val="32"/>
        </w:rPr>
      </w:pPr>
      <w:r>
        <w:rPr>
          <w:rFonts w:ascii="Times New Roman" w:hAnsi="Times New Roman" w:cs="Times New Roman"/>
          <w:b/>
          <w:bCs/>
          <w:sz w:val="32"/>
          <w:szCs w:val="32"/>
        </w:rPr>
        <w:t>PROFESSOR</w:t>
      </w:r>
      <w:r w:rsidR="007F75D5">
        <w:rPr>
          <w:rFonts w:ascii="Times New Roman" w:hAnsi="Times New Roman" w:cs="Times New Roman"/>
          <w:b/>
          <w:bCs/>
          <w:sz w:val="32"/>
          <w:szCs w:val="32"/>
        </w:rPr>
        <w:t>:</w:t>
      </w:r>
      <w:r w:rsidR="00BF7ADA" w:rsidRPr="00BF7ADA">
        <w:rPr>
          <w:rFonts w:ascii="Times New Roman" w:hAnsi="Times New Roman" w:cs="Times New Roman"/>
          <w:b/>
          <w:bCs/>
          <w:sz w:val="32"/>
          <w:szCs w:val="32"/>
        </w:rPr>
        <w:t xml:space="preserve"> Alisdair Cunningham</w:t>
      </w:r>
    </w:p>
    <w:p w14:paraId="4CC9CACD" w14:textId="77777777" w:rsidR="00D70DF5" w:rsidRDefault="00D70DF5" w:rsidP="00D70DF5">
      <w:pPr>
        <w:jc w:val="center"/>
        <w:rPr>
          <w:rFonts w:ascii="Times New Roman" w:hAnsi="Times New Roman" w:cs="Times New Roman"/>
          <w:b/>
          <w:bCs/>
          <w:sz w:val="32"/>
          <w:szCs w:val="32"/>
        </w:rPr>
      </w:pPr>
    </w:p>
    <w:p w14:paraId="6A2DA99F" w14:textId="77777777" w:rsidR="00D70DF5" w:rsidRDefault="00D70DF5" w:rsidP="00D70DF5">
      <w:pPr>
        <w:jc w:val="center"/>
        <w:rPr>
          <w:rFonts w:ascii="Times New Roman" w:hAnsi="Times New Roman" w:cs="Times New Roman"/>
          <w:b/>
          <w:bCs/>
          <w:sz w:val="32"/>
          <w:szCs w:val="32"/>
        </w:rPr>
      </w:pPr>
    </w:p>
    <w:p w14:paraId="1988ED25" w14:textId="77777777" w:rsidR="00D70DF5" w:rsidRDefault="00D70DF5" w:rsidP="00D70DF5">
      <w:pPr>
        <w:jc w:val="center"/>
        <w:rPr>
          <w:rFonts w:ascii="Times New Roman" w:hAnsi="Times New Roman" w:cs="Times New Roman"/>
          <w:b/>
          <w:bCs/>
          <w:sz w:val="32"/>
          <w:szCs w:val="32"/>
        </w:rPr>
      </w:pPr>
    </w:p>
    <w:p w14:paraId="20F1F0D5" w14:textId="77777777" w:rsidR="00D70DF5" w:rsidRDefault="00D70DF5" w:rsidP="00D70DF5">
      <w:pPr>
        <w:jc w:val="center"/>
        <w:rPr>
          <w:rFonts w:ascii="Times New Roman" w:hAnsi="Times New Roman" w:cs="Times New Roman"/>
          <w:b/>
          <w:bCs/>
          <w:sz w:val="32"/>
          <w:szCs w:val="32"/>
        </w:rPr>
      </w:pPr>
    </w:p>
    <w:p w14:paraId="28919B7D" w14:textId="77777777" w:rsidR="00D70DF5" w:rsidRDefault="00D70DF5" w:rsidP="00D70DF5">
      <w:pPr>
        <w:jc w:val="center"/>
        <w:rPr>
          <w:rFonts w:ascii="Times New Roman" w:hAnsi="Times New Roman" w:cs="Times New Roman"/>
          <w:b/>
          <w:bCs/>
          <w:sz w:val="32"/>
          <w:szCs w:val="32"/>
        </w:rPr>
      </w:pPr>
    </w:p>
    <w:p w14:paraId="0722ADA9" w14:textId="05900129" w:rsidR="00D70DF5" w:rsidRPr="00D70DF5" w:rsidRDefault="009F598A" w:rsidP="00D70DF5">
      <w:pPr>
        <w:jc w:val="center"/>
        <w:rPr>
          <w:rFonts w:ascii="Times New Roman" w:hAnsi="Times New Roman" w:cs="Times New Roman"/>
          <w:b/>
          <w:bCs/>
          <w:sz w:val="32"/>
          <w:szCs w:val="32"/>
        </w:rPr>
      </w:pPr>
      <w:r w:rsidRPr="009F598A">
        <w:rPr>
          <w:rFonts w:ascii="Times New Roman" w:hAnsi="Times New Roman" w:cs="Times New Roman"/>
          <w:b/>
          <w:bCs/>
          <w:sz w:val="32"/>
          <w:szCs w:val="32"/>
        </w:rPr>
        <w:t xml:space="preserve">A CRITICAL EVALUATION OF THE ENVIRONMENTAL IMPACT ASSESSMENT METHODOLOGY FOR THE COED DARCY DEVELOPMENT </w:t>
      </w:r>
      <w:r w:rsidR="00D70DF5" w:rsidRPr="00D70DF5">
        <w:rPr>
          <w:rFonts w:ascii="Times New Roman" w:hAnsi="Times New Roman" w:cs="Times New Roman"/>
          <w:b/>
          <w:bCs/>
          <w:sz w:val="32"/>
          <w:szCs w:val="32"/>
        </w:rPr>
        <w:br w:type="page"/>
      </w:r>
    </w:p>
    <w:sdt>
      <w:sdtPr>
        <w:rPr>
          <w:rFonts w:ascii="Times New Roman" w:eastAsiaTheme="minorHAnsi" w:hAnsi="Times New Roman" w:cs="Times New Roman"/>
          <w:color w:val="auto"/>
          <w:kern w:val="2"/>
          <w:sz w:val="24"/>
          <w:szCs w:val="24"/>
          <w:lang w:val="en-IN"/>
          <w14:ligatures w14:val="standardContextual"/>
        </w:rPr>
        <w:id w:val="-1583827747"/>
        <w:docPartObj>
          <w:docPartGallery w:val="Table of Contents"/>
          <w:docPartUnique/>
        </w:docPartObj>
      </w:sdtPr>
      <w:sdtEndPr>
        <w:rPr>
          <w:b/>
          <w:bCs/>
          <w:noProof/>
        </w:rPr>
      </w:sdtEndPr>
      <w:sdtContent>
        <w:p w14:paraId="6990B84C" w14:textId="08E32EE9" w:rsidR="000A240F" w:rsidRPr="000A240F" w:rsidRDefault="000A240F" w:rsidP="000A240F">
          <w:pPr>
            <w:pStyle w:val="TOCHeading"/>
            <w:spacing w:line="360" w:lineRule="auto"/>
            <w:jc w:val="center"/>
            <w:rPr>
              <w:rFonts w:ascii="Times New Roman" w:hAnsi="Times New Roman" w:cs="Times New Roman"/>
              <w:b/>
              <w:bCs/>
              <w:color w:val="auto"/>
              <w:sz w:val="28"/>
              <w:szCs w:val="28"/>
            </w:rPr>
          </w:pPr>
          <w:r w:rsidRPr="000A240F">
            <w:rPr>
              <w:rFonts w:ascii="Times New Roman" w:hAnsi="Times New Roman" w:cs="Times New Roman"/>
              <w:b/>
              <w:bCs/>
              <w:color w:val="auto"/>
              <w:sz w:val="28"/>
              <w:szCs w:val="28"/>
            </w:rPr>
            <w:t>Table of Contents</w:t>
          </w:r>
        </w:p>
        <w:p w14:paraId="5F1731DF" w14:textId="131A1165"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r w:rsidRPr="000A240F">
            <w:rPr>
              <w:rFonts w:ascii="Times New Roman" w:hAnsi="Times New Roman" w:cs="Times New Roman"/>
              <w:sz w:val="24"/>
              <w:szCs w:val="24"/>
            </w:rPr>
            <w:fldChar w:fldCharType="begin"/>
          </w:r>
          <w:r w:rsidRPr="000A240F">
            <w:rPr>
              <w:rFonts w:ascii="Times New Roman" w:hAnsi="Times New Roman" w:cs="Times New Roman"/>
              <w:sz w:val="24"/>
              <w:szCs w:val="24"/>
            </w:rPr>
            <w:instrText xml:space="preserve"> TOC \o "1-3" \h \z \u </w:instrText>
          </w:r>
          <w:r w:rsidRPr="000A240F">
            <w:rPr>
              <w:rFonts w:ascii="Times New Roman" w:hAnsi="Times New Roman" w:cs="Times New Roman"/>
              <w:sz w:val="24"/>
              <w:szCs w:val="24"/>
            </w:rPr>
            <w:fldChar w:fldCharType="separate"/>
          </w:r>
          <w:hyperlink w:anchor="_Toc218108420" w:history="1">
            <w:r w:rsidRPr="000A240F">
              <w:rPr>
                <w:rStyle w:val="Hyperlink"/>
                <w:rFonts w:ascii="Times New Roman" w:hAnsi="Times New Roman" w:cs="Times New Roman"/>
                <w:noProof/>
                <w:sz w:val="24"/>
                <w:szCs w:val="24"/>
              </w:rPr>
              <w:t>1. Introduction</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_Toc218108420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3</w:t>
            </w:r>
            <w:r w:rsidRPr="000A240F">
              <w:rPr>
                <w:rFonts w:ascii="Times New Roman" w:hAnsi="Times New Roman" w:cs="Times New Roman"/>
                <w:noProof/>
                <w:webHidden/>
                <w:sz w:val="24"/>
                <w:szCs w:val="24"/>
              </w:rPr>
              <w:fldChar w:fldCharType="end"/>
            </w:r>
          </w:hyperlink>
        </w:p>
        <w:p w14:paraId="17E127E2" w14:textId="015D134D"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21" w:history="1">
            <w:r w:rsidRPr="000A240F">
              <w:rPr>
                <w:rStyle w:val="Hyperlink"/>
                <w:rFonts w:ascii="Times New Roman" w:hAnsi="Times New Roman" w:cs="Times New Roman"/>
                <w:noProof/>
                <w:sz w:val="24"/>
                <w:szCs w:val="24"/>
              </w:rPr>
              <w:t>2. Legislative, Policy and Best Practice Context</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_Toc218108421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3</w:t>
            </w:r>
            <w:r w:rsidRPr="000A240F">
              <w:rPr>
                <w:rFonts w:ascii="Times New Roman" w:hAnsi="Times New Roman" w:cs="Times New Roman"/>
                <w:noProof/>
                <w:webHidden/>
                <w:sz w:val="24"/>
                <w:szCs w:val="24"/>
              </w:rPr>
              <w:fldChar w:fldCharType="end"/>
            </w:r>
          </w:hyperlink>
        </w:p>
        <w:p w14:paraId="33C3C3D9" w14:textId="0370F1CE"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22" w:history="1">
            <w:r w:rsidRPr="000A240F">
              <w:rPr>
                <w:rStyle w:val="Hyperlink"/>
                <w:rFonts w:ascii="Times New Roman" w:hAnsi="Times New Roman" w:cs="Times New Roman"/>
                <w:noProof/>
                <w:sz w:val="24"/>
                <w:szCs w:val="24"/>
              </w:rPr>
              <w:t>3. Methodology for the Critique</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_Toc218108422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4</w:t>
            </w:r>
            <w:r w:rsidRPr="000A240F">
              <w:rPr>
                <w:rFonts w:ascii="Times New Roman" w:hAnsi="Times New Roman" w:cs="Times New Roman"/>
                <w:noProof/>
                <w:webHidden/>
                <w:sz w:val="24"/>
                <w:szCs w:val="24"/>
              </w:rPr>
              <w:fldChar w:fldCharType="end"/>
            </w:r>
          </w:hyperlink>
        </w:p>
        <w:p w14:paraId="783D1EE4" w14:textId="57DC7E98"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23" w:history="1">
            <w:r w:rsidRPr="000A240F">
              <w:rPr>
                <w:rStyle w:val="Hyperlink"/>
                <w:rFonts w:ascii="Times New Roman" w:hAnsi="Times New Roman" w:cs="Times New Roman"/>
                <w:noProof/>
                <w:sz w:val="24"/>
                <w:szCs w:val="24"/>
              </w:rPr>
              <w:t>4. Case Study Description</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_Toc218108423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5</w:t>
            </w:r>
            <w:r w:rsidRPr="000A240F">
              <w:rPr>
                <w:rFonts w:ascii="Times New Roman" w:hAnsi="Times New Roman" w:cs="Times New Roman"/>
                <w:noProof/>
                <w:webHidden/>
                <w:sz w:val="24"/>
                <w:szCs w:val="24"/>
              </w:rPr>
              <w:fldChar w:fldCharType="end"/>
            </w:r>
          </w:hyperlink>
        </w:p>
        <w:p w14:paraId="5BD70078" w14:textId="088FB62D"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24" w:history="1">
            <w:r w:rsidRPr="000A240F">
              <w:rPr>
                <w:rStyle w:val="Hyperlink"/>
                <w:rFonts w:ascii="Times New Roman" w:hAnsi="Times New Roman" w:cs="Times New Roman"/>
                <w:noProof/>
                <w:sz w:val="24"/>
                <w:szCs w:val="24"/>
              </w:rPr>
              <w:t>5. Findings of the EIA Review</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_Toc218108424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6</w:t>
            </w:r>
            <w:r w:rsidRPr="000A240F">
              <w:rPr>
                <w:rFonts w:ascii="Times New Roman" w:hAnsi="Times New Roman" w:cs="Times New Roman"/>
                <w:noProof/>
                <w:webHidden/>
                <w:sz w:val="24"/>
                <w:szCs w:val="24"/>
              </w:rPr>
              <w:fldChar w:fldCharType="end"/>
            </w:r>
          </w:hyperlink>
        </w:p>
        <w:p w14:paraId="6239EE4F" w14:textId="707B6038" w:rsidR="000A240F" w:rsidRPr="000A240F" w:rsidRDefault="000A240F" w:rsidP="000A240F">
          <w:pPr>
            <w:pStyle w:val="TOC2"/>
            <w:tabs>
              <w:tab w:val="right" w:leader="dot" w:pos="9016"/>
            </w:tabs>
            <w:spacing w:line="360" w:lineRule="auto"/>
            <w:jc w:val="center"/>
            <w:rPr>
              <w:rFonts w:ascii="Times New Roman" w:hAnsi="Times New Roman" w:cs="Times New Roman"/>
              <w:noProof/>
              <w:sz w:val="24"/>
              <w:szCs w:val="24"/>
            </w:rPr>
          </w:pPr>
          <w:hyperlink w:anchor="_Toc218108425" w:history="1">
            <w:r w:rsidRPr="000A240F">
              <w:rPr>
                <w:rStyle w:val="Hyperlink"/>
                <w:rFonts w:ascii="Times New Roman" w:eastAsiaTheme="majorEastAsia" w:hAnsi="Times New Roman" w:cs="Times New Roman"/>
                <w:noProof/>
                <w:sz w:val="24"/>
                <w:szCs w:val="24"/>
              </w:rPr>
              <w:t>5.1 Review Area A: Description of the Development, Environment and Scoping</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_Toc218108425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6</w:t>
            </w:r>
            <w:r w:rsidRPr="000A240F">
              <w:rPr>
                <w:rFonts w:ascii="Times New Roman" w:hAnsi="Times New Roman" w:cs="Times New Roman"/>
                <w:noProof/>
                <w:webHidden/>
                <w:sz w:val="24"/>
                <w:szCs w:val="24"/>
              </w:rPr>
              <w:fldChar w:fldCharType="end"/>
            </w:r>
          </w:hyperlink>
        </w:p>
        <w:p w14:paraId="63782A0F" w14:textId="221967AA" w:rsidR="000A240F" w:rsidRPr="000A240F" w:rsidRDefault="000A240F" w:rsidP="000A240F">
          <w:pPr>
            <w:pStyle w:val="TOC2"/>
            <w:tabs>
              <w:tab w:val="right" w:leader="dot" w:pos="9016"/>
            </w:tabs>
            <w:spacing w:line="360" w:lineRule="auto"/>
            <w:jc w:val="center"/>
            <w:rPr>
              <w:rFonts w:ascii="Times New Roman" w:hAnsi="Times New Roman" w:cs="Times New Roman"/>
              <w:noProof/>
              <w:sz w:val="24"/>
              <w:szCs w:val="24"/>
            </w:rPr>
          </w:pPr>
          <w:hyperlink w:anchor="_Toc218108426" w:history="1">
            <w:r w:rsidRPr="000A240F">
              <w:rPr>
                <w:rStyle w:val="Hyperlink"/>
                <w:rFonts w:ascii="Times New Roman" w:eastAsiaTheme="majorEastAsia" w:hAnsi="Times New Roman" w:cs="Times New Roman"/>
                <w:noProof/>
                <w:sz w:val="24"/>
                <w:szCs w:val="24"/>
              </w:rPr>
              <w:t>5.2 Review Area B: Impact Prediction and Evaluation</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_Toc218108426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7</w:t>
            </w:r>
            <w:r w:rsidRPr="000A240F">
              <w:rPr>
                <w:rFonts w:ascii="Times New Roman" w:hAnsi="Times New Roman" w:cs="Times New Roman"/>
                <w:noProof/>
                <w:webHidden/>
                <w:sz w:val="24"/>
                <w:szCs w:val="24"/>
              </w:rPr>
              <w:fldChar w:fldCharType="end"/>
            </w:r>
          </w:hyperlink>
        </w:p>
        <w:p w14:paraId="13F267BB" w14:textId="0622BEFE" w:rsidR="000A240F" w:rsidRPr="000A240F" w:rsidRDefault="000A240F" w:rsidP="000A240F">
          <w:pPr>
            <w:pStyle w:val="TOC2"/>
            <w:tabs>
              <w:tab w:val="right" w:leader="dot" w:pos="9016"/>
            </w:tabs>
            <w:spacing w:line="360" w:lineRule="auto"/>
            <w:jc w:val="center"/>
            <w:rPr>
              <w:rFonts w:ascii="Times New Roman" w:hAnsi="Times New Roman" w:cs="Times New Roman"/>
              <w:noProof/>
              <w:sz w:val="24"/>
              <w:szCs w:val="24"/>
            </w:rPr>
          </w:pPr>
          <w:hyperlink w:anchor="_Toc218108427" w:history="1">
            <w:r w:rsidRPr="000A240F">
              <w:rPr>
                <w:rStyle w:val="Hyperlink"/>
                <w:rFonts w:ascii="Times New Roman" w:eastAsiaTheme="majorEastAsia" w:hAnsi="Times New Roman" w:cs="Times New Roman"/>
                <w:noProof/>
                <w:sz w:val="24"/>
                <w:szCs w:val="24"/>
              </w:rPr>
              <w:t>5.3 Review Area C: Alternatives, Mitigation and Monitoring</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_Toc218108427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8</w:t>
            </w:r>
            <w:r w:rsidRPr="000A240F">
              <w:rPr>
                <w:rFonts w:ascii="Times New Roman" w:hAnsi="Times New Roman" w:cs="Times New Roman"/>
                <w:noProof/>
                <w:webHidden/>
                <w:sz w:val="24"/>
                <w:szCs w:val="24"/>
              </w:rPr>
              <w:fldChar w:fldCharType="end"/>
            </w:r>
          </w:hyperlink>
        </w:p>
        <w:p w14:paraId="55822216" w14:textId="4133243D" w:rsidR="000A240F" w:rsidRPr="000A240F" w:rsidRDefault="000A240F" w:rsidP="000A240F">
          <w:pPr>
            <w:pStyle w:val="TOC2"/>
            <w:tabs>
              <w:tab w:val="right" w:leader="dot" w:pos="9016"/>
            </w:tabs>
            <w:spacing w:line="360" w:lineRule="auto"/>
            <w:jc w:val="center"/>
            <w:rPr>
              <w:rFonts w:ascii="Times New Roman" w:hAnsi="Times New Roman" w:cs="Times New Roman"/>
              <w:noProof/>
              <w:sz w:val="24"/>
              <w:szCs w:val="24"/>
            </w:rPr>
          </w:pPr>
          <w:hyperlink w:anchor="_Toc218108428" w:history="1">
            <w:r w:rsidRPr="000A240F">
              <w:rPr>
                <w:rStyle w:val="Hyperlink"/>
                <w:rFonts w:ascii="Times New Roman" w:eastAsiaTheme="majorEastAsia" w:hAnsi="Times New Roman" w:cs="Times New Roman"/>
                <w:noProof/>
                <w:sz w:val="24"/>
                <w:szCs w:val="24"/>
              </w:rPr>
              <w:t>5.4 Review Area D: Presentation and Communication</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_Toc218108428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9</w:t>
            </w:r>
            <w:r w:rsidRPr="000A240F">
              <w:rPr>
                <w:rFonts w:ascii="Times New Roman" w:hAnsi="Times New Roman" w:cs="Times New Roman"/>
                <w:noProof/>
                <w:webHidden/>
                <w:sz w:val="24"/>
                <w:szCs w:val="24"/>
              </w:rPr>
              <w:fldChar w:fldCharType="end"/>
            </w:r>
          </w:hyperlink>
        </w:p>
        <w:p w14:paraId="7C6285D2" w14:textId="03E9A224"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29" w:history="1">
            <w:r w:rsidRPr="000A240F">
              <w:rPr>
                <w:rStyle w:val="Hyperlink"/>
                <w:rFonts w:ascii="Times New Roman" w:hAnsi="Times New Roman" w:cs="Times New Roman"/>
                <w:noProof/>
                <w:sz w:val="24"/>
                <w:szCs w:val="24"/>
              </w:rPr>
              <w:t>6. Discussion: Gaps Between Theory, Legislation and Practice</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_Toc218108429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10</w:t>
            </w:r>
            <w:r w:rsidRPr="000A240F">
              <w:rPr>
                <w:rFonts w:ascii="Times New Roman" w:hAnsi="Times New Roman" w:cs="Times New Roman"/>
                <w:noProof/>
                <w:webHidden/>
                <w:sz w:val="24"/>
                <w:szCs w:val="24"/>
              </w:rPr>
              <w:fldChar w:fldCharType="end"/>
            </w:r>
          </w:hyperlink>
        </w:p>
        <w:p w14:paraId="6AB4D5B4" w14:textId="0F5FEB77"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30" w:history="1">
            <w:r w:rsidRPr="000A240F">
              <w:rPr>
                <w:rStyle w:val="Hyperlink"/>
                <w:rFonts w:ascii="Times New Roman" w:hAnsi="Times New Roman" w:cs="Times New Roman"/>
                <w:noProof/>
                <w:sz w:val="24"/>
                <w:szCs w:val="24"/>
              </w:rPr>
              <w:t>7. Recommendations for Improvement</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_Toc218108430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12</w:t>
            </w:r>
            <w:r w:rsidRPr="000A240F">
              <w:rPr>
                <w:rFonts w:ascii="Times New Roman" w:hAnsi="Times New Roman" w:cs="Times New Roman"/>
                <w:noProof/>
                <w:webHidden/>
                <w:sz w:val="24"/>
                <w:szCs w:val="24"/>
              </w:rPr>
              <w:fldChar w:fldCharType="end"/>
            </w:r>
          </w:hyperlink>
        </w:p>
        <w:p w14:paraId="36774384" w14:textId="36858DAF"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31" w:history="1">
            <w:r w:rsidRPr="000A240F">
              <w:rPr>
                <w:rStyle w:val="Hyperlink"/>
                <w:rFonts w:ascii="Times New Roman" w:hAnsi="Times New Roman" w:cs="Times New Roman"/>
                <w:noProof/>
                <w:sz w:val="24"/>
                <w:szCs w:val="24"/>
              </w:rPr>
              <w:t>8. Conclusion</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_Toc218108431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13</w:t>
            </w:r>
            <w:r w:rsidRPr="000A240F">
              <w:rPr>
                <w:rFonts w:ascii="Times New Roman" w:hAnsi="Times New Roman" w:cs="Times New Roman"/>
                <w:noProof/>
                <w:webHidden/>
                <w:sz w:val="24"/>
                <w:szCs w:val="24"/>
              </w:rPr>
              <w:fldChar w:fldCharType="end"/>
            </w:r>
          </w:hyperlink>
        </w:p>
        <w:p w14:paraId="1865F2BA" w14:textId="5E99E140" w:rsidR="000A240F" w:rsidRPr="000A240F" w:rsidRDefault="000A240F" w:rsidP="000A240F">
          <w:pPr>
            <w:pStyle w:val="TOC1"/>
            <w:tabs>
              <w:tab w:val="right" w:leader="dot" w:pos="9016"/>
            </w:tabs>
            <w:spacing w:line="360" w:lineRule="auto"/>
            <w:jc w:val="center"/>
            <w:rPr>
              <w:rFonts w:ascii="Times New Roman" w:hAnsi="Times New Roman" w:cs="Times New Roman"/>
              <w:noProof/>
              <w:sz w:val="24"/>
              <w:szCs w:val="24"/>
            </w:rPr>
          </w:pPr>
          <w:hyperlink w:anchor="_Toc218108432" w:history="1">
            <w:r w:rsidRPr="000A240F">
              <w:rPr>
                <w:rStyle w:val="Hyperlink"/>
                <w:rFonts w:ascii="Times New Roman" w:hAnsi="Times New Roman" w:cs="Times New Roman"/>
                <w:noProof/>
                <w:sz w:val="24"/>
                <w:szCs w:val="24"/>
              </w:rPr>
              <w:t>Reference list</w:t>
            </w:r>
            <w:r w:rsidRPr="000A240F">
              <w:rPr>
                <w:rFonts w:ascii="Times New Roman" w:hAnsi="Times New Roman" w:cs="Times New Roman"/>
                <w:noProof/>
                <w:webHidden/>
                <w:sz w:val="24"/>
                <w:szCs w:val="24"/>
              </w:rPr>
              <w:tab/>
            </w:r>
            <w:r w:rsidRPr="000A240F">
              <w:rPr>
                <w:rFonts w:ascii="Times New Roman" w:hAnsi="Times New Roman" w:cs="Times New Roman"/>
                <w:noProof/>
                <w:webHidden/>
                <w:sz w:val="24"/>
                <w:szCs w:val="24"/>
              </w:rPr>
              <w:fldChar w:fldCharType="begin"/>
            </w:r>
            <w:r w:rsidRPr="000A240F">
              <w:rPr>
                <w:rFonts w:ascii="Times New Roman" w:hAnsi="Times New Roman" w:cs="Times New Roman"/>
                <w:noProof/>
                <w:webHidden/>
                <w:sz w:val="24"/>
                <w:szCs w:val="24"/>
              </w:rPr>
              <w:instrText xml:space="preserve"> PAGEREF _Toc218108432 \h </w:instrText>
            </w:r>
            <w:r w:rsidRPr="000A240F">
              <w:rPr>
                <w:rFonts w:ascii="Times New Roman" w:hAnsi="Times New Roman" w:cs="Times New Roman"/>
                <w:noProof/>
                <w:webHidden/>
                <w:sz w:val="24"/>
                <w:szCs w:val="24"/>
              </w:rPr>
            </w:r>
            <w:r w:rsidRPr="000A240F">
              <w:rPr>
                <w:rFonts w:ascii="Times New Roman" w:hAnsi="Times New Roman" w:cs="Times New Roman"/>
                <w:noProof/>
                <w:webHidden/>
                <w:sz w:val="24"/>
                <w:szCs w:val="24"/>
              </w:rPr>
              <w:fldChar w:fldCharType="separate"/>
            </w:r>
            <w:r w:rsidRPr="000A240F">
              <w:rPr>
                <w:rFonts w:ascii="Times New Roman" w:hAnsi="Times New Roman" w:cs="Times New Roman"/>
                <w:noProof/>
                <w:webHidden/>
                <w:sz w:val="24"/>
                <w:szCs w:val="24"/>
              </w:rPr>
              <w:t>15</w:t>
            </w:r>
            <w:r w:rsidRPr="000A240F">
              <w:rPr>
                <w:rFonts w:ascii="Times New Roman" w:hAnsi="Times New Roman" w:cs="Times New Roman"/>
                <w:noProof/>
                <w:webHidden/>
                <w:sz w:val="24"/>
                <w:szCs w:val="24"/>
              </w:rPr>
              <w:fldChar w:fldCharType="end"/>
            </w:r>
          </w:hyperlink>
        </w:p>
        <w:p w14:paraId="6FFB3956" w14:textId="50633488" w:rsidR="000A240F" w:rsidRDefault="000A240F" w:rsidP="000A240F">
          <w:pPr>
            <w:spacing w:line="360" w:lineRule="auto"/>
            <w:jc w:val="center"/>
          </w:pPr>
          <w:r w:rsidRPr="000A240F">
            <w:rPr>
              <w:rFonts w:ascii="Times New Roman" w:hAnsi="Times New Roman" w:cs="Times New Roman"/>
              <w:b/>
              <w:bCs/>
              <w:noProof/>
              <w:sz w:val="24"/>
              <w:szCs w:val="24"/>
            </w:rPr>
            <w:fldChar w:fldCharType="end"/>
          </w:r>
        </w:p>
      </w:sdtContent>
    </w:sdt>
    <w:p w14:paraId="204D6C84" w14:textId="77777777" w:rsidR="00D70DF5" w:rsidRDefault="00D70DF5">
      <w:pPr>
        <w:rPr>
          <w:rFonts w:ascii="Times New Roman" w:hAnsi="Times New Roman" w:cs="Times New Roman"/>
          <w:b/>
          <w:bCs/>
          <w:sz w:val="24"/>
          <w:szCs w:val="24"/>
        </w:rPr>
      </w:pPr>
      <w:r>
        <w:rPr>
          <w:rFonts w:ascii="Times New Roman" w:hAnsi="Times New Roman" w:cs="Times New Roman"/>
          <w:b/>
          <w:bCs/>
          <w:sz w:val="24"/>
          <w:szCs w:val="24"/>
        </w:rPr>
        <w:br w:type="page"/>
      </w:r>
    </w:p>
    <w:p w14:paraId="4BF99068" w14:textId="7506C8AC" w:rsidR="00BC7921" w:rsidRPr="00BC7921" w:rsidRDefault="00BC7921" w:rsidP="000A240F">
      <w:pPr>
        <w:pStyle w:val="Heading1"/>
      </w:pPr>
      <w:bookmarkStart w:id="0" w:name="_Toc218108420"/>
      <w:r w:rsidRPr="00BC7921">
        <w:lastRenderedPageBreak/>
        <w:t>1. Introduction</w:t>
      </w:r>
      <w:bookmarkEnd w:id="0"/>
    </w:p>
    <w:p w14:paraId="4025D2DE" w14:textId="06063CDC" w:rsidR="00BC7921" w:rsidRPr="00BC7921" w:rsidRDefault="002E3F69" w:rsidP="005978D1">
      <w:pPr>
        <w:spacing w:line="360" w:lineRule="auto"/>
        <w:jc w:val="both"/>
        <w:rPr>
          <w:rFonts w:ascii="Times New Roman" w:hAnsi="Times New Roman" w:cs="Times New Roman"/>
          <w:sz w:val="24"/>
          <w:szCs w:val="24"/>
        </w:rPr>
      </w:pPr>
      <w:r w:rsidRPr="002E3F69">
        <w:rPr>
          <w:rFonts w:ascii="Times New Roman" w:hAnsi="Times New Roman" w:cs="Times New Roman"/>
          <w:sz w:val="24"/>
          <w:szCs w:val="24"/>
        </w:rPr>
        <w:t>Environmental Impact Assessment (EIA) is an essential tool of environmental planning, which is meant to facilitate informed decision-making and sustainable development, by determining and appraising probable significant environmental impacts of proposed developments. Since its introduction via the European legislation, as well as its inclusion into the UK and Welsh planning systems, EIA has emerged as an obligatory procedure in any project that has the potential to produce major environmental effects. In spite of this, much scholarly literature still identifies shortcomings of EIA practice, such as lack of sufficiently methodological rigour, lack of consideration of alternatives, lack of transparency, and lack of alignment between legislative intent and practical execution</w:t>
      </w:r>
      <w:r w:rsidR="00BC7921" w:rsidRPr="00BC7921">
        <w:rPr>
          <w:rFonts w:ascii="Times New Roman" w:hAnsi="Times New Roman" w:cs="Times New Roman"/>
          <w:sz w:val="24"/>
          <w:szCs w:val="24"/>
        </w:rPr>
        <w:t>.</w:t>
      </w:r>
    </w:p>
    <w:p w14:paraId="517A78B3" w14:textId="77777777" w:rsidR="002E3F69" w:rsidRDefault="002E3F69" w:rsidP="005978D1">
      <w:pPr>
        <w:spacing w:line="360" w:lineRule="auto"/>
        <w:jc w:val="both"/>
        <w:rPr>
          <w:rFonts w:ascii="Times New Roman" w:hAnsi="Times New Roman" w:cs="Times New Roman"/>
          <w:sz w:val="24"/>
          <w:szCs w:val="24"/>
        </w:rPr>
      </w:pPr>
      <w:r w:rsidRPr="002E3F69">
        <w:rPr>
          <w:rFonts w:ascii="Times New Roman" w:hAnsi="Times New Roman" w:cs="Times New Roman"/>
          <w:sz w:val="24"/>
          <w:szCs w:val="24"/>
        </w:rPr>
        <w:t xml:space="preserve">This report is a critical assessment of the Environmental Impact Assessment technique used in the Coed Darcy development, a strategic regeneration project that is a large scale, housing-driven development in Neath Port Talbot, Wales. The evaluation is based on the quality and effectiveness of the EIA process as opposed to the environmental effects of the development per se. The Coed Darcy Environmental Statement, which was developed based on the Town and Country Planning (Environmental Impact Assessment) (Wales) Regulations 2017, presents a modern case study in the context of which it is possible to discuss the implementation of the EIA theory and legislation and best practices. </w:t>
      </w:r>
    </w:p>
    <w:p w14:paraId="58356F7E" w14:textId="62754D8E" w:rsidR="00632EEC" w:rsidRPr="005978D1" w:rsidRDefault="002E3F69" w:rsidP="005978D1">
      <w:pPr>
        <w:spacing w:line="360" w:lineRule="auto"/>
        <w:jc w:val="both"/>
        <w:rPr>
          <w:rFonts w:ascii="Times New Roman" w:hAnsi="Times New Roman" w:cs="Times New Roman"/>
          <w:sz w:val="24"/>
          <w:szCs w:val="24"/>
        </w:rPr>
      </w:pPr>
      <w:r w:rsidRPr="002E3F69">
        <w:rPr>
          <w:rFonts w:ascii="Times New Roman" w:hAnsi="Times New Roman" w:cs="Times New Roman"/>
          <w:sz w:val="24"/>
          <w:szCs w:val="24"/>
        </w:rPr>
        <w:t>The review takes the Lee and Colley (1990) Review Package to critically examine the strength, openness and uniformity of the EIA methodology. Comparing practice to legislative requirements, professional advice and academic theory, this report establishes the key strengths, weaknesses and areas of improvement in modern EIA practice.</w:t>
      </w:r>
    </w:p>
    <w:p w14:paraId="21BD7DF7" w14:textId="02974D9E" w:rsidR="00BC7921" w:rsidRPr="00BC7921" w:rsidRDefault="00BC7921" w:rsidP="000A240F">
      <w:pPr>
        <w:pStyle w:val="Heading1"/>
      </w:pPr>
      <w:bookmarkStart w:id="1" w:name="_Toc218108421"/>
      <w:r w:rsidRPr="00BC7921">
        <w:t>2. Legislative, Policy and Best Practice Context</w:t>
      </w:r>
      <w:bookmarkEnd w:id="1"/>
    </w:p>
    <w:p w14:paraId="7D962DC4" w14:textId="239063D7" w:rsidR="00BC7921" w:rsidRP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 xml:space="preserve">Environmental Impact Assessment (EIA) is carried out through a clear legislative and policy framework that is supposed to work towards the systematic incorporation of environmental considerations into the development planning process. In the UK, the main legislative device is the Town and Country Planning (Environmental Impact Assessment) Regulations 2017 that adapts the provisions of the European Union’s EIA Directive 2011/92/EU, as amended by the European Union Directive 2014/52/EU, into the national legislation. Though UK is not in the EU anymore, the fundamental provisions of these directives still form the basis of national EIA </w:t>
      </w:r>
      <w:r w:rsidRPr="00CD71F7">
        <w:rPr>
          <w:rFonts w:ascii="Times New Roman" w:hAnsi="Times New Roman" w:cs="Times New Roman"/>
          <w:sz w:val="24"/>
          <w:szCs w:val="24"/>
        </w:rPr>
        <w:lastRenderedPageBreak/>
        <w:t xml:space="preserve">practice (Glasson et al., 2020). </w:t>
      </w:r>
      <w:r w:rsidR="002E3F69" w:rsidRPr="002E3F69">
        <w:rPr>
          <w:rFonts w:ascii="Times New Roman" w:hAnsi="Times New Roman" w:cs="Times New Roman"/>
          <w:sz w:val="24"/>
          <w:szCs w:val="24"/>
        </w:rPr>
        <w:t xml:space="preserve">The Environmental Impact Assessments in Wales are conducted by the regulations of the Town and Country Planning (Environmental Impact Assessment) (Wales) Regulations 2017, according to which the Environmental Statement to the Coed Darcy development was developed. </w:t>
      </w:r>
      <w:r w:rsidRPr="00CD71F7">
        <w:rPr>
          <w:rFonts w:ascii="Times New Roman" w:hAnsi="Times New Roman" w:cs="Times New Roman"/>
          <w:sz w:val="24"/>
          <w:szCs w:val="24"/>
        </w:rPr>
        <w:t>The Regulations propose a set of procedural steps, which should be considered as screening, scoping, an Environmental Statement (ES) preparation, publication, consultation, and reasonable alternatives. They also note the necessity of relative baseline measurements, open methodology, significant effects identification, and sound participation of the people</w:t>
      </w:r>
      <w:r w:rsidR="00BC7921" w:rsidRPr="00BC7921">
        <w:rPr>
          <w:rFonts w:ascii="Times New Roman" w:hAnsi="Times New Roman" w:cs="Times New Roman"/>
          <w:sz w:val="24"/>
          <w:szCs w:val="24"/>
        </w:rPr>
        <w:t>.</w:t>
      </w:r>
    </w:p>
    <w:p w14:paraId="4ECED5C6" w14:textId="64B277DA" w:rsidR="00BC7921" w:rsidRP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In addition to legislation, best practice guidance can be used to form an opinion of what an effective EIA entails. The Institute of Environmental Management and Assessment (IEMA) is a professional organisation that has also formulated widely known rules, such as IEMA EIA Quality Mark and the consideration of proportionate assessment, significance assessment, or climate considerations (IEMA, 2022). Effectiveness, transparency, and integration of sustainability outcomes are also reinforced by the international association of impact assessment (IAIA, 2020). According to these organisations, EIA is not just a mandatory procedural measure but must actually contribute to project design and decision-making</w:t>
      </w:r>
      <w:r w:rsidR="00BC7921" w:rsidRPr="00BC7921">
        <w:rPr>
          <w:rFonts w:ascii="Times New Roman" w:hAnsi="Times New Roman" w:cs="Times New Roman"/>
          <w:sz w:val="24"/>
          <w:szCs w:val="24"/>
        </w:rPr>
        <w:t>.</w:t>
      </w:r>
    </w:p>
    <w:p w14:paraId="6FEBD934" w14:textId="6D86AA10" w:rsid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The scholarly sources can give further understanding of the advantages and drawbacks of EIA practice. According to scholars like Glasson et al. (2019) and Morgan (2012), the research still faces such issues as inconsistent methodology soundness, poor alternative evaluation, ineffective cumulative effects review, and lack of follow-up systems. This is evidenced in the literature where it is observed that there exists a disconnection between the regulatory purpose of EIA and its practical application and is usually due to the lack of resources, uneven professional standards, and the effects of political or economic pressures (Jay et al., 2007). The public involvement even though stipulated by law is often attacked as token or ill-timed</w:t>
      </w:r>
      <w:r>
        <w:rPr>
          <w:rFonts w:ascii="Times New Roman" w:hAnsi="Times New Roman" w:cs="Times New Roman"/>
          <w:sz w:val="24"/>
          <w:szCs w:val="24"/>
        </w:rPr>
        <w:t xml:space="preserve"> </w:t>
      </w:r>
      <w:r w:rsidR="00BC7921" w:rsidRPr="00BC7921">
        <w:rPr>
          <w:rFonts w:ascii="Times New Roman" w:hAnsi="Times New Roman" w:cs="Times New Roman"/>
          <w:sz w:val="24"/>
          <w:szCs w:val="24"/>
        </w:rPr>
        <w:t>(Cashmore et al., 2009).</w:t>
      </w:r>
    </w:p>
    <w:p w14:paraId="5849FFB0" w14:textId="099750B8" w:rsidR="00A57EAF" w:rsidRDefault="00A57EAF" w:rsidP="00A57EAF">
      <w:pPr>
        <w:spacing w:line="360" w:lineRule="auto"/>
        <w:jc w:val="center"/>
        <w:rPr>
          <w:rFonts w:ascii="Times New Roman" w:hAnsi="Times New Roman" w:cs="Times New Roman"/>
          <w:sz w:val="24"/>
          <w:szCs w:val="24"/>
        </w:rPr>
      </w:pPr>
      <w:r>
        <w:rPr>
          <w:noProof/>
        </w:rPr>
        <w:drawing>
          <wp:inline distT="0" distB="0" distL="0" distR="0" wp14:anchorId="3C14359D" wp14:editId="505C8CED">
            <wp:extent cx="2705100" cy="1689100"/>
            <wp:effectExtent l="0" t="0" r="0" b="6350"/>
            <wp:docPr id="837121099" name="Picture 1" descr="Environmental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vironmental Stat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5100" cy="1689100"/>
                    </a:xfrm>
                    <a:prstGeom prst="rect">
                      <a:avLst/>
                    </a:prstGeom>
                    <a:noFill/>
                    <a:ln>
                      <a:noFill/>
                    </a:ln>
                  </pic:spPr>
                </pic:pic>
              </a:graphicData>
            </a:graphic>
          </wp:inline>
        </w:drawing>
      </w:r>
    </w:p>
    <w:p w14:paraId="6104F912" w14:textId="2FC56291" w:rsidR="00A57EAF" w:rsidRDefault="00A57EAF" w:rsidP="00A57EAF">
      <w:pPr>
        <w:spacing w:line="360" w:lineRule="auto"/>
        <w:jc w:val="center"/>
        <w:rPr>
          <w:rFonts w:ascii="Times New Roman" w:hAnsi="Times New Roman" w:cs="Times New Roman"/>
          <w:b/>
          <w:bCs/>
          <w:sz w:val="24"/>
          <w:szCs w:val="24"/>
        </w:rPr>
      </w:pPr>
      <w:r w:rsidRPr="00A57EAF">
        <w:rPr>
          <w:rFonts w:ascii="Times New Roman" w:hAnsi="Times New Roman" w:cs="Times New Roman"/>
          <w:b/>
          <w:bCs/>
          <w:sz w:val="24"/>
          <w:szCs w:val="24"/>
        </w:rPr>
        <w:lastRenderedPageBreak/>
        <w:t>Figure 1: Coed Darcy Environmental Statement</w:t>
      </w:r>
    </w:p>
    <w:p w14:paraId="333CF5B6" w14:textId="307D40C5" w:rsidR="00A57EAF" w:rsidRPr="00A57EAF" w:rsidRDefault="00A57EAF" w:rsidP="00A57EAF">
      <w:pPr>
        <w:spacing w:line="360" w:lineRule="auto"/>
        <w:jc w:val="center"/>
        <w:rPr>
          <w:rFonts w:ascii="Times New Roman" w:hAnsi="Times New Roman" w:cs="Times New Roman"/>
          <w:sz w:val="24"/>
          <w:szCs w:val="24"/>
        </w:rPr>
      </w:pPr>
      <w:r w:rsidRPr="00A57EAF">
        <w:rPr>
          <w:rFonts w:ascii="Times New Roman" w:hAnsi="Times New Roman" w:cs="Times New Roman"/>
          <w:sz w:val="24"/>
          <w:szCs w:val="24"/>
        </w:rPr>
        <w:t>(Source: Glasson et al. 2019)</w:t>
      </w:r>
    </w:p>
    <w:p w14:paraId="06BB6AA6" w14:textId="1D0D3B20" w:rsidR="00BC7921" w:rsidRPr="005978D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Collectively these legislative, policy and scholarly views provide the benchmarks of evaluation of this review. They do not only talk about the expectations of compliance of the procedure, they also talk about the general conceptual purpose of the EIA as a means of developing sustainable development. These standards and the Lee and Colley (1990) Review Package are applied to critically evaluate the quality and effectiveness of the EIA that was conducted in the chosen project in the following sections</w:t>
      </w:r>
      <w:r w:rsidR="00BC7921" w:rsidRPr="00BC7921">
        <w:rPr>
          <w:rFonts w:ascii="Times New Roman" w:hAnsi="Times New Roman" w:cs="Times New Roman"/>
          <w:sz w:val="24"/>
          <w:szCs w:val="24"/>
        </w:rPr>
        <w:t>.</w:t>
      </w:r>
    </w:p>
    <w:p w14:paraId="4E72FE7E" w14:textId="0E100F21" w:rsidR="00BC7921" w:rsidRPr="00BC7921" w:rsidRDefault="00BC7921" w:rsidP="000A240F">
      <w:pPr>
        <w:pStyle w:val="Heading1"/>
      </w:pPr>
      <w:bookmarkStart w:id="2" w:name="_Toc218108422"/>
      <w:r w:rsidRPr="00BC7921">
        <w:t>3. Methodology for the Critique</w:t>
      </w:r>
      <w:bookmarkEnd w:id="2"/>
    </w:p>
    <w:p w14:paraId="2C99F9AC" w14:textId="055ED2B4" w:rsidR="00BC7921" w:rsidRP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 xml:space="preserve">This requires a systematic and defensible method of reviewing the quality of an Environmental Impact Assessment (EIA). The Lee and Colley (1990) Review Package is used in this report as an adopted framework of EIA quality review used in both academic and professional context. The reason why it has survived and is widely used is because it was designed in a structured and hierarchical format allowing a consistent assessment of how well an Environmental Statement (ES) has addressed the expectations of the legislation and best practice </w:t>
      </w:r>
      <w:r w:rsidR="00BC7921" w:rsidRPr="00BC7921">
        <w:rPr>
          <w:rFonts w:ascii="Times New Roman" w:hAnsi="Times New Roman" w:cs="Times New Roman"/>
          <w:sz w:val="24"/>
          <w:szCs w:val="24"/>
        </w:rPr>
        <w:t>(Glasson et al., 2019; Morgan, 2012).</w:t>
      </w:r>
    </w:p>
    <w:p w14:paraId="2A0C036B" w14:textId="77777777" w:rsidR="00BC7921" w:rsidRPr="00BC7921" w:rsidRDefault="00BC792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The Lee and Colley method divides the review into four principal </w:t>
      </w:r>
      <w:r w:rsidRPr="00BC7921">
        <w:rPr>
          <w:rFonts w:ascii="Times New Roman" w:hAnsi="Times New Roman" w:cs="Times New Roman"/>
          <w:b/>
          <w:bCs/>
          <w:sz w:val="24"/>
          <w:szCs w:val="24"/>
        </w:rPr>
        <w:t>Review Areas</w:t>
      </w:r>
      <w:r w:rsidRPr="00BC7921">
        <w:rPr>
          <w:rFonts w:ascii="Times New Roman" w:hAnsi="Times New Roman" w:cs="Times New Roman"/>
          <w:sz w:val="24"/>
          <w:szCs w:val="24"/>
        </w:rPr>
        <w:t>:</w:t>
      </w:r>
    </w:p>
    <w:p w14:paraId="29EBE1BC" w14:textId="77777777" w:rsidR="00BC7921" w:rsidRPr="00BC7921" w:rsidRDefault="00BC7921" w:rsidP="005978D1">
      <w:pPr>
        <w:numPr>
          <w:ilvl w:val="0"/>
          <w:numId w:val="1"/>
        </w:numPr>
        <w:spacing w:line="360" w:lineRule="auto"/>
        <w:jc w:val="both"/>
        <w:rPr>
          <w:rFonts w:ascii="Times New Roman" w:hAnsi="Times New Roman" w:cs="Times New Roman"/>
          <w:sz w:val="24"/>
          <w:szCs w:val="24"/>
        </w:rPr>
      </w:pPr>
      <w:r w:rsidRPr="00BC7921">
        <w:rPr>
          <w:rFonts w:ascii="Times New Roman" w:hAnsi="Times New Roman" w:cs="Times New Roman"/>
          <w:b/>
          <w:bCs/>
          <w:sz w:val="24"/>
          <w:szCs w:val="24"/>
        </w:rPr>
        <w:t>A:</w:t>
      </w:r>
      <w:r w:rsidRPr="00BC7921">
        <w:rPr>
          <w:rFonts w:ascii="Times New Roman" w:hAnsi="Times New Roman" w:cs="Times New Roman"/>
          <w:sz w:val="24"/>
          <w:szCs w:val="24"/>
        </w:rPr>
        <w:t xml:space="preserve"> Description of the development, the environment, and scoping;</w:t>
      </w:r>
    </w:p>
    <w:p w14:paraId="593FB62C" w14:textId="77777777" w:rsidR="00BC7921" w:rsidRPr="00BC7921" w:rsidRDefault="00BC7921" w:rsidP="005978D1">
      <w:pPr>
        <w:numPr>
          <w:ilvl w:val="0"/>
          <w:numId w:val="1"/>
        </w:numPr>
        <w:spacing w:line="360" w:lineRule="auto"/>
        <w:jc w:val="both"/>
        <w:rPr>
          <w:rFonts w:ascii="Times New Roman" w:hAnsi="Times New Roman" w:cs="Times New Roman"/>
          <w:sz w:val="24"/>
          <w:szCs w:val="24"/>
        </w:rPr>
      </w:pPr>
      <w:r w:rsidRPr="00BC7921">
        <w:rPr>
          <w:rFonts w:ascii="Times New Roman" w:hAnsi="Times New Roman" w:cs="Times New Roman"/>
          <w:b/>
          <w:bCs/>
          <w:sz w:val="24"/>
          <w:szCs w:val="24"/>
        </w:rPr>
        <w:t>B:</w:t>
      </w:r>
      <w:r w:rsidRPr="00BC7921">
        <w:rPr>
          <w:rFonts w:ascii="Times New Roman" w:hAnsi="Times New Roman" w:cs="Times New Roman"/>
          <w:sz w:val="24"/>
          <w:szCs w:val="24"/>
        </w:rPr>
        <w:t xml:space="preserve"> Impact identification, prediction and evaluation;</w:t>
      </w:r>
    </w:p>
    <w:p w14:paraId="7C3C9DC2" w14:textId="77777777" w:rsidR="00BC7921" w:rsidRPr="00BC7921" w:rsidRDefault="00BC7921" w:rsidP="005978D1">
      <w:pPr>
        <w:numPr>
          <w:ilvl w:val="0"/>
          <w:numId w:val="1"/>
        </w:numPr>
        <w:spacing w:line="360" w:lineRule="auto"/>
        <w:jc w:val="both"/>
        <w:rPr>
          <w:rFonts w:ascii="Times New Roman" w:hAnsi="Times New Roman" w:cs="Times New Roman"/>
          <w:sz w:val="24"/>
          <w:szCs w:val="24"/>
        </w:rPr>
      </w:pPr>
      <w:r w:rsidRPr="00BC7921">
        <w:rPr>
          <w:rFonts w:ascii="Times New Roman" w:hAnsi="Times New Roman" w:cs="Times New Roman"/>
          <w:b/>
          <w:bCs/>
          <w:sz w:val="24"/>
          <w:szCs w:val="24"/>
        </w:rPr>
        <w:t>C:</w:t>
      </w:r>
      <w:r w:rsidRPr="00BC7921">
        <w:rPr>
          <w:rFonts w:ascii="Times New Roman" w:hAnsi="Times New Roman" w:cs="Times New Roman"/>
          <w:sz w:val="24"/>
          <w:szCs w:val="24"/>
        </w:rPr>
        <w:t xml:space="preserve"> Alternatives, mitigation measures, and monitoring provisions;</w:t>
      </w:r>
    </w:p>
    <w:p w14:paraId="3C7D0B45" w14:textId="77777777" w:rsidR="00BC7921" w:rsidRPr="00BC7921" w:rsidRDefault="00BC7921" w:rsidP="005978D1">
      <w:pPr>
        <w:numPr>
          <w:ilvl w:val="0"/>
          <w:numId w:val="1"/>
        </w:numPr>
        <w:spacing w:line="360" w:lineRule="auto"/>
        <w:jc w:val="both"/>
        <w:rPr>
          <w:rFonts w:ascii="Times New Roman" w:hAnsi="Times New Roman" w:cs="Times New Roman"/>
          <w:sz w:val="24"/>
          <w:szCs w:val="24"/>
        </w:rPr>
      </w:pPr>
      <w:r w:rsidRPr="00BC7921">
        <w:rPr>
          <w:rFonts w:ascii="Times New Roman" w:hAnsi="Times New Roman" w:cs="Times New Roman"/>
          <w:b/>
          <w:bCs/>
          <w:sz w:val="24"/>
          <w:szCs w:val="24"/>
        </w:rPr>
        <w:t>D:</w:t>
      </w:r>
      <w:r w:rsidRPr="00BC7921">
        <w:rPr>
          <w:rFonts w:ascii="Times New Roman" w:hAnsi="Times New Roman" w:cs="Times New Roman"/>
          <w:sz w:val="24"/>
          <w:szCs w:val="24"/>
        </w:rPr>
        <w:t xml:space="preserve"> Presentation, communication, and overall quality of the ES.</w:t>
      </w:r>
    </w:p>
    <w:p w14:paraId="24263035" w14:textId="743177BF" w:rsidR="00BC7921" w:rsidRP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 xml:space="preserve">Every Review Area is further subdivided into a row of Review Categories and Sub-categories, which allows one to have a more detailed evaluation of the technical soundness and clarity of the EIA. This level of organization enables the particular gaps to be determined and the way in which these gaps are impacting the effectiveness of the EIA process in general (Lee et al., 1999). The approach also allows comparing it with the expectations provided in legislation including the EIA Regulations 2017 and professional guidelines including the IEMA principles of effective practice </w:t>
      </w:r>
      <w:r w:rsidR="00BC7921" w:rsidRPr="00BC7921">
        <w:rPr>
          <w:rFonts w:ascii="Times New Roman" w:hAnsi="Times New Roman" w:cs="Times New Roman"/>
          <w:sz w:val="24"/>
          <w:szCs w:val="24"/>
        </w:rPr>
        <w:t>(IEMA, 2022).</w:t>
      </w:r>
    </w:p>
    <w:p w14:paraId="6814286F" w14:textId="583BB5F9" w:rsidR="00BC7921" w:rsidRP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lastRenderedPageBreak/>
        <w:t>The performance of each Sub-category is summed up with the help of the standard Lee and Colley grading scale (ranging A</w:t>
      </w:r>
      <w:r w:rsidR="002E3F69">
        <w:rPr>
          <w:rFonts w:ascii="Times New Roman" w:hAnsi="Times New Roman" w:cs="Times New Roman"/>
          <w:sz w:val="24"/>
          <w:szCs w:val="24"/>
        </w:rPr>
        <w:t xml:space="preserve"> </w:t>
      </w:r>
      <w:r w:rsidRPr="00CD71F7">
        <w:rPr>
          <w:rFonts w:ascii="Times New Roman" w:hAnsi="Times New Roman" w:cs="Times New Roman"/>
          <w:sz w:val="24"/>
          <w:szCs w:val="24"/>
        </w:rPr>
        <w:t>(well performed) to F(very unsatisfactory). The grades have been arrived at after reviewing all the available documents related with the case study such as the Environmental Statement, Non-Technical Summary, technical appendices, and other materials related to the planning authority</w:t>
      </w:r>
      <w:r w:rsidR="00BC7921" w:rsidRPr="00BC7921">
        <w:rPr>
          <w:rFonts w:ascii="Times New Roman" w:hAnsi="Times New Roman" w:cs="Times New Roman"/>
          <w:sz w:val="24"/>
          <w:szCs w:val="24"/>
        </w:rPr>
        <w:t>.</w:t>
      </w:r>
    </w:p>
    <w:p w14:paraId="68601997" w14:textId="7AB8DC25" w:rsidR="00BC7921" w:rsidRP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Although the procedure is strict, it is not devoid of weaknesses such as the fact that it uses documentary evidence as opposed to post-consent findings. However, it is a very suitable evaluative instrument to use in the postgraduate level critique of EIA owing to its transparency, repeatability and good academic grounds</w:t>
      </w:r>
      <w:r w:rsidR="00BC7921" w:rsidRPr="00BC7921">
        <w:rPr>
          <w:rFonts w:ascii="Times New Roman" w:hAnsi="Times New Roman" w:cs="Times New Roman"/>
          <w:sz w:val="24"/>
          <w:szCs w:val="24"/>
        </w:rPr>
        <w:t>.</w:t>
      </w:r>
    </w:p>
    <w:p w14:paraId="6334CEFB" w14:textId="26B6D9C7" w:rsidR="00BC7921" w:rsidRPr="00BC7921" w:rsidRDefault="00BC7921" w:rsidP="000A240F">
      <w:pPr>
        <w:pStyle w:val="Heading1"/>
      </w:pPr>
      <w:bookmarkStart w:id="3" w:name="_Toc218108423"/>
      <w:r w:rsidRPr="00BC7921">
        <w:t>4. Case Study Description</w:t>
      </w:r>
      <w:bookmarkEnd w:id="3"/>
    </w:p>
    <w:p w14:paraId="020F9272" w14:textId="4DC208A3" w:rsidR="00BC7921" w:rsidRDefault="002E3F69" w:rsidP="005978D1">
      <w:pPr>
        <w:spacing w:line="360" w:lineRule="auto"/>
        <w:jc w:val="both"/>
        <w:rPr>
          <w:rFonts w:ascii="Times New Roman" w:hAnsi="Times New Roman" w:cs="Times New Roman"/>
          <w:sz w:val="24"/>
          <w:szCs w:val="24"/>
        </w:rPr>
      </w:pPr>
      <w:r w:rsidRPr="002E3F69">
        <w:rPr>
          <w:rFonts w:ascii="Times New Roman" w:hAnsi="Times New Roman" w:cs="Times New Roman"/>
          <w:sz w:val="24"/>
          <w:szCs w:val="24"/>
        </w:rPr>
        <w:t>The Environmental Impact Assessment (EIA) that is discussed in this report is connected to Coed Darcy development which is a large-scale, housing-based strategic regeneration project in the city of Neath Port Talbot, South Wales. The location has a total area of about 126.5 hectares of mainly brownfield, which used to be used as an oil refinery and it is a Strategic Regeneration Area of the Neath Port Talbot Local Development Plan. The plan is the anticipated development, which is advertised in an outline planning application and will consist of up to 2,000 residential houses, educational, business and work background, open space, transportation, and related engineering and landscaping activities</w:t>
      </w:r>
      <w:r w:rsidR="00BC7921" w:rsidRPr="00BC7921">
        <w:rPr>
          <w:rFonts w:ascii="Times New Roman" w:hAnsi="Times New Roman" w:cs="Times New Roman"/>
          <w:sz w:val="24"/>
          <w:szCs w:val="24"/>
        </w:rPr>
        <w:t>.</w:t>
      </w:r>
    </w:p>
    <w:p w14:paraId="5AED8DD0" w14:textId="5DB79690" w:rsidR="00A57EAF" w:rsidRDefault="00A57EAF" w:rsidP="00A57EAF">
      <w:pPr>
        <w:spacing w:line="360" w:lineRule="auto"/>
        <w:jc w:val="center"/>
        <w:rPr>
          <w:rFonts w:ascii="Times New Roman" w:hAnsi="Times New Roman" w:cs="Times New Roman"/>
          <w:sz w:val="24"/>
          <w:szCs w:val="24"/>
        </w:rPr>
      </w:pPr>
      <w:r>
        <w:rPr>
          <w:noProof/>
        </w:rPr>
        <w:drawing>
          <wp:inline distT="0" distB="0" distL="0" distR="0" wp14:anchorId="743D129E" wp14:editId="2353B79C">
            <wp:extent cx="2819400" cy="1619250"/>
            <wp:effectExtent l="0" t="0" r="0" b="0"/>
            <wp:docPr id="1936671296" name="Picture 2" descr="Coed Darcy Urban Village | Cumm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ed Darcy Urban Village | Cumming Grou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9400" cy="1619250"/>
                    </a:xfrm>
                    <a:prstGeom prst="rect">
                      <a:avLst/>
                    </a:prstGeom>
                    <a:noFill/>
                    <a:ln>
                      <a:noFill/>
                    </a:ln>
                  </pic:spPr>
                </pic:pic>
              </a:graphicData>
            </a:graphic>
          </wp:inline>
        </w:drawing>
      </w:r>
    </w:p>
    <w:p w14:paraId="2037F2E3" w14:textId="6619EDD1" w:rsidR="00A57EAF" w:rsidRPr="00A57EAF" w:rsidRDefault="00A57EAF" w:rsidP="00A57EAF">
      <w:pPr>
        <w:spacing w:line="360" w:lineRule="auto"/>
        <w:jc w:val="center"/>
        <w:rPr>
          <w:rFonts w:ascii="Times New Roman" w:hAnsi="Times New Roman" w:cs="Times New Roman"/>
          <w:b/>
          <w:bCs/>
          <w:sz w:val="24"/>
          <w:szCs w:val="24"/>
        </w:rPr>
      </w:pPr>
      <w:r w:rsidRPr="00A57EAF">
        <w:rPr>
          <w:rFonts w:ascii="Times New Roman" w:hAnsi="Times New Roman" w:cs="Times New Roman"/>
          <w:b/>
          <w:bCs/>
          <w:sz w:val="24"/>
          <w:szCs w:val="24"/>
        </w:rPr>
        <w:t>Figure 2: Coed Darcy Urban village</w:t>
      </w:r>
    </w:p>
    <w:p w14:paraId="2DB7792A" w14:textId="7B16BBEE" w:rsidR="00A57EAF" w:rsidRDefault="00A57EAF" w:rsidP="00A57EA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A57EAF">
        <w:rPr>
          <w:rFonts w:ascii="Times New Roman" w:hAnsi="Times New Roman" w:cs="Times New Roman"/>
          <w:sz w:val="24"/>
          <w:szCs w:val="24"/>
        </w:rPr>
        <w:t>cumming-group.com</w:t>
      </w:r>
      <w:r>
        <w:rPr>
          <w:rFonts w:ascii="Times New Roman" w:hAnsi="Times New Roman" w:cs="Times New Roman"/>
          <w:sz w:val="24"/>
          <w:szCs w:val="24"/>
        </w:rPr>
        <w:t>, 2025)</w:t>
      </w:r>
    </w:p>
    <w:p w14:paraId="31A1073D" w14:textId="35DDFDF2" w:rsidR="00187733" w:rsidRDefault="00187733" w:rsidP="005978D1">
      <w:pPr>
        <w:spacing w:line="360" w:lineRule="auto"/>
        <w:jc w:val="both"/>
        <w:rPr>
          <w:rFonts w:ascii="Times New Roman" w:hAnsi="Times New Roman" w:cs="Times New Roman"/>
          <w:sz w:val="24"/>
          <w:szCs w:val="24"/>
        </w:rPr>
      </w:pPr>
      <w:r w:rsidRPr="00187733">
        <w:rPr>
          <w:rFonts w:ascii="Times New Roman" w:hAnsi="Times New Roman" w:cs="Times New Roman"/>
          <w:sz w:val="24"/>
          <w:szCs w:val="24"/>
        </w:rPr>
        <w:t xml:space="preserve">Environmental Impact Assessment (EIA) theory and laws are based on the notion of a public involvement that is aimed at enhancing the quality of decisions, their transparency, and democratic legitimacy. EIA Regulations of 2017 strongly emphasize the need to conduct early </w:t>
      </w:r>
      <w:r w:rsidRPr="00187733">
        <w:rPr>
          <w:rFonts w:ascii="Times New Roman" w:hAnsi="Times New Roman" w:cs="Times New Roman"/>
          <w:sz w:val="24"/>
          <w:szCs w:val="24"/>
        </w:rPr>
        <w:lastRenderedPageBreak/>
        <w:t>and effective consultations with the people in the environment, making the environmental information available and ensuring that the stakeholder interests are also taken into account having a meaningful role in the overall process of the assessment. Nevertheless, the Coed Darcy Environmental Statement (ES) demonstrates some level of detachment between official consultation requirements and the real impact of the public involvement on the project outcomes.</w:t>
      </w:r>
    </w:p>
    <w:p w14:paraId="483E1CE9" w14:textId="4FF3557C" w:rsidR="002E3F69" w:rsidRDefault="002E3F69" w:rsidP="005978D1">
      <w:pPr>
        <w:spacing w:line="360" w:lineRule="auto"/>
        <w:jc w:val="both"/>
        <w:rPr>
          <w:rFonts w:ascii="Times New Roman" w:hAnsi="Times New Roman" w:cs="Times New Roman"/>
          <w:sz w:val="24"/>
          <w:szCs w:val="24"/>
        </w:rPr>
      </w:pPr>
      <w:r w:rsidRPr="002E3F69">
        <w:rPr>
          <w:rFonts w:ascii="Times New Roman" w:hAnsi="Times New Roman" w:cs="Times New Roman"/>
          <w:sz w:val="24"/>
          <w:szCs w:val="24"/>
        </w:rPr>
        <w:t>With the size and character of the proposal, the development was Schedule 2 development under the Town and Country Planning (Environmental Impact Assessment) (Wales) Regulations 2017 and thus had to be assessed through a full EIA. The ES had been made to provide information on decision-making to the local planning authority, as well as to evaluate the probable substantial environmental impacts of construction and operations at construction and operational periods.</w:t>
      </w:r>
    </w:p>
    <w:p w14:paraId="5428A511" w14:textId="46BDC53F" w:rsidR="002E3F69" w:rsidRDefault="002E3F69" w:rsidP="005978D1">
      <w:pPr>
        <w:spacing w:line="360" w:lineRule="auto"/>
        <w:jc w:val="both"/>
        <w:rPr>
          <w:rFonts w:ascii="Times New Roman" w:hAnsi="Times New Roman" w:cs="Times New Roman"/>
          <w:sz w:val="24"/>
          <w:szCs w:val="24"/>
        </w:rPr>
      </w:pPr>
      <w:r w:rsidRPr="002E3F69">
        <w:rPr>
          <w:rFonts w:ascii="Times New Roman" w:hAnsi="Times New Roman" w:cs="Times New Roman"/>
          <w:sz w:val="24"/>
          <w:szCs w:val="24"/>
        </w:rPr>
        <w:t>The ES will be organized as three volumes, namely, Volume 1 (ES Main Report), Volume 2 (Technical Appendices), and Volume 3 (Non-Technical Summary). Volume 1 gives the fundamental assessment and has introductory chapters detailing the development and site background, then the description of the EIA methodology, scoping process and legislation. Other chapters provide topic-based evaluation that includes transport, air quality, noise, ground conditions, water and flood risks, biodiversity, landscape and visual impact, climate change and socio-economic impacts.</w:t>
      </w:r>
    </w:p>
    <w:p w14:paraId="6365D89E" w14:textId="36447BE8" w:rsidR="00155FE6" w:rsidRPr="005978D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The Coed Darcy EIA case study is an appropriate case study that could be critically evaluated because of its size, complexity and interdisciplinary nature. It gives a modern demonstration of the EIA practice in the Welsh planning regime and enables to evaluate the effectiveness of the EIA methodology, legislative mandates and best practice advice in applied to the situation of a large mixed-use regeneration project.</w:t>
      </w:r>
    </w:p>
    <w:p w14:paraId="578884B7" w14:textId="15500395" w:rsidR="00BC7921" w:rsidRPr="00BC7921" w:rsidRDefault="00BC7921" w:rsidP="000A240F">
      <w:pPr>
        <w:pStyle w:val="Heading1"/>
      </w:pPr>
      <w:bookmarkStart w:id="4" w:name="_Toc218108424"/>
      <w:r w:rsidRPr="00BC7921">
        <w:t>5. Findings of the EIA Review</w:t>
      </w:r>
      <w:bookmarkEnd w:id="4"/>
    </w:p>
    <w:p w14:paraId="7357A6BC" w14:textId="05FD6363" w:rsidR="00BC7921" w:rsidRPr="00BC7921" w:rsidRDefault="00CD71F7" w:rsidP="005978D1">
      <w:pPr>
        <w:spacing w:line="360" w:lineRule="auto"/>
        <w:jc w:val="both"/>
        <w:rPr>
          <w:rFonts w:ascii="Times New Roman" w:hAnsi="Times New Roman" w:cs="Times New Roman"/>
          <w:sz w:val="24"/>
          <w:szCs w:val="24"/>
        </w:rPr>
      </w:pPr>
      <w:r w:rsidRPr="00CD71F7">
        <w:rPr>
          <w:rFonts w:ascii="Times New Roman" w:hAnsi="Times New Roman" w:cs="Times New Roman"/>
          <w:sz w:val="24"/>
          <w:szCs w:val="24"/>
        </w:rPr>
        <w:t xml:space="preserve">This section reports the findings of the EIA quality review according to Lee and Colley (1990) Review Package organized in terms of four major Review Areas (A–D). The grades will be made on the degree of how the Environmental Statement (ES) of the </w:t>
      </w:r>
      <w:r w:rsidR="002E3F69">
        <w:rPr>
          <w:rFonts w:ascii="Times New Roman" w:hAnsi="Times New Roman" w:cs="Times New Roman"/>
          <w:sz w:val="24"/>
          <w:szCs w:val="24"/>
        </w:rPr>
        <w:t>C</w:t>
      </w:r>
      <w:r w:rsidR="002E3F69" w:rsidRPr="002E3F69">
        <w:rPr>
          <w:rFonts w:ascii="Times New Roman" w:hAnsi="Times New Roman" w:cs="Times New Roman"/>
          <w:sz w:val="24"/>
          <w:szCs w:val="24"/>
        </w:rPr>
        <w:t>oed darcy developmen</w:t>
      </w:r>
      <w:r w:rsidR="002E3F69">
        <w:rPr>
          <w:rFonts w:ascii="Times New Roman" w:hAnsi="Times New Roman" w:cs="Times New Roman"/>
          <w:sz w:val="24"/>
          <w:szCs w:val="24"/>
        </w:rPr>
        <w:t>t Case study</w:t>
      </w:r>
      <w:r w:rsidRPr="00CD71F7">
        <w:rPr>
          <w:rFonts w:ascii="Times New Roman" w:hAnsi="Times New Roman" w:cs="Times New Roman"/>
          <w:sz w:val="24"/>
          <w:szCs w:val="24"/>
        </w:rPr>
        <w:t xml:space="preserve"> </w:t>
      </w:r>
      <w:r w:rsidR="002E3F69">
        <w:rPr>
          <w:rFonts w:ascii="Times New Roman" w:hAnsi="Times New Roman" w:cs="Times New Roman"/>
          <w:sz w:val="24"/>
          <w:szCs w:val="24"/>
        </w:rPr>
        <w:t xml:space="preserve">and </w:t>
      </w:r>
      <w:r w:rsidRPr="00CD71F7">
        <w:rPr>
          <w:rFonts w:ascii="Times New Roman" w:hAnsi="Times New Roman" w:cs="Times New Roman"/>
          <w:sz w:val="24"/>
          <w:szCs w:val="24"/>
        </w:rPr>
        <w:t>reflects adherence to legislative requirements, professional advice and scholarly anticipations of good practice</w:t>
      </w:r>
      <w:r w:rsidR="00BC7921" w:rsidRPr="00BC7921">
        <w:rPr>
          <w:rFonts w:ascii="Times New Roman" w:hAnsi="Times New Roman" w:cs="Times New Roman"/>
          <w:sz w:val="24"/>
          <w:szCs w:val="24"/>
        </w:rPr>
        <w:t>.</w:t>
      </w:r>
    </w:p>
    <w:p w14:paraId="04A46393" w14:textId="77777777" w:rsidR="00BC7921" w:rsidRPr="00BC7921" w:rsidRDefault="00BC7921" w:rsidP="000A240F">
      <w:pPr>
        <w:pStyle w:val="Heading2"/>
      </w:pPr>
      <w:bookmarkStart w:id="5" w:name="_Toc218108425"/>
      <w:r w:rsidRPr="00BC7921">
        <w:rPr>
          <w:rFonts w:eastAsiaTheme="majorEastAsia"/>
        </w:rPr>
        <w:lastRenderedPageBreak/>
        <w:t>5.1 Review Area A: Description of the Development, Environment and Scoping</w:t>
      </w:r>
      <w:bookmarkEnd w:id="5"/>
    </w:p>
    <w:p w14:paraId="3EF0B290" w14:textId="4A91025A" w:rsidR="00BC792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Review Area A analyses the sufficiency of the Environmental Statement (ES) in terms of detailing the proposed development, receiving environment and the scoping process, which are the basis of sound impact prediction and evaluation. With regards to Coed Darcy development, the ES demonstrates a good level of performance of setting the context of the project though, the lack of consistency and depth of the information can be identified</w:t>
      </w:r>
      <w:r w:rsidR="00BC7921" w:rsidRPr="00BC7921">
        <w:rPr>
          <w:rFonts w:ascii="Times New Roman" w:hAnsi="Times New Roman" w:cs="Times New Roman"/>
          <w:sz w:val="24"/>
          <w:szCs w:val="24"/>
        </w:rPr>
        <w:t>.</w:t>
      </w:r>
    </w:p>
    <w:p w14:paraId="27343DB7" w14:textId="5E723FFB" w:rsidR="00A57EAF" w:rsidRDefault="00A57EAF" w:rsidP="00A57EAF">
      <w:pPr>
        <w:spacing w:line="360" w:lineRule="auto"/>
        <w:jc w:val="center"/>
        <w:rPr>
          <w:rFonts w:ascii="Times New Roman" w:hAnsi="Times New Roman" w:cs="Times New Roman"/>
          <w:sz w:val="24"/>
          <w:szCs w:val="24"/>
        </w:rPr>
      </w:pPr>
      <w:r>
        <w:rPr>
          <w:noProof/>
        </w:rPr>
        <w:drawing>
          <wp:inline distT="0" distB="0" distL="0" distR="0" wp14:anchorId="11E012AC" wp14:editId="3C9A0F0C">
            <wp:extent cx="5731510" cy="3827780"/>
            <wp:effectExtent l="0" t="0" r="2540" b="1270"/>
            <wp:docPr id="2077456818" name="Picture 4" descr="Coed Darcy - NPT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ed Darcy - NPT Counc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7780"/>
                    </a:xfrm>
                    <a:prstGeom prst="rect">
                      <a:avLst/>
                    </a:prstGeom>
                    <a:noFill/>
                    <a:ln>
                      <a:noFill/>
                    </a:ln>
                  </pic:spPr>
                </pic:pic>
              </a:graphicData>
            </a:graphic>
          </wp:inline>
        </w:drawing>
      </w:r>
    </w:p>
    <w:p w14:paraId="1DB1FB1C" w14:textId="09734316" w:rsidR="00A57EAF" w:rsidRPr="00A57EAF" w:rsidRDefault="00A57EAF" w:rsidP="00A57EAF">
      <w:pPr>
        <w:spacing w:line="360" w:lineRule="auto"/>
        <w:jc w:val="center"/>
        <w:rPr>
          <w:rFonts w:ascii="Times New Roman" w:hAnsi="Times New Roman" w:cs="Times New Roman"/>
          <w:b/>
          <w:bCs/>
          <w:sz w:val="24"/>
          <w:szCs w:val="24"/>
        </w:rPr>
      </w:pPr>
      <w:r w:rsidRPr="00A57EAF">
        <w:rPr>
          <w:rFonts w:ascii="Times New Roman" w:hAnsi="Times New Roman" w:cs="Times New Roman"/>
          <w:b/>
          <w:bCs/>
          <w:sz w:val="24"/>
          <w:szCs w:val="24"/>
        </w:rPr>
        <w:t>Figure 3: Coed Darcy - NPT Council</w:t>
      </w:r>
    </w:p>
    <w:p w14:paraId="484DBCDB" w14:textId="77777777" w:rsidR="00A57EAF" w:rsidRDefault="00A57EAF" w:rsidP="00A57EA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(Source: </w:t>
      </w:r>
      <w:r w:rsidRPr="00A57EAF">
        <w:rPr>
          <w:rFonts w:ascii="Times New Roman" w:hAnsi="Times New Roman" w:cs="Times New Roman"/>
          <w:sz w:val="24"/>
          <w:szCs w:val="24"/>
        </w:rPr>
        <w:t>cumming-group.com</w:t>
      </w:r>
      <w:r>
        <w:rPr>
          <w:rFonts w:ascii="Times New Roman" w:hAnsi="Times New Roman" w:cs="Times New Roman"/>
          <w:sz w:val="24"/>
          <w:szCs w:val="24"/>
        </w:rPr>
        <w:t>, 2025)</w:t>
      </w:r>
    </w:p>
    <w:p w14:paraId="51ECDDB0" w14:textId="69530781" w:rsidR="00A57EAF" w:rsidRDefault="00A57EAF" w:rsidP="005978D1">
      <w:pPr>
        <w:spacing w:line="360" w:lineRule="auto"/>
        <w:jc w:val="both"/>
        <w:rPr>
          <w:rFonts w:ascii="Times New Roman" w:hAnsi="Times New Roman" w:cs="Times New Roman"/>
          <w:sz w:val="24"/>
          <w:szCs w:val="24"/>
        </w:rPr>
      </w:pPr>
    </w:p>
    <w:p w14:paraId="0DBC79AF" w14:textId="4485439E" w:rsidR="00155FE6"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 xml:space="preserve">The proposed development description is clear, comprehensive and well outlined as required in an outline planning application. The ES gives details of the scale, nature and contents of the housing-led regeneration programme including the land uses, development parameters, phasing and construction activities. The application of a parameter plan and a specified worst-case scenario method justify transparency and allows one to make reasonable grounds in the following impact assessment. This is in line with the legislative requirements and best practice </w:t>
      </w:r>
      <w:r w:rsidRPr="00155FE6">
        <w:rPr>
          <w:rFonts w:ascii="Times New Roman" w:hAnsi="Times New Roman" w:cs="Times New Roman"/>
          <w:sz w:val="24"/>
          <w:szCs w:val="24"/>
        </w:rPr>
        <w:lastRenderedPageBreak/>
        <w:t>guidelines which underscore the fact that the project description should be clear and easily available</w:t>
      </w:r>
      <w:r>
        <w:rPr>
          <w:rFonts w:ascii="Times New Roman" w:hAnsi="Times New Roman" w:cs="Times New Roman"/>
          <w:sz w:val="24"/>
          <w:szCs w:val="24"/>
        </w:rPr>
        <w:t>.</w:t>
      </w:r>
    </w:p>
    <w:p w14:paraId="071B9EDB" w14:textId="54F06994" w:rsidR="00187733" w:rsidRDefault="00187733" w:rsidP="005978D1">
      <w:pPr>
        <w:spacing w:line="360" w:lineRule="auto"/>
        <w:jc w:val="both"/>
        <w:rPr>
          <w:rFonts w:ascii="Times New Roman" w:hAnsi="Times New Roman" w:cs="Times New Roman"/>
          <w:sz w:val="24"/>
          <w:szCs w:val="24"/>
        </w:rPr>
      </w:pPr>
      <w:r w:rsidRPr="00187733">
        <w:rPr>
          <w:rFonts w:ascii="Times New Roman" w:hAnsi="Times New Roman" w:cs="Times New Roman"/>
          <w:sz w:val="24"/>
          <w:szCs w:val="24"/>
        </w:rPr>
        <w:t>The ES requires the statutory consultation process, such as the ability of the non-technical summary to be made public, and the chance of comment during the scoping and application phases. Although this shows compliance of the procedure, there is limited evidence to show that public feedback had a material impact in the project design or extent of assessment. The answers of the consultees are condensed, and they reflect little on how the issues raised by the local communities influenced the assumptions made in the baseline, the effects predicted by the mitigation strategies, or the mitigation strategies. This supports the critical academic arguments historically put forward that the idea of public involvement in EIA is often undertaken as a regulatory measure, and not a deliberative and iterative procedure (Cashmore et al., 2009).</w:t>
      </w:r>
    </w:p>
    <w:p w14:paraId="730234D1" w14:textId="6DB05315" w:rsidR="00155FE6"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Baseline environmental conditions are characterized in an extensive variety of topics, which shows the multi-disciplinary character of the development. In several technical sectors such as transport, the quality of the air, noise and biodiversity, the baseline measures are based on a compilation of site surveys, monitoring data and published data, which gives a reasonably robust evidence ground. However, the quality and depth of the background information are not even distributed on the subjects. Especially, socio-economic and part of the water environment are dependent on desk-based sources, having minimum site-specific data. According to what the academic literature has determined, the lack of consistency in the quality of the baseline may affect the credibility of the further impact forecasts and significance assessment</w:t>
      </w:r>
      <w:r>
        <w:rPr>
          <w:rFonts w:ascii="Times New Roman" w:hAnsi="Times New Roman" w:cs="Times New Roman"/>
          <w:sz w:val="24"/>
          <w:szCs w:val="24"/>
        </w:rPr>
        <w:t>.</w:t>
      </w:r>
    </w:p>
    <w:p w14:paraId="0C8B985F" w14:textId="76CAA1BD" w:rsidR="00155FE6"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The scoping process is well documented and the ES has alluded to the submitted Scoping Report and official Scoping Opinion that was prepared by the local planning authority. Most of the problems found in scoping are duly tackled in the assessment, which shows compliance in the procedures. Nevertheless, some cross-cutting matters, especially resilience to climate change, are discussed unevenly throughout topic chapters. This is indicative of a larger weakness in the EIA practice in general (whereby new policy priorities are being recognized but not completely factored into the scoping and assessment practices)</w:t>
      </w:r>
      <w:r>
        <w:rPr>
          <w:rFonts w:ascii="Times New Roman" w:hAnsi="Times New Roman" w:cs="Times New Roman"/>
          <w:sz w:val="24"/>
          <w:szCs w:val="24"/>
        </w:rPr>
        <w:t>.</w:t>
      </w:r>
    </w:p>
    <w:p w14:paraId="163E5B09" w14:textId="25EFFA9B" w:rsidR="00155FE6"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 xml:space="preserve">In general, it can be stated that Review Area A does a good job and has a concise and organized project description and a sufficient scoping process. Nevertheless, inconsistency in the quality of the baseline data and the insufficiency of incorporating the environmental factors into initial design reasoning is a significant flaw. Based on the Lee and Colley Review Package, the </w:t>
      </w:r>
      <w:r w:rsidRPr="00155FE6">
        <w:rPr>
          <w:rFonts w:ascii="Times New Roman" w:hAnsi="Times New Roman" w:cs="Times New Roman"/>
          <w:sz w:val="24"/>
          <w:szCs w:val="24"/>
        </w:rPr>
        <w:lastRenderedPageBreak/>
        <w:t>Review Area A is thus rated as B, which means that the performance is generally good with some areas of improvement to be identified.</w:t>
      </w:r>
    </w:p>
    <w:p w14:paraId="41402598" w14:textId="6C1857C8" w:rsidR="00187733" w:rsidRPr="00BC7921" w:rsidRDefault="00187733" w:rsidP="005978D1">
      <w:pPr>
        <w:spacing w:line="360" w:lineRule="auto"/>
        <w:jc w:val="both"/>
        <w:rPr>
          <w:rFonts w:ascii="Times New Roman" w:hAnsi="Times New Roman" w:cs="Times New Roman"/>
          <w:sz w:val="24"/>
          <w:szCs w:val="24"/>
        </w:rPr>
      </w:pPr>
      <w:r w:rsidRPr="00187733">
        <w:rPr>
          <w:rFonts w:ascii="Times New Roman" w:hAnsi="Times New Roman" w:cs="Times New Roman"/>
          <w:sz w:val="24"/>
          <w:szCs w:val="24"/>
        </w:rPr>
        <w:t>Theoretically, successful involvement must inform the problem framing, to assist in the identification of local important receptors and enhance the legitimacy of the judgement of significance. The situation is different in the Coed Darcy case as it seems that engagement took place partially after major design parameters were set. This also meant that the scope of the influence of the public was limited to the commentary on the formulated proposals instead of creating the alternatives. This method is consistent with other generalized results in the EIA literature, which show that consultation is usually brought in too late, and what was once a significant influence on the strategic decision-making process is usually not present.</w:t>
      </w:r>
    </w:p>
    <w:p w14:paraId="32FF1B60" w14:textId="77777777" w:rsidR="00BC7921" w:rsidRPr="00BC7921" w:rsidRDefault="00BC7921" w:rsidP="000A240F">
      <w:pPr>
        <w:pStyle w:val="Heading2"/>
      </w:pPr>
      <w:bookmarkStart w:id="6" w:name="_Toc218108426"/>
      <w:r w:rsidRPr="00BC7921">
        <w:rPr>
          <w:rFonts w:eastAsiaTheme="majorEastAsia"/>
        </w:rPr>
        <w:t>5.2 Review Area B: Impact Prediction and Evaluation</w:t>
      </w:r>
      <w:bookmarkEnd w:id="6"/>
    </w:p>
    <w:p w14:paraId="7FC9FC46" w14:textId="29EF94AF" w:rsidR="00BC7921" w:rsidRPr="00BC792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Review Area B evaluates the efficacy of the Environmental Impact Assessment (EIA) procedure to recognize, forecast and measure the probable considerable environmental impact of the proposed growth. In the Coed Darcy development case, the Environmental Statement (ES) reflects an overall systematic and organised approach to the impact assessment although the consistency and transparency of methods differ between the topic chapters</w:t>
      </w:r>
      <w:r w:rsidR="00BC7921" w:rsidRPr="00BC7921">
        <w:rPr>
          <w:rFonts w:ascii="Times New Roman" w:hAnsi="Times New Roman" w:cs="Times New Roman"/>
          <w:sz w:val="24"/>
          <w:szCs w:val="24"/>
        </w:rPr>
        <w:t>.</w:t>
      </w:r>
    </w:p>
    <w:p w14:paraId="02E017CC" w14:textId="1037DD9B" w:rsidR="00BC7921" w:rsidRPr="00BC792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 xml:space="preserve">The ES points to the numerous potential environmental impacts based on the scale and mixed-use nature of the proposal which is based upon both the construction and operational phases of the development. The receptor sensitivity, magnitude of impact and significance of effect are presented in topic chapters that have a fairly consistent form. Various technical fields such as transport are predicting impacts supported by proven assessment methods and well-known guidelines. Modelling, survey data and set assessment criteria enable the reasonable basis to make predictions based on changes compared to baseline conditions to be able to make defensible judgements of significance </w:t>
      </w:r>
      <w:r w:rsidR="00BC7921" w:rsidRPr="00BC7921">
        <w:rPr>
          <w:rFonts w:ascii="Times New Roman" w:hAnsi="Times New Roman" w:cs="Times New Roman"/>
          <w:sz w:val="24"/>
          <w:szCs w:val="24"/>
        </w:rPr>
        <w:t>(Therivel and Ross, 2007).</w:t>
      </w:r>
    </w:p>
    <w:p w14:paraId="69FDA514" w14:textId="5C8B7859" w:rsidR="00BC7921" w:rsidRPr="00BC792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 xml:space="preserve">Nevertheless, even within such an overall structure, considerable variation can be observed in the application of impact prediction and evaluation to varying environmental topics. Whereas some chapters are very clear in clarifying assumptions, limitation and significance thresholds, other chapters are based on more qualitative judgment with less justification being made. Such discrepancy is indicative of an issue that has been well-documented in EIA practice, in which the process of defining impact significance is largely subjective to the topic and may be </w:t>
      </w:r>
      <w:r w:rsidRPr="00155FE6">
        <w:rPr>
          <w:rFonts w:ascii="Times New Roman" w:hAnsi="Times New Roman" w:cs="Times New Roman"/>
          <w:sz w:val="24"/>
          <w:szCs w:val="24"/>
        </w:rPr>
        <w:lastRenderedPageBreak/>
        <w:t>determined by professional judgment. Consequently, it makes it hard to determine the relative significance of effects in different fields of study and to comprehend the reasoning behind some of the findings.</w:t>
      </w:r>
    </w:p>
    <w:p w14:paraId="63F14917" w14:textId="1860330E" w:rsidR="00BC792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Cumulative effects assessment is one of the weaknesses in the Review Area B. Though cumulative effects are recognized in the context of individual topic chapters, their evaluation is frequently restricted in the scope and level. Relevant committed and proposed developments are not necessarily quite evidently justified, and cumulative interactions among various environmental receptors are dealt with unevenly. Considering that Coed Darcy development is of such magnitude with a strategic context, a cumulative effects assessment that was more integrated and transparent would have increased the strength of the EIA.</w:t>
      </w:r>
    </w:p>
    <w:p w14:paraId="0159DFF1" w14:textId="1D4C2569" w:rsidR="00155FE6" w:rsidRPr="00BC792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In general, the ES has proven to have a good strategy of identifying and predicting impacts, especially in cases when there exist known quantitative techniques. Nonetheless, lack of consistency in the evaluation of significance, a reduced degree of transparency in qualitative judgements and a comparatively weak representation of the cumulative effects diminish the effectiveness of the evaluation as a whole. Based on the Lee and Colley Review Package, Review Area B will therefore receive a mark of C, which represents good performance with a number of moderate weaknesses that limit the confidence in the results of the assessment.</w:t>
      </w:r>
    </w:p>
    <w:p w14:paraId="3A8DD2FE" w14:textId="77777777" w:rsidR="00BC7921" w:rsidRPr="00BC7921" w:rsidRDefault="00BC7921" w:rsidP="000A240F">
      <w:pPr>
        <w:pStyle w:val="Heading2"/>
      </w:pPr>
      <w:bookmarkStart w:id="7" w:name="_Toc218108427"/>
      <w:r w:rsidRPr="00BC7921">
        <w:rPr>
          <w:rFonts w:eastAsiaTheme="majorEastAsia"/>
        </w:rPr>
        <w:t>5.3 Review Area C: Alternatives, Mitigation and Monitoring</w:t>
      </w:r>
      <w:bookmarkEnd w:id="7"/>
    </w:p>
    <w:p w14:paraId="25581620" w14:textId="145A0786" w:rsidR="00BC7921"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Review Area C is an area that reflects on how much the Environmental Statement (ES) discusses reasonable alternatives, makes recommendations that are effective mitigation measures and provides arrangements of monitoring and follow-up. This area of the review, in the Coed Darcy development case, offers an inconsistent level of performance, which represents a number of typical limitations existing in modern EIA practice</w:t>
      </w:r>
      <w:r w:rsidR="00BC7921" w:rsidRPr="005978D1">
        <w:rPr>
          <w:rFonts w:ascii="Times New Roman" w:hAnsi="Times New Roman" w:cs="Times New Roman"/>
          <w:sz w:val="24"/>
          <w:szCs w:val="24"/>
        </w:rPr>
        <w:t>.</w:t>
      </w:r>
    </w:p>
    <w:p w14:paraId="2C612A78" w14:textId="0E7C2F83" w:rsidR="00155FE6"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br/>
        <w:t xml:space="preserve">The number of alternatives to consider in the ES is comparatively few. Although the ES provides the history of the proposed development and makes it clear that alternative layouts and development options were considered throughout the development process, little information is indicated on the criteria applied to assess these options, as well as the extent to which environmental considerations were utilized to help make final decisions. The evaluation of options is quite backward and descriptive, as opposed to a clear comparison of plausible </w:t>
      </w:r>
      <w:r w:rsidRPr="00155FE6">
        <w:rPr>
          <w:rFonts w:ascii="Times New Roman" w:hAnsi="Times New Roman" w:cs="Times New Roman"/>
          <w:sz w:val="24"/>
          <w:szCs w:val="24"/>
        </w:rPr>
        <w:lastRenderedPageBreak/>
        <w:t>alternatives. This method meets the minimum procedural demands of the EIA Regulations, but is wanting the substantive purpose of the EIA theory, which focuses on alternatives as the important mechanism of instilling sustainability in to early decision-making.</w:t>
      </w:r>
    </w:p>
    <w:p w14:paraId="267AA434" w14:textId="47241704" w:rsidR="00187733" w:rsidRDefault="00187733" w:rsidP="005978D1">
      <w:pPr>
        <w:spacing w:line="360" w:lineRule="auto"/>
        <w:jc w:val="both"/>
        <w:rPr>
          <w:rFonts w:ascii="Times New Roman" w:hAnsi="Times New Roman" w:cs="Times New Roman"/>
          <w:sz w:val="24"/>
          <w:szCs w:val="24"/>
        </w:rPr>
      </w:pPr>
      <w:r w:rsidRPr="00187733">
        <w:rPr>
          <w:rFonts w:ascii="Times New Roman" w:hAnsi="Times New Roman" w:cs="Times New Roman"/>
          <w:sz w:val="24"/>
          <w:szCs w:val="24"/>
        </w:rPr>
        <w:t>Moreover, consulting results are not presented transparently in the ES, in terms of the way the disputing opinions were determined. Although the contributions of technical consultees including those on transport and ecology are explicitly mentioned, the concerns of the community such as the views on the change of landscapes, construction disturbances and the social effects in the long run are discussed in a more descriptive manner. Such imbalance can threaten to favor expert-oriented knowledge at the expense of experiential local knowledge, which may threaten to discredit the perceived fairness of the EIA process.</w:t>
      </w:r>
    </w:p>
    <w:p w14:paraId="29228BC3" w14:textId="636BEE08" w:rsidR="00155FE6" w:rsidRDefault="00155FE6" w:rsidP="005978D1">
      <w:pPr>
        <w:spacing w:line="360" w:lineRule="auto"/>
        <w:jc w:val="both"/>
        <w:rPr>
          <w:rFonts w:ascii="Times New Roman" w:hAnsi="Times New Roman" w:cs="Times New Roman"/>
          <w:sz w:val="24"/>
          <w:szCs w:val="24"/>
        </w:rPr>
      </w:pPr>
      <w:r w:rsidRPr="00155FE6">
        <w:rPr>
          <w:rFonts w:ascii="Times New Roman" w:hAnsi="Times New Roman" w:cs="Times New Roman"/>
          <w:sz w:val="24"/>
          <w:szCs w:val="24"/>
        </w:rPr>
        <w:t>There is a more comprehensive coverage of mitigation measures throughout the ES. The evaluation is based on the established mitigation hierarchy of avoidance, mitigation reduction and compensation and embedded mitigation in the design assumptions and other mitigation actions determined where appropriate. Appropriate mitigation is usually outlined in topic chapters in the construction and operation phases with the assistance of the preparation of a Construction Environmental Management Plan and other topic-specific management measures. Nonetheless, mitigation is also usually defined, but the success of such a measure is not always evaluated critically, and also, connections between the effects that are expected and the mitigation measures that have been proposed are sometimes implied as opposed to explicit.</w:t>
      </w:r>
    </w:p>
    <w:p w14:paraId="7DD3BF38" w14:textId="12F350BC" w:rsidR="00155FE6" w:rsidRPr="00BC7921" w:rsidRDefault="00DA0223" w:rsidP="005978D1">
      <w:pPr>
        <w:spacing w:line="360" w:lineRule="auto"/>
        <w:jc w:val="both"/>
        <w:rPr>
          <w:rFonts w:ascii="Times New Roman" w:hAnsi="Times New Roman" w:cs="Times New Roman"/>
          <w:sz w:val="24"/>
          <w:szCs w:val="24"/>
        </w:rPr>
      </w:pPr>
      <w:r w:rsidRPr="00DA0223">
        <w:rPr>
          <w:rFonts w:ascii="Times New Roman" w:hAnsi="Times New Roman" w:cs="Times New Roman"/>
          <w:sz w:val="24"/>
          <w:szCs w:val="24"/>
        </w:rPr>
        <w:t>Monitoring and follow-up arrangements are the feeblest aspect of Review Area C. The ES also mentions post-construction monitoring on some environmental issues, but does not give much specifics on the objectives of monitoring, the responsibilities, the time frames or mechanisms of adaptive management of the environment. This is an indication of a larger failure in the EIA practice where follow-up is poorly developed despite being a crucial part of making sure mitigation has achieved the desired results. All in all, the overall scoring of Review Area C is C, which means a good performance with significant failures in alternatives evaluation and monitoring provisions.</w:t>
      </w:r>
    </w:p>
    <w:p w14:paraId="3CD2C689" w14:textId="77777777" w:rsidR="00BC7921" w:rsidRPr="00BC7921" w:rsidRDefault="00BC7921" w:rsidP="000A240F">
      <w:pPr>
        <w:pStyle w:val="Heading2"/>
      </w:pPr>
      <w:bookmarkStart w:id="8" w:name="_Toc218108428"/>
      <w:r w:rsidRPr="00BC7921">
        <w:rPr>
          <w:rFonts w:eastAsiaTheme="majorEastAsia"/>
        </w:rPr>
        <w:t>5.4 Review Area D: Presentation and Communication</w:t>
      </w:r>
      <w:bookmarkEnd w:id="8"/>
    </w:p>
    <w:p w14:paraId="7D17439E" w14:textId="386CFF35" w:rsidR="00BC7921" w:rsidRPr="00BC7921" w:rsidRDefault="00DA0223" w:rsidP="005978D1">
      <w:pPr>
        <w:spacing w:line="360" w:lineRule="auto"/>
        <w:jc w:val="both"/>
        <w:rPr>
          <w:rFonts w:ascii="Times New Roman" w:hAnsi="Times New Roman" w:cs="Times New Roman"/>
          <w:sz w:val="24"/>
          <w:szCs w:val="24"/>
        </w:rPr>
      </w:pPr>
      <w:r w:rsidRPr="00DA0223">
        <w:rPr>
          <w:rFonts w:ascii="Times New Roman" w:hAnsi="Times New Roman" w:cs="Times New Roman"/>
          <w:sz w:val="24"/>
          <w:szCs w:val="24"/>
        </w:rPr>
        <w:t xml:space="preserve">Review Area D assesses the clarity, accessibility and general quality of the Environmental Statement as a tool of information to decision-makers and stakeholders. In the case of the Coed </w:t>
      </w:r>
      <w:r w:rsidRPr="00DA0223">
        <w:rPr>
          <w:rFonts w:ascii="Times New Roman" w:hAnsi="Times New Roman" w:cs="Times New Roman"/>
          <w:sz w:val="24"/>
          <w:szCs w:val="24"/>
        </w:rPr>
        <w:lastRenderedPageBreak/>
        <w:t>Darcy development, the ES has a generally good quality of presentation, but there are some problems regarding transparency and readability</w:t>
      </w:r>
      <w:r>
        <w:rPr>
          <w:rFonts w:ascii="Times New Roman" w:hAnsi="Times New Roman" w:cs="Times New Roman"/>
          <w:sz w:val="24"/>
          <w:szCs w:val="24"/>
        </w:rPr>
        <w:t xml:space="preserve"> </w:t>
      </w:r>
      <w:r w:rsidR="00BC7921" w:rsidRPr="00BC7921">
        <w:rPr>
          <w:rFonts w:ascii="Times New Roman" w:hAnsi="Times New Roman" w:cs="Times New Roman"/>
          <w:sz w:val="24"/>
          <w:szCs w:val="24"/>
        </w:rPr>
        <w:t>(IAIA, 2020).</w:t>
      </w:r>
    </w:p>
    <w:p w14:paraId="0089FA0A" w14:textId="5605F9D9" w:rsidR="00BC7921" w:rsidRPr="00BC7921" w:rsidRDefault="00DA0223" w:rsidP="005978D1">
      <w:pPr>
        <w:spacing w:line="360" w:lineRule="auto"/>
        <w:jc w:val="both"/>
        <w:rPr>
          <w:rFonts w:ascii="Times New Roman" w:hAnsi="Times New Roman" w:cs="Times New Roman"/>
          <w:sz w:val="24"/>
          <w:szCs w:val="24"/>
        </w:rPr>
      </w:pPr>
      <w:r w:rsidRPr="00DA0223">
        <w:rPr>
          <w:rFonts w:ascii="Times New Roman" w:hAnsi="Times New Roman" w:cs="Times New Roman"/>
          <w:sz w:val="24"/>
          <w:szCs w:val="24"/>
        </w:rPr>
        <w:t>The ES is properly structured and logically arranged, as there is distinct separation between topic chapters and supporting appendices. Tables, figures and summary sections help in understanding the development and the Non-Technical Summary is able to offer a clear summary of the development and its potential substantial impacts to the non-technical audiences. This is due to good practice guidance that accentuates the essence of good communication in the EIA process</w:t>
      </w:r>
      <w:r w:rsidR="00BC7921" w:rsidRPr="00BC7921">
        <w:rPr>
          <w:rFonts w:ascii="Times New Roman" w:hAnsi="Times New Roman" w:cs="Times New Roman"/>
          <w:sz w:val="24"/>
          <w:szCs w:val="24"/>
        </w:rPr>
        <w:t>.</w:t>
      </w:r>
    </w:p>
    <w:p w14:paraId="59DB2EF8" w14:textId="04D949D4" w:rsidR="005978D1" w:rsidRDefault="00DA0223" w:rsidP="005978D1">
      <w:pPr>
        <w:spacing w:line="360" w:lineRule="auto"/>
        <w:jc w:val="both"/>
        <w:rPr>
          <w:rFonts w:ascii="Times New Roman" w:hAnsi="Times New Roman" w:cs="Times New Roman"/>
          <w:sz w:val="24"/>
          <w:szCs w:val="24"/>
        </w:rPr>
      </w:pPr>
      <w:r w:rsidRPr="00DA0223">
        <w:rPr>
          <w:rFonts w:ascii="Times New Roman" w:hAnsi="Times New Roman" w:cs="Times New Roman"/>
          <w:sz w:val="24"/>
          <w:szCs w:val="24"/>
        </w:rPr>
        <w:t>Nevertheless, cross-referencing and interconnection among chapters are inconsistent, and at some point, it is hard to follow the connection between baseline conditions, prediction of impact, mitigation and significance decisions. In other instances, assumptions or limitations that were identified in methodology sections are not reiterated when presenting results or mitigation measures. Moreover, there are some figures and technical outputs that can only be found in appendices, which makes it less visible in the primary story presented in the ES</w:t>
      </w:r>
      <w:r w:rsidR="00BC7921" w:rsidRPr="005978D1">
        <w:rPr>
          <w:rFonts w:ascii="Times New Roman" w:hAnsi="Times New Roman" w:cs="Times New Roman"/>
          <w:sz w:val="24"/>
          <w:szCs w:val="24"/>
        </w:rPr>
        <w:t>.</w:t>
      </w:r>
    </w:p>
    <w:p w14:paraId="4285B43E" w14:textId="11293A96" w:rsidR="00DA0223" w:rsidRPr="005978D1" w:rsidRDefault="00DA0223" w:rsidP="005978D1">
      <w:pPr>
        <w:spacing w:line="360" w:lineRule="auto"/>
        <w:jc w:val="both"/>
        <w:rPr>
          <w:rFonts w:ascii="Times New Roman" w:hAnsi="Times New Roman" w:cs="Times New Roman"/>
          <w:sz w:val="24"/>
          <w:szCs w:val="24"/>
        </w:rPr>
      </w:pPr>
      <w:r w:rsidRPr="00DA0223">
        <w:rPr>
          <w:rFonts w:ascii="Times New Roman" w:hAnsi="Times New Roman" w:cs="Times New Roman"/>
          <w:sz w:val="24"/>
          <w:szCs w:val="24"/>
        </w:rPr>
        <w:t>In spite of these shortcomings, the standard writing is clear and professional and ES manages to bring out the complicated information in a fairly consistent fashion. The mentioned weaknesses do not inherently worsen its usability of the document but decrease the transparency of non-experts. According to the Lee and Colley Review Package, Review Area D is hence rated as B which means that there is generally good performance with some slight weaknesses.</w:t>
      </w:r>
    </w:p>
    <w:p w14:paraId="2D9CB769" w14:textId="1EE5E68C" w:rsidR="005978D1" w:rsidRPr="005978D1" w:rsidRDefault="005978D1" w:rsidP="000A240F">
      <w:pPr>
        <w:pStyle w:val="Heading1"/>
      </w:pPr>
      <w:bookmarkStart w:id="9" w:name="_Toc218108429"/>
      <w:r w:rsidRPr="005978D1">
        <w:t>6. Discussion: Gaps Between Theory, Legislation and Practice</w:t>
      </w:r>
      <w:bookmarkEnd w:id="9"/>
    </w:p>
    <w:p w14:paraId="70350FB5" w14:textId="772D0F8A" w:rsid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 xml:space="preserve">The results of EIA review display some distinct gaps between the theoretical objectives of Environmental Impact Assessment (EIA), its legislative stipulations and policy prospects of the practical application in the </w:t>
      </w:r>
      <w:r w:rsidR="00DA0223" w:rsidRPr="002E3F69">
        <w:rPr>
          <w:rFonts w:ascii="Times New Roman" w:hAnsi="Times New Roman" w:cs="Times New Roman"/>
          <w:sz w:val="24"/>
          <w:szCs w:val="24"/>
        </w:rPr>
        <w:t>Coed Darcy development</w:t>
      </w:r>
      <w:r w:rsidRPr="00951191">
        <w:rPr>
          <w:rFonts w:ascii="Times New Roman" w:hAnsi="Times New Roman" w:cs="Times New Roman"/>
          <w:sz w:val="24"/>
          <w:szCs w:val="24"/>
        </w:rPr>
        <w:t xml:space="preserve"> Environmental Statement (ES). These lapses reveal more general structural issues that are common to UK and international EIA practice</w:t>
      </w:r>
      <w:r w:rsidR="005978D1" w:rsidRPr="005978D1">
        <w:rPr>
          <w:rFonts w:ascii="Times New Roman" w:hAnsi="Times New Roman" w:cs="Times New Roman"/>
          <w:sz w:val="24"/>
          <w:szCs w:val="24"/>
        </w:rPr>
        <w:t>.</w:t>
      </w:r>
    </w:p>
    <w:p w14:paraId="2E27724C" w14:textId="035E53DD" w:rsidR="00187733" w:rsidRPr="005978D1" w:rsidRDefault="00187733" w:rsidP="005978D1">
      <w:pPr>
        <w:spacing w:line="360" w:lineRule="auto"/>
        <w:jc w:val="both"/>
        <w:rPr>
          <w:rFonts w:ascii="Times New Roman" w:hAnsi="Times New Roman" w:cs="Times New Roman"/>
          <w:sz w:val="24"/>
          <w:szCs w:val="24"/>
        </w:rPr>
      </w:pPr>
      <w:r w:rsidRPr="00187733">
        <w:rPr>
          <w:rFonts w:ascii="Times New Roman" w:hAnsi="Times New Roman" w:cs="Times New Roman"/>
          <w:sz w:val="24"/>
          <w:szCs w:val="24"/>
        </w:rPr>
        <w:t xml:space="preserve">There is also limited incorporation of the involvement of the masses and this influences the validity of impact significance decisions. Significance is not a purely technical construct, but one which is a value-based judgement which is social context-based and under the influence of stakeholder priorities. Not directly connecting the public concerns to significance criteria, the </w:t>
      </w:r>
      <w:r w:rsidRPr="00187733">
        <w:rPr>
          <w:rFonts w:ascii="Times New Roman" w:hAnsi="Times New Roman" w:cs="Times New Roman"/>
          <w:sz w:val="24"/>
          <w:szCs w:val="24"/>
        </w:rPr>
        <w:lastRenderedPageBreak/>
        <w:t>ES makes the decision-making process less transparent and undermines the belief that the environmental and social trade-offs have been addressed in their entirety.</w:t>
      </w:r>
    </w:p>
    <w:p w14:paraId="3EA8876B" w14:textId="76925B91"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The key theoretical objective of EIA includes the integration of environmental concerns at the start and good implementation at the design of a project to facilitate sustainable decision-making (Glasson et al., 2019). As a matter of fact, though, this EIA shows a partial lack of connection between developing a project at an initial phase and environmental examination. In spite of the ES is a coherent description of the development, the analysis of alternatives is rather weak. Theoretical guidance reiterates that options ought to be looked at openly, progressively and with clear allusions to the environmental goals (Wood, 2003). However, as is common in more extensive literature that developers tend to approach the alternatives requirement procedurally as opposed to substantively (Richardson, 2005), the ES provides a cursory retrospective narrative with scanty material of how environmental criteria inform the development of design. This is a nonconformance with the law under the EIA Regulations 2017 as well as scholarly expectations</w:t>
      </w:r>
      <w:r w:rsidR="005978D1" w:rsidRPr="005978D1">
        <w:rPr>
          <w:rFonts w:ascii="Times New Roman" w:hAnsi="Times New Roman" w:cs="Times New Roman"/>
          <w:sz w:val="24"/>
          <w:szCs w:val="24"/>
        </w:rPr>
        <w:t>.</w:t>
      </w:r>
    </w:p>
    <w:p w14:paraId="625FE6AA" w14:textId="2CE475C8"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Another domain where discrepancies are found is that of Cumulative effects assessment (CEA). In spite of the requirement of legislation and guidance that the cumulative impacts should be evaluated proportionately, academic literature recognizes CEA as one of the poorest elements of EIA around the world (Therivel and Ross, 2007). The ES has a limited CEA of landscape and ecology but does not consider a number of neighbouring schemes, hence limiting the reliability of the evaluation</w:t>
      </w:r>
      <w:r w:rsidR="005978D1" w:rsidRPr="005978D1">
        <w:rPr>
          <w:rFonts w:ascii="Times New Roman" w:hAnsi="Times New Roman" w:cs="Times New Roman"/>
          <w:sz w:val="24"/>
          <w:szCs w:val="24"/>
        </w:rPr>
        <w:t>.</w:t>
      </w:r>
    </w:p>
    <w:p w14:paraId="1420FCF3" w14:textId="0F8A8EDC"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 xml:space="preserve">This is the same case with treatment of baseline data. The EIA theory insists on proper and inclusive baselines as the basis of sound impact forecasting (Morgan, 2012). Although the ecological and noise baselines in this ES are fairly robust, the socio-economic and heritage baselines are highly dependent on the desk-based data, which is not as rich as to underpin the quality impact evaluation. This lack of consistency diminishes the validity of further judgements of significance and exemplifies the continuing issue of imbalanced quality of data in EIA issues as noted in the literature </w:t>
      </w:r>
      <w:r w:rsidR="005978D1" w:rsidRPr="005978D1">
        <w:rPr>
          <w:rFonts w:ascii="Times New Roman" w:hAnsi="Times New Roman" w:cs="Times New Roman"/>
          <w:sz w:val="24"/>
          <w:szCs w:val="24"/>
        </w:rPr>
        <w:t>(Jay et al., 2007).</w:t>
      </w:r>
    </w:p>
    <w:p w14:paraId="5094AD0D" w14:textId="6B642693"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 xml:space="preserve">Evaluation of significance, which is one of the pillars of the conceptual framework of EIA, also indicates missing links between theory and practice. In other chapters, even though transparent and cited criteria are used, they are based on custom made or simplistic structures. It has long been mentioned in scholarly critiques that determination of significance is often subjective, inconsistent and prone to methodological discretion (Lawrence, 2007). The ambivalent </w:t>
      </w:r>
      <w:r w:rsidRPr="00951191">
        <w:rPr>
          <w:rFonts w:ascii="Times New Roman" w:hAnsi="Times New Roman" w:cs="Times New Roman"/>
          <w:sz w:val="24"/>
          <w:szCs w:val="24"/>
        </w:rPr>
        <w:lastRenderedPageBreak/>
        <w:t>approach in this ES thus reverberates broader issues that significance is usually characterized opportunistically instead of systematically, which may result in underestimation of negative effects</w:t>
      </w:r>
      <w:r w:rsidR="005978D1" w:rsidRPr="005978D1">
        <w:rPr>
          <w:rFonts w:ascii="Times New Roman" w:hAnsi="Times New Roman" w:cs="Times New Roman"/>
          <w:sz w:val="24"/>
          <w:szCs w:val="24"/>
        </w:rPr>
        <w:t>.</w:t>
      </w:r>
    </w:p>
    <w:p w14:paraId="72BF9D18" w14:textId="1BA61C32"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 xml:space="preserve">Mitigation and follow-up which is essential to making sure that EIA produces real world environmental benefits also point out an inconsistency between expectations and practice. Theoretical schools of thought lay stress on adaptive management, repetitive monitoring and the necessity to assess the efficacy of mitigation action (Morrison-Saunders and Arts, 2005). The ES, however, does not have a detailed monitoring framework, implementation duties or adaptive mechanisms, only high-level ones. This exclusion can be noted as a legacy criticism that EIA in the UK continues to be more front-loaded, with little focus on post consent follow-up, despite its role in contributing to sustainability outcomes </w:t>
      </w:r>
      <w:r w:rsidR="005978D1" w:rsidRPr="005978D1">
        <w:rPr>
          <w:rFonts w:ascii="Times New Roman" w:hAnsi="Times New Roman" w:cs="Times New Roman"/>
          <w:sz w:val="24"/>
          <w:szCs w:val="24"/>
        </w:rPr>
        <w:t>(Glasson et al., 2020).</w:t>
      </w:r>
    </w:p>
    <w:p w14:paraId="3BFA8599" w14:textId="0936D31B"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Lastly, there is a less evident gap in the way the ES is presented and communicated. Although the document is broadly agreeable to best practice in areas of clarity, lack of consistency in cross-referencing and data integration minimizes transparency. Accessibility and traceability of information to the decision-makers and the public is highlighted in theoretical and policy guidance (IAIA, 2020), but the lack of cohesion in the presentation in certain chapters restricts the understanding of the stakeholders and the effectiveness of the EIA as a tool of communication</w:t>
      </w:r>
      <w:r w:rsidR="005978D1" w:rsidRPr="005978D1">
        <w:rPr>
          <w:rFonts w:ascii="Times New Roman" w:hAnsi="Times New Roman" w:cs="Times New Roman"/>
          <w:sz w:val="24"/>
          <w:szCs w:val="24"/>
        </w:rPr>
        <w:t>.</w:t>
      </w:r>
    </w:p>
    <w:p w14:paraId="14E41D5F" w14:textId="7B088FBB"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 xml:space="preserve">To conclude, the </w:t>
      </w:r>
      <w:r w:rsidR="00DA0223" w:rsidRPr="002E3F69">
        <w:rPr>
          <w:rFonts w:ascii="Times New Roman" w:hAnsi="Times New Roman" w:cs="Times New Roman"/>
          <w:sz w:val="24"/>
          <w:szCs w:val="24"/>
        </w:rPr>
        <w:t>Coed Darcy development</w:t>
      </w:r>
      <w:r w:rsidRPr="00951191">
        <w:rPr>
          <w:rFonts w:ascii="Times New Roman" w:hAnsi="Times New Roman" w:cs="Times New Roman"/>
          <w:sz w:val="24"/>
          <w:szCs w:val="24"/>
        </w:rPr>
        <w:t xml:space="preserve"> EIA contains various gaps typical of the modern practice such as poor alternatives appraisal, inadequate cumulative effects analysis, incoherent significance evaluation and inadequate follow-up. These contradictions demonstrate a long-term conflict between the procedural demands of EIA, its hypothetical ideal and the facts of development-based evaluation procedures</w:t>
      </w:r>
      <w:r w:rsidR="005978D1" w:rsidRPr="005978D1">
        <w:rPr>
          <w:rFonts w:ascii="Times New Roman" w:hAnsi="Times New Roman" w:cs="Times New Roman"/>
          <w:sz w:val="24"/>
          <w:szCs w:val="24"/>
        </w:rPr>
        <w:t>.</w:t>
      </w:r>
    </w:p>
    <w:p w14:paraId="432E6932" w14:textId="0F67EAAC" w:rsidR="005978D1" w:rsidRPr="005978D1" w:rsidRDefault="005978D1" w:rsidP="000A240F">
      <w:pPr>
        <w:pStyle w:val="Heading1"/>
      </w:pPr>
      <w:bookmarkStart w:id="10" w:name="_Toc218108430"/>
      <w:r w:rsidRPr="005978D1">
        <w:t>7. Recommendations for Improvement</w:t>
      </w:r>
      <w:bookmarkEnd w:id="10"/>
    </w:p>
    <w:p w14:paraId="668673EF" w14:textId="2B736D89" w:rsidR="005978D1" w:rsidRPr="005978D1" w:rsidRDefault="00951191" w:rsidP="005978D1">
      <w:pPr>
        <w:spacing w:line="360" w:lineRule="auto"/>
        <w:jc w:val="both"/>
        <w:rPr>
          <w:rFonts w:ascii="Times New Roman" w:hAnsi="Times New Roman" w:cs="Times New Roman"/>
          <w:sz w:val="24"/>
          <w:szCs w:val="24"/>
        </w:rPr>
      </w:pPr>
      <w:r w:rsidRPr="00951191">
        <w:rPr>
          <w:rFonts w:ascii="Times New Roman" w:hAnsi="Times New Roman" w:cs="Times New Roman"/>
          <w:sz w:val="24"/>
          <w:szCs w:val="24"/>
        </w:rPr>
        <w:t xml:space="preserve">Critique of </w:t>
      </w:r>
      <w:r w:rsidR="00DA0223" w:rsidRPr="002E3F69">
        <w:rPr>
          <w:rFonts w:ascii="Times New Roman" w:hAnsi="Times New Roman" w:cs="Times New Roman"/>
          <w:sz w:val="24"/>
          <w:szCs w:val="24"/>
        </w:rPr>
        <w:t>Coed Darcy development</w:t>
      </w:r>
      <w:r w:rsidRPr="00951191">
        <w:rPr>
          <w:rFonts w:ascii="Times New Roman" w:hAnsi="Times New Roman" w:cs="Times New Roman"/>
          <w:sz w:val="24"/>
          <w:szCs w:val="24"/>
        </w:rPr>
        <w:t xml:space="preserve"> Environmental Statement (ES) indicates that there are a number of areas in which it may be possible to better the strength, transparency and the overall efficiency of the EIA. These suggestions are intended to enhance the conformity with the legislative requirements, best practice guidelines and the basic theoretical foundations of EIA</w:t>
      </w:r>
      <w:r w:rsidR="005978D1" w:rsidRPr="005978D1">
        <w:rPr>
          <w:rFonts w:ascii="Times New Roman" w:hAnsi="Times New Roman" w:cs="Times New Roman"/>
          <w:sz w:val="24"/>
          <w:szCs w:val="24"/>
        </w:rPr>
        <w:t>.</w:t>
      </w:r>
    </w:p>
    <w:p w14:paraId="4F1A90AF" w14:textId="75131A79"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b/>
          <w:bCs/>
          <w:sz w:val="24"/>
          <w:szCs w:val="24"/>
        </w:rPr>
        <w:t>1. Strengthen the assessment of alternatives</w:t>
      </w:r>
      <w:r w:rsidR="00951191">
        <w:rPr>
          <w:rFonts w:ascii="Times New Roman" w:hAnsi="Times New Roman" w:cs="Times New Roman"/>
          <w:sz w:val="24"/>
          <w:szCs w:val="24"/>
        </w:rPr>
        <w:t xml:space="preserve">: </w:t>
      </w:r>
      <w:r w:rsidR="00951191" w:rsidRPr="00951191">
        <w:rPr>
          <w:rFonts w:ascii="Times New Roman" w:hAnsi="Times New Roman" w:cs="Times New Roman"/>
          <w:sz w:val="24"/>
          <w:szCs w:val="24"/>
        </w:rPr>
        <w:t xml:space="preserve">The shortage in the consideration of the alternatives is a major weakness. The next generation must also involve better documentation </w:t>
      </w:r>
      <w:r w:rsidR="00951191" w:rsidRPr="00951191">
        <w:rPr>
          <w:rFonts w:ascii="Times New Roman" w:hAnsi="Times New Roman" w:cs="Times New Roman"/>
          <w:sz w:val="24"/>
          <w:szCs w:val="24"/>
        </w:rPr>
        <w:lastRenderedPageBreak/>
        <w:t>of the design evolution process with a specific set of environmental criteria employed to compare layout and turbine height and access route options. The theory and regulation of transparent alternatives assessment is considered one of the mechanisms through which sustainability is embedded in the project design (Wood, 2003; Richardson, 2005). An iterative and evidence-based method would be more useful in proving that environmental concerns actually played a role in decision-making</w:t>
      </w:r>
      <w:r w:rsidRPr="005978D1">
        <w:rPr>
          <w:rFonts w:ascii="Times New Roman" w:hAnsi="Times New Roman" w:cs="Times New Roman"/>
          <w:sz w:val="24"/>
          <w:szCs w:val="24"/>
        </w:rPr>
        <w:t>.</w:t>
      </w:r>
    </w:p>
    <w:p w14:paraId="492D62E3" w14:textId="115CB483"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b/>
          <w:bCs/>
          <w:sz w:val="24"/>
          <w:szCs w:val="24"/>
        </w:rPr>
        <w:t>2. Improve cumulative effects assessment (CEA)</w:t>
      </w:r>
      <w:r w:rsidR="00951191">
        <w:rPr>
          <w:rFonts w:ascii="Times New Roman" w:hAnsi="Times New Roman" w:cs="Times New Roman"/>
          <w:sz w:val="24"/>
          <w:szCs w:val="24"/>
        </w:rPr>
        <w:t xml:space="preserve">: </w:t>
      </w:r>
      <w:r w:rsidR="00951191" w:rsidRPr="00951191">
        <w:rPr>
          <w:rFonts w:ascii="Times New Roman" w:hAnsi="Times New Roman" w:cs="Times New Roman"/>
          <w:sz w:val="24"/>
          <w:szCs w:val="24"/>
        </w:rPr>
        <w:t>The ES ought to increase its cumulative assessment of all the pertinent operations, agreed, and proposed developments within the stated study area. This would entail open scheme selection criteria and integrated landscape and ecological modeling. Cumulative assessment is always pointed as a methodological area that should be improved in academic reviews (Therivel and Ross, 2007), and improving this aspect would greatly increase the credibility of the EIA.</w:t>
      </w:r>
    </w:p>
    <w:p w14:paraId="6D378C15" w14:textId="27FCF493"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b/>
          <w:bCs/>
          <w:sz w:val="24"/>
          <w:szCs w:val="24"/>
        </w:rPr>
        <w:t>3. Enhance baseline data for socio-economic and heritage receptors</w:t>
      </w:r>
      <w:r w:rsidR="000A240F">
        <w:rPr>
          <w:rFonts w:ascii="Times New Roman" w:hAnsi="Times New Roman" w:cs="Times New Roman"/>
          <w:sz w:val="24"/>
          <w:szCs w:val="24"/>
        </w:rPr>
        <w:t xml:space="preserve">: </w:t>
      </w:r>
      <w:r w:rsidR="000A240F" w:rsidRPr="000A240F">
        <w:rPr>
          <w:rFonts w:ascii="Times New Roman" w:hAnsi="Times New Roman" w:cs="Times New Roman"/>
          <w:sz w:val="24"/>
          <w:szCs w:val="24"/>
        </w:rPr>
        <w:t>Further evaluations will need to add to the socio-economic and cultural heritage research of the site. Although ecological baselines were strong, discrepancies on different subject matters undermine the accuracy of significance tests (Morgan, 2012). To enhance the quality of data and make sound decisions, field verification and specific surveys would help</w:t>
      </w:r>
      <w:r w:rsidRPr="005978D1">
        <w:rPr>
          <w:rFonts w:ascii="Times New Roman" w:hAnsi="Times New Roman" w:cs="Times New Roman"/>
          <w:sz w:val="24"/>
          <w:szCs w:val="24"/>
        </w:rPr>
        <w:t>.</w:t>
      </w:r>
    </w:p>
    <w:p w14:paraId="0705F7DF" w14:textId="1C74C5E8"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b/>
          <w:bCs/>
          <w:sz w:val="24"/>
          <w:szCs w:val="24"/>
        </w:rPr>
        <w:t>4. Adopt clearer and more consistent significance criteria</w:t>
      </w:r>
      <w:r w:rsidR="000A240F">
        <w:rPr>
          <w:rFonts w:ascii="Times New Roman" w:hAnsi="Times New Roman" w:cs="Times New Roman"/>
          <w:sz w:val="24"/>
          <w:szCs w:val="24"/>
        </w:rPr>
        <w:t xml:space="preserve">: </w:t>
      </w:r>
      <w:r w:rsidR="000A240F" w:rsidRPr="000A240F">
        <w:rPr>
          <w:rFonts w:ascii="Times New Roman" w:hAnsi="Times New Roman" w:cs="Times New Roman"/>
          <w:sz w:val="24"/>
          <w:szCs w:val="24"/>
        </w:rPr>
        <w:t xml:space="preserve">More reference and standardised frameworks should be used to assess the significance especially to socio-economic and landscape impacts by the ES. Enhancing transparency in the determination of significance would help in minimising subjectivity in the methodology used in the practice of EIA, which has been known to be a problem in the practice </w:t>
      </w:r>
      <w:r w:rsidRPr="005978D1">
        <w:rPr>
          <w:rFonts w:ascii="Times New Roman" w:hAnsi="Times New Roman" w:cs="Times New Roman"/>
          <w:sz w:val="24"/>
          <w:szCs w:val="24"/>
        </w:rPr>
        <w:t>(Lawrence, 2007).</w:t>
      </w:r>
    </w:p>
    <w:p w14:paraId="0B02CB68" w14:textId="30955EA7"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b/>
          <w:bCs/>
          <w:sz w:val="24"/>
          <w:szCs w:val="24"/>
        </w:rPr>
        <w:t>5. Provide a detailed mitigation and monitoring framework</w:t>
      </w:r>
      <w:r w:rsidR="000A240F">
        <w:rPr>
          <w:rFonts w:ascii="Times New Roman" w:hAnsi="Times New Roman" w:cs="Times New Roman"/>
          <w:sz w:val="24"/>
          <w:szCs w:val="24"/>
        </w:rPr>
        <w:t xml:space="preserve">: </w:t>
      </w:r>
      <w:r w:rsidR="000A240F" w:rsidRPr="000A240F">
        <w:rPr>
          <w:rFonts w:ascii="Times New Roman" w:hAnsi="Times New Roman" w:cs="Times New Roman"/>
          <w:sz w:val="24"/>
          <w:szCs w:val="24"/>
        </w:rPr>
        <w:t xml:space="preserve">Specific, measurable and enforceable commitments should be in place to facilitate mitigation. An Environmental Management Plan (EMP) must also involve a thorough plan covering duties, schedules, reporting and adaptive management. Sustainability is the objective of EIA that requires proper follow-up </w:t>
      </w:r>
      <w:r w:rsidRPr="005978D1">
        <w:rPr>
          <w:rFonts w:ascii="Times New Roman" w:hAnsi="Times New Roman" w:cs="Times New Roman"/>
          <w:sz w:val="24"/>
          <w:szCs w:val="24"/>
        </w:rPr>
        <w:t>(Morrison-Saunders and Arts, 2005).</w:t>
      </w:r>
    </w:p>
    <w:p w14:paraId="0541FA66" w14:textId="14B7FB86"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b/>
          <w:bCs/>
          <w:sz w:val="24"/>
          <w:szCs w:val="24"/>
        </w:rPr>
        <w:t>6. Improve integration and communication of information</w:t>
      </w:r>
      <w:r w:rsidR="000A240F">
        <w:rPr>
          <w:rFonts w:ascii="Times New Roman" w:hAnsi="Times New Roman" w:cs="Times New Roman"/>
          <w:sz w:val="24"/>
          <w:szCs w:val="24"/>
        </w:rPr>
        <w:t xml:space="preserve">: </w:t>
      </w:r>
      <w:r w:rsidR="000A240F" w:rsidRPr="000A240F">
        <w:rPr>
          <w:rFonts w:ascii="Times New Roman" w:hAnsi="Times New Roman" w:cs="Times New Roman"/>
          <w:sz w:val="24"/>
          <w:szCs w:val="24"/>
        </w:rPr>
        <w:t xml:space="preserve">Better cross-referencing, combined figures and more convenient display of the information would increase the level of stakeholder comprehension. This can be compared to the focus of the IAIA on clear and communicative EIA documents </w:t>
      </w:r>
      <w:r w:rsidRPr="005978D1">
        <w:rPr>
          <w:rFonts w:ascii="Times New Roman" w:hAnsi="Times New Roman" w:cs="Times New Roman"/>
          <w:sz w:val="24"/>
          <w:szCs w:val="24"/>
        </w:rPr>
        <w:t>(IAIA, 2020).</w:t>
      </w:r>
    </w:p>
    <w:p w14:paraId="4F2FD593" w14:textId="0317B804" w:rsidR="005978D1" w:rsidRPr="005978D1" w:rsidRDefault="000A240F" w:rsidP="005978D1">
      <w:pPr>
        <w:spacing w:line="360" w:lineRule="auto"/>
        <w:jc w:val="both"/>
        <w:rPr>
          <w:rFonts w:ascii="Times New Roman" w:hAnsi="Times New Roman" w:cs="Times New Roman"/>
          <w:sz w:val="24"/>
          <w:szCs w:val="24"/>
        </w:rPr>
      </w:pPr>
      <w:r w:rsidRPr="000A240F">
        <w:rPr>
          <w:rFonts w:ascii="Times New Roman" w:hAnsi="Times New Roman" w:cs="Times New Roman"/>
          <w:sz w:val="24"/>
          <w:szCs w:val="24"/>
        </w:rPr>
        <w:lastRenderedPageBreak/>
        <w:t>All these recommendations would contribute towards making the EIA more realistic to the theoretical expectations, regulatory requirements and the best practice principles, which would enhance its reliability as a sustainable decision-making tool</w:t>
      </w:r>
      <w:r w:rsidR="005978D1" w:rsidRPr="005978D1">
        <w:rPr>
          <w:rFonts w:ascii="Times New Roman" w:hAnsi="Times New Roman" w:cs="Times New Roman"/>
          <w:sz w:val="24"/>
          <w:szCs w:val="24"/>
        </w:rPr>
        <w:t>.</w:t>
      </w:r>
    </w:p>
    <w:p w14:paraId="59445796" w14:textId="6C8F8922" w:rsidR="005978D1" w:rsidRPr="005978D1" w:rsidRDefault="005978D1" w:rsidP="000A240F">
      <w:pPr>
        <w:pStyle w:val="Heading1"/>
      </w:pPr>
      <w:bookmarkStart w:id="11" w:name="_Toc218108431"/>
      <w:r w:rsidRPr="005978D1">
        <w:t>8. Conclusion</w:t>
      </w:r>
      <w:bookmarkEnd w:id="11"/>
      <w:r w:rsidRPr="005978D1">
        <w:t xml:space="preserve"> </w:t>
      </w:r>
    </w:p>
    <w:p w14:paraId="2DE0EC7C" w14:textId="2DB982EF" w:rsidR="005978D1" w:rsidRPr="005978D1" w:rsidRDefault="000A240F" w:rsidP="005978D1">
      <w:pPr>
        <w:spacing w:line="360" w:lineRule="auto"/>
        <w:jc w:val="both"/>
        <w:rPr>
          <w:rFonts w:ascii="Times New Roman" w:hAnsi="Times New Roman" w:cs="Times New Roman"/>
          <w:sz w:val="24"/>
          <w:szCs w:val="24"/>
        </w:rPr>
      </w:pPr>
      <w:r w:rsidRPr="000A240F">
        <w:rPr>
          <w:rFonts w:ascii="Times New Roman" w:hAnsi="Times New Roman" w:cs="Times New Roman"/>
          <w:sz w:val="24"/>
          <w:szCs w:val="24"/>
        </w:rPr>
        <w:t xml:space="preserve">This report has critically assessed the Environmental Impact Assessment (EIA) conducted on the </w:t>
      </w:r>
      <w:r w:rsidR="00DA0223" w:rsidRPr="002E3F69">
        <w:rPr>
          <w:rFonts w:ascii="Times New Roman" w:hAnsi="Times New Roman" w:cs="Times New Roman"/>
          <w:sz w:val="24"/>
          <w:szCs w:val="24"/>
        </w:rPr>
        <w:t>Coed Darcy development</w:t>
      </w:r>
      <w:r w:rsidR="00DA0223" w:rsidRPr="000A240F">
        <w:rPr>
          <w:rFonts w:ascii="Times New Roman" w:hAnsi="Times New Roman" w:cs="Times New Roman"/>
          <w:sz w:val="24"/>
          <w:szCs w:val="24"/>
        </w:rPr>
        <w:t xml:space="preserve"> </w:t>
      </w:r>
      <w:r w:rsidRPr="000A240F">
        <w:rPr>
          <w:rFonts w:ascii="Times New Roman" w:hAnsi="Times New Roman" w:cs="Times New Roman"/>
          <w:sz w:val="24"/>
          <w:szCs w:val="24"/>
        </w:rPr>
        <w:t>on the Lee and Colley (1990) Review Package and the applicable legislative, policy and academic standards. As it is shown in the analysis, the Environmental Statement (ES) is rather compliant with the procedures and requirements of the EIA Regulations 2017, but its quality is still rather uneven, showing a number of systemic issues and challenges in EIA practice that have long been identified</w:t>
      </w:r>
      <w:r w:rsidR="005978D1" w:rsidRPr="005978D1">
        <w:rPr>
          <w:rFonts w:ascii="Times New Roman" w:hAnsi="Times New Roman" w:cs="Times New Roman"/>
          <w:sz w:val="24"/>
          <w:szCs w:val="24"/>
        </w:rPr>
        <w:t>.</w:t>
      </w:r>
    </w:p>
    <w:p w14:paraId="28DD2678" w14:textId="6B25B894" w:rsidR="005978D1" w:rsidRPr="005978D1" w:rsidRDefault="000A240F" w:rsidP="005978D1">
      <w:pPr>
        <w:spacing w:line="360" w:lineRule="auto"/>
        <w:jc w:val="both"/>
        <w:rPr>
          <w:rFonts w:ascii="Times New Roman" w:hAnsi="Times New Roman" w:cs="Times New Roman"/>
          <w:sz w:val="24"/>
          <w:szCs w:val="24"/>
        </w:rPr>
      </w:pPr>
      <w:r w:rsidRPr="000A240F">
        <w:rPr>
          <w:rFonts w:ascii="Times New Roman" w:hAnsi="Times New Roman" w:cs="Times New Roman"/>
          <w:sz w:val="24"/>
          <w:szCs w:val="24"/>
        </w:rPr>
        <w:t>The assessment has such strengths as clear project description, sound ecological and noise baseline and widely accessible presentation. Nevertheless, it was found that the appraisal of alternatives, cumulative effects assessment, significance evaluation and lack of elaborate monitoring framework had major weaknesses. These inadequacies reflect consistent failures between EIA theory and practice, especially in relation to integration of design at the early stages, transparency and follow-up.</w:t>
      </w:r>
    </w:p>
    <w:p w14:paraId="725E8136" w14:textId="2DC8323B" w:rsidR="00BC7921" w:rsidRPr="005978D1" w:rsidRDefault="00187733" w:rsidP="005978D1">
      <w:pPr>
        <w:spacing w:line="360" w:lineRule="auto"/>
        <w:jc w:val="both"/>
        <w:rPr>
          <w:rFonts w:ascii="Times New Roman" w:hAnsi="Times New Roman" w:cs="Times New Roman"/>
          <w:sz w:val="24"/>
          <w:szCs w:val="24"/>
        </w:rPr>
      </w:pPr>
      <w:r w:rsidRPr="00187733">
        <w:rPr>
          <w:rFonts w:ascii="Times New Roman" w:hAnsi="Times New Roman" w:cs="Times New Roman"/>
          <w:sz w:val="24"/>
          <w:szCs w:val="24"/>
        </w:rPr>
        <w:t>To conclude, Coed Darcy EIA meets the necessary procedural standards of conducting the consultation with the citizens but its efficiency in influencing the results of the assessment process is rather low. This is an indication of greater inequity between the democratic ideals of EIA and its application. Improving activist mechanisms, especially in the earlier stages of design, would improve the quality and credibility of future EIAs, and guarantee their role as not just compliance documents but as legitimately useful instruments of inclusion and sustainable decision-making.</w:t>
      </w:r>
      <w:r w:rsidR="00BC7921" w:rsidRPr="005978D1">
        <w:rPr>
          <w:rFonts w:ascii="Times New Roman" w:hAnsi="Times New Roman" w:cs="Times New Roman"/>
          <w:sz w:val="24"/>
          <w:szCs w:val="24"/>
        </w:rPr>
        <w:br w:type="page"/>
      </w:r>
    </w:p>
    <w:p w14:paraId="54627FA3" w14:textId="2126FA22" w:rsidR="00BC7921" w:rsidRPr="005978D1" w:rsidRDefault="00BC7921" w:rsidP="000A240F">
      <w:pPr>
        <w:pStyle w:val="Heading1"/>
      </w:pPr>
      <w:bookmarkStart w:id="12" w:name="_Toc218108432"/>
      <w:r w:rsidRPr="005978D1">
        <w:lastRenderedPageBreak/>
        <w:t>Reference list</w:t>
      </w:r>
      <w:bookmarkEnd w:id="12"/>
    </w:p>
    <w:p w14:paraId="181A5AA8" w14:textId="0770C298" w:rsidR="005978D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Cashmore, M., Richardson, T., Hilding-Rydevik, T. and Emmelin, L. (2009) ‘Evaluating the effectiveness of impact assessment instruments: Theorising the nature and implications of their political constitution’, </w:t>
      </w:r>
      <w:r w:rsidRPr="00BC7921">
        <w:rPr>
          <w:rFonts w:ascii="Times New Roman" w:hAnsi="Times New Roman" w:cs="Times New Roman"/>
          <w:i/>
          <w:iCs/>
          <w:sz w:val="24"/>
          <w:szCs w:val="24"/>
        </w:rPr>
        <w:t>Environmental Impact Assessment Review</w:t>
      </w:r>
      <w:r w:rsidRPr="00BC7921">
        <w:rPr>
          <w:rFonts w:ascii="Times New Roman" w:hAnsi="Times New Roman" w:cs="Times New Roman"/>
          <w:sz w:val="24"/>
          <w:szCs w:val="24"/>
        </w:rPr>
        <w:t>, 29(6), pp. 371–379.</w:t>
      </w:r>
    </w:p>
    <w:p w14:paraId="0F7347A4" w14:textId="61472684" w:rsidR="00660645" w:rsidRPr="00BC7921" w:rsidRDefault="00660645" w:rsidP="005978D1">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660645">
        <w:rPr>
          <w:rFonts w:ascii="Times New Roman" w:hAnsi="Times New Roman" w:cs="Times New Roman"/>
          <w:sz w:val="24"/>
          <w:szCs w:val="24"/>
        </w:rPr>
        <w:t xml:space="preserve">umming-group.com </w:t>
      </w:r>
      <w:r>
        <w:rPr>
          <w:rFonts w:ascii="Times New Roman" w:hAnsi="Times New Roman" w:cs="Times New Roman"/>
          <w:sz w:val="24"/>
          <w:szCs w:val="24"/>
        </w:rPr>
        <w:t xml:space="preserve">(2025), </w:t>
      </w:r>
      <w:r w:rsidRPr="00660645">
        <w:rPr>
          <w:rFonts w:ascii="Times New Roman" w:hAnsi="Times New Roman" w:cs="Times New Roman"/>
          <w:sz w:val="24"/>
          <w:szCs w:val="24"/>
        </w:rPr>
        <w:t>Coed Darcy Urban Village</w:t>
      </w:r>
      <w:r>
        <w:rPr>
          <w:rFonts w:ascii="Times New Roman" w:hAnsi="Times New Roman" w:cs="Times New Roman"/>
          <w:sz w:val="24"/>
          <w:szCs w:val="24"/>
        </w:rPr>
        <w:t xml:space="preserve">, available from: </w:t>
      </w:r>
      <w:r w:rsidRPr="00660645">
        <w:rPr>
          <w:rFonts w:ascii="Times New Roman" w:hAnsi="Times New Roman" w:cs="Times New Roman"/>
          <w:sz w:val="24"/>
          <w:szCs w:val="24"/>
        </w:rPr>
        <w:t>https://cumming-group.com/en/portfolio/coed-darcy-urban-village-neath-port-talbot-south-w</w:t>
      </w:r>
    </w:p>
    <w:p w14:paraId="46148F6F" w14:textId="77777777"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Glasson, J., Therivel, R. and Chadwick, A. (2019) </w:t>
      </w:r>
      <w:r w:rsidRPr="00BC7921">
        <w:rPr>
          <w:rFonts w:ascii="Times New Roman" w:hAnsi="Times New Roman" w:cs="Times New Roman"/>
          <w:i/>
          <w:iCs/>
          <w:sz w:val="24"/>
          <w:szCs w:val="24"/>
        </w:rPr>
        <w:t>Introduction to Environmental Impact Assessment</w:t>
      </w:r>
      <w:r w:rsidRPr="00BC7921">
        <w:rPr>
          <w:rFonts w:ascii="Times New Roman" w:hAnsi="Times New Roman" w:cs="Times New Roman"/>
          <w:sz w:val="24"/>
          <w:szCs w:val="24"/>
        </w:rPr>
        <w:t>. 5th ed. London: Routledge.</w:t>
      </w:r>
    </w:p>
    <w:p w14:paraId="57FA5831" w14:textId="77777777"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Glasson, J., Therivel, R. and Chadwick, A. (2020) </w:t>
      </w:r>
      <w:r w:rsidRPr="00BC7921">
        <w:rPr>
          <w:rFonts w:ascii="Times New Roman" w:hAnsi="Times New Roman" w:cs="Times New Roman"/>
          <w:i/>
          <w:iCs/>
          <w:sz w:val="24"/>
          <w:szCs w:val="24"/>
        </w:rPr>
        <w:t>Introduction to Environmental Impact Assessment</w:t>
      </w:r>
      <w:r w:rsidRPr="00BC7921">
        <w:rPr>
          <w:rFonts w:ascii="Times New Roman" w:hAnsi="Times New Roman" w:cs="Times New Roman"/>
          <w:sz w:val="24"/>
          <w:szCs w:val="24"/>
        </w:rPr>
        <w:t>. 5th ed. London: Routledge.</w:t>
      </w:r>
    </w:p>
    <w:p w14:paraId="461B954B" w14:textId="226B21F4"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sz w:val="24"/>
          <w:szCs w:val="24"/>
        </w:rPr>
        <w:t xml:space="preserve">IAIA (2020) </w:t>
      </w:r>
      <w:r w:rsidRPr="005978D1">
        <w:rPr>
          <w:rFonts w:ascii="Times New Roman" w:hAnsi="Times New Roman" w:cs="Times New Roman"/>
          <w:i/>
          <w:iCs/>
          <w:sz w:val="24"/>
          <w:szCs w:val="24"/>
        </w:rPr>
        <w:t>Principles of EIA Best Practice</w:t>
      </w:r>
      <w:r w:rsidRPr="005978D1">
        <w:rPr>
          <w:rFonts w:ascii="Times New Roman" w:hAnsi="Times New Roman" w:cs="Times New Roman"/>
          <w:sz w:val="24"/>
          <w:szCs w:val="24"/>
        </w:rPr>
        <w:t>. International Association for Impact Assessment.</w:t>
      </w:r>
      <w:r w:rsidRPr="005978D1">
        <w:rPr>
          <w:rFonts w:ascii="Times New Roman" w:hAnsi="Times New Roman" w:cs="Times New Roman"/>
          <w:sz w:val="24"/>
          <w:szCs w:val="24"/>
        </w:rPr>
        <w:br/>
        <w:t xml:space="preserve">Lawrence, D.P. (2007) ‘Impact significance determination—Designing an approach’, </w:t>
      </w:r>
      <w:r w:rsidRPr="005978D1">
        <w:rPr>
          <w:rFonts w:ascii="Times New Roman" w:hAnsi="Times New Roman" w:cs="Times New Roman"/>
          <w:i/>
          <w:iCs/>
          <w:sz w:val="24"/>
          <w:szCs w:val="24"/>
        </w:rPr>
        <w:t>Environmental Impact Assessment Review</w:t>
      </w:r>
      <w:r w:rsidRPr="005978D1">
        <w:rPr>
          <w:rFonts w:ascii="Times New Roman" w:hAnsi="Times New Roman" w:cs="Times New Roman"/>
          <w:sz w:val="24"/>
          <w:szCs w:val="24"/>
        </w:rPr>
        <w:t>, 27(8), pp. 730–754.</w:t>
      </w:r>
      <w:r w:rsidRPr="005978D1">
        <w:rPr>
          <w:rFonts w:ascii="Times New Roman" w:hAnsi="Times New Roman" w:cs="Times New Roman"/>
          <w:sz w:val="24"/>
          <w:szCs w:val="24"/>
        </w:rPr>
        <w:br/>
        <w:t xml:space="preserve">Morrison-Saunders, A. and Arts, J. (2005) </w:t>
      </w:r>
      <w:r w:rsidRPr="005978D1">
        <w:rPr>
          <w:rFonts w:ascii="Times New Roman" w:hAnsi="Times New Roman" w:cs="Times New Roman"/>
          <w:i/>
          <w:iCs/>
          <w:sz w:val="24"/>
          <w:szCs w:val="24"/>
        </w:rPr>
        <w:t>Learning from Practice: EIA Follow-Up</w:t>
      </w:r>
      <w:r w:rsidRPr="005978D1">
        <w:rPr>
          <w:rFonts w:ascii="Times New Roman" w:hAnsi="Times New Roman" w:cs="Times New Roman"/>
          <w:sz w:val="24"/>
          <w:szCs w:val="24"/>
        </w:rPr>
        <w:t>. Oxford: Earthscan.</w:t>
      </w:r>
      <w:r w:rsidRPr="005978D1">
        <w:rPr>
          <w:rFonts w:ascii="Times New Roman" w:hAnsi="Times New Roman" w:cs="Times New Roman"/>
          <w:sz w:val="24"/>
          <w:szCs w:val="24"/>
        </w:rPr>
        <w:br/>
        <w:t xml:space="preserve">Morgan, R.K. (2012) </w:t>
      </w:r>
      <w:r w:rsidRPr="005978D1">
        <w:rPr>
          <w:rFonts w:ascii="Times New Roman" w:hAnsi="Times New Roman" w:cs="Times New Roman"/>
          <w:i/>
          <w:iCs/>
          <w:sz w:val="24"/>
          <w:szCs w:val="24"/>
        </w:rPr>
        <w:t>Environmental Impact Assessment: A Methodological Approach</w:t>
      </w:r>
      <w:r w:rsidRPr="005978D1">
        <w:rPr>
          <w:rFonts w:ascii="Times New Roman" w:hAnsi="Times New Roman" w:cs="Times New Roman"/>
          <w:sz w:val="24"/>
          <w:szCs w:val="24"/>
        </w:rPr>
        <w:t>. Dordrecht: Springer.</w:t>
      </w:r>
      <w:r w:rsidRPr="005978D1">
        <w:rPr>
          <w:rFonts w:ascii="Times New Roman" w:hAnsi="Times New Roman" w:cs="Times New Roman"/>
          <w:sz w:val="24"/>
          <w:szCs w:val="24"/>
        </w:rPr>
        <w:br/>
        <w:t xml:space="preserve">Richardson, T. (2005) ‘Environmental assessment and planning theory: Four short stories about power, multiple rationality, and ethics’, </w:t>
      </w:r>
      <w:r w:rsidRPr="005978D1">
        <w:rPr>
          <w:rFonts w:ascii="Times New Roman" w:hAnsi="Times New Roman" w:cs="Times New Roman"/>
          <w:i/>
          <w:iCs/>
          <w:sz w:val="24"/>
          <w:szCs w:val="24"/>
        </w:rPr>
        <w:t>Environmental Impact Assessment Review</w:t>
      </w:r>
      <w:r w:rsidRPr="005978D1">
        <w:rPr>
          <w:rFonts w:ascii="Times New Roman" w:hAnsi="Times New Roman" w:cs="Times New Roman"/>
          <w:sz w:val="24"/>
          <w:szCs w:val="24"/>
        </w:rPr>
        <w:t>, 25(4), pp. 341–365.</w:t>
      </w:r>
      <w:r w:rsidRPr="005978D1">
        <w:rPr>
          <w:rFonts w:ascii="Times New Roman" w:hAnsi="Times New Roman" w:cs="Times New Roman"/>
          <w:sz w:val="24"/>
          <w:szCs w:val="24"/>
        </w:rPr>
        <w:br/>
        <w:t xml:space="preserve">Therivel, R. and Ross, B. (2007) ‘Cumulative effects assessment: Does scale matter?’, </w:t>
      </w:r>
      <w:r w:rsidRPr="005978D1">
        <w:rPr>
          <w:rFonts w:ascii="Times New Roman" w:hAnsi="Times New Roman" w:cs="Times New Roman"/>
          <w:i/>
          <w:iCs/>
          <w:sz w:val="24"/>
          <w:szCs w:val="24"/>
        </w:rPr>
        <w:t>Environmental Impact Assessment Review</w:t>
      </w:r>
      <w:r w:rsidRPr="005978D1">
        <w:rPr>
          <w:rFonts w:ascii="Times New Roman" w:hAnsi="Times New Roman" w:cs="Times New Roman"/>
          <w:sz w:val="24"/>
          <w:szCs w:val="24"/>
        </w:rPr>
        <w:t>, 27(5), pp. 365–385.</w:t>
      </w:r>
      <w:r w:rsidRPr="005978D1">
        <w:rPr>
          <w:rFonts w:ascii="Times New Roman" w:hAnsi="Times New Roman" w:cs="Times New Roman"/>
          <w:sz w:val="24"/>
          <w:szCs w:val="24"/>
        </w:rPr>
        <w:br/>
        <w:t xml:space="preserve">Wood, C. (2003) </w:t>
      </w:r>
      <w:r w:rsidRPr="005978D1">
        <w:rPr>
          <w:rFonts w:ascii="Times New Roman" w:hAnsi="Times New Roman" w:cs="Times New Roman"/>
          <w:i/>
          <w:iCs/>
          <w:sz w:val="24"/>
          <w:szCs w:val="24"/>
        </w:rPr>
        <w:t>Environmental Impact Assessment: A Comparative Review</w:t>
      </w:r>
      <w:r w:rsidRPr="005978D1">
        <w:rPr>
          <w:rFonts w:ascii="Times New Roman" w:hAnsi="Times New Roman" w:cs="Times New Roman"/>
          <w:sz w:val="24"/>
          <w:szCs w:val="24"/>
        </w:rPr>
        <w:t>. 2nd ed. Harlow: Prentice Hall.</w:t>
      </w:r>
    </w:p>
    <w:p w14:paraId="2B3B274E" w14:textId="77777777"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IAIA (2020) </w:t>
      </w:r>
      <w:r w:rsidRPr="00BC7921">
        <w:rPr>
          <w:rFonts w:ascii="Times New Roman" w:hAnsi="Times New Roman" w:cs="Times New Roman"/>
          <w:i/>
          <w:iCs/>
          <w:sz w:val="24"/>
          <w:szCs w:val="24"/>
        </w:rPr>
        <w:t>Principles of Environmental Impact Assessment Best Practice</w:t>
      </w:r>
      <w:r w:rsidRPr="00BC7921">
        <w:rPr>
          <w:rFonts w:ascii="Times New Roman" w:hAnsi="Times New Roman" w:cs="Times New Roman"/>
          <w:sz w:val="24"/>
          <w:szCs w:val="24"/>
        </w:rPr>
        <w:t>. International Association for Impact Assessment.</w:t>
      </w:r>
    </w:p>
    <w:p w14:paraId="175F92A3" w14:textId="77777777"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IEMA (2022) </w:t>
      </w:r>
      <w:r w:rsidRPr="00BC7921">
        <w:rPr>
          <w:rFonts w:ascii="Times New Roman" w:hAnsi="Times New Roman" w:cs="Times New Roman"/>
          <w:i/>
          <w:iCs/>
          <w:sz w:val="24"/>
          <w:szCs w:val="24"/>
        </w:rPr>
        <w:t>Guidance on Effective Environmental Impact Assessment</w:t>
      </w:r>
      <w:r w:rsidRPr="00BC7921">
        <w:rPr>
          <w:rFonts w:ascii="Times New Roman" w:hAnsi="Times New Roman" w:cs="Times New Roman"/>
          <w:sz w:val="24"/>
          <w:szCs w:val="24"/>
        </w:rPr>
        <w:t>. Institute of Environmental Management and Assessment.</w:t>
      </w:r>
    </w:p>
    <w:p w14:paraId="10418002" w14:textId="77777777"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Jay, S., Jones, C., Slinn, P. and Wood, C. (2007) ‘Environmental impact assessment: Retrospect and prospect’, </w:t>
      </w:r>
      <w:r w:rsidRPr="00BC7921">
        <w:rPr>
          <w:rFonts w:ascii="Times New Roman" w:hAnsi="Times New Roman" w:cs="Times New Roman"/>
          <w:i/>
          <w:iCs/>
          <w:sz w:val="24"/>
          <w:szCs w:val="24"/>
        </w:rPr>
        <w:t>Environmental Impact Assessment Review</w:t>
      </w:r>
      <w:r w:rsidRPr="00BC7921">
        <w:rPr>
          <w:rFonts w:ascii="Times New Roman" w:hAnsi="Times New Roman" w:cs="Times New Roman"/>
          <w:sz w:val="24"/>
          <w:szCs w:val="24"/>
        </w:rPr>
        <w:t>, 27(4), pp. 287–300.</w:t>
      </w:r>
    </w:p>
    <w:p w14:paraId="0F634270" w14:textId="77777777"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sz w:val="24"/>
          <w:szCs w:val="24"/>
        </w:rPr>
        <w:lastRenderedPageBreak/>
        <w:t xml:space="preserve">Lawrence, D.P. (2007) ‘Impact significance determination—Designing an approach’, </w:t>
      </w:r>
      <w:r w:rsidRPr="005978D1">
        <w:rPr>
          <w:rFonts w:ascii="Times New Roman" w:hAnsi="Times New Roman" w:cs="Times New Roman"/>
          <w:i/>
          <w:iCs/>
          <w:sz w:val="24"/>
          <w:szCs w:val="24"/>
        </w:rPr>
        <w:t>Environmental Impact Assessment Review</w:t>
      </w:r>
      <w:r w:rsidRPr="005978D1">
        <w:rPr>
          <w:rFonts w:ascii="Times New Roman" w:hAnsi="Times New Roman" w:cs="Times New Roman"/>
          <w:sz w:val="24"/>
          <w:szCs w:val="24"/>
        </w:rPr>
        <w:t>, 27(8), pp. 730–754.</w:t>
      </w:r>
    </w:p>
    <w:p w14:paraId="084C4CA3" w14:textId="45B6F8CA"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Lee, N., Colley, R., Bonde, J. and Simpson, J. (</w:t>
      </w:r>
      <w:r w:rsidRPr="005978D1">
        <w:rPr>
          <w:rFonts w:ascii="Times New Roman" w:hAnsi="Times New Roman" w:cs="Times New Roman"/>
          <w:sz w:val="24"/>
          <w:szCs w:val="24"/>
        </w:rPr>
        <w:t>200</w:t>
      </w:r>
      <w:r w:rsidRPr="00BC7921">
        <w:rPr>
          <w:rFonts w:ascii="Times New Roman" w:hAnsi="Times New Roman" w:cs="Times New Roman"/>
          <w:sz w:val="24"/>
          <w:szCs w:val="24"/>
        </w:rPr>
        <w:t xml:space="preserve">9) ‘Reviewing the quality of environmental statements and environmental appraisals’, </w:t>
      </w:r>
      <w:r w:rsidRPr="00BC7921">
        <w:rPr>
          <w:rFonts w:ascii="Times New Roman" w:hAnsi="Times New Roman" w:cs="Times New Roman"/>
          <w:i/>
          <w:iCs/>
          <w:sz w:val="24"/>
          <w:szCs w:val="24"/>
        </w:rPr>
        <w:t>Project Appraisal</w:t>
      </w:r>
      <w:r w:rsidRPr="00BC7921">
        <w:rPr>
          <w:rFonts w:ascii="Times New Roman" w:hAnsi="Times New Roman" w:cs="Times New Roman"/>
          <w:sz w:val="24"/>
          <w:szCs w:val="24"/>
        </w:rPr>
        <w:t>, 14(3), pp. 147–156.</w:t>
      </w:r>
    </w:p>
    <w:p w14:paraId="7224C947" w14:textId="77777777"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MHCLG (2021) </w:t>
      </w:r>
      <w:r w:rsidRPr="00BC7921">
        <w:rPr>
          <w:rFonts w:ascii="Times New Roman" w:hAnsi="Times New Roman" w:cs="Times New Roman"/>
          <w:i/>
          <w:iCs/>
          <w:sz w:val="24"/>
          <w:szCs w:val="24"/>
        </w:rPr>
        <w:t>National Planning Policy Framework</w:t>
      </w:r>
      <w:r w:rsidRPr="00BC7921">
        <w:rPr>
          <w:rFonts w:ascii="Times New Roman" w:hAnsi="Times New Roman" w:cs="Times New Roman"/>
          <w:sz w:val="24"/>
          <w:szCs w:val="24"/>
        </w:rPr>
        <w:t>. Ministry of Housing, Communities and Local Government.</w:t>
      </w:r>
    </w:p>
    <w:p w14:paraId="084A8E40" w14:textId="77777777"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sz w:val="24"/>
          <w:szCs w:val="24"/>
        </w:rPr>
        <w:t xml:space="preserve">Montague, J., Miller, D. and Scott, K. (2020) ‘Visual impact assessment and viewpoint selection in landscape planning’, </w:t>
      </w:r>
      <w:r w:rsidRPr="005978D1">
        <w:rPr>
          <w:rFonts w:ascii="Times New Roman" w:hAnsi="Times New Roman" w:cs="Times New Roman"/>
          <w:i/>
          <w:iCs/>
          <w:sz w:val="24"/>
          <w:szCs w:val="24"/>
        </w:rPr>
        <w:t>Journal of Environmental Planning and Management</w:t>
      </w:r>
      <w:r w:rsidRPr="005978D1">
        <w:rPr>
          <w:rFonts w:ascii="Times New Roman" w:hAnsi="Times New Roman" w:cs="Times New Roman"/>
          <w:sz w:val="24"/>
          <w:szCs w:val="24"/>
        </w:rPr>
        <w:t>, 63(6), pp. 1050–1067.</w:t>
      </w:r>
    </w:p>
    <w:p w14:paraId="2F3FDEA1" w14:textId="77777777" w:rsidR="005978D1" w:rsidRPr="00BC7921" w:rsidRDefault="005978D1" w:rsidP="005978D1">
      <w:pPr>
        <w:spacing w:line="360" w:lineRule="auto"/>
        <w:jc w:val="both"/>
        <w:rPr>
          <w:rFonts w:ascii="Times New Roman" w:hAnsi="Times New Roman" w:cs="Times New Roman"/>
          <w:sz w:val="24"/>
          <w:szCs w:val="24"/>
        </w:rPr>
      </w:pPr>
      <w:r w:rsidRPr="00BC7921">
        <w:rPr>
          <w:rFonts w:ascii="Times New Roman" w:hAnsi="Times New Roman" w:cs="Times New Roman"/>
          <w:sz w:val="24"/>
          <w:szCs w:val="24"/>
        </w:rPr>
        <w:t xml:space="preserve">Morgan, R.K. (2012) </w:t>
      </w:r>
      <w:r w:rsidRPr="00BC7921">
        <w:rPr>
          <w:rFonts w:ascii="Times New Roman" w:hAnsi="Times New Roman" w:cs="Times New Roman"/>
          <w:i/>
          <w:iCs/>
          <w:sz w:val="24"/>
          <w:szCs w:val="24"/>
        </w:rPr>
        <w:t>Environmental Impact Assessment: A Methodological Approach</w:t>
      </w:r>
      <w:r w:rsidRPr="00BC7921">
        <w:rPr>
          <w:rFonts w:ascii="Times New Roman" w:hAnsi="Times New Roman" w:cs="Times New Roman"/>
          <w:sz w:val="24"/>
          <w:szCs w:val="24"/>
        </w:rPr>
        <w:t>. Dordrecht: Springer.</w:t>
      </w:r>
    </w:p>
    <w:p w14:paraId="118E0E38" w14:textId="77777777"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sz w:val="24"/>
          <w:szCs w:val="24"/>
        </w:rPr>
        <w:t xml:space="preserve">Morrison-Saunders, A. and Arts, J. (2005) </w:t>
      </w:r>
      <w:r w:rsidRPr="005978D1">
        <w:rPr>
          <w:rFonts w:ascii="Times New Roman" w:hAnsi="Times New Roman" w:cs="Times New Roman"/>
          <w:i/>
          <w:iCs/>
          <w:sz w:val="24"/>
          <w:szCs w:val="24"/>
        </w:rPr>
        <w:t>Learning from Practice: EIA Follow-Up</w:t>
      </w:r>
      <w:r w:rsidRPr="005978D1">
        <w:rPr>
          <w:rFonts w:ascii="Times New Roman" w:hAnsi="Times New Roman" w:cs="Times New Roman"/>
          <w:sz w:val="24"/>
          <w:szCs w:val="24"/>
        </w:rPr>
        <w:t>. Oxford: Earthscan.</w:t>
      </w:r>
    </w:p>
    <w:p w14:paraId="32041616" w14:textId="77777777"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sz w:val="24"/>
          <w:szCs w:val="24"/>
        </w:rPr>
        <w:t xml:space="preserve">Richardson, T. (2005) ‘Environmental assessment and planning theory: Four short stories about power, multiple rationality, and ethics’, </w:t>
      </w:r>
      <w:r w:rsidRPr="005978D1">
        <w:rPr>
          <w:rFonts w:ascii="Times New Roman" w:hAnsi="Times New Roman" w:cs="Times New Roman"/>
          <w:i/>
          <w:iCs/>
          <w:sz w:val="24"/>
          <w:szCs w:val="24"/>
        </w:rPr>
        <w:t>Environmental Impact Assessment Review</w:t>
      </w:r>
      <w:r w:rsidRPr="005978D1">
        <w:rPr>
          <w:rFonts w:ascii="Times New Roman" w:hAnsi="Times New Roman" w:cs="Times New Roman"/>
          <w:sz w:val="24"/>
          <w:szCs w:val="24"/>
        </w:rPr>
        <w:t>, 25(4), pp. 341–365.</w:t>
      </w:r>
    </w:p>
    <w:p w14:paraId="0754E711" w14:textId="77777777"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sz w:val="24"/>
          <w:szCs w:val="24"/>
        </w:rPr>
        <w:t xml:space="preserve">Therivel, R. and Ross, B. (2007) ‘Cumulative effects assessment: Does scale matter?’, </w:t>
      </w:r>
      <w:r w:rsidRPr="005978D1">
        <w:rPr>
          <w:rFonts w:ascii="Times New Roman" w:hAnsi="Times New Roman" w:cs="Times New Roman"/>
          <w:i/>
          <w:iCs/>
          <w:sz w:val="24"/>
          <w:szCs w:val="24"/>
        </w:rPr>
        <w:t>Environmental Impact Assessment Review</w:t>
      </w:r>
      <w:r w:rsidRPr="005978D1">
        <w:rPr>
          <w:rFonts w:ascii="Times New Roman" w:hAnsi="Times New Roman" w:cs="Times New Roman"/>
          <w:sz w:val="24"/>
          <w:szCs w:val="24"/>
        </w:rPr>
        <w:t>, 27(5), pp. 365–385.</w:t>
      </w:r>
    </w:p>
    <w:p w14:paraId="7AF948F3" w14:textId="77777777" w:rsidR="005978D1" w:rsidRPr="005978D1" w:rsidRDefault="005978D1" w:rsidP="005978D1">
      <w:pPr>
        <w:spacing w:line="360" w:lineRule="auto"/>
        <w:jc w:val="both"/>
        <w:rPr>
          <w:rFonts w:ascii="Times New Roman" w:hAnsi="Times New Roman" w:cs="Times New Roman"/>
          <w:sz w:val="24"/>
          <w:szCs w:val="24"/>
        </w:rPr>
      </w:pPr>
      <w:r w:rsidRPr="005978D1">
        <w:rPr>
          <w:rFonts w:ascii="Times New Roman" w:hAnsi="Times New Roman" w:cs="Times New Roman"/>
          <w:sz w:val="24"/>
          <w:szCs w:val="24"/>
        </w:rPr>
        <w:t xml:space="preserve">Wood, C. (2003) </w:t>
      </w:r>
      <w:r w:rsidRPr="005978D1">
        <w:rPr>
          <w:rFonts w:ascii="Times New Roman" w:hAnsi="Times New Roman" w:cs="Times New Roman"/>
          <w:i/>
          <w:iCs/>
          <w:sz w:val="24"/>
          <w:szCs w:val="24"/>
        </w:rPr>
        <w:t>Environmental Impact Assessment: A Comparative Review</w:t>
      </w:r>
      <w:r w:rsidRPr="005978D1">
        <w:rPr>
          <w:rFonts w:ascii="Times New Roman" w:hAnsi="Times New Roman" w:cs="Times New Roman"/>
          <w:sz w:val="24"/>
          <w:szCs w:val="24"/>
        </w:rPr>
        <w:t>. 2nd ed. Harlow: Prentice Hall.</w:t>
      </w:r>
    </w:p>
    <w:sectPr w:rsidR="005978D1" w:rsidRPr="005978D1" w:rsidSect="000A240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5A3BF5"/>
    <w:multiLevelType w:val="multilevel"/>
    <w:tmpl w:val="F12C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2806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21"/>
    <w:rsid w:val="00025910"/>
    <w:rsid w:val="00095659"/>
    <w:rsid w:val="000A240F"/>
    <w:rsid w:val="000D681A"/>
    <w:rsid w:val="000F338D"/>
    <w:rsid w:val="00155FE6"/>
    <w:rsid w:val="00187733"/>
    <w:rsid w:val="002E3F69"/>
    <w:rsid w:val="002E58B8"/>
    <w:rsid w:val="004F51B2"/>
    <w:rsid w:val="005206B3"/>
    <w:rsid w:val="00591C86"/>
    <w:rsid w:val="005978D1"/>
    <w:rsid w:val="00632EEC"/>
    <w:rsid w:val="00660645"/>
    <w:rsid w:val="007B525B"/>
    <w:rsid w:val="007D37C4"/>
    <w:rsid w:val="007F75D5"/>
    <w:rsid w:val="00810255"/>
    <w:rsid w:val="008774C2"/>
    <w:rsid w:val="00946BC7"/>
    <w:rsid w:val="00951191"/>
    <w:rsid w:val="009742BE"/>
    <w:rsid w:val="009F598A"/>
    <w:rsid w:val="00A57EAF"/>
    <w:rsid w:val="00B06E41"/>
    <w:rsid w:val="00B93230"/>
    <w:rsid w:val="00BA57F2"/>
    <w:rsid w:val="00BC7921"/>
    <w:rsid w:val="00BE4397"/>
    <w:rsid w:val="00BF7ADA"/>
    <w:rsid w:val="00C43632"/>
    <w:rsid w:val="00CD71F7"/>
    <w:rsid w:val="00CE2D58"/>
    <w:rsid w:val="00D129FB"/>
    <w:rsid w:val="00D70DF5"/>
    <w:rsid w:val="00DA0223"/>
    <w:rsid w:val="00E96E35"/>
    <w:rsid w:val="00F47B6A"/>
    <w:rsid w:val="00FF4D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D6CE"/>
  <w15:chartTrackingRefBased/>
  <w15:docId w15:val="{C91D7B99-001B-42DB-BF14-16B90417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06E41"/>
    <w:pPr>
      <w:keepNext/>
      <w:keepLines/>
      <w:spacing w:before="480" w:after="200" w:line="48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8774C2"/>
    <w:pPr>
      <w:keepNext/>
      <w:keepLines/>
      <w:spacing w:before="480" w:after="240" w:line="480" w:lineRule="auto"/>
      <w:jc w:val="both"/>
      <w:outlineLvl w:val="1"/>
    </w:pPr>
    <w:rPr>
      <w:rFonts w:ascii="Times New Roman" w:eastAsia="Times New Roman" w:hAnsi="Times New Roman" w:cs="Times New Roman"/>
      <w:b/>
      <w:kern w:val="0"/>
      <w:sz w:val="26"/>
      <w:szCs w:val="26"/>
      <w:lang w:val="en-GB"/>
      <w14:ligatures w14:val="none"/>
    </w:rPr>
  </w:style>
  <w:style w:type="paragraph" w:styleId="Heading3">
    <w:name w:val="heading 3"/>
    <w:basedOn w:val="Normal"/>
    <w:next w:val="Normal"/>
    <w:link w:val="Heading3Char"/>
    <w:uiPriority w:val="9"/>
    <w:semiHidden/>
    <w:unhideWhenUsed/>
    <w:qFormat/>
    <w:rsid w:val="00BC79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79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79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79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9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9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9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E41"/>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8774C2"/>
    <w:rPr>
      <w:rFonts w:ascii="Times New Roman" w:eastAsia="Times New Roman" w:hAnsi="Times New Roman" w:cs="Times New Roman"/>
      <w:b/>
      <w:kern w:val="0"/>
      <w:sz w:val="26"/>
      <w:szCs w:val="26"/>
      <w:lang w:val="en-GB"/>
      <w14:ligatures w14:val="none"/>
    </w:rPr>
  </w:style>
  <w:style w:type="character" w:customStyle="1" w:styleId="Heading3Char">
    <w:name w:val="Heading 3 Char"/>
    <w:basedOn w:val="DefaultParagraphFont"/>
    <w:link w:val="Heading3"/>
    <w:uiPriority w:val="9"/>
    <w:semiHidden/>
    <w:rsid w:val="00BC79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79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79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7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921"/>
    <w:rPr>
      <w:rFonts w:eastAsiaTheme="majorEastAsia" w:cstheme="majorBidi"/>
      <w:color w:val="272727" w:themeColor="text1" w:themeTint="D8"/>
    </w:rPr>
  </w:style>
  <w:style w:type="paragraph" w:styleId="Title">
    <w:name w:val="Title"/>
    <w:basedOn w:val="Normal"/>
    <w:next w:val="Normal"/>
    <w:link w:val="TitleChar"/>
    <w:uiPriority w:val="10"/>
    <w:qFormat/>
    <w:rsid w:val="00BC7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9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921"/>
    <w:pPr>
      <w:spacing w:before="160"/>
      <w:jc w:val="center"/>
    </w:pPr>
    <w:rPr>
      <w:i/>
      <w:iCs/>
      <w:color w:val="404040" w:themeColor="text1" w:themeTint="BF"/>
    </w:rPr>
  </w:style>
  <w:style w:type="character" w:customStyle="1" w:styleId="QuoteChar">
    <w:name w:val="Quote Char"/>
    <w:basedOn w:val="DefaultParagraphFont"/>
    <w:link w:val="Quote"/>
    <w:uiPriority w:val="29"/>
    <w:rsid w:val="00BC7921"/>
    <w:rPr>
      <w:i/>
      <w:iCs/>
      <w:color w:val="404040" w:themeColor="text1" w:themeTint="BF"/>
    </w:rPr>
  </w:style>
  <w:style w:type="paragraph" w:styleId="ListParagraph">
    <w:name w:val="List Paragraph"/>
    <w:basedOn w:val="Normal"/>
    <w:uiPriority w:val="34"/>
    <w:qFormat/>
    <w:rsid w:val="00BC7921"/>
    <w:pPr>
      <w:ind w:left="720"/>
      <w:contextualSpacing/>
    </w:pPr>
  </w:style>
  <w:style w:type="character" w:styleId="IntenseEmphasis">
    <w:name w:val="Intense Emphasis"/>
    <w:basedOn w:val="DefaultParagraphFont"/>
    <w:uiPriority w:val="21"/>
    <w:qFormat/>
    <w:rsid w:val="00BC7921"/>
    <w:rPr>
      <w:i/>
      <w:iCs/>
      <w:color w:val="2F5496" w:themeColor="accent1" w:themeShade="BF"/>
    </w:rPr>
  </w:style>
  <w:style w:type="paragraph" w:styleId="IntenseQuote">
    <w:name w:val="Intense Quote"/>
    <w:basedOn w:val="Normal"/>
    <w:next w:val="Normal"/>
    <w:link w:val="IntenseQuoteChar"/>
    <w:uiPriority w:val="30"/>
    <w:qFormat/>
    <w:rsid w:val="00BC79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7921"/>
    <w:rPr>
      <w:i/>
      <w:iCs/>
      <w:color w:val="2F5496" w:themeColor="accent1" w:themeShade="BF"/>
    </w:rPr>
  </w:style>
  <w:style w:type="character" w:styleId="IntenseReference">
    <w:name w:val="Intense Reference"/>
    <w:basedOn w:val="DefaultParagraphFont"/>
    <w:uiPriority w:val="32"/>
    <w:qFormat/>
    <w:rsid w:val="00BC7921"/>
    <w:rPr>
      <w:b/>
      <w:bCs/>
      <w:smallCaps/>
      <w:color w:val="2F5496" w:themeColor="accent1" w:themeShade="BF"/>
      <w:spacing w:val="5"/>
    </w:rPr>
  </w:style>
  <w:style w:type="paragraph" w:styleId="TOCHeading">
    <w:name w:val="TOC Heading"/>
    <w:basedOn w:val="Heading1"/>
    <w:next w:val="Normal"/>
    <w:uiPriority w:val="39"/>
    <w:unhideWhenUsed/>
    <w:qFormat/>
    <w:rsid w:val="000A240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A240F"/>
    <w:pPr>
      <w:spacing w:after="100"/>
    </w:pPr>
  </w:style>
  <w:style w:type="paragraph" w:styleId="TOC2">
    <w:name w:val="toc 2"/>
    <w:basedOn w:val="Normal"/>
    <w:next w:val="Normal"/>
    <w:autoRedefine/>
    <w:uiPriority w:val="39"/>
    <w:unhideWhenUsed/>
    <w:rsid w:val="000A240F"/>
    <w:pPr>
      <w:spacing w:after="100"/>
      <w:ind w:left="220"/>
    </w:pPr>
  </w:style>
  <w:style w:type="character" w:styleId="Hyperlink">
    <w:name w:val="Hyperlink"/>
    <w:basedOn w:val="DefaultParagraphFont"/>
    <w:uiPriority w:val="99"/>
    <w:unhideWhenUsed/>
    <w:rsid w:val="000A240F"/>
    <w:rPr>
      <w:color w:val="0563C1" w:themeColor="hyperlink"/>
      <w:u w:val="single"/>
    </w:rPr>
  </w:style>
  <w:style w:type="character" w:styleId="UnresolvedMention">
    <w:name w:val="Unresolved Mention"/>
    <w:basedOn w:val="DefaultParagraphFont"/>
    <w:uiPriority w:val="99"/>
    <w:semiHidden/>
    <w:unhideWhenUsed/>
    <w:rsid w:val="00A57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9BE720-F1F4-4DDB-889F-8BEBA3EEC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5908</Words>
  <Characters>33680</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LENOVO</cp:lastModifiedBy>
  <cp:revision>8</cp:revision>
  <dcterms:created xsi:type="dcterms:W3CDTF">2026-01-06T17:00:00Z</dcterms:created>
  <dcterms:modified xsi:type="dcterms:W3CDTF">2026-01-06T20:16:00Z</dcterms:modified>
</cp:coreProperties>
</file>