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196F33" w14:textId="77777777" w:rsidR="0090201E" w:rsidRDefault="0090201E">
      <w:pPr>
        <w:jc w:val="center"/>
      </w:pPr>
    </w:p>
    <w:p w14:paraId="3BCBB575" w14:textId="77777777" w:rsidR="0090201E" w:rsidRDefault="0090201E">
      <w:pPr>
        <w:jc w:val="center"/>
      </w:pPr>
    </w:p>
    <w:p w14:paraId="10FD14FF" w14:textId="77777777" w:rsidR="0090201E" w:rsidRDefault="0090201E">
      <w:pPr>
        <w:jc w:val="center"/>
      </w:pPr>
    </w:p>
    <w:p w14:paraId="581B415E" w14:textId="77777777" w:rsidR="0090201E" w:rsidRDefault="0090201E">
      <w:pPr>
        <w:jc w:val="center"/>
      </w:pPr>
    </w:p>
    <w:p w14:paraId="28A79EF9" w14:textId="77777777" w:rsidR="0090201E" w:rsidRDefault="0090201E">
      <w:pPr>
        <w:jc w:val="center"/>
      </w:pPr>
    </w:p>
    <w:p w14:paraId="418A788B" w14:textId="77777777" w:rsidR="0090201E" w:rsidRDefault="0090201E">
      <w:pPr>
        <w:jc w:val="center"/>
      </w:pPr>
    </w:p>
    <w:p w14:paraId="783F4E46" w14:textId="77777777" w:rsidR="0090201E" w:rsidRDefault="0090201E">
      <w:pPr>
        <w:jc w:val="center"/>
      </w:pPr>
    </w:p>
    <w:p w14:paraId="2FAAD535" w14:textId="77777777" w:rsidR="0090201E" w:rsidRDefault="0090201E">
      <w:pPr>
        <w:jc w:val="center"/>
      </w:pPr>
    </w:p>
    <w:p w14:paraId="47C21CCF" w14:textId="77777777" w:rsidR="0090201E" w:rsidRDefault="0090201E">
      <w:pPr>
        <w:jc w:val="center"/>
      </w:pPr>
    </w:p>
    <w:p w14:paraId="7CD800C5" w14:textId="77777777" w:rsidR="0090201E" w:rsidRDefault="00EB32DE">
      <w:pPr>
        <w:pBdr>
          <w:top w:val="single" w:sz="4" w:space="1" w:color="000000"/>
          <w:left w:val="single" w:sz="4" w:space="4" w:color="000000"/>
          <w:bottom w:val="single" w:sz="4" w:space="1" w:color="000000"/>
          <w:right w:val="single" w:sz="4" w:space="4" w:color="000000"/>
        </w:pBdr>
        <w:jc w:val="center"/>
        <w:rPr>
          <w:rFonts w:ascii="Times New Roman" w:hAnsi="Times New Roman"/>
          <w:color w:val="002060"/>
          <w:sz w:val="52"/>
          <w:szCs w:val="52"/>
        </w:rPr>
      </w:pPr>
      <w:r>
        <w:rPr>
          <w:rFonts w:ascii="Times New Roman" w:hAnsi="Times New Roman"/>
          <w:color w:val="002060"/>
          <w:sz w:val="52"/>
          <w:szCs w:val="52"/>
        </w:rPr>
        <w:t>TRANSITION IN THE EARLY YEARS</w:t>
      </w:r>
    </w:p>
    <w:p w14:paraId="05A28207" w14:textId="77777777" w:rsidR="0090201E" w:rsidRDefault="0090201E">
      <w:pPr>
        <w:jc w:val="center"/>
        <w:rPr>
          <w:rFonts w:ascii="Times New Roman" w:hAnsi="Times New Roman"/>
          <w:color w:val="002060"/>
          <w:sz w:val="52"/>
          <w:szCs w:val="52"/>
        </w:rPr>
      </w:pPr>
    </w:p>
    <w:p w14:paraId="4662EEC8" w14:textId="77777777" w:rsidR="0090201E" w:rsidRDefault="00EB32DE">
      <w:pPr>
        <w:jc w:val="center"/>
        <w:rPr>
          <w:rFonts w:ascii="Times New Roman" w:hAnsi="Times New Roman"/>
          <w:color w:val="002060"/>
          <w:sz w:val="32"/>
          <w:szCs w:val="32"/>
        </w:rPr>
      </w:pPr>
      <w:r>
        <w:rPr>
          <w:rFonts w:ascii="Times New Roman" w:hAnsi="Times New Roman"/>
          <w:color w:val="002060"/>
          <w:sz w:val="32"/>
          <w:szCs w:val="32"/>
        </w:rPr>
        <w:t>A handbook for childhood education to aid in the transition of children beginning at the age of 2-3 years.</w:t>
      </w:r>
    </w:p>
    <w:p w14:paraId="5C6F36E3" w14:textId="77777777" w:rsidR="0090201E" w:rsidRDefault="0090201E">
      <w:pPr>
        <w:jc w:val="center"/>
        <w:rPr>
          <w:rFonts w:ascii="Times New Roman" w:hAnsi="Times New Roman"/>
          <w:color w:val="002060"/>
          <w:sz w:val="32"/>
          <w:szCs w:val="32"/>
        </w:rPr>
      </w:pPr>
    </w:p>
    <w:p w14:paraId="31998034" w14:textId="77777777" w:rsidR="0090201E" w:rsidRDefault="0090201E">
      <w:pPr>
        <w:jc w:val="center"/>
        <w:rPr>
          <w:rFonts w:ascii="Times New Roman" w:hAnsi="Times New Roman"/>
          <w:color w:val="002060"/>
          <w:sz w:val="32"/>
          <w:szCs w:val="32"/>
        </w:rPr>
      </w:pPr>
    </w:p>
    <w:p w14:paraId="68D80748" w14:textId="77777777" w:rsidR="0090201E" w:rsidRDefault="0090201E">
      <w:pPr>
        <w:rPr>
          <w:rFonts w:ascii="Times New Roman" w:hAnsi="Times New Roman"/>
          <w:color w:val="002060"/>
          <w:sz w:val="32"/>
          <w:szCs w:val="32"/>
        </w:rPr>
      </w:pPr>
    </w:p>
    <w:p w14:paraId="429C3E6E" w14:textId="77777777" w:rsidR="0090201E" w:rsidRDefault="0090201E">
      <w:pPr>
        <w:rPr>
          <w:rFonts w:ascii="Times New Roman" w:hAnsi="Times New Roman"/>
          <w:color w:val="002060"/>
          <w:sz w:val="32"/>
          <w:szCs w:val="32"/>
        </w:rPr>
      </w:pPr>
    </w:p>
    <w:p w14:paraId="7F13E3AA" w14:textId="77777777" w:rsidR="0090201E" w:rsidRDefault="0090201E">
      <w:pPr>
        <w:rPr>
          <w:rFonts w:ascii="Times New Roman" w:hAnsi="Times New Roman"/>
          <w:color w:val="002060"/>
          <w:sz w:val="32"/>
          <w:szCs w:val="32"/>
        </w:rPr>
      </w:pPr>
    </w:p>
    <w:p w14:paraId="3911EB91" w14:textId="77777777" w:rsidR="0090201E" w:rsidRDefault="0090201E">
      <w:pPr>
        <w:rPr>
          <w:rFonts w:ascii="Times New Roman" w:hAnsi="Times New Roman"/>
          <w:color w:val="002060"/>
          <w:sz w:val="32"/>
          <w:szCs w:val="32"/>
        </w:rPr>
      </w:pPr>
    </w:p>
    <w:p w14:paraId="7F86E86C" w14:textId="77777777" w:rsidR="0090201E" w:rsidRDefault="0090201E">
      <w:pPr>
        <w:rPr>
          <w:rFonts w:ascii="Times New Roman" w:hAnsi="Times New Roman"/>
          <w:color w:val="002060"/>
          <w:sz w:val="32"/>
          <w:szCs w:val="32"/>
        </w:rPr>
      </w:pPr>
    </w:p>
    <w:p w14:paraId="758F73C3" w14:textId="77777777" w:rsidR="0090201E" w:rsidRDefault="0090201E">
      <w:pPr>
        <w:rPr>
          <w:rFonts w:ascii="Times New Roman" w:hAnsi="Times New Roman"/>
          <w:color w:val="002060"/>
          <w:sz w:val="32"/>
          <w:szCs w:val="32"/>
        </w:rPr>
      </w:pPr>
    </w:p>
    <w:p w14:paraId="1B58FBD9" w14:textId="77777777" w:rsidR="0090201E" w:rsidRDefault="0090201E">
      <w:pPr>
        <w:rPr>
          <w:rFonts w:ascii="Times New Roman" w:hAnsi="Times New Roman"/>
          <w:color w:val="002060"/>
          <w:sz w:val="32"/>
          <w:szCs w:val="32"/>
        </w:rPr>
      </w:pPr>
    </w:p>
    <w:p w14:paraId="3FC27EFC" w14:textId="77777777" w:rsidR="0090201E" w:rsidRDefault="0090201E">
      <w:pPr>
        <w:rPr>
          <w:rFonts w:ascii="Times New Roman" w:hAnsi="Times New Roman"/>
          <w:color w:val="002060"/>
          <w:sz w:val="32"/>
          <w:szCs w:val="32"/>
        </w:rPr>
      </w:pPr>
    </w:p>
    <w:p w14:paraId="238E6A82" w14:textId="77777777" w:rsidR="0090201E" w:rsidRDefault="0090201E">
      <w:pPr>
        <w:rPr>
          <w:rFonts w:ascii="Times New Roman" w:hAnsi="Times New Roman"/>
          <w:color w:val="002060"/>
          <w:sz w:val="32"/>
          <w:szCs w:val="32"/>
        </w:rPr>
      </w:pPr>
    </w:p>
    <w:p w14:paraId="2998B25A" w14:textId="77777777" w:rsidR="0090201E" w:rsidRDefault="0090201E">
      <w:pPr>
        <w:rPr>
          <w:rFonts w:ascii="Times New Roman" w:hAnsi="Times New Roman"/>
          <w:color w:val="002060"/>
          <w:sz w:val="32"/>
          <w:szCs w:val="32"/>
        </w:rPr>
      </w:pPr>
    </w:p>
    <w:p w14:paraId="61FEF837" w14:textId="77777777" w:rsidR="0090201E" w:rsidRDefault="0090201E">
      <w:pPr>
        <w:rPr>
          <w:rFonts w:ascii="Times New Roman" w:hAnsi="Times New Roman"/>
          <w:b/>
          <w:bCs/>
          <w:color w:val="000000"/>
          <w:sz w:val="32"/>
          <w:szCs w:val="32"/>
          <w:u w:val="single"/>
        </w:rPr>
      </w:pPr>
    </w:p>
    <w:p w14:paraId="0D8547CD" w14:textId="77777777" w:rsidR="0090201E" w:rsidRDefault="00EB32DE">
      <w:pPr>
        <w:pStyle w:val="NormalWeb"/>
      </w:pPr>
      <w:r>
        <w:rPr>
          <w:b/>
          <w:bCs/>
          <w:sz w:val="32"/>
          <w:szCs w:val="32"/>
          <w:u w:val="single"/>
        </w:rPr>
        <w:lastRenderedPageBreak/>
        <w:t xml:space="preserve">Contents </w:t>
      </w:r>
    </w:p>
    <w:p w14:paraId="4D203393" w14:textId="77777777" w:rsidR="0090201E" w:rsidRDefault="0090201E">
      <w:pPr>
        <w:pStyle w:val="NormalWeb"/>
        <w:rPr>
          <w:sz w:val="32"/>
          <w:szCs w:val="32"/>
        </w:rPr>
      </w:pPr>
    </w:p>
    <w:p w14:paraId="67677FC4" w14:textId="77777777" w:rsidR="0090201E" w:rsidRDefault="00EB32DE">
      <w:pPr>
        <w:pStyle w:val="NormalWeb"/>
        <w:spacing w:line="360" w:lineRule="auto"/>
        <w:rPr>
          <w:sz w:val="32"/>
          <w:szCs w:val="32"/>
        </w:rPr>
      </w:pPr>
      <w:r>
        <w:rPr>
          <w:sz w:val="32"/>
          <w:szCs w:val="32"/>
        </w:rPr>
        <w:t>Introduction……………………………………………Page 3</w:t>
      </w:r>
    </w:p>
    <w:p w14:paraId="089D7B97" w14:textId="77777777" w:rsidR="0090201E" w:rsidRDefault="00EB32DE">
      <w:pPr>
        <w:pStyle w:val="NormalWeb"/>
        <w:spacing w:line="360" w:lineRule="auto"/>
        <w:rPr>
          <w:sz w:val="32"/>
          <w:szCs w:val="32"/>
        </w:rPr>
      </w:pPr>
      <w:r>
        <w:rPr>
          <w:sz w:val="32"/>
          <w:szCs w:val="32"/>
        </w:rPr>
        <w:t>Transition........................................................................Page 3-5</w:t>
      </w:r>
    </w:p>
    <w:p w14:paraId="1C9B0D39" w14:textId="77777777" w:rsidR="0090201E" w:rsidRDefault="00EB32DE">
      <w:pPr>
        <w:pStyle w:val="NormalWeb"/>
        <w:spacing w:line="360" w:lineRule="auto"/>
        <w:rPr>
          <w:sz w:val="32"/>
          <w:szCs w:val="32"/>
        </w:rPr>
      </w:pPr>
      <w:r>
        <w:rPr>
          <w:sz w:val="32"/>
          <w:szCs w:val="32"/>
        </w:rPr>
        <w:t>How to use this handbook………………………………Page 5</w:t>
      </w:r>
    </w:p>
    <w:p w14:paraId="0357147C" w14:textId="77777777" w:rsidR="0090201E" w:rsidRDefault="00EB32DE">
      <w:pPr>
        <w:pStyle w:val="NormalWeb"/>
        <w:spacing w:line="360" w:lineRule="auto"/>
        <w:rPr>
          <w:sz w:val="32"/>
          <w:szCs w:val="32"/>
        </w:rPr>
      </w:pPr>
      <w:r>
        <w:rPr>
          <w:sz w:val="32"/>
          <w:szCs w:val="32"/>
        </w:rPr>
        <w:t>Requirements of a child…………………………………Page 5-7</w:t>
      </w:r>
    </w:p>
    <w:p w14:paraId="3EB9852E" w14:textId="77777777" w:rsidR="0090201E" w:rsidRDefault="00EB32DE">
      <w:pPr>
        <w:pStyle w:val="NormalWeb"/>
        <w:spacing w:line="360" w:lineRule="auto"/>
        <w:rPr>
          <w:sz w:val="32"/>
          <w:szCs w:val="32"/>
        </w:rPr>
      </w:pPr>
      <w:r>
        <w:rPr>
          <w:sz w:val="32"/>
          <w:szCs w:val="32"/>
        </w:rPr>
        <w:t>Role of the adult…………………………………………Page 7-8</w:t>
      </w:r>
    </w:p>
    <w:p w14:paraId="6E370F06" w14:textId="77777777" w:rsidR="0090201E" w:rsidRDefault="00EB32DE">
      <w:pPr>
        <w:pStyle w:val="NormalWeb"/>
        <w:spacing w:line="360" w:lineRule="auto"/>
        <w:rPr>
          <w:sz w:val="32"/>
          <w:szCs w:val="32"/>
        </w:rPr>
      </w:pPr>
      <w:r>
        <w:rPr>
          <w:sz w:val="32"/>
          <w:szCs w:val="32"/>
        </w:rPr>
        <w:t xml:space="preserve">Being a </w:t>
      </w:r>
      <w:proofErr w:type="spellStart"/>
      <w:r>
        <w:rPr>
          <w:sz w:val="32"/>
          <w:szCs w:val="32"/>
        </w:rPr>
        <w:t>keyworker</w:t>
      </w:r>
      <w:proofErr w:type="spellEnd"/>
      <w:r>
        <w:rPr>
          <w:sz w:val="32"/>
          <w:szCs w:val="32"/>
        </w:rPr>
        <w:t>………………………………………. Page 9</w:t>
      </w:r>
    </w:p>
    <w:p w14:paraId="514846CD" w14:textId="77777777" w:rsidR="0090201E" w:rsidRDefault="00EB32DE">
      <w:pPr>
        <w:pStyle w:val="NormalWeb"/>
        <w:spacing w:line="360" w:lineRule="auto"/>
        <w:rPr>
          <w:sz w:val="32"/>
          <w:szCs w:val="32"/>
        </w:rPr>
      </w:pPr>
      <w:r>
        <w:rPr>
          <w:sz w:val="32"/>
          <w:szCs w:val="32"/>
        </w:rPr>
        <w:t>Responsibility of the staff………………………………...Page 9-10</w:t>
      </w:r>
    </w:p>
    <w:p w14:paraId="5CD0F66B" w14:textId="77777777" w:rsidR="0090201E" w:rsidRDefault="00EB32DE">
      <w:pPr>
        <w:pStyle w:val="NormalWeb"/>
        <w:spacing w:line="360" w:lineRule="auto"/>
        <w:rPr>
          <w:sz w:val="32"/>
          <w:szCs w:val="32"/>
        </w:rPr>
      </w:pPr>
      <w:r>
        <w:rPr>
          <w:sz w:val="32"/>
          <w:szCs w:val="32"/>
        </w:rPr>
        <w:t>Parents…………………………………………………….Page 11</w:t>
      </w:r>
    </w:p>
    <w:p w14:paraId="578A5FCE" w14:textId="77777777" w:rsidR="0090201E" w:rsidRDefault="00EB32DE">
      <w:pPr>
        <w:pStyle w:val="NormalWeb"/>
        <w:spacing w:line="360" w:lineRule="auto"/>
        <w:rPr>
          <w:sz w:val="32"/>
          <w:szCs w:val="32"/>
        </w:rPr>
      </w:pPr>
      <w:r>
        <w:rPr>
          <w:sz w:val="32"/>
          <w:szCs w:val="32"/>
        </w:rPr>
        <w:t>Involvement……………………………………………….Page 11-12</w:t>
      </w:r>
    </w:p>
    <w:p w14:paraId="728A421E" w14:textId="77777777" w:rsidR="0090201E" w:rsidRDefault="00EB32DE">
      <w:pPr>
        <w:pStyle w:val="NormalWeb"/>
        <w:spacing w:line="360" w:lineRule="auto"/>
        <w:rPr>
          <w:sz w:val="32"/>
          <w:szCs w:val="32"/>
        </w:rPr>
      </w:pPr>
      <w:r>
        <w:rPr>
          <w:sz w:val="32"/>
          <w:szCs w:val="32"/>
        </w:rPr>
        <w:t>Conclusion…………………………………………………Page 12-13</w:t>
      </w:r>
    </w:p>
    <w:p w14:paraId="3D176266" w14:textId="77777777" w:rsidR="0090201E" w:rsidRDefault="00EB32DE">
      <w:pPr>
        <w:pStyle w:val="NormalWeb"/>
        <w:spacing w:line="360" w:lineRule="auto"/>
        <w:rPr>
          <w:sz w:val="32"/>
          <w:szCs w:val="32"/>
        </w:rPr>
      </w:pPr>
      <w:r>
        <w:rPr>
          <w:sz w:val="32"/>
          <w:szCs w:val="32"/>
        </w:rPr>
        <w:t>References………………………………………………..Page 13-15</w:t>
      </w:r>
    </w:p>
    <w:p w14:paraId="4526B34E" w14:textId="77777777" w:rsidR="0090201E" w:rsidRDefault="0090201E">
      <w:pPr>
        <w:rPr>
          <w:rFonts w:ascii="Times New Roman" w:hAnsi="Times New Roman"/>
          <w:b/>
          <w:bCs/>
          <w:color w:val="000000"/>
          <w:sz w:val="32"/>
          <w:szCs w:val="32"/>
          <w:u w:val="single"/>
        </w:rPr>
      </w:pPr>
    </w:p>
    <w:p w14:paraId="78B97F6A" w14:textId="77777777" w:rsidR="0090201E" w:rsidRDefault="0090201E">
      <w:pPr>
        <w:rPr>
          <w:rFonts w:ascii="Times New Roman" w:hAnsi="Times New Roman"/>
          <w:b/>
          <w:bCs/>
          <w:color w:val="000000"/>
          <w:sz w:val="32"/>
          <w:szCs w:val="32"/>
          <w:u w:val="single"/>
        </w:rPr>
      </w:pPr>
    </w:p>
    <w:p w14:paraId="7F59FBAB" w14:textId="77777777" w:rsidR="0090201E" w:rsidRDefault="0090201E">
      <w:pPr>
        <w:rPr>
          <w:rFonts w:ascii="Times New Roman" w:hAnsi="Times New Roman"/>
          <w:b/>
          <w:bCs/>
          <w:color w:val="000000"/>
          <w:sz w:val="32"/>
          <w:szCs w:val="32"/>
          <w:u w:val="single"/>
        </w:rPr>
      </w:pPr>
    </w:p>
    <w:p w14:paraId="3A18BA32" w14:textId="77777777" w:rsidR="0090201E" w:rsidRDefault="0090201E">
      <w:pPr>
        <w:rPr>
          <w:rFonts w:ascii="Times New Roman" w:hAnsi="Times New Roman"/>
          <w:b/>
          <w:bCs/>
          <w:color w:val="000000"/>
          <w:sz w:val="32"/>
          <w:szCs w:val="32"/>
          <w:u w:val="single"/>
        </w:rPr>
      </w:pPr>
    </w:p>
    <w:p w14:paraId="61ABD95E" w14:textId="77777777" w:rsidR="0090201E" w:rsidRDefault="0090201E">
      <w:pPr>
        <w:rPr>
          <w:rFonts w:ascii="Times New Roman" w:hAnsi="Times New Roman"/>
          <w:b/>
          <w:bCs/>
          <w:color w:val="000000"/>
          <w:sz w:val="32"/>
          <w:szCs w:val="32"/>
          <w:u w:val="single"/>
        </w:rPr>
      </w:pPr>
    </w:p>
    <w:p w14:paraId="18BED6C0" w14:textId="77777777" w:rsidR="0090201E" w:rsidRDefault="0090201E">
      <w:pPr>
        <w:rPr>
          <w:rFonts w:ascii="Times New Roman" w:hAnsi="Times New Roman"/>
          <w:b/>
          <w:bCs/>
          <w:color w:val="000000"/>
          <w:sz w:val="32"/>
          <w:szCs w:val="32"/>
          <w:u w:val="single"/>
        </w:rPr>
      </w:pPr>
    </w:p>
    <w:p w14:paraId="6C4130EE" w14:textId="77777777" w:rsidR="0090201E" w:rsidRDefault="0090201E">
      <w:pPr>
        <w:rPr>
          <w:rFonts w:ascii="Times New Roman" w:hAnsi="Times New Roman"/>
          <w:b/>
          <w:bCs/>
          <w:color w:val="000000"/>
          <w:sz w:val="32"/>
          <w:szCs w:val="32"/>
          <w:u w:val="single"/>
        </w:rPr>
      </w:pPr>
    </w:p>
    <w:p w14:paraId="1BFF089C" w14:textId="77777777" w:rsidR="0090201E" w:rsidRDefault="0090201E">
      <w:pPr>
        <w:rPr>
          <w:rFonts w:ascii="Times New Roman" w:hAnsi="Times New Roman"/>
          <w:b/>
          <w:bCs/>
          <w:color w:val="000000"/>
          <w:sz w:val="32"/>
          <w:szCs w:val="32"/>
          <w:u w:val="single"/>
        </w:rPr>
      </w:pPr>
    </w:p>
    <w:p w14:paraId="21F9FCC0" w14:textId="77777777" w:rsidR="0090201E" w:rsidRDefault="0090201E">
      <w:pPr>
        <w:rPr>
          <w:rFonts w:ascii="Times New Roman" w:hAnsi="Times New Roman"/>
          <w:b/>
          <w:bCs/>
          <w:color w:val="000000"/>
          <w:sz w:val="32"/>
          <w:szCs w:val="32"/>
          <w:u w:val="single"/>
        </w:rPr>
      </w:pPr>
    </w:p>
    <w:p w14:paraId="0E620E72" w14:textId="77777777" w:rsidR="0090201E" w:rsidRDefault="0090201E">
      <w:pPr>
        <w:rPr>
          <w:rFonts w:ascii="Times New Roman" w:hAnsi="Times New Roman"/>
          <w:b/>
          <w:bCs/>
          <w:color w:val="000000"/>
          <w:sz w:val="32"/>
          <w:szCs w:val="32"/>
          <w:u w:val="single"/>
        </w:rPr>
      </w:pPr>
    </w:p>
    <w:p w14:paraId="62D0E3D5" w14:textId="77777777" w:rsidR="0090201E" w:rsidRDefault="00EB32DE">
      <w:pPr>
        <w:rPr>
          <w:rFonts w:ascii="Times New Roman" w:hAnsi="Times New Roman"/>
          <w:b/>
          <w:bCs/>
          <w:color w:val="000000"/>
          <w:sz w:val="32"/>
          <w:szCs w:val="32"/>
          <w:u w:val="single"/>
        </w:rPr>
      </w:pPr>
      <w:r>
        <w:rPr>
          <w:rFonts w:ascii="Times New Roman" w:hAnsi="Times New Roman"/>
          <w:b/>
          <w:bCs/>
          <w:color w:val="000000"/>
          <w:sz w:val="32"/>
          <w:szCs w:val="32"/>
          <w:u w:val="single"/>
        </w:rPr>
        <w:lastRenderedPageBreak/>
        <w:t>Introduction</w:t>
      </w:r>
    </w:p>
    <w:p w14:paraId="02C159F8" w14:textId="77777777" w:rsidR="0090201E" w:rsidRDefault="00EB32DE">
      <w:pPr>
        <w:spacing w:line="360" w:lineRule="auto"/>
        <w:rPr>
          <w:rFonts w:ascii="Times New Roman" w:hAnsi="Times New Roman"/>
          <w:color w:val="000000"/>
          <w:sz w:val="32"/>
          <w:szCs w:val="32"/>
        </w:rPr>
      </w:pPr>
      <w:r>
        <w:rPr>
          <w:rFonts w:ascii="Times New Roman" w:hAnsi="Times New Roman"/>
          <w:color w:val="000000"/>
          <w:sz w:val="32"/>
          <w:szCs w:val="32"/>
        </w:rPr>
        <w:t>This handbook is intended to assist those who deal with children in early childhood settings. Transition can be regarded as a combined effort between infants, professionals and parents rather than an occasion (Early Years Matters 2019). According to (</w:t>
      </w:r>
      <w:proofErr w:type="spellStart"/>
      <w:r>
        <w:rPr>
          <w:rFonts w:ascii="Times New Roman" w:hAnsi="Times New Roman"/>
          <w:color w:val="000000"/>
          <w:sz w:val="32"/>
          <w:szCs w:val="32"/>
        </w:rPr>
        <w:t>Vogler</w:t>
      </w:r>
      <w:proofErr w:type="spellEnd"/>
      <w:r>
        <w:rPr>
          <w:rFonts w:ascii="Times New Roman" w:hAnsi="Times New Roman"/>
          <w:color w:val="000000"/>
          <w:sz w:val="32"/>
          <w:szCs w:val="32"/>
        </w:rPr>
        <w:t>, et al 2008), transitions are detailed to children’s growth and well-being, and early childhood educators may help them adapt by reassuring all children and their families (Patel, 2019). According to (Hamilton et al, 2003) starting a new school is a normal process for some students, but it is a major disruption for others. According to (Open Learn Create, no date) transitions occur in everyone’s lives, and when they are considered, they may both constructive and destructive. It can revive certain emotions and emotions from the past, which may have an impact on how a child thinks about themselves today and their ability to deal with different circumstances as they get older. According to Dunlop (2007), it is the responsibility of the environment and its staff to make both children and families feel welcome and respected.</w:t>
      </w:r>
    </w:p>
    <w:p w14:paraId="4EA52EAC" w14:textId="77777777" w:rsidR="0090201E" w:rsidRDefault="0090201E">
      <w:pPr>
        <w:spacing w:line="360" w:lineRule="auto"/>
        <w:rPr>
          <w:rFonts w:ascii="Times New Roman" w:hAnsi="Times New Roman"/>
          <w:color w:val="000000"/>
          <w:sz w:val="32"/>
          <w:szCs w:val="32"/>
        </w:rPr>
      </w:pPr>
    </w:p>
    <w:p w14:paraId="31FC6370" w14:textId="77777777" w:rsidR="0090201E" w:rsidRDefault="00EB32DE">
      <w:pPr>
        <w:spacing w:line="360" w:lineRule="auto"/>
      </w:pPr>
      <w:r>
        <w:rPr>
          <w:rFonts w:ascii="Times New Roman" w:hAnsi="Times New Roman"/>
          <w:b/>
          <w:bCs/>
          <w:color w:val="000000"/>
          <w:sz w:val="32"/>
          <w:szCs w:val="32"/>
          <w:u w:val="single"/>
        </w:rPr>
        <w:t>Transition</w:t>
      </w:r>
    </w:p>
    <w:p w14:paraId="3A7FA032" w14:textId="77777777" w:rsidR="0090201E" w:rsidRDefault="00EB32DE">
      <w:pPr>
        <w:spacing w:line="360" w:lineRule="auto"/>
        <w:rPr>
          <w:rFonts w:ascii="Times New Roman" w:hAnsi="Times New Roman"/>
          <w:color w:val="000000"/>
          <w:sz w:val="32"/>
          <w:szCs w:val="32"/>
        </w:rPr>
      </w:pPr>
      <w:r>
        <w:rPr>
          <w:rFonts w:ascii="Times New Roman" w:hAnsi="Times New Roman"/>
          <w:color w:val="000000"/>
          <w:sz w:val="32"/>
          <w:szCs w:val="32"/>
        </w:rPr>
        <w:t xml:space="preserve">The word “transition” has no definite definition, but it is often interpreted in educational terminology to mean “going from environment to another.” A transition is the period between the first visit to the nursery and the settling in stage and it is expected to </w:t>
      </w:r>
      <w:r>
        <w:rPr>
          <w:rFonts w:ascii="Times New Roman" w:hAnsi="Times New Roman"/>
          <w:color w:val="000000"/>
          <w:sz w:val="32"/>
          <w:szCs w:val="32"/>
        </w:rPr>
        <w:lastRenderedPageBreak/>
        <w:t>involve a change of culture and status (</w:t>
      </w:r>
      <w:proofErr w:type="spellStart"/>
      <w:r>
        <w:rPr>
          <w:rFonts w:ascii="Times New Roman" w:hAnsi="Times New Roman"/>
          <w:color w:val="000000"/>
          <w:sz w:val="32"/>
          <w:szCs w:val="32"/>
        </w:rPr>
        <w:t>Fabin</w:t>
      </w:r>
      <w:proofErr w:type="spellEnd"/>
      <w:r>
        <w:rPr>
          <w:rFonts w:ascii="Times New Roman" w:hAnsi="Times New Roman"/>
          <w:color w:val="000000"/>
          <w:sz w:val="32"/>
          <w:szCs w:val="32"/>
        </w:rPr>
        <w:t xml:space="preserve">, 2007). According to (Bourdieu and </w:t>
      </w:r>
      <w:proofErr w:type="spellStart"/>
      <w:r>
        <w:rPr>
          <w:rFonts w:ascii="Times New Roman" w:hAnsi="Times New Roman"/>
          <w:color w:val="000000"/>
          <w:sz w:val="32"/>
          <w:szCs w:val="32"/>
        </w:rPr>
        <w:t>Wacquant</w:t>
      </w:r>
      <w:proofErr w:type="spellEnd"/>
      <w:r>
        <w:rPr>
          <w:rFonts w:ascii="Times New Roman" w:hAnsi="Times New Roman"/>
          <w:color w:val="000000"/>
          <w:sz w:val="32"/>
          <w:szCs w:val="32"/>
        </w:rPr>
        <w:t>, 1992), the modification phase is seen as a period of substantial and intense development demands that are socially orchestrated, and it does not end until the infant is joined in the new world. Transition, according to Early Years Matters (2019), is about to change and learning to adjust to it. A health adjustment requires the child to forget about the change and many adults are unaware of the effect the change would have on the child. It is important to comprehend the child’s presence, and the child should be included and listen (</w:t>
      </w:r>
      <w:proofErr w:type="spellStart"/>
      <w:r>
        <w:rPr>
          <w:rFonts w:ascii="Times New Roman" w:hAnsi="Times New Roman"/>
          <w:color w:val="000000"/>
          <w:sz w:val="32"/>
          <w:szCs w:val="32"/>
        </w:rPr>
        <w:t>Burce</w:t>
      </w:r>
      <w:proofErr w:type="spellEnd"/>
      <w:r>
        <w:rPr>
          <w:rFonts w:ascii="Times New Roman" w:hAnsi="Times New Roman"/>
          <w:color w:val="000000"/>
          <w:sz w:val="32"/>
          <w:szCs w:val="32"/>
        </w:rPr>
        <w:t>, 2010).  According to Unicef (no date), every child has the right to be heard and their thoughts and opinions should be taken into action during the transition. To ensure a smooth transition, early childhood educators must provide instruction and assistance to children and their families, guaranteeing that all their needs are fulfilled (Walker,2019).</w:t>
      </w:r>
    </w:p>
    <w:p w14:paraId="4D317634" w14:textId="77777777" w:rsidR="0090201E" w:rsidRDefault="00EB32DE">
      <w:pPr>
        <w:spacing w:line="360" w:lineRule="auto"/>
        <w:rPr>
          <w:rFonts w:ascii="Times New Roman" w:hAnsi="Times New Roman"/>
          <w:color w:val="000000"/>
          <w:sz w:val="32"/>
          <w:szCs w:val="32"/>
        </w:rPr>
      </w:pPr>
      <w:r>
        <w:rPr>
          <w:rFonts w:ascii="Times New Roman" w:hAnsi="Times New Roman"/>
          <w:color w:val="000000"/>
          <w:sz w:val="32"/>
          <w:szCs w:val="32"/>
        </w:rPr>
        <w:t xml:space="preserve">Transition is crucial to a child’s growth and how they are handled in the early years may have a significant impact on the child’s ability to deal with the change. According to Walker (2019), transitions that are effective need the complete cooperation of all early childhood professionals, as well as good preparation. According to </w:t>
      </w:r>
      <w:proofErr w:type="spellStart"/>
      <w:r>
        <w:rPr>
          <w:rFonts w:ascii="Times New Roman" w:hAnsi="Times New Roman"/>
          <w:color w:val="000000"/>
          <w:sz w:val="32"/>
          <w:szCs w:val="32"/>
        </w:rPr>
        <w:t>Bronfenbrenner’s</w:t>
      </w:r>
      <w:proofErr w:type="spellEnd"/>
      <w:r>
        <w:rPr>
          <w:rFonts w:ascii="Times New Roman" w:hAnsi="Times New Roman"/>
          <w:color w:val="000000"/>
          <w:sz w:val="32"/>
          <w:szCs w:val="32"/>
        </w:rPr>
        <w:t xml:space="preserve"> Ecological Theory (1979), a child’s growth is influenced by everything in their environment and a seamless transition from home to an early childhood setting is needed for an effective transition. It is important to have a good relationship </w:t>
      </w:r>
      <w:r>
        <w:rPr>
          <w:rFonts w:ascii="Times New Roman" w:hAnsi="Times New Roman"/>
          <w:color w:val="000000"/>
          <w:sz w:val="32"/>
          <w:szCs w:val="32"/>
        </w:rPr>
        <w:lastRenderedPageBreak/>
        <w:t xml:space="preserve">between home and environment, as well as between parents and colleagues. If parents and colleagues do not have a good working relationship, the child’s success will suffer. The child is at the centre of </w:t>
      </w:r>
      <w:proofErr w:type="spellStart"/>
      <w:r>
        <w:rPr>
          <w:rFonts w:ascii="Times New Roman" w:hAnsi="Times New Roman"/>
          <w:color w:val="000000"/>
          <w:sz w:val="32"/>
          <w:szCs w:val="32"/>
        </w:rPr>
        <w:t>Bronfenbrenner’s</w:t>
      </w:r>
      <w:proofErr w:type="spellEnd"/>
      <w:r>
        <w:rPr>
          <w:rFonts w:ascii="Times New Roman" w:hAnsi="Times New Roman"/>
          <w:color w:val="000000"/>
          <w:sz w:val="32"/>
          <w:szCs w:val="32"/>
        </w:rPr>
        <w:t xml:space="preserve"> growth paradigm, and the child is surrounded by </w:t>
      </w:r>
      <w:proofErr w:type="spellStart"/>
      <w:r>
        <w:rPr>
          <w:rFonts w:ascii="Times New Roman" w:hAnsi="Times New Roman"/>
          <w:color w:val="000000"/>
          <w:sz w:val="32"/>
          <w:szCs w:val="32"/>
        </w:rPr>
        <w:t>microsystems</w:t>
      </w:r>
      <w:proofErr w:type="spellEnd"/>
      <w:r>
        <w:rPr>
          <w:rFonts w:ascii="Times New Roman" w:hAnsi="Times New Roman"/>
          <w:color w:val="000000"/>
          <w:sz w:val="32"/>
          <w:szCs w:val="32"/>
        </w:rPr>
        <w:t xml:space="preserve">, which include the child’s relatives, peers and employees or key people that the child with often. The </w:t>
      </w:r>
      <w:proofErr w:type="spellStart"/>
      <w:r>
        <w:rPr>
          <w:rFonts w:ascii="Times New Roman" w:hAnsi="Times New Roman"/>
          <w:color w:val="000000"/>
          <w:sz w:val="32"/>
          <w:szCs w:val="32"/>
        </w:rPr>
        <w:t>microsystems</w:t>
      </w:r>
      <w:proofErr w:type="spellEnd"/>
      <w:r>
        <w:rPr>
          <w:rFonts w:ascii="Times New Roman" w:hAnsi="Times New Roman"/>
          <w:color w:val="000000"/>
          <w:sz w:val="32"/>
          <w:szCs w:val="32"/>
        </w:rPr>
        <w:t xml:space="preserve"> are the most powerful influences in a child’s life, and it is critical that they have a healthy interaction with them.</w:t>
      </w:r>
    </w:p>
    <w:p w14:paraId="7D909323" w14:textId="77777777" w:rsidR="0090201E" w:rsidRDefault="0090201E">
      <w:pPr>
        <w:spacing w:line="360" w:lineRule="auto"/>
        <w:rPr>
          <w:rFonts w:ascii="Times New Roman" w:hAnsi="Times New Roman"/>
          <w:b/>
          <w:bCs/>
          <w:color w:val="000000"/>
          <w:sz w:val="32"/>
          <w:szCs w:val="32"/>
          <w:u w:val="single"/>
        </w:rPr>
      </w:pPr>
    </w:p>
    <w:p w14:paraId="2E699549" w14:textId="77777777" w:rsidR="0090201E" w:rsidRDefault="00EB32DE">
      <w:pPr>
        <w:spacing w:line="360" w:lineRule="auto"/>
        <w:rPr>
          <w:rFonts w:ascii="Times New Roman" w:hAnsi="Times New Roman"/>
          <w:b/>
          <w:bCs/>
          <w:color w:val="000000"/>
          <w:sz w:val="32"/>
          <w:szCs w:val="32"/>
          <w:u w:val="single"/>
        </w:rPr>
      </w:pPr>
      <w:r>
        <w:rPr>
          <w:rFonts w:ascii="Times New Roman" w:hAnsi="Times New Roman"/>
          <w:b/>
          <w:bCs/>
          <w:color w:val="000000"/>
          <w:sz w:val="32"/>
          <w:szCs w:val="32"/>
          <w:u w:val="single"/>
        </w:rPr>
        <w:t>How to use this handbook</w:t>
      </w:r>
    </w:p>
    <w:p w14:paraId="2390D6D5" w14:textId="77777777" w:rsidR="0090201E" w:rsidRDefault="00EB32DE">
      <w:pPr>
        <w:spacing w:line="360" w:lineRule="auto"/>
        <w:rPr>
          <w:rFonts w:ascii="Times New Roman" w:hAnsi="Times New Roman"/>
          <w:color w:val="000000"/>
          <w:sz w:val="32"/>
          <w:szCs w:val="32"/>
        </w:rPr>
      </w:pPr>
      <w:r>
        <w:rPr>
          <w:rFonts w:ascii="Times New Roman" w:hAnsi="Times New Roman"/>
          <w:color w:val="000000"/>
          <w:sz w:val="32"/>
          <w:szCs w:val="32"/>
        </w:rPr>
        <w:t>This handbook is intended for the setting’s staff and main workers who deal with children ages two to three years. The handbook servers as a resource for all parties participating in the transfer process, including employees, teenagers, parents and caregivers and multiagency personnel. The handbook can be used to collaborate with parents/caregivers. This handbook promotes child-centred practises, which recognises that children are unique people and use this as the foundation for providing treatment and assistance (Welsh Government National Occupational Standards, 2019).</w:t>
      </w:r>
    </w:p>
    <w:p w14:paraId="068E5D88" w14:textId="77777777" w:rsidR="0090201E" w:rsidRDefault="0090201E">
      <w:pPr>
        <w:spacing w:line="360" w:lineRule="auto"/>
        <w:rPr>
          <w:rFonts w:ascii="Times New Roman" w:hAnsi="Times New Roman"/>
          <w:color w:val="000000"/>
          <w:sz w:val="32"/>
          <w:szCs w:val="32"/>
        </w:rPr>
      </w:pPr>
    </w:p>
    <w:p w14:paraId="1EA6EE12" w14:textId="77777777" w:rsidR="0090201E" w:rsidRDefault="00EB32DE">
      <w:pPr>
        <w:spacing w:line="360" w:lineRule="auto"/>
        <w:rPr>
          <w:rFonts w:ascii="Times New Roman" w:hAnsi="Times New Roman"/>
          <w:b/>
          <w:bCs/>
          <w:color w:val="000000"/>
          <w:sz w:val="32"/>
          <w:szCs w:val="32"/>
          <w:u w:val="single"/>
        </w:rPr>
      </w:pPr>
      <w:r>
        <w:rPr>
          <w:rFonts w:ascii="Times New Roman" w:hAnsi="Times New Roman"/>
          <w:b/>
          <w:bCs/>
          <w:color w:val="000000"/>
          <w:sz w:val="32"/>
          <w:szCs w:val="32"/>
          <w:u w:val="single"/>
        </w:rPr>
        <w:t>Requirements of a child</w:t>
      </w:r>
    </w:p>
    <w:p w14:paraId="0507DCD8" w14:textId="77777777" w:rsidR="0090201E" w:rsidRDefault="00EB32DE">
      <w:pPr>
        <w:spacing w:line="360" w:lineRule="auto"/>
        <w:rPr>
          <w:rFonts w:ascii="Times New Roman" w:hAnsi="Times New Roman"/>
          <w:color w:val="000000"/>
          <w:sz w:val="32"/>
          <w:szCs w:val="32"/>
        </w:rPr>
      </w:pPr>
      <w:proofErr w:type="spellStart"/>
      <w:r>
        <w:rPr>
          <w:rFonts w:ascii="Times New Roman" w:hAnsi="Times New Roman"/>
          <w:color w:val="000000"/>
          <w:sz w:val="32"/>
          <w:szCs w:val="32"/>
        </w:rPr>
        <w:t>Bowlby</w:t>
      </w:r>
      <w:proofErr w:type="spellEnd"/>
      <w:r>
        <w:rPr>
          <w:rFonts w:ascii="Times New Roman" w:hAnsi="Times New Roman"/>
          <w:color w:val="000000"/>
          <w:sz w:val="32"/>
          <w:szCs w:val="32"/>
        </w:rPr>
        <w:t xml:space="preserve"> claimed that the early relationships created by children and their caregivers have an enormous impact that lasts a lifetime </w:t>
      </w:r>
      <w:r>
        <w:rPr>
          <w:rFonts w:ascii="Times New Roman" w:hAnsi="Times New Roman"/>
          <w:color w:val="000000"/>
          <w:sz w:val="32"/>
          <w:szCs w:val="32"/>
        </w:rPr>
        <w:lastRenderedPageBreak/>
        <w:t xml:space="preserve">(Cherry,2019). </w:t>
      </w:r>
      <w:proofErr w:type="spellStart"/>
      <w:r>
        <w:rPr>
          <w:rFonts w:ascii="Times New Roman" w:hAnsi="Times New Roman"/>
          <w:color w:val="000000"/>
          <w:sz w:val="32"/>
          <w:szCs w:val="32"/>
        </w:rPr>
        <w:t>Bowlby</w:t>
      </w:r>
      <w:proofErr w:type="spellEnd"/>
      <w:r>
        <w:rPr>
          <w:rFonts w:ascii="Times New Roman" w:hAnsi="Times New Roman"/>
          <w:color w:val="000000"/>
          <w:sz w:val="32"/>
          <w:szCs w:val="32"/>
        </w:rPr>
        <w:t xml:space="preserve"> continues to state according to Cherry (2019), that children like stable bonds and that having good relationships will help them change more easily. To feel loved and appreciated, the child requires continuity and confidence.  A child’s morale will grow if they feel included and cared for. The main worker should have a safe space in which they can experiment more freely. A child-centred approach within the framework would allow for an atmosphere that allows for child-centred observations and preparation, as well as understanding and implementing the child’s best interests while educating and caring for the child. As written by the Compass School (2015), the child-cantered approach would help the change for the child and staff by empowering children to make decisions about what they want to learn and experience rather than being led. When interacting and playing with the child, it is important for the </w:t>
      </w:r>
      <w:proofErr w:type="spellStart"/>
      <w:r>
        <w:rPr>
          <w:rFonts w:ascii="Times New Roman" w:hAnsi="Times New Roman"/>
          <w:color w:val="000000"/>
          <w:sz w:val="32"/>
          <w:szCs w:val="32"/>
        </w:rPr>
        <w:t>keyworkers</w:t>
      </w:r>
      <w:proofErr w:type="spellEnd"/>
      <w:r>
        <w:rPr>
          <w:rFonts w:ascii="Times New Roman" w:hAnsi="Times New Roman"/>
          <w:color w:val="000000"/>
          <w:sz w:val="32"/>
          <w:szCs w:val="32"/>
        </w:rPr>
        <w:t xml:space="preserve"> to listen for signals and observe how the child’s needs grow in order to develop a suitable strategy for the child. This technique is also known as a play-based learning. A child-cantered community eases the transfer process because the environment is more accessible and the children can learn and approach others at their own pace (The Company School, 2015). Relationships with key workers, employees and other children may form more spontaneously as a result of this. As their friend in their learning adventure as their </w:t>
      </w:r>
      <w:proofErr w:type="spellStart"/>
      <w:r>
        <w:rPr>
          <w:rFonts w:ascii="Times New Roman" w:hAnsi="Times New Roman"/>
          <w:color w:val="000000"/>
          <w:sz w:val="32"/>
          <w:szCs w:val="32"/>
        </w:rPr>
        <w:t>keyworker</w:t>
      </w:r>
      <w:proofErr w:type="spellEnd"/>
      <w:r>
        <w:rPr>
          <w:rFonts w:ascii="Times New Roman" w:hAnsi="Times New Roman"/>
          <w:color w:val="000000"/>
          <w:sz w:val="32"/>
          <w:szCs w:val="32"/>
        </w:rPr>
        <w:t xml:space="preserve">. Children are willing participants in their education and as a Reggio Emilia inspired early childhood educator in a child-cantered environment, we strive to be Reggio Emilia inspired. The Reggio </w:t>
      </w:r>
      <w:r>
        <w:rPr>
          <w:rFonts w:ascii="Times New Roman" w:hAnsi="Times New Roman"/>
          <w:color w:val="000000"/>
          <w:sz w:val="32"/>
          <w:szCs w:val="32"/>
        </w:rPr>
        <w:lastRenderedPageBreak/>
        <w:t>Emilia educational scheme is widely regarded as one of the best for children all over the world. The Compass School (2015), associates with Reggio Emilia in the government, involving the local authority and its residents, family and friends where everybody is treated as a participant in learning with the children. According to Cherry (2019), that certain children who will enter the settings care will not have had the potential for connection and it is our responsibility as childcare provides to ensure that all children, regardless of their home life or lack thereof and are referred to immediately and reliably in order to offer quality care. Children will discover who they can trust as a result of this. It is necessary component of attachment. Children should have the greatest possible physical, mental, social and emotional wellbeing and should not be exposed to bullying, discrimination or exploitation according to the Welsh Learning and Teaching Pedagogy manual (Welsh Assembly Government, 2008). It also specifies that children have the right to be heard, to be regarded with dignity and to have their race cultural known.</w:t>
      </w:r>
    </w:p>
    <w:p w14:paraId="19AFF5B4" w14:textId="77777777" w:rsidR="0090201E" w:rsidRDefault="0090201E">
      <w:pPr>
        <w:spacing w:line="360" w:lineRule="auto"/>
        <w:rPr>
          <w:rFonts w:ascii="Times New Roman" w:hAnsi="Times New Roman"/>
          <w:color w:val="000000"/>
          <w:sz w:val="32"/>
          <w:szCs w:val="32"/>
        </w:rPr>
      </w:pPr>
    </w:p>
    <w:p w14:paraId="0E71CCD1" w14:textId="77777777" w:rsidR="0090201E" w:rsidRDefault="0090201E">
      <w:pPr>
        <w:spacing w:line="360" w:lineRule="auto"/>
        <w:rPr>
          <w:rFonts w:ascii="Times New Roman" w:hAnsi="Times New Roman"/>
          <w:b/>
          <w:bCs/>
          <w:color w:val="000000"/>
          <w:sz w:val="32"/>
          <w:szCs w:val="32"/>
          <w:u w:val="single"/>
        </w:rPr>
      </w:pPr>
    </w:p>
    <w:p w14:paraId="3ECB19E9" w14:textId="77777777" w:rsidR="0090201E" w:rsidRDefault="00EB32DE">
      <w:pPr>
        <w:spacing w:line="360" w:lineRule="auto"/>
        <w:rPr>
          <w:rFonts w:ascii="Times New Roman" w:hAnsi="Times New Roman"/>
          <w:b/>
          <w:bCs/>
          <w:color w:val="000000"/>
          <w:sz w:val="32"/>
          <w:szCs w:val="32"/>
          <w:u w:val="single"/>
        </w:rPr>
      </w:pPr>
      <w:r>
        <w:rPr>
          <w:rFonts w:ascii="Times New Roman" w:hAnsi="Times New Roman"/>
          <w:b/>
          <w:bCs/>
          <w:color w:val="000000"/>
          <w:sz w:val="32"/>
          <w:szCs w:val="32"/>
          <w:u w:val="single"/>
        </w:rPr>
        <w:t>Role of the Adult</w:t>
      </w:r>
    </w:p>
    <w:p w14:paraId="10ADCB07" w14:textId="77777777" w:rsidR="0090201E" w:rsidRDefault="00EB32DE">
      <w:pPr>
        <w:spacing w:line="360" w:lineRule="auto"/>
        <w:rPr>
          <w:rFonts w:ascii="Times New Roman" w:hAnsi="Times New Roman"/>
          <w:color w:val="000000"/>
          <w:sz w:val="32"/>
          <w:szCs w:val="32"/>
        </w:rPr>
      </w:pPr>
      <w:r>
        <w:rPr>
          <w:rFonts w:ascii="Times New Roman" w:hAnsi="Times New Roman"/>
          <w:color w:val="000000"/>
          <w:sz w:val="32"/>
          <w:szCs w:val="32"/>
        </w:rPr>
        <w:t xml:space="preserve">When caring for a child going through a transformation it is important to take holistic approach. Nurturing the entire person, including their physical, social, moral education, intellectual and artistic needs, </w:t>
      </w:r>
      <w:r>
        <w:rPr>
          <w:rFonts w:ascii="Times New Roman" w:hAnsi="Times New Roman"/>
          <w:color w:val="000000"/>
          <w:sz w:val="32"/>
          <w:szCs w:val="32"/>
        </w:rPr>
        <w:lastRenderedPageBreak/>
        <w:t xml:space="preserve">would be beneficial. According to reference (2019), a holistic e, approach focuses on all aspects of a child’s life, regardless of age, gender, or socioeconomic background and promotes full, connected development of the child’s needs. The </w:t>
      </w:r>
      <w:proofErr w:type="spellStart"/>
      <w:r>
        <w:rPr>
          <w:rFonts w:ascii="Times New Roman" w:hAnsi="Times New Roman"/>
          <w:color w:val="000000"/>
          <w:sz w:val="32"/>
          <w:szCs w:val="32"/>
        </w:rPr>
        <w:t>Monstessori</w:t>
      </w:r>
      <w:proofErr w:type="spellEnd"/>
      <w:r>
        <w:rPr>
          <w:rFonts w:ascii="Times New Roman" w:hAnsi="Times New Roman"/>
          <w:color w:val="000000"/>
          <w:sz w:val="32"/>
          <w:szCs w:val="32"/>
        </w:rPr>
        <w:t xml:space="preserve"> approach is one of the most well-known, in which children are expected to study at their own pace and in a more exploratory manner. During the transition it is crucial to attend to the needs of the children and their families. Explaining the transitioning phase to the infant and their family or carers will make them feel more at ease in the new atmosphere. Children and their parents or carers should be informed about the transition and complete participation in decision making should be encouraged. It is the duty of the setting to promote and inform parents and carers that the team, core workers and parents are all working together to address future difficult circumstances during the transition (Children’s Workforce Development Council, 2010). In addition to the above, as described in the Children’s Workforce Development Council (2010), on working together to support integrated working it is critical for a child’s main worker to navigate the adjustments process in a manner that will assist the child in achieving beneficial outcomes by making decisions that are acceptable for their age and stage of development. Key workers can help the child gain trust in their decision-making abilities. </w:t>
      </w:r>
    </w:p>
    <w:p w14:paraId="765274AD" w14:textId="77777777" w:rsidR="0090201E" w:rsidRDefault="0090201E">
      <w:pPr>
        <w:spacing w:line="360" w:lineRule="auto"/>
        <w:rPr>
          <w:rFonts w:ascii="Times New Roman" w:hAnsi="Times New Roman"/>
          <w:color w:val="000000"/>
          <w:sz w:val="32"/>
          <w:szCs w:val="32"/>
        </w:rPr>
      </w:pPr>
    </w:p>
    <w:p w14:paraId="54530656" w14:textId="77777777" w:rsidR="0090201E" w:rsidRDefault="0090201E">
      <w:pPr>
        <w:spacing w:line="360" w:lineRule="auto"/>
        <w:rPr>
          <w:rFonts w:ascii="Times New Roman" w:hAnsi="Times New Roman"/>
          <w:color w:val="000000"/>
          <w:sz w:val="32"/>
          <w:szCs w:val="32"/>
        </w:rPr>
      </w:pPr>
    </w:p>
    <w:p w14:paraId="1026E3E4" w14:textId="77777777" w:rsidR="0090201E" w:rsidRDefault="00EB32DE">
      <w:pPr>
        <w:spacing w:line="360" w:lineRule="auto"/>
      </w:pPr>
      <w:r>
        <w:rPr>
          <w:rFonts w:ascii="Times New Roman" w:hAnsi="Times New Roman"/>
          <w:b/>
          <w:bCs/>
          <w:color w:val="000000"/>
          <w:sz w:val="32"/>
          <w:szCs w:val="32"/>
          <w:u w:val="single"/>
        </w:rPr>
        <w:lastRenderedPageBreak/>
        <w:t xml:space="preserve">Being a </w:t>
      </w:r>
      <w:proofErr w:type="spellStart"/>
      <w:r>
        <w:rPr>
          <w:rFonts w:ascii="Times New Roman" w:hAnsi="Times New Roman"/>
          <w:b/>
          <w:bCs/>
          <w:color w:val="000000"/>
          <w:sz w:val="32"/>
          <w:szCs w:val="32"/>
          <w:u w:val="single"/>
        </w:rPr>
        <w:t>Keyworker</w:t>
      </w:r>
      <w:proofErr w:type="spellEnd"/>
    </w:p>
    <w:p w14:paraId="3F0162B7" w14:textId="77777777" w:rsidR="0090201E" w:rsidRDefault="00EB32DE">
      <w:pPr>
        <w:spacing w:line="360" w:lineRule="auto"/>
        <w:rPr>
          <w:rFonts w:ascii="Times New Roman" w:hAnsi="Times New Roman"/>
          <w:color w:val="000000"/>
          <w:sz w:val="32"/>
          <w:szCs w:val="32"/>
        </w:rPr>
      </w:pPr>
      <w:r>
        <w:rPr>
          <w:rFonts w:ascii="Times New Roman" w:hAnsi="Times New Roman"/>
          <w:color w:val="000000"/>
          <w:sz w:val="32"/>
          <w:szCs w:val="32"/>
        </w:rPr>
        <w:t xml:space="preserve">Being a </w:t>
      </w:r>
      <w:proofErr w:type="spellStart"/>
      <w:r>
        <w:rPr>
          <w:rFonts w:ascii="Times New Roman" w:hAnsi="Times New Roman"/>
          <w:color w:val="000000"/>
          <w:sz w:val="32"/>
          <w:szCs w:val="32"/>
        </w:rPr>
        <w:t>keyworker</w:t>
      </w:r>
      <w:proofErr w:type="spellEnd"/>
      <w:r>
        <w:rPr>
          <w:rFonts w:ascii="Times New Roman" w:hAnsi="Times New Roman"/>
          <w:color w:val="000000"/>
          <w:sz w:val="32"/>
          <w:szCs w:val="32"/>
        </w:rPr>
        <w:t xml:space="preserve"> is to form a close bond with the child in their supervision. A </w:t>
      </w:r>
      <w:proofErr w:type="spellStart"/>
      <w:r>
        <w:rPr>
          <w:rFonts w:ascii="Times New Roman" w:hAnsi="Times New Roman"/>
          <w:color w:val="000000"/>
          <w:sz w:val="32"/>
          <w:szCs w:val="32"/>
        </w:rPr>
        <w:t>keyworker’s</w:t>
      </w:r>
      <w:proofErr w:type="spellEnd"/>
      <w:r>
        <w:rPr>
          <w:rFonts w:ascii="Times New Roman" w:hAnsi="Times New Roman"/>
          <w:color w:val="000000"/>
          <w:sz w:val="32"/>
          <w:szCs w:val="32"/>
        </w:rPr>
        <w:t xml:space="preserve"> job is to make sure that the child’s needs are fulfilled and that a positive bond is established with the child. Each child may feel safe and cared for with the help of a </w:t>
      </w:r>
      <w:proofErr w:type="spellStart"/>
      <w:r>
        <w:rPr>
          <w:rFonts w:ascii="Times New Roman" w:hAnsi="Times New Roman"/>
          <w:color w:val="000000"/>
          <w:sz w:val="32"/>
          <w:szCs w:val="32"/>
        </w:rPr>
        <w:t>keyworker</w:t>
      </w:r>
      <w:proofErr w:type="spellEnd"/>
      <w:r>
        <w:rPr>
          <w:rFonts w:ascii="Times New Roman" w:hAnsi="Times New Roman"/>
          <w:color w:val="000000"/>
          <w:sz w:val="32"/>
          <w:szCs w:val="32"/>
        </w:rPr>
        <w:t xml:space="preserve">. This builds trust and allows the child to become acquainted with the nursery setting while still providing a sense of comfort. To maintain continuity of care and reduced disruption when key worker is unable, a </w:t>
      </w:r>
      <w:proofErr w:type="spellStart"/>
      <w:r>
        <w:rPr>
          <w:rFonts w:ascii="Times New Roman" w:hAnsi="Times New Roman"/>
          <w:color w:val="000000"/>
          <w:sz w:val="32"/>
          <w:szCs w:val="32"/>
        </w:rPr>
        <w:t>keyworker</w:t>
      </w:r>
      <w:proofErr w:type="spellEnd"/>
      <w:r>
        <w:rPr>
          <w:rFonts w:ascii="Times New Roman" w:hAnsi="Times New Roman"/>
          <w:color w:val="000000"/>
          <w:sz w:val="32"/>
          <w:szCs w:val="32"/>
        </w:rPr>
        <w:t xml:space="preserve"> should eventually allow the child to establish relationships with other members of staff and children.</w:t>
      </w:r>
    </w:p>
    <w:p w14:paraId="3334EBDC" w14:textId="77777777" w:rsidR="0090201E" w:rsidRDefault="0090201E">
      <w:pPr>
        <w:spacing w:line="360" w:lineRule="auto"/>
        <w:rPr>
          <w:rFonts w:ascii="Times New Roman" w:hAnsi="Times New Roman"/>
          <w:color w:val="000000"/>
          <w:sz w:val="32"/>
          <w:szCs w:val="32"/>
        </w:rPr>
      </w:pPr>
    </w:p>
    <w:p w14:paraId="1049278C" w14:textId="77777777" w:rsidR="0090201E" w:rsidRDefault="00EB32DE">
      <w:pPr>
        <w:spacing w:line="360" w:lineRule="auto"/>
      </w:pPr>
      <w:r>
        <w:rPr>
          <w:rFonts w:ascii="Times New Roman" w:hAnsi="Times New Roman"/>
          <w:b/>
          <w:bCs/>
          <w:color w:val="000000"/>
          <w:sz w:val="32"/>
          <w:szCs w:val="32"/>
          <w:u w:val="single"/>
        </w:rPr>
        <w:t>Responsibilities of the Staff</w:t>
      </w:r>
    </w:p>
    <w:p w14:paraId="617EEA6B" w14:textId="77777777" w:rsidR="0090201E" w:rsidRDefault="00EB32DE">
      <w:pPr>
        <w:spacing w:line="360" w:lineRule="auto"/>
        <w:rPr>
          <w:rFonts w:ascii="Times New Roman" w:hAnsi="Times New Roman"/>
          <w:color w:val="000000"/>
          <w:sz w:val="32"/>
          <w:szCs w:val="32"/>
        </w:rPr>
      </w:pPr>
      <w:r>
        <w:rPr>
          <w:rFonts w:ascii="Times New Roman" w:hAnsi="Times New Roman"/>
          <w:color w:val="000000"/>
          <w:sz w:val="32"/>
          <w:szCs w:val="32"/>
        </w:rPr>
        <w:t xml:space="preserve">According to </w:t>
      </w:r>
      <w:proofErr w:type="spellStart"/>
      <w:r>
        <w:rPr>
          <w:rFonts w:ascii="Times New Roman" w:hAnsi="Times New Roman"/>
          <w:color w:val="000000"/>
          <w:sz w:val="32"/>
          <w:szCs w:val="32"/>
        </w:rPr>
        <w:t>Allingham</w:t>
      </w:r>
      <w:proofErr w:type="spellEnd"/>
      <w:r>
        <w:rPr>
          <w:rFonts w:ascii="Times New Roman" w:hAnsi="Times New Roman"/>
          <w:color w:val="000000"/>
          <w:sz w:val="32"/>
          <w:szCs w:val="32"/>
        </w:rPr>
        <w:t xml:space="preserve"> (2011), core employees and managers must be mindful of the following characteristics for a successful transfer to occur:</w:t>
      </w:r>
    </w:p>
    <w:p w14:paraId="5CF3EC6D" w14:textId="77777777" w:rsidR="0090201E" w:rsidRDefault="00EB32DE">
      <w:pPr>
        <w:pStyle w:val="ListParagraph"/>
        <w:numPr>
          <w:ilvl w:val="0"/>
          <w:numId w:val="1"/>
        </w:numPr>
        <w:spacing w:line="360" w:lineRule="auto"/>
        <w:rPr>
          <w:rFonts w:ascii="Times New Roman" w:hAnsi="Times New Roman"/>
          <w:color w:val="000000"/>
          <w:sz w:val="32"/>
          <w:szCs w:val="32"/>
        </w:rPr>
      </w:pPr>
      <w:r>
        <w:rPr>
          <w:rFonts w:ascii="Times New Roman" w:hAnsi="Times New Roman"/>
          <w:color w:val="000000"/>
          <w:sz w:val="32"/>
          <w:szCs w:val="32"/>
        </w:rPr>
        <w:t xml:space="preserve">Respect- Value the infant and their families by paying attention to their desires. </w:t>
      </w:r>
      <w:proofErr w:type="spellStart"/>
      <w:r>
        <w:rPr>
          <w:rFonts w:ascii="Times New Roman" w:hAnsi="Times New Roman"/>
          <w:color w:val="000000"/>
          <w:sz w:val="32"/>
          <w:szCs w:val="32"/>
        </w:rPr>
        <w:t>Recognize</w:t>
      </w:r>
      <w:proofErr w:type="spellEnd"/>
      <w:r>
        <w:rPr>
          <w:rFonts w:ascii="Times New Roman" w:hAnsi="Times New Roman"/>
          <w:color w:val="000000"/>
          <w:sz w:val="32"/>
          <w:szCs w:val="32"/>
        </w:rPr>
        <w:t xml:space="preserve"> that each child in the classroom is unique and has unique needs.</w:t>
      </w:r>
    </w:p>
    <w:p w14:paraId="14C1FE79" w14:textId="77777777" w:rsidR="0090201E" w:rsidRDefault="00EB32DE">
      <w:pPr>
        <w:pStyle w:val="ListParagraph"/>
        <w:numPr>
          <w:ilvl w:val="0"/>
          <w:numId w:val="1"/>
        </w:numPr>
        <w:spacing w:line="360" w:lineRule="auto"/>
        <w:rPr>
          <w:rFonts w:ascii="Times New Roman" w:hAnsi="Times New Roman"/>
          <w:color w:val="000000"/>
          <w:sz w:val="32"/>
          <w:szCs w:val="32"/>
        </w:rPr>
      </w:pPr>
      <w:r>
        <w:rPr>
          <w:rFonts w:ascii="Times New Roman" w:hAnsi="Times New Roman"/>
          <w:color w:val="000000"/>
          <w:sz w:val="32"/>
          <w:szCs w:val="32"/>
        </w:rPr>
        <w:t>Secure Partnerships- make sure the children in the environment know who their main worker is and that they feel safe containing them.</w:t>
      </w:r>
    </w:p>
    <w:p w14:paraId="714C1882" w14:textId="77777777" w:rsidR="0090201E" w:rsidRDefault="00EB32DE">
      <w:pPr>
        <w:pStyle w:val="ListParagraph"/>
        <w:numPr>
          <w:ilvl w:val="0"/>
          <w:numId w:val="1"/>
        </w:numPr>
        <w:spacing w:line="360" w:lineRule="auto"/>
        <w:rPr>
          <w:rFonts w:ascii="Times New Roman" w:hAnsi="Times New Roman"/>
          <w:color w:val="000000"/>
          <w:sz w:val="32"/>
          <w:szCs w:val="32"/>
        </w:rPr>
      </w:pPr>
      <w:r>
        <w:rPr>
          <w:rFonts w:ascii="Times New Roman" w:hAnsi="Times New Roman"/>
          <w:color w:val="000000"/>
          <w:sz w:val="32"/>
          <w:szCs w:val="32"/>
        </w:rPr>
        <w:lastRenderedPageBreak/>
        <w:t>Physical and Social Wellbeing- understanding the emotional and physical wellbeing of the child and their families. To help your own growth, prepare and refer to this handbook. Develop a holistic perspective and keep in mind not everything is as it seems.</w:t>
      </w:r>
    </w:p>
    <w:p w14:paraId="0F55280B" w14:textId="77777777" w:rsidR="0090201E" w:rsidRDefault="00EB32DE">
      <w:pPr>
        <w:pStyle w:val="ListParagraph"/>
        <w:numPr>
          <w:ilvl w:val="0"/>
          <w:numId w:val="1"/>
        </w:numPr>
        <w:spacing w:line="360" w:lineRule="auto"/>
        <w:rPr>
          <w:rFonts w:ascii="Times New Roman" w:hAnsi="Times New Roman"/>
          <w:color w:val="000000"/>
          <w:sz w:val="32"/>
          <w:szCs w:val="32"/>
        </w:rPr>
      </w:pPr>
      <w:r>
        <w:rPr>
          <w:rFonts w:ascii="Times New Roman" w:hAnsi="Times New Roman"/>
          <w:color w:val="000000"/>
          <w:sz w:val="32"/>
          <w:szCs w:val="32"/>
        </w:rPr>
        <w:t>Welfare- Promote a clean and healthy place for the child or children in your supervision. Children would be more likely to come and play if the environment is appealing, safe and well presented. Remember to enforce and clarify the rules with the children in your care.</w:t>
      </w:r>
    </w:p>
    <w:p w14:paraId="50EDE85D" w14:textId="77777777" w:rsidR="0090201E" w:rsidRDefault="00EB32DE">
      <w:pPr>
        <w:pStyle w:val="ListParagraph"/>
        <w:numPr>
          <w:ilvl w:val="0"/>
          <w:numId w:val="1"/>
        </w:numPr>
        <w:spacing w:line="360" w:lineRule="auto"/>
        <w:rPr>
          <w:rFonts w:ascii="Times New Roman" w:hAnsi="Times New Roman"/>
          <w:color w:val="000000"/>
          <w:sz w:val="32"/>
          <w:szCs w:val="32"/>
        </w:rPr>
      </w:pPr>
      <w:r>
        <w:rPr>
          <w:rFonts w:ascii="Times New Roman" w:hAnsi="Times New Roman"/>
          <w:color w:val="000000"/>
          <w:sz w:val="32"/>
          <w:szCs w:val="32"/>
        </w:rPr>
        <w:t>Strong Listener- building confidence in the relationship with the child by listening to them.</w:t>
      </w:r>
    </w:p>
    <w:p w14:paraId="51F824BB" w14:textId="77777777" w:rsidR="0090201E" w:rsidRDefault="00EB32DE">
      <w:pPr>
        <w:pStyle w:val="ListParagraph"/>
        <w:numPr>
          <w:ilvl w:val="0"/>
          <w:numId w:val="1"/>
        </w:numPr>
        <w:spacing w:line="360" w:lineRule="auto"/>
        <w:rPr>
          <w:rFonts w:ascii="Times New Roman" w:hAnsi="Times New Roman"/>
          <w:color w:val="000000"/>
          <w:sz w:val="32"/>
          <w:szCs w:val="32"/>
        </w:rPr>
      </w:pPr>
      <w:r>
        <w:rPr>
          <w:rFonts w:ascii="Times New Roman" w:hAnsi="Times New Roman"/>
          <w:color w:val="000000"/>
          <w:sz w:val="32"/>
          <w:szCs w:val="32"/>
        </w:rPr>
        <w:t>Relationships-ensure that the children in the environment are conscious of who their main key worker is and that they are safe to contact them.</w:t>
      </w:r>
    </w:p>
    <w:p w14:paraId="37A5F7D2" w14:textId="77777777" w:rsidR="0090201E" w:rsidRDefault="00EB32DE">
      <w:pPr>
        <w:pStyle w:val="ListParagraph"/>
        <w:numPr>
          <w:ilvl w:val="0"/>
          <w:numId w:val="1"/>
        </w:numPr>
        <w:spacing w:line="360" w:lineRule="auto"/>
        <w:rPr>
          <w:rFonts w:ascii="Times New Roman" w:hAnsi="Times New Roman"/>
          <w:color w:val="000000"/>
          <w:sz w:val="32"/>
          <w:szCs w:val="32"/>
        </w:rPr>
      </w:pPr>
      <w:r>
        <w:rPr>
          <w:rFonts w:ascii="Times New Roman" w:hAnsi="Times New Roman"/>
          <w:color w:val="000000"/>
          <w:sz w:val="32"/>
          <w:szCs w:val="32"/>
        </w:rPr>
        <w:t>Modification- understanding that diversity and difference are not just about diverse holiday’s and festivals but rather about respecting different values and understanding children’s cultures and home life.</w:t>
      </w:r>
    </w:p>
    <w:p w14:paraId="7520FD9D" w14:textId="77777777" w:rsidR="0090201E" w:rsidRDefault="0090201E">
      <w:pPr>
        <w:spacing w:line="360" w:lineRule="auto"/>
        <w:rPr>
          <w:rFonts w:ascii="Times New Roman" w:hAnsi="Times New Roman"/>
          <w:b/>
          <w:bCs/>
          <w:color w:val="000000"/>
          <w:sz w:val="32"/>
          <w:szCs w:val="32"/>
          <w:u w:val="single"/>
        </w:rPr>
      </w:pPr>
    </w:p>
    <w:p w14:paraId="0DAE776F" w14:textId="77777777" w:rsidR="0090201E" w:rsidRDefault="0090201E">
      <w:pPr>
        <w:spacing w:line="360" w:lineRule="auto"/>
        <w:rPr>
          <w:rFonts w:ascii="Times New Roman" w:hAnsi="Times New Roman"/>
          <w:b/>
          <w:bCs/>
          <w:color w:val="000000"/>
          <w:sz w:val="32"/>
          <w:szCs w:val="32"/>
          <w:u w:val="single"/>
        </w:rPr>
      </w:pPr>
    </w:p>
    <w:p w14:paraId="7928997D" w14:textId="77777777" w:rsidR="0090201E" w:rsidRDefault="0090201E">
      <w:pPr>
        <w:spacing w:line="360" w:lineRule="auto"/>
        <w:rPr>
          <w:rFonts w:ascii="Times New Roman" w:hAnsi="Times New Roman"/>
          <w:b/>
          <w:bCs/>
          <w:color w:val="000000"/>
          <w:sz w:val="32"/>
          <w:szCs w:val="32"/>
          <w:u w:val="single"/>
        </w:rPr>
      </w:pPr>
    </w:p>
    <w:p w14:paraId="25954B25" w14:textId="77777777" w:rsidR="0090201E" w:rsidRDefault="00EB32DE">
      <w:pPr>
        <w:spacing w:line="360" w:lineRule="auto"/>
        <w:rPr>
          <w:rFonts w:ascii="Times New Roman" w:hAnsi="Times New Roman"/>
          <w:b/>
          <w:bCs/>
          <w:color w:val="000000"/>
          <w:sz w:val="32"/>
          <w:szCs w:val="32"/>
          <w:u w:val="single"/>
        </w:rPr>
      </w:pPr>
      <w:r>
        <w:rPr>
          <w:rFonts w:ascii="Times New Roman" w:hAnsi="Times New Roman"/>
          <w:b/>
          <w:bCs/>
          <w:color w:val="000000"/>
          <w:sz w:val="32"/>
          <w:szCs w:val="32"/>
          <w:u w:val="single"/>
        </w:rPr>
        <w:lastRenderedPageBreak/>
        <w:t>Parents</w:t>
      </w:r>
    </w:p>
    <w:p w14:paraId="6B70924C" w14:textId="77777777" w:rsidR="0090201E" w:rsidRDefault="00EB32DE">
      <w:pPr>
        <w:spacing w:line="360" w:lineRule="auto"/>
        <w:rPr>
          <w:rFonts w:ascii="Times New Roman" w:hAnsi="Times New Roman"/>
          <w:color w:val="000000"/>
          <w:sz w:val="32"/>
          <w:szCs w:val="32"/>
        </w:rPr>
      </w:pPr>
      <w:r>
        <w:rPr>
          <w:rFonts w:ascii="Times New Roman" w:hAnsi="Times New Roman"/>
          <w:color w:val="000000"/>
          <w:sz w:val="32"/>
          <w:szCs w:val="32"/>
        </w:rPr>
        <w:t xml:space="preserve">According to Perry (2013), the value of parents and carers recognising their part in helping the child through the process and being mindful of the importance of reassurance, guidance and assistance that the parents or carers need. Throughout the transformation it is important to understand the feelings of the parents and caregivers (CWCD, 2010). Parents can experience anxiety. When they must leave their child in a new environment, according to Hobart And Frankel (2003). According to </w:t>
      </w:r>
      <w:proofErr w:type="spellStart"/>
      <w:r>
        <w:rPr>
          <w:rFonts w:ascii="Times New Roman" w:hAnsi="Times New Roman"/>
          <w:color w:val="000000"/>
          <w:sz w:val="32"/>
          <w:szCs w:val="32"/>
        </w:rPr>
        <w:t>Allingham</w:t>
      </w:r>
      <w:proofErr w:type="spellEnd"/>
      <w:r>
        <w:rPr>
          <w:rFonts w:ascii="Times New Roman" w:hAnsi="Times New Roman"/>
          <w:color w:val="000000"/>
          <w:sz w:val="32"/>
          <w:szCs w:val="32"/>
        </w:rPr>
        <w:t xml:space="preserve"> (2011), the parent’s perspective- how they see the environment and the staff is always critical, not only during the transformation as mentioned by </w:t>
      </w:r>
      <w:proofErr w:type="spellStart"/>
      <w:r>
        <w:rPr>
          <w:rFonts w:ascii="Times New Roman" w:hAnsi="Times New Roman"/>
          <w:color w:val="000000"/>
          <w:sz w:val="32"/>
          <w:szCs w:val="32"/>
        </w:rPr>
        <w:t>Nutbrown</w:t>
      </w:r>
      <w:proofErr w:type="spellEnd"/>
      <w:r>
        <w:rPr>
          <w:rFonts w:ascii="Times New Roman" w:hAnsi="Times New Roman"/>
          <w:color w:val="000000"/>
          <w:sz w:val="32"/>
          <w:szCs w:val="32"/>
        </w:rPr>
        <w:t xml:space="preserve"> and Page (2008). The importance of a mutual understanding between the families and the environment cannot be overstated. </w:t>
      </w:r>
    </w:p>
    <w:p w14:paraId="58A94EDD" w14:textId="77777777" w:rsidR="0090201E" w:rsidRDefault="0090201E">
      <w:pPr>
        <w:spacing w:line="360" w:lineRule="auto"/>
        <w:rPr>
          <w:rFonts w:ascii="Times New Roman" w:hAnsi="Times New Roman"/>
          <w:color w:val="000000"/>
          <w:sz w:val="32"/>
          <w:szCs w:val="32"/>
        </w:rPr>
      </w:pPr>
    </w:p>
    <w:p w14:paraId="72436BCB" w14:textId="77777777" w:rsidR="0090201E" w:rsidRDefault="00EB32DE">
      <w:pPr>
        <w:spacing w:line="360" w:lineRule="auto"/>
        <w:rPr>
          <w:rFonts w:ascii="Times New Roman" w:hAnsi="Times New Roman"/>
          <w:b/>
          <w:bCs/>
          <w:color w:val="000000"/>
          <w:sz w:val="32"/>
          <w:szCs w:val="32"/>
          <w:u w:val="single"/>
        </w:rPr>
      </w:pPr>
      <w:r>
        <w:rPr>
          <w:rFonts w:ascii="Times New Roman" w:hAnsi="Times New Roman"/>
          <w:b/>
          <w:bCs/>
          <w:color w:val="000000"/>
          <w:sz w:val="32"/>
          <w:szCs w:val="32"/>
          <w:u w:val="single"/>
        </w:rPr>
        <w:t>Involvements</w:t>
      </w:r>
    </w:p>
    <w:p w14:paraId="1F8B4016" w14:textId="77777777" w:rsidR="0090201E" w:rsidRDefault="00EB32DE">
      <w:pPr>
        <w:spacing w:line="360" w:lineRule="auto"/>
        <w:rPr>
          <w:rFonts w:ascii="Times New Roman" w:hAnsi="Times New Roman"/>
          <w:color w:val="000000"/>
          <w:sz w:val="32"/>
          <w:szCs w:val="32"/>
        </w:rPr>
      </w:pPr>
      <w:r>
        <w:rPr>
          <w:rFonts w:ascii="Times New Roman" w:hAnsi="Times New Roman"/>
          <w:color w:val="000000"/>
          <w:sz w:val="32"/>
          <w:szCs w:val="32"/>
        </w:rPr>
        <w:t xml:space="preserve">According to </w:t>
      </w:r>
      <w:proofErr w:type="spellStart"/>
      <w:r>
        <w:rPr>
          <w:rFonts w:ascii="Times New Roman" w:hAnsi="Times New Roman"/>
          <w:color w:val="000000"/>
          <w:sz w:val="32"/>
          <w:szCs w:val="32"/>
        </w:rPr>
        <w:t>Nutbrown</w:t>
      </w:r>
      <w:proofErr w:type="spellEnd"/>
      <w:r>
        <w:rPr>
          <w:rFonts w:ascii="Times New Roman" w:hAnsi="Times New Roman"/>
          <w:color w:val="000000"/>
          <w:sz w:val="32"/>
          <w:szCs w:val="32"/>
        </w:rPr>
        <w:t xml:space="preserve"> and Page (2008), enrolment forms do not include any of the details that you might like to inquire about the child as they first arrive at the environment. An entry form, although very helpful, will only provide you with a limited amount of detail. Some methods of gathering, knowledge is useful to the environment, for example, after transition the child and their relatives should be welcomed into setting, since there is no suitable for communicating individually with the parents and carers. For children and families </w:t>
      </w:r>
      <w:r>
        <w:rPr>
          <w:rFonts w:ascii="Times New Roman" w:hAnsi="Times New Roman"/>
          <w:color w:val="000000"/>
          <w:sz w:val="32"/>
          <w:szCs w:val="32"/>
        </w:rPr>
        <w:lastRenderedPageBreak/>
        <w:t>with special needs or who may be especially vulnerable provisions are in effect and confidentially is still maintained. This is a chance for parents and caregivers to visit their child’s main worker and discuss any questions that might occur. The settling in time is an important aspect of the transition because it allows the infant to be left alone in the environment. The settling in process will begin with short sessions and allowing parents and caregivers to say their goodbyes and return a short time later. The communicates to the infant that the parent or caregiver will return shortly. The settling in sessions would eventually grow longer over time and building up to the proposed hours decided upon between the setting and the family. Parents and key staff will communicate with a daily log which would be full of information about what their child has been up to whilst at the setting. This will show parents how well their child is adjusting and at what level of growth their child is at.</w:t>
      </w:r>
    </w:p>
    <w:p w14:paraId="3C2650DA" w14:textId="77777777" w:rsidR="0090201E" w:rsidRDefault="0090201E">
      <w:pPr>
        <w:spacing w:line="360" w:lineRule="auto"/>
        <w:rPr>
          <w:rFonts w:ascii="Times New Roman" w:hAnsi="Times New Roman"/>
          <w:color w:val="000000"/>
          <w:sz w:val="32"/>
          <w:szCs w:val="32"/>
        </w:rPr>
      </w:pPr>
    </w:p>
    <w:p w14:paraId="24F89244" w14:textId="77777777" w:rsidR="0090201E" w:rsidRDefault="00EB32DE">
      <w:pPr>
        <w:spacing w:line="360" w:lineRule="auto"/>
        <w:rPr>
          <w:rFonts w:ascii="Times New Roman" w:hAnsi="Times New Roman"/>
          <w:b/>
          <w:bCs/>
          <w:color w:val="000000"/>
          <w:sz w:val="32"/>
          <w:szCs w:val="32"/>
          <w:u w:val="single"/>
        </w:rPr>
      </w:pPr>
      <w:r>
        <w:rPr>
          <w:rFonts w:ascii="Times New Roman" w:hAnsi="Times New Roman"/>
          <w:b/>
          <w:bCs/>
          <w:color w:val="000000"/>
          <w:sz w:val="32"/>
          <w:szCs w:val="32"/>
          <w:u w:val="single"/>
        </w:rPr>
        <w:t>Conclusion</w:t>
      </w:r>
    </w:p>
    <w:p w14:paraId="6F0FF0B9" w14:textId="77777777" w:rsidR="0090201E" w:rsidRDefault="00EB32DE">
      <w:pPr>
        <w:spacing w:line="360" w:lineRule="auto"/>
        <w:rPr>
          <w:rFonts w:ascii="Times New Roman" w:hAnsi="Times New Roman"/>
          <w:color w:val="000000"/>
          <w:sz w:val="32"/>
          <w:szCs w:val="32"/>
        </w:rPr>
      </w:pPr>
      <w:r>
        <w:rPr>
          <w:rFonts w:ascii="Times New Roman" w:hAnsi="Times New Roman"/>
          <w:color w:val="000000"/>
          <w:sz w:val="32"/>
          <w:szCs w:val="32"/>
        </w:rPr>
        <w:t xml:space="preserve">The desired result is for the transition to be adaptive, equitable and attentive to the needs of the child and family. It should show appreciation, recognition, diversity and consideration for the interests of all parties concerned. Transition can be seamless and optimistic, with parents and carers sharing priorities, beliefs and hopes (Dunlop and </w:t>
      </w:r>
      <w:proofErr w:type="spellStart"/>
      <w:r>
        <w:rPr>
          <w:rFonts w:ascii="Times New Roman" w:hAnsi="Times New Roman"/>
          <w:color w:val="000000"/>
          <w:sz w:val="32"/>
          <w:szCs w:val="32"/>
        </w:rPr>
        <w:t>Fabin</w:t>
      </w:r>
      <w:proofErr w:type="spellEnd"/>
      <w:r>
        <w:rPr>
          <w:rFonts w:ascii="Times New Roman" w:hAnsi="Times New Roman"/>
          <w:color w:val="000000"/>
          <w:sz w:val="32"/>
          <w:szCs w:val="32"/>
        </w:rPr>
        <w:t xml:space="preserve">, 2007). All children mature at varying rates and they all have unique attitudes, talents, abilities, histories and experiences, all </w:t>
      </w:r>
      <w:r>
        <w:rPr>
          <w:rFonts w:ascii="Times New Roman" w:hAnsi="Times New Roman"/>
          <w:color w:val="000000"/>
          <w:sz w:val="32"/>
          <w:szCs w:val="32"/>
        </w:rPr>
        <w:lastRenderedPageBreak/>
        <w:t>of which influence hoe they adjust to the transition. The importance of changes and how they are prepared for is emphasised in good practice (Welsh Government, 2018).</w:t>
      </w:r>
    </w:p>
    <w:p w14:paraId="5192E7FC" w14:textId="77777777" w:rsidR="0090201E" w:rsidRDefault="0090201E">
      <w:pPr>
        <w:spacing w:line="360" w:lineRule="auto"/>
        <w:rPr>
          <w:rFonts w:ascii="Times New Roman" w:hAnsi="Times New Roman"/>
          <w:color w:val="000000"/>
          <w:sz w:val="32"/>
          <w:szCs w:val="32"/>
        </w:rPr>
      </w:pPr>
    </w:p>
    <w:p w14:paraId="0BDA9547" w14:textId="77777777" w:rsidR="0090201E" w:rsidRDefault="00EB32DE">
      <w:pPr>
        <w:spacing w:line="360" w:lineRule="auto"/>
        <w:rPr>
          <w:rFonts w:ascii="Times New Roman" w:hAnsi="Times New Roman"/>
          <w:b/>
          <w:bCs/>
          <w:color w:val="000000"/>
          <w:sz w:val="32"/>
          <w:szCs w:val="32"/>
          <w:u w:val="single"/>
        </w:rPr>
      </w:pPr>
      <w:r>
        <w:rPr>
          <w:rFonts w:ascii="Times New Roman" w:hAnsi="Times New Roman"/>
          <w:b/>
          <w:bCs/>
          <w:color w:val="000000"/>
          <w:sz w:val="32"/>
          <w:szCs w:val="32"/>
          <w:u w:val="single"/>
        </w:rPr>
        <w:t>References</w:t>
      </w:r>
    </w:p>
    <w:p w14:paraId="5B9D7964" w14:textId="77777777" w:rsidR="0090201E" w:rsidRDefault="00EB32DE">
      <w:pPr>
        <w:suppressAutoHyphens w:val="0"/>
        <w:spacing w:before="100" w:after="100" w:line="360" w:lineRule="auto"/>
        <w:textAlignment w:val="auto"/>
        <w:rPr>
          <w:rFonts w:ascii="Times New Roman" w:eastAsia="Times New Roman" w:hAnsi="Times New Roman"/>
          <w:sz w:val="28"/>
          <w:szCs w:val="28"/>
          <w:lang w:eastAsia="en-GB"/>
        </w:rPr>
      </w:pPr>
      <w:proofErr w:type="spellStart"/>
      <w:r>
        <w:rPr>
          <w:rFonts w:ascii="Times New Roman" w:eastAsia="Times New Roman" w:hAnsi="Times New Roman"/>
          <w:sz w:val="28"/>
          <w:szCs w:val="28"/>
          <w:lang w:eastAsia="en-GB"/>
        </w:rPr>
        <w:t>Allingham</w:t>
      </w:r>
      <w:proofErr w:type="spellEnd"/>
      <w:r>
        <w:rPr>
          <w:rFonts w:ascii="Times New Roman" w:eastAsia="Times New Roman" w:hAnsi="Times New Roman"/>
          <w:sz w:val="28"/>
          <w:szCs w:val="28"/>
          <w:lang w:eastAsia="en-GB"/>
        </w:rPr>
        <w:t>, S. (2011) Transitions in the Early Years. London: Practical Pre-school Books.</w:t>
      </w:r>
    </w:p>
    <w:p w14:paraId="4346DECC" w14:textId="77777777" w:rsidR="0090201E" w:rsidRDefault="00EB32DE">
      <w:pPr>
        <w:pStyle w:val="NormalWeb"/>
        <w:spacing w:line="360" w:lineRule="auto"/>
        <w:rPr>
          <w:sz w:val="28"/>
          <w:szCs w:val="28"/>
        </w:rPr>
      </w:pPr>
      <w:r>
        <w:rPr>
          <w:sz w:val="28"/>
          <w:szCs w:val="28"/>
        </w:rPr>
        <w:t xml:space="preserve">Bourdieu, P. and </w:t>
      </w:r>
      <w:proofErr w:type="spellStart"/>
      <w:r>
        <w:rPr>
          <w:sz w:val="28"/>
          <w:szCs w:val="28"/>
        </w:rPr>
        <w:t>Wacquant</w:t>
      </w:r>
      <w:proofErr w:type="spellEnd"/>
      <w:r>
        <w:rPr>
          <w:sz w:val="28"/>
          <w:szCs w:val="28"/>
        </w:rPr>
        <w:t>, L. (1992) An Invitation to Reflexive Sociology. Chicago: University of Chicago Press.</w:t>
      </w:r>
    </w:p>
    <w:p w14:paraId="10DE206A" w14:textId="77777777" w:rsidR="0090201E" w:rsidRDefault="00EB32DE">
      <w:pPr>
        <w:pStyle w:val="NormalWeb"/>
        <w:spacing w:line="360" w:lineRule="auto"/>
        <w:rPr>
          <w:sz w:val="28"/>
          <w:szCs w:val="28"/>
        </w:rPr>
      </w:pPr>
      <w:r>
        <w:rPr>
          <w:sz w:val="28"/>
          <w:szCs w:val="28"/>
        </w:rPr>
        <w:t>Bruce, T. (2010) Early Childhood: A Guide for Students. Second Edition. London: SAGE Publications Ltd</w:t>
      </w:r>
    </w:p>
    <w:p w14:paraId="348E2FFE" w14:textId="77777777" w:rsidR="0090201E" w:rsidRDefault="00EB32DE">
      <w:pPr>
        <w:suppressAutoHyphens w:val="0"/>
        <w:spacing w:before="100" w:after="100" w:line="360" w:lineRule="auto"/>
        <w:textAlignment w:val="auto"/>
      </w:pPr>
      <w:r>
        <w:rPr>
          <w:rFonts w:ascii="Times New Roman" w:eastAsia="Times New Roman" w:hAnsi="Times New Roman"/>
          <w:sz w:val="28"/>
          <w:szCs w:val="28"/>
          <w:lang w:eastAsia="en-GB"/>
        </w:rPr>
        <w:t xml:space="preserve">Cherry, K. (2019) </w:t>
      </w:r>
      <w:proofErr w:type="spellStart"/>
      <w:r>
        <w:rPr>
          <w:rFonts w:ascii="Times New Roman" w:eastAsia="Times New Roman" w:hAnsi="Times New Roman"/>
          <w:sz w:val="28"/>
          <w:szCs w:val="28"/>
          <w:lang w:eastAsia="en-GB"/>
        </w:rPr>
        <w:t>Bowlby</w:t>
      </w:r>
      <w:proofErr w:type="spellEnd"/>
      <w:r>
        <w:rPr>
          <w:rFonts w:ascii="Times New Roman" w:eastAsia="Times New Roman" w:hAnsi="Times New Roman"/>
          <w:sz w:val="28"/>
          <w:szCs w:val="28"/>
          <w:lang w:eastAsia="en-GB"/>
        </w:rPr>
        <w:t xml:space="preserve"> &amp; Ainsworth: What Is Attachment Theory? The Importance of Early Emotional Bonds. Available at: </w:t>
      </w:r>
      <w:hyperlink r:id="rId7" w:history="1">
        <w:r>
          <w:rPr>
            <w:rStyle w:val="Hyperlink"/>
            <w:rFonts w:ascii="Times New Roman" w:eastAsia="Times New Roman" w:hAnsi="Times New Roman"/>
            <w:sz w:val="28"/>
            <w:szCs w:val="28"/>
            <w:lang w:eastAsia="en-GB"/>
          </w:rPr>
          <w:t>https://www.verywellmind.com/what-is-attachment-theory-2795337</w:t>
        </w:r>
      </w:hyperlink>
      <w:r>
        <w:rPr>
          <w:rFonts w:ascii="Times New Roman" w:eastAsia="Times New Roman" w:hAnsi="Times New Roman"/>
          <w:sz w:val="28"/>
          <w:szCs w:val="28"/>
          <w:lang w:eastAsia="en-GB"/>
        </w:rPr>
        <w:t xml:space="preserve"> (Accessed:2</w:t>
      </w:r>
      <w:r>
        <w:rPr>
          <w:rFonts w:ascii="Times New Roman" w:eastAsia="Times New Roman" w:hAnsi="Times New Roman"/>
          <w:sz w:val="28"/>
          <w:szCs w:val="28"/>
          <w:vertAlign w:val="superscript"/>
          <w:lang w:eastAsia="en-GB"/>
        </w:rPr>
        <w:t>nd</w:t>
      </w:r>
      <w:r>
        <w:rPr>
          <w:rFonts w:ascii="Times New Roman" w:eastAsia="Times New Roman" w:hAnsi="Times New Roman"/>
          <w:sz w:val="28"/>
          <w:szCs w:val="28"/>
          <w:lang w:eastAsia="en-GB"/>
        </w:rPr>
        <w:t xml:space="preserve"> March 2021).</w:t>
      </w:r>
    </w:p>
    <w:p w14:paraId="4DD3E090" w14:textId="77777777" w:rsidR="0090201E" w:rsidRDefault="00EB32DE">
      <w:pPr>
        <w:suppressAutoHyphens w:val="0"/>
        <w:spacing w:before="100" w:after="100" w:line="360" w:lineRule="auto"/>
        <w:textAlignment w:val="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CWDC (Children’s Workforce Development Council) (2010) The Common Core of Skills and Understanding: At the Heart of what you Do. Leeds: DCSF. </w:t>
      </w:r>
    </w:p>
    <w:p w14:paraId="545AE47B" w14:textId="77777777" w:rsidR="0090201E" w:rsidRDefault="00EB32DE">
      <w:pPr>
        <w:pStyle w:val="NormalWeb"/>
        <w:spacing w:line="360" w:lineRule="auto"/>
        <w:rPr>
          <w:sz w:val="28"/>
          <w:szCs w:val="28"/>
        </w:rPr>
      </w:pPr>
      <w:r>
        <w:rPr>
          <w:sz w:val="28"/>
          <w:szCs w:val="28"/>
        </w:rPr>
        <w:t>Dunlop, W. and Fabian, H. (2007) Informing Transitions in the Early Years. UK: Bell &amp; Bain Ltd.</w:t>
      </w:r>
    </w:p>
    <w:p w14:paraId="3DFC194D" w14:textId="77777777" w:rsidR="0090201E" w:rsidRDefault="00EB32DE">
      <w:pPr>
        <w:pStyle w:val="NormalWeb"/>
        <w:spacing w:line="360" w:lineRule="auto"/>
      </w:pPr>
      <w:r>
        <w:rPr>
          <w:sz w:val="28"/>
          <w:szCs w:val="28"/>
        </w:rPr>
        <w:t xml:space="preserve">Early Years Matters (2019) Transitions. Available at: </w:t>
      </w:r>
      <w:hyperlink r:id="rId8" w:history="1">
        <w:r>
          <w:rPr>
            <w:rStyle w:val="Hyperlink"/>
            <w:sz w:val="28"/>
            <w:szCs w:val="28"/>
          </w:rPr>
          <w:t>https://www.earlyyearsmatters.co.uk/eyfs/positive-relationships/transitions</w:t>
        </w:r>
      </w:hyperlink>
      <w:r>
        <w:rPr>
          <w:sz w:val="28"/>
          <w:szCs w:val="28"/>
        </w:rPr>
        <w:t xml:space="preserve"> (Accessed: 12</w:t>
      </w:r>
      <w:r>
        <w:rPr>
          <w:sz w:val="28"/>
          <w:szCs w:val="28"/>
          <w:vertAlign w:val="superscript"/>
        </w:rPr>
        <w:t>th</w:t>
      </w:r>
      <w:r>
        <w:rPr>
          <w:sz w:val="28"/>
          <w:szCs w:val="28"/>
        </w:rPr>
        <w:t xml:space="preserve"> December 2020).</w:t>
      </w:r>
    </w:p>
    <w:p w14:paraId="0B6377EB" w14:textId="77777777" w:rsidR="0090201E" w:rsidRDefault="00EB32DE">
      <w:pPr>
        <w:pStyle w:val="NormalWeb"/>
        <w:spacing w:line="360" w:lineRule="auto"/>
        <w:rPr>
          <w:sz w:val="28"/>
          <w:szCs w:val="28"/>
        </w:rPr>
      </w:pPr>
      <w:r>
        <w:rPr>
          <w:sz w:val="28"/>
          <w:szCs w:val="28"/>
        </w:rPr>
        <w:t xml:space="preserve">Hamilton, C. et al. (2003) Principles and Practice in the Foundation Stage. London: Learning Matters. </w:t>
      </w:r>
    </w:p>
    <w:p w14:paraId="01FC16CA" w14:textId="77777777" w:rsidR="0090201E" w:rsidRDefault="00EB32DE">
      <w:pPr>
        <w:suppressAutoHyphens w:val="0"/>
        <w:spacing w:before="100" w:after="100" w:line="360" w:lineRule="auto"/>
        <w:textAlignment w:val="auto"/>
        <w:rPr>
          <w:rFonts w:ascii="Times New Roman" w:eastAsia="Times New Roman" w:hAnsi="Times New Roman"/>
          <w:sz w:val="28"/>
          <w:szCs w:val="28"/>
          <w:lang w:eastAsia="en-GB"/>
        </w:rPr>
      </w:pPr>
      <w:r>
        <w:rPr>
          <w:rFonts w:ascii="Times New Roman" w:eastAsia="Times New Roman" w:hAnsi="Times New Roman"/>
          <w:sz w:val="28"/>
          <w:szCs w:val="28"/>
          <w:lang w:eastAsia="en-GB"/>
        </w:rPr>
        <w:lastRenderedPageBreak/>
        <w:t xml:space="preserve">Hobart, C. and Frankel, J. (2003) A Practical Guide to Working with Parents. UK: Nelson </w:t>
      </w:r>
      <w:proofErr w:type="spellStart"/>
      <w:r>
        <w:rPr>
          <w:rFonts w:ascii="Times New Roman" w:eastAsia="Times New Roman" w:hAnsi="Times New Roman"/>
          <w:sz w:val="28"/>
          <w:szCs w:val="28"/>
          <w:lang w:eastAsia="en-GB"/>
        </w:rPr>
        <w:t>Thornes</w:t>
      </w:r>
      <w:proofErr w:type="spellEnd"/>
      <w:r>
        <w:rPr>
          <w:rFonts w:ascii="Times New Roman" w:eastAsia="Times New Roman" w:hAnsi="Times New Roman"/>
          <w:sz w:val="28"/>
          <w:szCs w:val="28"/>
          <w:lang w:eastAsia="en-GB"/>
        </w:rPr>
        <w:t>.</w:t>
      </w:r>
    </w:p>
    <w:p w14:paraId="3F030180" w14:textId="77777777" w:rsidR="0090201E" w:rsidRDefault="00EB32DE">
      <w:pPr>
        <w:suppressAutoHyphens w:val="0"/>
        <w:spacing w:before="100" w:after="100" w:line="360" w:lineRule="auto"/>
        <w:textAlignment w:val="auto"/>
        <w:rPr>
          <w:rFonts w:ascii="Times New Roman" w:eastAsia="Times New Roman" w:hAnsi="Times New Roman"/>
          <w:sz w:val="28"/>
          <w:szCs w:val="28"/>
          <w:lang w:eastAsia="en-GB"/>
        </w:rPr>
      </w:pPr>
      <w:proofErr w:type="spellStart"/>
      <w:r>
        <w:rPr>
          <w:rFonts w:ascii="Times New Roman" w:eastAsia="Times New Roman" w:hAnsi="Times New Roman"/>
          <w:sz w:val="28"/>
          <w:szCs w:val="28"/>
          <w:lang w:eastAsia="en-GB"/>
        </w:rPr>
        <w:t>Nutbrown</w:t>
      </w:r>
      <w:proofErr w:type="spellEnd"/>
      <w:r>
        <w:rPr>
          <w:rFonts w:ascii="Times New Roman" w:eastAsia="Times New Roman" w:hAnsi="Times New Roman"/>
          <w:sz w:val="28"/>
          <w:szCs w:val="28"/>
          <w:lang w:eastAsia="en-GB"/>
        </w:rPr>
        <w:t>, C. and Page, J. (2008) Working with Babies and Children from Birth to Three. London: Sage.</w:t>
      </w:r>
    </w:p>
    <w:p w14:paraId="715D553B" w14:textId="77777777" w:rsidR="0090201E" w:rsidRDefault="00EB32DE">
      <w:pPr>
        <w:pStyle w:val="NormalWeb"/>
        <w:spacing w:line="360" w:lineRule="auto"/>
      </w:pPr>
      <w:r>
        <w:rPr>
          <w:sz w:val="28"/>
          <w:szCs w:val="28"/>
        </w:rPr>
        <w:t xml:space="preserve">Open, Learn, Create (no date). Open, Learn, Create – Children’s Transitions. Available at: </w:t>
      </w:r>
      <w:hyperlink r:id="rId9" w:history="1">
        <w:r>
          <w:rPr>
            <w:rStyle w:val="Hyperlink"/>
            <w:sz w:val="28"/>
            <w:szCs w:val="28"/>
          </w:rPr>
          <w:t>https://www.open.edu/openlearncentre/mod/oucontent/view.php?id=79794&amp;section=3</w:t>
        </w:r>
      </w:hyperlink>
      <w:r>
        <w:rPr>
          <w:sz w:val="28"/>
          <w:szCs w:val="28"/>
        </w:rPr>
        <w:t xml:space="preserve">  / (Accessed: 4</w:t>
      </w:r>
      <w:r>
        <w:rPr>
          <w:sz w:val="28"/>
          <w:szCs w:val="28"/>
          <w:vertAlign w:val="superscript"/>
        </w:rPr>
        <w:t>th</w:t>
      </w:r>
      <w:r>
        <w:rPr>
          <w:sz w:val="28"/>
          <w:szCs w:val="28"/>
        </w:rPr>
        <w:t xml:space="preserve"> March 2021).</w:t>
      </w:r>
    </w:p>
    <w:p w14:paraId="249B9F16" w14:textId="77777777" w:rsidR="0090201E" w:rsidRDefault="00EB32DE">
      <w:pPr>
        <w:pStyle w:val="NormalWeb"/>
        <w:spacing w:line="360" w:lineRule="auto"/>
      </w:pPr>
      <w:r>
        <w:rPr>
          <w:sz w:val="28"/>
          <w:szCs w:val="28"/>
        </w:rPr>
        <w:t xml:space="preserve">Patel, A. (2019) Supporting Transitions in the Early Years. Available at: </w:t>
      </w:r>
      <w:hyperlink r:id="rId10" w:history="1">
        <w:r>
          <w:rPr>
            <w:rStyle w:val="Hyperlink"/>
            <w:sz w:val="28"/>
            <w:szCs w:val="28"/>
          </w:rPr>
          <w:t>https://www.teachearlyyears.com/a-unique-child/view/supporting-transitions-in-the-early-years</w:t>
        </w:r>
      </w:hyperlink>
      <w:r>
        <w:rPr>
          <w:sz w:val="28"/>
          <w:szCs w:val="28"/>
        </w:rPr>
        <w:t xml:space="preserve"> (Accessed: February 12</w:t>
      </w:r>
      <w:r>
        <w:rPr>
          <w:sz w:val="28"/>
          <w:szCs w:val="28"/>
          <w:vertAlign w:val="superscript"/>
        </w:rPr>
        <w:t>th</w:t>
      </w:r>
      <w:r>
        <w:rPr>
          <w:sz w:val="28"/>
          <w:szCs w:val="28"/>
        </w:rPr>
        <w:t>, 2021).</w:t>
      </w:r>
    </w:p>
    <w:p w14:paraId="0132E324" w14:textId="77777777" w:rsidR="0090201E" w:rsidRDefault="00EB32DE">
      <w:pPr>
        <w:suppressAutoHyphens w:val="0"/>
        <w:spacing w:before="100" w:after="100" w:line="360" w:lineRule="auto"/>
        <w:textAlignment w:val="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Perry, E. (2013) ‘Home-pre-school-childminder-playgroup-home’, in </w:t>
      </w:r>
      <w:proofErr w:type="spellStart"/>
      <w:r>
        <w:rPr>
          <w:rFonts w:ascii="Times New Roman" w:eastAsia="Times New Roman" w:hAnsi="Times New Roman"/>
          <w:sz w:val="28"/>
          <w:szCs w:val="28"/>
          <w:lang w:eastAsia="en-GB"/>
        </w:rPr>
        <w:t>Trodd</w:t>
      </w:r>
      <w:proofErr w:type="spellEnd"/>
      <w:r>
        <w:rPr>
          <w:rFonts w:ascii="Times New Roman" w:eastAsia="Times New Roman" w:hAnsi="Times New Roman"/>
          <w:sz w:val="28"/>
          <w:szCs w:val="28"/>
          <w:lang w:eastAsia="en-GB"/>
        </w:rPr>
        <w:t xml:space="preserve">, L. (ed.) Transition in the early years, working with children and families. London: Sage Publications Ltd. </w:t>
      </w:r>
    </w:p>
    <w:p w14:paraId="18408EE2" w14:textId="77777777" w:rsidR="0090201E" w:rsidRDefault="00EB32DE">
      <w:pPr>
        <w:suppressAutoHyphens w:val="0"/>
        <w:spacing w:before="100" w:after="100" w:line="360" w:lineRule="auto"/>
        <w:textAlignment w:val="auto"/>
      </w:pPr>
      <w:r>
        <w:rPr>
          <w:rFonts w:ascii="Times New Roman" w:eastAsia="Times New Roman" w:hAnsi="Times New Roman"/>
          <w:sz w:val="28"/>
          <w:szCs w:val="28"/>
          <w:lang w:eastAsia="en-GB"/>
        </w:rPr>
        <w:t xml:space="preserve">Reference (2019) What is Holistic Development in Children? Available at: </w:t>
      </w:r>
      <w:hyperlink r:id="rId11" w:history="1">
        <w:r>
          <w:rPr>
            <w:rStyle w:val="Hyperlink"/>
            <w:rFonts w:ascii="Times New Roman" w:eastAsia="Times New Roman" w:hAnsi="Times New Roman"/>
            <w:sz w:val="28"/>
            <w:szCs w:val="28"/>
            <w:lang w:eastAsia="en-GB"/>
          </w:rPr>
          <w:t>https://www.reference.com/family/holistic-development-children-9e223f9f068a73f9</w:t>
        </w:r>
      </w:hyperlink>
      <w:r>
        <w:rPr>
          <w:rFonts w:ascii="Times New Roman" w:eastAsia="Times New Roman" w:hAnsi="Times New Roman"/>
          <w:sz w:val="28"/>
          <w:szCs w:val="28"/>
          <w:lang w:eastAsia="en-GB"/>
        </w:rPr>
        <w:t xml:space="preserve"> (Accessed: 2</w:t>
      </w:r>
      <w:r>
        <w:rPr>
          <w:rFonts w:ascii="Times New Roman" w:eastAsia="Times New Roman" w:hAnsi="Times New Roman"/>
          <w:sz w:val="28"/>
          <w:szCs w:val="28"/>
          <w:vertAlign w:val="superscript"/>
          <w:lang w:eastAsia="en-GB"/>
        </w:rPr>
        <w:t>nd</w:t>
      </w:r>
      <w:r>
        <w:rPr>
          <w:rFonts w:ascii="Times New Roman" w:eastAsia="Times New Roman" w:hAnsi="Times New Roman"/>
          <w:sz w:val="28"/>
          <w:szCs w:val="28"/>
          <w:lang w:eastAsia="en-GB"/>
        </w:rPr>
        <w:t xml:space="preserve"> March 2021).</w:t>
      </w:r>
    </w:p>
    <w:p w14:paraId="7FB62D6B" w14:textId="77777777" w:rsidR="0090201E" w:rsidRDefault="00EB32DE">
      <w:pPr>
        <w:suppressAutoHyphens w:val="0"/>
        <w:spacing w:before="100" w:after="100" w:line="360" w:lineRule="auto"/>
        <w:textAlignment w:val="auto"/>
      </w:pPr>
      <w:r>
        <w:rPr>
          <w:rFonts w:ascii="Times New Roman" w:eastAsia="Times New Roman" w:hAnsi="Times New Roman"/>
          <w:sz w:val="28"/>
          <w:szCs w:val="28"/>
          <w:lang w:eastAsia="en-GB"/>
        </w:rPr>
        <w:t>The Compass School (2015) A Child Centred Kindergarten. A Child Centred Approach [blog] July 16</w:t>
      </w:r>
      <w:r>
        <w:rPr>
          <w:rFonts w:ascii="Times New Roman" w:eastAsia="Times New Roman" w:hAnsi="Times New Roman"/>
          <w:sz w:val="28"/>
          <w:szCs w:val="28"/>
          <w:vertAlign w:val="superscript"/>
          <w:lang w:eastAsia="en-GB"/>
        </w:rPr>
        <w:t>th</w:t>
      </w:r>
      <w:r>
        <w:rPr>
          <w:rFonts w:ascii="Times New Roman" w:eastAsia="Times New Roman" w:hAnsi="Times New Roman"/>
          <w:sz w:val="28"/>
          <w:szCs w:val="28"/>
          <w:lang w:eastAsia="en-GB"/>
        </w:rPr>
        <w:t xml:space="preserve"> 2015. Available at: </w:t>
      </w:r>
      <w:hyperlink r:id="rId12" w:history="1">
        <w:r>
          <w:rPr>
            <w:rStyle w:val="Hyperlink"/>
            <w:rFonts w:ascii="Times New Roman" w:eastAsia="Times New Roman" w:hAnsi="Times New Roman"/>
            <w:sz w:val="28"/>
            <w:szCs w:val="28"/>
            <w:lang w:eastAsia="en-GB"/>
          </w:rPr>
          <w:t>https://www.thecompassschool.com/blog/what-is-child-centard-kindergarden/</w:t>
        </w:r>
      </w:hyperlink>
      <w:r>
        <w:rPr>
          <w:rFonts w:ascii="Times New Roman" w:eastAsia="Times New Roman" w:hAnsi="Times New Roman"/>
          <w:sz w:val="28"/>
          <w:szCs w:val="28"/>
          <w:lang w:eastAsia="en-GB"/>
        </w:rPr>
        <w:t xml:space="preserve"> (Accessed: 4</w:t>
      </w:r>
      <w:r>
        <w:rPr>
          <w:rFonts w:ascii="Times New Roman" w:eastAsia="Times New Roman" w:hAnsi="Times New Roman"/>
          <w:sz w:val="28"/>
          <w:szCs w:val="28"/>
          <w:vertAlign w:val="superscript"/>
          <w:lang w:eastAsia="en-GB"/>
        </w:rPr>
        <w:t>th</w:t>
      </w:r>
      <w:r>
        <w:rPr>
          <w:rFonts w:ascii="Times New Roman" w:eastAsia="Times New Roman" w:hAnsi="Times New Roman"/>
          <w:sz w:val="28"/>
          <w:szCs w:val="28"/>
          <w:lang w:eastAsia="en-GB"/>
        </w:rPr>
        <w:t xml:space="preserve"> March 2021).</w:t>
      </w:r>
    </w:p>
    <w:p w14:paraId="0AF96BDB" w14:textId="77777777" w:rsidR="0090201E" w:rsidRDefault="00EB32DE">
      <w:pPr>
        <w:suppressAutoHyphens w:val="0"/>
        <w:spacing w:before="100" w:after="100" w:line="360" w:lineRule="auto"/>
        <w:textAlignment w:val="auto"/>
      </w:pPr>
      <w:r>
        <w:rPr>
          <w:rFonts w:ascii="Times New Roman" w:eastAsia="Times New Roman" w:hAnsi="Times New Roman"/>
          <w:sz w:val="28"/>
          <w:szCs w:val="28"/>
          <w:lang w:eastAsia="en-GB"/>
        </w:rPr>
        <w:t xml:space="preserve">Unicef (no date) A Summary of the UN Convention on the Rights of the child. Available at: </w:t>
      </w:r>
      <w:hyperlink r:id="rId13" w:history="1">
        <w:r>
          <w:rPr>
            <w:rStyle w:val="Hyperlink"/>
            <w:rFonts w:ascii="Times New Roman" w:eastAsia="Times New Roman" w:hAnsi="Times New Roman"/>
            <w:sz w:val="28"/>
            <w:szCs w:val="28"/>
            <w:lang w:eastAsia="en-GB"/>
          </w:rPr>
          <w:t>https://unicef.org.uk/what-we-do/un-convention-childs-rights/</w:t>
        </w:r>
      </w:hyperlink>
      <w:r>
        <w:rPr>
          <w:rFonts w:ascii="Times New Roman" w:eastAsia="Times New Roman" w:hAnsi="Times New Roman"/>
          <w:sz w:val="28"/>
          <w:szCs w:val="28"/>
          <w:lang w:eastAsia="en-GB"/>
        </w:rPr>
        <w:t xml:space="preserve"> (Accessed: 24</w:t>
      </w:r>
      <w:r>
        <w:rPr>
          <w:rFonts w:ascii="Times New Roman" w:eastAsia="Times New Roman" w:hAnsi="Times New Roman"/>
          <w:sz w:val="28"/>
          <w:szCs w:val="28"/>
          <w:vertAlign w:val="superscript"/>
          <w:lang w:eastAsia="en-GB"/>
        </w:rPr>
        <w:t>th</w:t>
      </w:r>
      <w:r>
        <w:rPr>
          <w:rFonts w:ascii="Times New Roman" w:eastAsia="Times New Roman" w:hAnsi="Times New Roman"/>
          <w:sz w:val="28"/>
          <w:szCs w:val="28"/>
          <w:lang w:eastAsia="en-GB"/>
        </w:rPr>
        <w:t xml:space="preserve"> March 2021).</w:t>
      </w:r>
    </w:p>
    <w:p w14:paraId="1DAB63BD" w14:textId="77777777" w:rsidR="0090201E" w:rsidRDefault="00EB32DE">
      <w:pPr>
        <w:pStyle w:val="NormalWeb"/>
        <w:spacing w:line="360" w:lineRule="auto"/>
        <w:rPr>
          <w:sz w:val="28"/>
          <w:szCs w:val="28"/>
        </w:rPr>
      </w:pPr>
      <w:proofErr w:type="spellStart"/>
      <w:r>
        <w:rPr>
          <w:sz w:val="28"/>
          <w:szCs w:val="28"/>
        </w:rPr>
        <w:t>Vogler</w:t>
      </w:r>
      <w:proofErr w:type="spellEnd"/>
      <w:r>
        <w:rPr>
          <w:sz w:val="28"/>
          <w:szCs w:val="28"/>
        </w:rPr>
        <w:t>, et al. (2008) Early childhood transitions research: A review of concepts, theory and practice’ Paper 48. Bernard van Leer Foundation</w:t>
      </w:r>
    </w:p>
    <w:p w14:paraId="531DFF75" w14:textId="77777777" w:rsidR="0090201E" w:rsidRDefault="00EB32DE">
      <w:pPr>
        <w:pStyle w:val="NormalWeb"/>
        <w:spacing w:line="360" w:lineRule="auto"/>
      </w:pPr>
      <w:r>
        <w:rPr>
          <w:sz w:val="28"/>
          <w:szCs w:val="28"/>
        </w:rPr>
        <w:lastRenderedPageBreak/>
        <w:t xml:space="preserve">Walker, E. (2019) ‘Managing transitions in early years provisions’ Care Inspectorate </w:t>
      </w:r>
      <w:hyperlink r:id="rId14" w:history="1">
        <w:r>
          <w:rPr>
            <w:rStyle w:val="Hyperlink"/>
            <w:sz w:val="28"/>
            <w:szCs w:val="28"/>
          </w:rPr>
          <w:t>https://hub.careinseptorate.com/training-provides/early-years-scotland-professional-learning-academy/managing-effective-transition</w:t>
        </w:r>
      </w:hyperlink>
      <w:r>
        <w:rPr>
          <w:sz w:val="28"/>
          <w:szCs w:val="28"/>
        </w:rPr>
        <w:t xml:space="preserve"> (Accessed: 13</w:t>
      </w:r>
      <w:r>
        <w:rPr>
          <w:sz w:val="28"/>
          <w:szCs w:val="28"/>
          <w:vertAlign w:val="superscript"/>
        </w:rPr>
        <w:t>th</w:t>
      </w:r>
      <w:r>
        <w:rPr>
          <w:sz w:val="28"/>
          <w:szCs w:val="28"/>
        </w:rPr>
        <w:t xml:space="preserve"> January 2021).</w:t>
      </w:r>
    </w:p>
    <w:p w14:paraId="40DE1561" w14:textId="77777777" w:rsidR="0090201E" w:rsidRDefault="00EB32DE">
      <w:pPr>
        <w:pStyle w:val="NormalWeb"/>
        <w:spacing w:line="360" w:lineRule="auto"/>
      </w:pPr>
      <w:r>
        <w:rPr>
          <w:sz w:val="28"/>
          <w:szCs w:val="28"/>
        </w:rPr>
        <w:t xml:space="preserve">Welsh Government (2018) Children’s Care Learning and Development. Available at: </w:t>
      </w:r>
      <w:hyperlink r:id="rId15" w:history="1">
        <w:r>
          <w:rPr>
            <w:rStyle w:val="Hyperlink"/>
            <w:sz w:val="28"/>
            <w:szCs w:val="28"/>
          </w:rPr>
          <w:t>https://socailcare.wales/nos-areas/children-care-learning-and-development</w:t>
        </w:r>
      </w:hyperlink>
      <w:r>
        <w:rPr>
          <w:sz w:val="28"/>
          <w:szCs w:val="28"/>
        </w:rPr>
        <w:t xml:space="preserve"> (Accessed 16th December 2020).</w:t>
      </w:r>
    </w:p>
    <w:p w14:paraId="22E6F6F8" w14:textId="77777777" w:rsidR="0090201E" w:rsidRDefault="0090201E">
      <w:pPr>
        <w:pStyle w:val="NormalWeb"/>
        <w:spacing w:line="360" w:lineRule="auto"/>
        <w:rPr>
          <w:sz w:val="28"/>
          <w:szCs w:val="28"/>
        </w:rPr>
      </w:pPr>
    </w:p>
    <w:p w14:paraId="119D3B93" w14:textId="77777777" w:rsidR="0090201E" w:rsidRDefault="0090201E">
      <w:pPr>
        <w:suppressAutoHyphens w:val="0"/>
        <w:spacing w:before="100" w:after="100" w:line="240" w:lineRule="auto"/>
        <w:textAlignment w:val="auto"/>
        <w:rPr>
          <w:rFonts w:ascii="Times New Roman" w:eastAsia="Times New Roman" w:hAnsi="Times New Roman"/>
          <w:sz w:val="24"/>
          <w:szCs w:val="24"/>
          <w:lang w:eastAsia="en-GB"/>
        </w:rPr>
      </w:pPr>
    </w:p>
    <w:p w14:paraId="580321B6" w14:textId="77777777" w:rsidR="0090201E" w:rsidRDefault="0090201E">
      <w:pPr>
        <w:suppressAutoHyphens w:val="0"/>
        <w:spacing w:before="100" w:after="100" w:line="240" w:lineRule="auto"/>
        <w:textAlignment w:val="auto"/>
        <w:rPr>
          <w:rFonts w:ascii="Times New Roman" w:eastAsia="Times New Roman" w:hAnsi="Times New Roman"/>
          <w:sz w:val="24"/>
          <w:szCs w:val="24"/>
          <w:lang w:eastAsia="en-GB"/>
        </w:rPr>
      </w:pPr>
    </w:p>
    <w:p w14:paraId="0B311C83" w14:textId="77777777" w:rsidR="0090201E" w:rsidRDefault="0090201E">
      <w:pPr>
        <w:suppressAutoHyphens w:val="0"/>
        <w:spacing w:before="100" w:after="100" w:line="240" w:lineRule="auto"/>
        <w:textAlignment w:val="auto"/>
        <w:rPr>
          <w:rFonts w:ascii="Times New Roman" w:eastAsia="Times New Roman" w:hAnsi="Times New Roman"/>
          <w:sz w:val="24"/>
          <w:szCs w:val="24"/>
          <w:lang w:eastAsia="en-GB"/>
        </w:rPr>
      </w:pPr>
    </w:p>
    <w:p w14:paraId="761F7573" w14:textId="77777777" w:rsidR="0090201E" w:rsidRDefault="0090201E">
      <w:pPr>
        <w:suppressAutoHyphens w:val="0"/>
        <w:spacing w:before="100" w:after="100" w:line="240" w:lineRule="auto"/>
        <w:textAlignment w:val="auto"/>
        <w:rPr>
          <w:rFonts w:ascii="Times New Roman" w:eastAsia="Times New Roman" w:hAnsi="Times New Roman"/>
          <w:sz w:val="24"/>
          <w:szCs w:val="24"/>
          <w:lang w:eastAsia="en-GB"/>
        </w:rPr>
      </w:pPr>
    </w:p>
    <w:p w14:paraId="2FE9AEE5" w14:textId="77777777" w:rsidR="0090201E" w:rsidRDefault="0090201E">
      <w:pPr>
        <w:suppressAutoHyphens w:val="0"/>
        <w:spacing w:before="100" w:after="100" w:line="240" w:lineRule="auto"/>
        <w:textAlignment w:val="auto"/>
        <w:rPr>
          <w:rFonts w:ascii="Times New Roman" w:eastAsia="Times New Roman" w:hAnsi="Times New Roman"/>
          <w:sz w:val="24"/>
          <w:szCs w:val="24"/>
          <w:lang w:eastAsia="en-GB"/>
        </w:rPr>
      </w:pPr>
    </w:p>
    <w:p w14:paraId="32E7533F" w14:textId="77777777" w:rsidR="0090201E" w:rsidRDefault="0090201E">
      <w:pPr>
        <w:suppressAutoHyphens w:val="0"/>
        <w:spacing w:before="100" w:after="100" w:line="240" w:lineRule="auto"/>
        <w:textAlignment w:val="auto"/>
        <w:rPr>
          <w:rFonts w:ascii="Times New Roman" w:eastAsia="Times New Roman" w:hAnsi="Times New Roman"/>
          <w:sz w:val="24"/>
          <w:szCs w:val="24"/>
          <w:lang w:eastAsia="en-GB"/>
        </w:rPr>
      </w:pPr>
    </w:p>
    <w:p w14:paraId="6F71595F" w14:textId="77777777" w:rsidR="0090201E" w:rsidRDefault="0090201E">
      <w:pPr>
        <w:suppressAutoHyphens w:val="0"/>
        <w:spacing w:before="100" w:after="100" w:line="240" w:lineRule="auto"/>
        <w:textAlignment w:val="auto"/>
        <w:rPr>
          <w:rFonts w:ascii="Times New Roman" w:eastAsia="Times New Roman" w:hAnsi="Times New Roman"/>
          <w:sz w:val="24"/>
          <w:szCs w:val="24"/>
          <w:lang w:eastAsia="en-GB"/>
        </w:rPr>
      </w:pPr>
    </w:p>
    <w:p w14:paraId="6A7E8845" w14:textId="77777777" w:rsidR="0090201E" w:rsidRDefault="0090201E">
      <w:pPr>
        <w:pStyle w:val="NormalWeb"/>
        <w:spacing w:line="360" w:lineRule="auto"/>
      </w:pPr>
    </w:p>
    <w:p w14:paraId="133EBB86" w14:textId="77777777" w:rsidR="0090201E" w:rsidRDefault="0090201E">
      <w:pPr>
        <w:pStyle w:val="NormalWeb"/>
        <w:rPr>
          <w:sz w:val="32"/>
          <w:szCs w:val="32"/>
        </w:rPr>
      </w:pPr>
    </w:p>
    <w:p w14:paraId="68ACD234" w14:textId="77777777" w:rsidR="0090201E" w:rsidRDefault="0090201E">
      <w:pPr>
        <w:pStyle w:val="NormalWeb"/>
        <w:rPr>
          <w:sz w:val="32"/>
          <w:szCs w:val="32"/>
        </w:rPr>
      </w:pPr>
    </w:p>
    <w:p w14:paraId="4908FC84" w14:textId="77777777" w:rsidR="0090201E" w:rsidRDefault="0090201E">
      <w:pPr>
        <w:pStyle w:val="NormalWeb"/>
        <w:rPr>
          <w:sz w:val="32"/>
          <w:szCs w:val="32"/>
        </w:rPr>
      </w:pPr>
    </w:p>
    <w:p w14:paraId="78CC35CE" w14:textId="77777777" w:rsidR="0090201E" w:rsidRDefault="0090201E">
      <w:pPr>
        <w:pStyle w:val="NormalWeb"/>
      </w:pPr>
    </w:p>
    <w:p w14:paraId="4D392894" w14:textId="77777777" w:rsidR="0090201E" w:rsidRDefault="0090201E">
      <w:pPr>
        <w:pStyle w:val="NormalWeb"/>
      </w:pPr>
    </w:p>
    <w:p w14:paraId="24D6A2A3" w14:textId="77777777" w:rsidR="0090201E" w:rsidRDefault="0090201E">
      <w:pPr>
        <w:pStyle w:val="NormalWeb"/>
      </w:pPr>
    </w:p>
    <w:p w14:paraId="592A1E21" w14:textId="77777777" w:rsidR="0090201E" w:rsidRDefault="0090201E">
      <w:pPr>
        <w:pStyle w:val="NormalWeb"/>
      </w:pPr>
    </w:p>
    <w:p w14:paraId="3FD2CCCD" w14:textId="77777777" w:rsidR="0090201E" w:rsidRDefault="0090201E">
      <w:pPr>
        <w:pStyle w:val="NormalWeb"/>
      </w:pPr>
    </w:p>
    <w:p w14:paraId="1507B522" w14:textId="77777777" w:rsidR="0090201E" w:rsidRDefault="0090201E">
      <w:pPr>
        <w:pStyle w:val="NormalWeb"/>
      </w:pPr>
    </w:p>
    <w:p w14:paraId="63BC98F7" w14:textId="77777777" w:rsidR="0090201E" w:rsidRDefault="0090201E">
      <w:pPr>
        <w:pageBreakBefore/>
        <w:suppressAutoHyphens w:val="0"/>
      </w:pPr>
    </w:p>
    <w:p w14:paraId="55451DBC" w14:textId="77777777" w:rsidR="0090201E" w:rsidRDefault="0090201E">
      <w:pPr>
        <w:pStyle w:val="NormalWeb"/>
      </w:pPr>
    </w:p>
    <w:p w14:paraId="5792A59D" w14:textId="77777777" w:rsidR="0090201E" w:rsidRDefault="0090201E">
      <w:pPr>
        <w:pStyle w:val="NormalWeb"/>
      </w:pPr>
    </w:p>
    <w:p w14:paraId="2FE85C97" w14:textId="77777777" w:rsidR="0090201E" w:rsidRDefault="0090201E">
      <w:pPr>
        <w:pStyle w:val="NormalWeb"/>
        <w:rPr>
          <w:sz w:val="32"/>
          <w:szCs w:val="32"/>
        </w:rPr>
      </w:pPr>
    </w:p>
    <w:p w14:paraId="0034DD8F" w14:textId="77777777" w:rsidR="0090201E" w:rsidRDefault="0090201E">
      <w:pPr>
        <w:pStyle w:val="NormalWeb"/>
        <w:rPr>
          <w:sz w:val="32"/>
          <w:szCs w:val="32"/>
        </w:rPr>
      </w:pPr>
    </w:p>
    <w:p w14:paraId="07245C1E" w14:textId="77777777" w:rsidR="0090201E" w:rsidRDefault="0090201E">
      <w:pPr>
        <w:pStyle w:val="NormalWeb"/>
        <w:rPr>
          <w:sz w:val="32"/>
          <w:szCs w:val="32"/>
        </w:rPr>
      </w:pPr>
    </w:p>
    <w:p w14:paraId="18EEA1FA" w14:textId="77777777" w:rsidR="0090201E" w:rsidRDefault="0090201E">
      <w:pPr>
        <w:pStyle w:val="NormalWeb"/>
      </w:pPr>
    </w:p>
    <w:p w14:paraId="15C8A2B8" w14:textId="77777777" w:rsidR="0090201E" w:rsidRDefault="0090201E">
      <w:pPr>
        <w:spacing w:line="360" w:lineRule="auto"/>
        <w:rPr>
          <w:rFonts w:ascii="Times New Roman" w:hAnsi="Times New Roman"/>
          <w:b/>
          <w:bCs/>
          <w:color w:val="000000"/>
          <w:sz w:val="32"/>
          <w:szCs w:val="32"/>
          <w:u w:val="single"/>
        </w:rPr>
      </w:pPr>
    </w:p>
    <w:p w14:paraId="4D172C32" w14:textId="77777777" w:rsidR="0090201E" w:rsidRDefault="0090201E">
      <w:pPr>
        <w:spacing w:line="360" w:lineRule="auto"/>
        <w:rPr>
          <w:rFonts w:ascii="Times New Roman" w:hAnsi="Times New Roman"/>
          <w:b/>
          <w:bCs/>
          <w:color w:val="000000"/>
          <w:sz w:val="32"/>
          <w:szCs w:val="32"/>
          <w:u w:val="single"/>
        </w:rPr>
      </w:pPr>
    </w:p>
    <w:p w14:paraId="0D0756F7" w14:textId="77777777" w:rsidR="0090201E" w:rsidRDefault="0090201E">
      <w:pPr>
        <w:spacing w:line="360" w:lineRule="auto"/>
        <w:rPr>
          <w:rFonts w:ascii="Times New Roman" w:hAnsi="Times New Roman"/>
          <w:color w:val="000000"/>
          <w:sz w:val="32"/>
          <w:szCs w:val="32"/>
        </w:rPr>
      </w:pPr>
    </w:p>
    <w:p w14:paraId="6DA006F6" w14:textId="77777777" w:rsidR="0090201E" w:rsidRDefault="0090201E">
      <w:pPr>
        <w:spacing w:line="360" w:lineRule="auto"/>
        <w:rPr>
          <w:rFonts w:ascii="Times New Roman" w:hAnsi="Times New Roman"/>
          <w:color w:val="000000"/>
          <w:sz w:val="32"/>
          <w:szCs w:val="32"/>
        </w:rPr>
      </w:pPr>
    </w:p>
    <w:p w14:paraId="2F380547" w14:textId="77777777" w:rsidR="0090201E" w:rsidRDefault="0090201E">
      <w:pPr>
        <w:spacing w:line="360" w:lineRule="auto"/>
        <w:rPr>
          <w:rFonts w:ascii="Times New Roman" w:hAnsi="Times New Roman"/>
          <w:color w:val="000000"/>
          <w:sz w:val="32"/>
          <w:szCs w:val="32"/>
        </w:rPr>
      </w:pPr>
    </w:p>
    <w:p w14:paraId="132F3CA7" w14:textId="77777777" w:rsidR="0090201E" w:rsidRDefault="0090201E">
      <w:pPr>
        <w:spacing w:line="360" w:lineRule="auto"/>
        <w:rPr>
          <w:rFonts w:ascii="Times New Roman" w:hAnsi="Times New Roman"/>
          <w:color w:val="000000"/>
          <w:sz w:val="32"/>
          <w:szCs w:val="32"/>
        </w:rPr>
      </w:pPr>
    </w:p>
    <w:p w14:paraId="16368D91" w14:textId="77777777" w:rsidR="0090201E" w:rsidRDefault="0090201E">
      <w:pPr>
        <w:jc w:val="center"/>
        <w:rPr>
          <w:rFonts w:ascii="Times New Roman" w:hAnsi="Times New Roman"/>
          <w:color w:val="002060"/>
          <w:sz w:val="32"/>
          <w:szCs w:val="32"/>
        </w:rPr>
      </w:pPr>
    </w:p>
    <w:sectPr w:rsidR="0090201E">
      <w:headerReference w:type="default" r:id="rId16"/>
      <w:footerReference w:type="default" r:id="rId17"/>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ACCAE9" w14:textId="77777777" w:rsidR="008F75C3" w:rsidRDefault="00EB32DE">
      <w:pPr>
        <w:spacing w:after="0" w:line="240" w:lineRule="auto"/>
      </w:pPr>
      <w:r>
        <w:separator/>
      </w:r>
    </w:p>
  </w:endnote>
  <w:endnote w:type="continuationSeparator" w:id="0">
    <w:p w14:paraId="7B3B5F3F" w14:textId="77777777" w:rsidR="008F75C3" w:rsidRDefault="00EB32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EBDDD4" w14:textId="77777777" w:rsidR="007F17E0" w:rsidRDefault="00EB32DE">
    <w:pPr>
      <w:pStyle w:val="Footer"/>
      <w:jc w:val="center"/>
    </w:pPr>
    <w:r>
      <w:fldChar w:fldCharType="begin"/>
    </w:r>
    <w:r>
      <w:instrText xml:space="preserve"> PAGE </w:instrText>
    </w:r>
    <w:r>
      <w:fldChar w:fldCharType="separate"/>
    </w:r>
    <w:r>
      <w:t>2</w:t>
    </w:r>
    <w:r>
      <w:fldChar w:fldCharType="end"/>
    </w:r>
  </w:p>
  <w:p w14:paraId="49A9F62A" w14:textId="77777777" w:rsidR="007F17E0" w:rsidRDefault="006675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832419" w14:textId="77777777" w:rsidR="008F75C3" w:rsidRDefault="00EB32DE">
      <w:pPr>
        <w:spacing w:after="0" w:line="240" w:lineRule="auto"/>
      </w:pPr>
      <w:r>
        <w:rPr>
          <w:color w:val="000000"/>
        </w:rPr>
        <w:separator/>
      </w:r>
    </w:p>
  </w:footnote>
  <w:footnote w:type="continuationSeparator" w:id="0">
    <w:p w14:paraId="1223FF83" w14:textId="77777777" w:rsidR="008F75C3" w:rsidRDefault="00EB32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3DDC2" w14:textId="77777777" w:rsidR="007F17E0" w:rsidRDefault="00EB32DE">
    <w:pPr>
      <w:pStyle w:val="Header"/>
    </w:pPr>
    <w:r>
      <w:t>Student Number- 2015922</w:t>
    </w:r>
  </w:p>
  <w:p w14:paraId="0C7F250F" w14:textId="77777777" w:rsidR="007F17E0" w:rsidRDefault="00EB32DE">
    <w:pPr>
      <w:pStyle w:val="Header"/>
    </w:pPr>
    <w:r>
      <w:t>EAEE4003</w:t>
    </w:r>
  </w:p>
  <w:p w14:paraId="04BD722A" w14:textId="77777777" w:rsidR="007F17E0" w:rsidRDefault="00EB32DE">
    <w:pPr>
      <w:pStyle w:val="Header"/>
    </w:pPr>
    <w:r>
      <w:t>Human Development</w:t>
    </w:r>
  </w:p>
  <w:p w14:paraId="72D17432" w14:textId="77777777" w:rsidR="007F17E0" w:rsidRDefault="006675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BA7D65"/>
    <w:multiLevelType w:val="multilevel"/>
    <w:tmpl w:val="B6F2F3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01E"/>
    <w:rsid w:val="005B2D85"/>
    <w:rsid w:val="00667594"/>
    <w:rsid w:val="008F75C3"/>
    <w:rsid w:val="0090201E"/>
    <w:rsid w:val="00EB32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33464F9"/>
  <w15:docId w15:val="{4830944D-D351-457D-8479-825177085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ListParagraph">
    <w:name w:val="List Paragraph"/>
    <w:basedOn w:val="Normal"/>
    <w:pPr>
      <w:ind w:left="720"/>
    </w:pPr>
  </w:style>
  <w:style w:type="paragraph" w:styleId="NormalWeb">
    <w:name w:val="Normal (Web)"/>
    <w:basedOn w:val="Normal"/>
    <w:pPr>
      <w:suppressAutoHyphens w:val="0"/>
      <w:spacing w:before="100" w:after="100" w:line="240" w:lineRule="auto"/>
      <w:textAlignment w:val="auto"/>
    </w:pPr>
    <w:rPr>
      <w:rFonts w:ascii="Times New Roman" w:eastAsia="Times New Roman" w:hAnsi="Times New Roman"/>
      <w:sz w:val="24"/>
      <w:szCs w:val="24"/>
      <w:lang w:eastAsia="en-GB"/>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earlyyearsmatters.co.uk/eyfs/positive-relationships/transitions" TargetMode="External"/><Relationship Id="rId13" Type="http://schemas.openxmlformats.org/officeDocument/2006/relationships/hyperlink" Target="https://unicef.org.uk/what-we-do/un-convention-childs-right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verywellmind.com/what-is-attachment-theory-2795337" TargetMode="External"/><Relationship Id="rId12" Type="http://schemas.openxmlformats.org/officeDocument/2006/relationships/hyperlink" Target="https://www.thecompassschool.com/blog/what-is-child-centard-kindergarde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ference.com/family/holistic-development-children-9e223f9f068a73f9" TargetMode="External"/><Relationship Id="rId5" Type="http://schemas.openxmlformats.org/officeDocument/2006/relationships/footnotes" Target="footnotes.xml"/><Relationship Id="rId15" Type="http://schemas.openxmlformats.org/officeDocument/2006/relationships/hyperlink" Target="https://socailcare.wales/nos-areas/children-care-learning-and-development" TargetMode="External"/><Relationship Id="rId10" Type="http://schemas.openxmlformats.org/officeDocument/2006/relationships/hyperlink" Target="https://www.teachearlyyears.com/a-unique-child/view/supporting-transitions-in-the-early-year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open.edu/openlearncentre/mod/oucontent/view.php?id=79794&amp;section=3" TargetMode="External"/><Relationship Id="rId14" Type="http://schemas.openxmlformats.org/officeDocument/2006/relationships/hyperlink" Target="https://hub.careinseptorate.com/training-provides/early-years-scotland-professional-learning-academy/managing-effective-trans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2741</Words>
  <Characters>15628</Characters>
  <Application>Microsoft Office Word</Application>
  <DocSecurity>0</DocSecurity>
  <Lines>130</Lines>
  <Paragraphs>36</Paragraphs>
  <ScaleCrop>false</ScaleCrop>
  <Company/>
  <LinksUpToDate>false</LinksUpToDate>
  <CharactersWithSpaces>18333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Macdonald (2015922)</dc:creator>
  <dc:description/>
  <cp:lastModifiedBy>Kirsty Macdonald (2015922)</cp:lastModifiedBy>
  <cp:revision>2</cp:revision>
  <dcterms:created xsi:type="dcterms:W3CDTF">2021-04-17T21:44:00Z</dcterms:created>
  <dcterms:modified xsi:type="dcterms:W3CDTF">2021-04-17T21:44:00Z</dcterms:modified>
</cp:coreProperties>
</file>