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037264" w14:textId="597E5EC1" w:rsidR="00C52860" w:rsidRDefault="00F91321" w:rsidP="00C52860">
      <w:pPr>
        <w:jc w:val="center"/>
        <w:rPr>
          <w:bCs/>
          <w:sz w:val="40"/>
          <w:szCs w:val="40"/>
          <w:lang w:val="en-US"/>
        </w:rPr>
      </w:pPr>
      <w:r w:rsidRPr="00F91321">
        <w:rPr>
          <w:bCs/>
          <w:noProof/>
          <w:sz w:val="40"/>
          <w:szCs w:val="40"/>
          <w:lang w:val="en-IN" w:eastAsia="en-IN"/>
        </w:rPr>
        <w:drawing>
          <wp:inline distT="0" distB="0" distL="0" distR="0" wp14:anchorId="6005ED00" wp14:editId="5E61FF80">
            <wp:extent cx="2019582" cy="952633"/>
            <wp:effectExtent l="0" t="0" r="0" b="0"/>
            <wp:docPr id="8326929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692956" name=""/>
                    <pic:cNvPicPr/>
                  </pic:nvPicPr>
                  <pic:blipFill>
                    <a:blip r:embed="rId8"/>
                    <a:stretch>
                      <a:fillRect/>
                    </a:stretch>
                  </pic:blipFill>
                  <pic:spPr>
                    <a:xfrm>
                      <a:off x="0" y="0"/>
                      <a:ext cx="2019582" cy="952633"/>
                    </a:xfrm>
                    <a:prstGeom prst="rect">
                      <a:avLst/>
                    </a:prstGeom>
                  </pic:spPr>
                </pic:pic>
              </a:graphicData>
            </a:graphic>
          </wp:inline>
        </w:drawing>
      </w:r>
    </w:p>
    <w:p w14:paraId="03586CB9" w14:textId="77777777" w:rsidR="00C52860" w:rsidRDefault="00C52860" w:rsidP="00C52860">
      <w:pPr>
        <w:jc w:val="center"/>
        <w:rPr>
          <w:bCs/>
          <w:sz w:val="40"/>
          <w:szCs w:val="40"/>
          <w:lang w:val="en-US"/>
        </w:rPr>
      </w:pPr>
    </w:p>
    <w:p w14:paraId="6EE9DA34" w14:textId="77777777" w:rsidR="00F91321" w:rsidRDefault="00F91321" w:rsidP="00C52860">
      <w:pPr>
        <w:jc w:val="center"/>
        <w:rPr>
          <w:b/>
          <w:sz w:val="40"/>
          <w:szCs w:val="40"/>
          <w:lang w:val="en-US"/>
        </w:rPr>
      </w:pPr>
    </w:p>
    <w:p w14:paraId="762C460D" w14:textId="7093BDEB" w:rsidR="00C52860" w:rsidRPr="00AE7E42" w:rsidRDefault="00AE7E42" w:rsidP="00C52860">
      <w:pPr>
        <w:jc w:val="center"/>
        <w:rPr>
          <w:b/>
          <w:sz w:val="40"/>
          <w:szCs w:val="40"/>
          <w:lang w:val="en-US"/>
        </w:rPr>
      </w:pPr>
      <w:r w:rsidRPr="00AE7E42">
        <w:rPr>
          <w:b/>
          <w:sz w:val="40"/>
          <w:szCs w:val="40"/>
          <w:lang w:val="en-US"/>
        </w:rPr>
        <w:t>Module code: BMSW4012</w:t>
      </w:r>
    </w:p>
    <w:p w14:paraId="21E4FAD3" w14:textId="2EC78877" w:rsidR="00C52860" w:rsidRDefault="00C52860" w:rsidP="00AE7E42">
      <w:pPr>
        <w:jc w:val="center"/>
        <w:rPr>
          <w:b/>
          <w:sz w:val="36"/>
          <w:szCs w:val="36"/>
        </w:rPr>
      </w:pPr>
      <w:r>
        <w:rPr>
          <w:b/>
          <w:sz w:val="36"/>
          <w:szCs w:val="36"/>
        </w:rPr>
        <w:t xml:space="preserve">Module title: </w:t>
      </w:r>
      <w:r w:rsidRPr="00C52860">
        <w:rPr>
          <w:b/>
          <w:sz w:val="36"/>
          <w:szCs w:val="36"/>
        </w:rPr>
        <w:t>Professional Career Development</w:t>
      </w:r>
    </w:p>
    <w:p w14:paraId="1045ED76" w14:textId="7AE810CF" w:rsidR="00C52860" w:rsidRDefault="00C52860" w:rsidP="00AE7E42">
      <w:pPr>
        <w:jc w:val="center"/>
        <w:rPr>
          <w:b/>
          <w:sz w:val="36"/>
          <w:szCs w:val="36"/>
        </w:rPr>
      </w:pPr>
      <w:r w:rsidRPr="00C52860">
        <w:rPr>
          <w:b/>
          <w:sz w:val="36"/>
          <w:szCs w:val="36"/>
        </w:rPr>
        <w:t>Assignment Title: Professional Career</w:t>
      </w:r>
      <w:r>
        <w:rPr>
          <w:b/>
          <w:sz w:val="36"/>
          <w:szCs w:val="36"/>
        </w:rPr>
        <w:t xml:space="preserve"> </w:t>
      </w:r>
      <w:r w:rsidRPr="00C52860">
        <w:rPr>
          <w:b/>
          <w:sz w:val="36"/>
          <w:szCs w:val="36"/>
        </w:rPr>
        <w:t>Development</w:t>
      </w:r>
      <w:r>
        <w:rPr>
          <w:b/>
          <w:sz w:val="36"/>
          <w:szCs w:val="36"/>
        </w:rPr>
        <w:t xml:space="preserve"> </w:t>
      </w:r>
      <w:r w:rsidRPr="00C52860">
        <w:rPr>
          <w:b/>
          <w:sz w:val="36"/>
          <w:szCs w:val="36"/>
        </w:rPr>
        <w:t>reflective</w:t>
      </w:r>
      <w:r>
        <w:rPr>
          <w:b/>
          <w:sz w:val="36"/>
          <w:szCs w:val="36"/>
        </w:rPr>
        <w:t xml:space="preserve"> </w:t>
      </w:r>
      <w:r w:rsidRPr="00C52860">
        <w:rPr>
          <w:b/>
          <w:sz w:val="36"/>
          <w:szCs w:val="36"/>
        </w:rPr>
        <w:t>essay – Part 1</w:t>
      </w:r>
    </w:p>
    <w:p w14:paraId="47F29DAB" w14:textId="2C3645ED" w:rsidR="00C52860" w:rsidRPr="005471BB" w:rsidRDefault="00C52860" w:rsidP="00AE7E42">
      <w:pPr>
        <w:jc w:val="center"/>
        <w:rPr>
          <w:b/>
          <w:sz w:val="36"/>
          <w:szCs w:val="36"/>
        </w:rPr>
      </w:pPr>
      <w:r w:rsidRPr="005471BB">
        <w:rPr>
          <w:b/>
          <w:sz w:val="36"/>
          <w:szCs w:val="36"/>
        </w:rPr>
        <w:t>Student Name:</w:t>
      </w:r>
      <w:r>
        <w:rPr>
          <w:b/>
          <w:sz w:val="36"/>
          <w:szCs w:val="36"/>
        </w:rPr>
        <w:t xml:space="preserve"> </w:t>
      </w:r>
      <w:r w:rsidR="00AE7E42" w:rsidRPr="00AE7E42">
        <w:rPr>
          <w:b/>
          <w:sz w:val="36"/>
          <w:szCs w:val="36"/>
        </w:rPr>
        <w:t xml:space="preserve">Diana </w:t>
      </w:r>
      <w:proofErr w:type="spellStart"/>
      <w:r w:rsidR="00AE7E42" w:rsidRPr="00AE7E42">
        <w:rPr>
          <w:b/>
          <w:sz w:val="36"/>
          <w:szCs w:val="36"/>
        </w:rPr>
        <w:t>Racovita</w:t>
      </w:r>
      <w:proofErr w:type="spellEnd"/>
    </w:p>
    <w:p w14:paraId="568EDC2F" w14:textId="77777777" w:rsidR="00E42310" w:rsidRDefault="00C52860" w:rsidP="00AE7E42">
      <w:pPr>
        <w:jc w:val="center"/>
        <w:rPr>
          <w:b/>
          <w:sz w:val="36"/>
          <w:szCs w:val="36"/>
        </w:rPr>
      </w:pPr>
      <w:r w:rsidRPr="005471BB">
        <w:rPr>
          <w:b/>
          <w:sz w:val="36"/>
          <w:szCs w:val="36"/>
        </w:rPr>
        <w:t>Student ID:</w:t>
      </w:r>
      <w:r>
        <w:rPr>
          <w:b/>
          <w:sz w:val="36"/>
          <w:szCs w:val="36"/>
        </w:rPr>
        <w:t xml:space="preserve"> </w:t>
      </w:r>
    </w:p>
    <w:p w14:paraId="1CA0213D" w14:textId="77777777" w:rsidR="00E42310" w:rsidRDefault="00E42310">
      <w:pPr>
        <w:rPr>
          <w:b/>
          <w:sz w:val="36"/>
          <w:szCs w:val="36"/>
        </w:rPr>
      </w:pPr>
      <w:r>
        <w:rPr>
          <w:b/>
          <w:sz w:val="36"/>
          <w:szCs w:val="36"/>
        </w:rPr>
        <w:br w:type="page"/>
      </w:r>
    </w:p>
    <w:p w14:paraId="2EF341D3" w14:textId="77777777" w:rsidR="00E42310" w:rsidRPr="007A4934" w:rsidRDefault="00E42310" w:rsidP="00E42310">
      <w:pPr>
        <w:pStyle w:val="Heading1"/>
        <w:rPr>
          <w:lang w:val="en-IN" w:eastAsia="en-IN"/>
        </w:rPr>
      </w:pPr>
      <w:r w:rsidRPr="007A4934">
        <w:rPr>
          <w:lang w:val="en-IN" w:eastAsia="en-IN"/>
        </w:rPr>
        <w:lastRenderedPageBreak/>
        <w:t>Introduction</w:t>
      </w:r>
    </w:p>
    <w:p w14:paraId="45310F7F" w14:textId="77777777" w:rsidR="00E42310" w:rsidRPr="007A4934" w:rsidRDefault="00E42310" w:rsidP="00E42310">
      <w:pPr>
        <w:rPr>
          <w:lang w:val="en-IN" w:eastAsia="en-IN"/>
        </w:rPr>
      </w:pPr>
      <w:r w:rsidRPr="007A4934">
        <w:rPr>
          <w:color w:val="000000"/>
          <w:lang w:val="en-IN" w:eastAsia="en-IN"/>
        </w:rPr>
        <w:t>The subsequent essay will apply Rolfe's reflective cycle to critically examine the professional career development skills which were gained during the lectures. An exploration will be performed on personal learning experiences focusing towards key employability skills like communication, teamwork, time management and problem solving. Relevant models will then be further identified and discussed so that they get applied to optimal outcomes in future professional growth. This structured reflection will highlight a comprehensive knowledge of the understanding gained and its practical application.</w:t>
      </w:r>
    </w:p>
    <w:p w14:paraId="5A2FF5A9" w14:textId="362AA246" w:rsidR="00C52860" w:rsidRDefault="00C52860" w:rsidP="00E42310">
      <w:pPr>
        <w:rPr>
          <w:sz w:val="28"/>
          <w:szCs w:val="28"/>
        </w:rPr>
      </w:pPr>
      <w:r>
        <w:br w:type="page"/>
      </w:r>
    </w:p>
    <w:p w14:paraId="21C5AC8F" w14:textId="33EB051D" w:rsidR="0016553A" w:rsidRDefault="0016553A" w:rsidP="0016553A">
      <w:pPr>
        <w:pStyle w:val="Heading1"/>
      </w:pPr>
      <w:r>
        <w:lastRenderedPageBreak/>
        <w:t xml:space="preserve">Discussion </w:t>
      </w:r>
    </w:p>
    <w:p w14:paraId="13CFB08E" w14:textId="3C7A63F8" w:rsidR="00E42310" w:rsidRPr="007A4934" w:rsidRDefault="00E42310" w:rsidP="00320873">
      <w:pPr>
        <w:rPr>
          <w:lang w:val="en-IN" w:eastAsia="en-IN"/>
        </w:rPr>
      </w:pPr>
      <w:r w:rsidRPr="007A4934">
        <w:rPr>
          <w:color w:val="000000"/>
          <w:lang w:val="en-IN" w:eastAsia="en-IN"/>
        </w:rPr>
        <w:t>SMART goals are a good way to make a clear structured and effective framework that will help to achieve personal and career objectives</w:t>
      </w:r>
      <w:r>
        <w:rPr>
          <w:color w:val="000000"/>
          <w:lang w:val="en-IN" w:eastAsia="en-IN"/>
        </w:rPr>
        <w:t xml:space="preserve"> </w:t>
      </w:r>
      <w:r>
        <w:rPr>
          <w:color w:val="000000"/>
        </w:rPr>
        <w:t>(</w:t>
      </w:r>
      <w:proofErr w:type="spellStart"/>
      <w:r>
        <w:rPr>
          <w:color w:val="000000"/>
        </w:rPr>
        <w:t>Straby</w:t>
      </w:r>
      <w:proofErr w:type="spellEnd"/>
      <w:r>
        <w:rPr>
          <w:color w:val="000000"/>
        </w:rPr>
        <w:t>, 2024)</w:t>
      </w:r>
      <w:r w:rsidRPr="007A4934">
        <w:rPr>
          <w:color w:val="000000"/>
          <w:lang w:val="en-IN" w:eastAsia="en-IN"/>
        </w:rPr>
        <w:t>. I will start by making my goals specific after defining what I want to achieve. During this case, a specific goal like improvement on my public speaking skills will be done After delivering a 10-minute presentation to a professional audience, such a process will prevent me from becoming overwhelmed or distracted as they might hamper my efforts. Then I will make sure that goals remain measurable to track my progress. Clear indicators of success would be established like receiving constructive feedback from peers or mentors after giving each presentation. It may show that I did not go through my notes too many times during public speaking engagements</w:t>
      </w:r>
      <w:r>
        <w:rPr>
          <w:color w:val="000000"/>
          <w:lang w:val="en-IN" w:eastAsia="en-IN"/>
        </w:rPr>
        <w:t xml:space="preserve"> </w:t>
      </w:r>
      <w:r>
        <w:rPr>
          <w:color w:val="000000"/>
        </w:rPr>
        <w:t>(Stephen, 2024)</w:t>
      </w:r>
      <w:r w:rsidRPr="007A4934">
        <w:rPr>
          <w:color w:val="000000"/>
          <w:lang w:val="en-IN" w:eastAsia="en-IN"/>
        </w:rPr>
        <w:t>. Achievable outcomes will then be critical to maintain motivation and prevent discouragement. I will assess my current abilities, available resources and steps needed to reach my objective where these goals remain challenging but attainable. They will be relevant to my long-term career aspirations</w:t>
      </w:r>
      <w:r>
        <w:rPr>
          <w:color w:val="000000"/>
          <w:lang w:val="en-IN" w:eastAsia="en-IN"/>
        </w:rPr>
        <w:t xml:space="preserve"> </w:t>
      </w:r>
      <w:r>
        <w:rPr>
          <w:color w:val="000000"/>
        </w:rPr>
        <w:t>(</w:t>
      </w:r>
      <w:proofErr w:type="spellStart"/>
      <w:r>
        <w:rPr>
          <w:color w:val="000000"/>
        </w:rPr>
        <w:t>Lartey</w:t>
      </w:r>
      <w:proofErr w:type="spellEnd"/>
      <w:r>
        <w:rPr>
          <w:color w:val="000000"/>
        </w:rPr>
        <w:t>, 2021)</w:t>
      </w:r>
      <w:r w:rsidRPr="007A4934">
        <w:rPr>
          <w:color w:val="000000"/>
          <w:lang w:val="en-IN" w:eastAsia="en-IN"/>
        </w:rPr>
        <w:t>. Since I aim to pursue a leadership role in the future, strong communication skills will be essential for maintaining teams and engaging stakeholders. Setting time-bound targets would create a sense of urgency. Here I have to set a deadline to complete a public speaking course within three months and deliver a professional presentation in six months. Systematically applying the SMART model will create a roadmap for my professional development surrounded by self-discipline on enhancing my career progression</w:t>
      </w:r>
      <w:r>
        <w:rPr>
          <w:color w:val="000000"/>
          <w:lang w:val="en-IN" w:eastAsia="en-IN"/>
        </w:rPr>
        <w:t xml:space="preserve"> </w:t>
      </w:r>
      <w:r>
        <w:rPr>
          <w:color w:val="000000"/>
        </w:rPr>
        <w:t>(Do et al., 2024)</w:t>
      </w:r>
      <w:r w:rsidRPr="007A4934">
        <w:rPr>
          <w:color w:val="000000"/>
          <w:lang w:val="en-IN" w:eastAsia="en-IN"/>
        </w:rPr>
        <w:t>.</w:t>
      </w:r>
    </w:p>
    <w:p w14:paraId="35E9A821" w14:textId="689D2C9C" w:rsidR="00E42310" w:rsidRPr="007A4934" w:rsidRDefault="00E42310" w:rsidP="00320873">
      <w:pPr>
        <w:rPr>
          <w:lang w:val="en-IN" w:eastAsia="en-IN"/>
        </w:rPr>
      </w:pPr>
      <w:r w:rsidRPr="007A4934">
        <w:rPr>
          <w:color w:val="000000"/>
          <w:lang w:val="en-IN" w:eastAsia="en-IN"/>
        </w:rPr>
        <w:t>Enhancement of my professional development can be further done with the incorporation of Kolb's experiential learning cycle focused upon learning through experience and reflection</w:t>
      </w:r>
      <w:r>
        <w:rPr>
          <w:color w:val="000000"/>
          <w:lang w:val="en-IN" w:eastAsia="en-IN"/>
        </w:rPr>
        <w:t xml:space="preserve"> </w:t>
      </w:r>
      <w:r>
        <w:rPr>
          <w:color w:val="000000"/>
        </w:rPr>
        <w:t>(Grant, 2025)</w:t>
      </w:r>
      <w:r w:rsidRPr="007A4934">
        <w:rPr>
          <w:color w:val="000000"/>
          <w:lang w:val="en-IN" w:eastAsia="en-IN"/>
        </w:rPr>
        <w:t xml:space="preserve">. Concrete experience makes the first step where I will actively engage in new professional situations which would challenge my current skill sets. I can start volunteering to lead a team </w:t>
      </w:r>
      <w:r w:rsidRPr="007A4934">
        <w:rPr>
          <w:color w:val="000000"/>
          <w:lang w:val="en-IN" w:eastAsia="en-IN"/>
        </w:rPr>
        <w:lastRenderedPageBreak/>
        <w:t>project or participate in networking events that practices interpersonal communication and leadership skills. These real-life experiences will expose me towards practical challenges where I test my abilities. Reflective observation will later help me analyse my experiences in a critical way. Regularly reflecting on what went well and what problems I faced will show how I can respond to different situations</w:t>
      </w:r>
      <w:r>
        <w:rPr>
          <w:color w:val="000000"/>
          <w:lang w:val="en-IN" w:eastAsia="en-IN"/>
        </w:rPr>
        <w:t xml:space="preserve"> </w:t>
      </w:r>
      <w:r>
        <w:rPr>
          <w:color w:val="000000"/>
        </w:rPr>
        <w:t>(</w:t>
      </w:r>
      <w:proofErr w:type="spellStart"/>
      <w:r>
        <w:rPr>
          <w:color w:val="000000"/>
        </w:rPr>
        <w:t>Iskandarova</w:t>
      </w:r>
      <w:proofErr w:type="spellEnd"/>
      <w:r>
        <w:rPr>
          <w:color w:val="000000"/>
        </w:rPr>
        <w:t xml:space="preserve"> and Ford, 2024)</w:t>
      </w:r>
      <w:r w:rsidRPr="007A4934">
        <w:rPr>
          <w:color w:val="000000"/>
          <w:lang w:val="en-IN" w:eastAsia="en-IN"/>
        </w:rPr>
        <w:t>. For example, I might go through whether my communication was clear during a team meeting so that I can refine my opinions after taking feedback from team members. Linking my reflections to theoretical concepts will be done in the abstract conceptualisation stage surrounded by professional models. Leadership theories are important where I study communication strategies, time management frameworks and many more. This will deepen my understanding of the skills involved and identify best practices to enhance overall performance. A key factor will be connecting practice with theory such that a comprehensive learning process is achieved. Active experimentation stage makes the final phase where I will apply the insights gained from reflection and theory to practical situations</w:t>
      </w:r>
      <w:r>
        <w:rPr>
          <w:color w:val="000000"/>
          <w:lang w:val="en-IN" w:eastAsia="en-IN"/>
        </w:rPr>
        <w:t xml:space="preserve"> </w:t>
      </w:r>
      <w:r>
        <w:rPr>
          <w:color w:val="000000"/>
        </w:rPr>
        <w:t>(Fyfe et al., 2024)</w:t>
      </w:r>
      <w:r w:rsidRPr="007A4934">
        <w:rPr>
          <w:color w:val="000000"/>
          <w:lang w:val="en-IN" w:eastAsia="en-IN"/>
        </w:rPr>
        <w:t>. Adjustments would be done in my approaches while experimenting with new strategies during which I can keep refining my skills through ongoing practice.</w:t>
      </w:r>
    </w:p>
    <w:p w14:paraId="37686EBA" w14:textId="444FE21F" w:rsidR="00E42310" w:rsidRPr="00E42310" w:rsidRDefault="00E42310">
      <w:pPr>
        <w:rPr>
          <w:lang w:val="en-IN" w:eastAsia="en-IN"/>
        </w:rPr>
      </w:pPr>
      <w:r w:rsidRPr="007A4934">
        <w:rPr>
          <w:color w:val="000000"/>
          <w:lang w:val="en-IN" w:eastAsia="en-IN"/>
        </w:rPr>
        <w:t>Another critical model which I can use for my professional development is the GROW coaching model that stands for goal, reality, options and will. Such a model provides a structured framework built for problem solving, decision making and personal growth through self-guided reflection</w:t>
      </w:r>
      <w:r>
        <w:rPr>
          <w:color w:val="000000"/>
          <w:lang w:val="en-IN" w:eastAsia="en-IN"/>
        </w:rPr>
        <w:t xml:space="preserve"> </w:t>
      </w:r>
      <w:sdt>
        <w:sdtPr>
          <w:rPr>
            <w:color w:val="000000"/>
            <w:lang w:val="en-IN" w:eastAsia="en-IN"/>
          </w:rPr>
          <w:id w:val="1096212756"/>
          <w:citation/>
        </w:sdtPr>
        <w:sdtContent>
          <w:r>
            <w:rPr>
              <w:color w:val="000000"/>
              <w:lang w:val="en-IN" w:eastAsia="en-IN"/>
            </w:rPr>
            <w:fldChar w:fldCharType="begin"/>
          </w:r>
          <w:r>
            <w:rPr>
              <w:color w:val="000000"/>
              <w:lang w:val="en-US" w:eastAsia="en-IN"/>
            </w:rPr>
            <w:instrText xml:space="preserve">CITATION Mic23 \l 1033 </w:instrText>
          </w:r>
          <w:r>
            <w:rPr>
              <w:color w:val="000000"/>
              <w:lang w:val="en-IN" w:eastAsia="en-IN"/>
            </w:rPr>
            <w:fldChar w:fldCharType="separate"/>
          </w:r>
          <w:r w:rsidRPr="00F90C9F">
            <w:rPr>
              <w:noProof/>
              <w:color w:val="000000"/>
              <w:lang w:val="en-US" w:eastAsia="en-IN"/>
            </w:rPr>
            <w:t>(Threadgould, 2023)</w:t>
          </w:r>
          <w:r>
            <w:rPr>
              <w:color w:val="000000"/>
              <w:lang w:val="en-IN" w:eastAsia="en-IN"/>
            </w:rPr>
            <w:fldChar w:fldCharType="end"/>
          </w:r>
        </w:sdtContent>
      </w:sdt>
      <w:r w:rsidRPr="007A4934">
        <w:rPr>
          <w:color w:val="000000"/>
          <w:lang w:val="en-IN" w:eastAsia="en-IN"/>
        </w:rPr>
        <w:t xml:space="preserve">. Goal stage will pave the way for clearly defining what I want to achieve and ensure alignment with my broader career aspirations. If my goal is to enhance my leadership capabilities, then I will outline particular leadership competencies which I want to develop like conflict resolution and team motivation. Then I will start to objectively go through my current situation during the reality stage. Understanding my own strengths, weaknesses and obstacles is </w:t>
      </w:r>
      <w:r w:rsidRPr="007A4934">
        <w:rPr>
          <w:color w:val="000000"/>
          <w:lang w:val="en-IN" w:eastAsia="en-IN"/>
        </w:rPr>
        <w:lastRenderedPageBreak/>
        <w:t>critical which I can or may face in achieving my goals. I understand that currently I am good at motivating individuals which is why improving team conflicts is important. Option stage is good for me to explore other strategies and resources available to connect the gap found between my current reality and desired goals</w:t>
      </w:r>
      <w:r>
        <w:rPr>
          <w:color w:val="000000"/>
          <w:lang w:val="en-IN" w:eastAsia="en-IN"/>
        </w:rPr>
        <w:t xml:space="preserve"> </w:t>
      </w:r>
      <w:sdt>
        <w:sdtPr>
          <w:rPr>
            <w:color w:val="000000"/>
            <w:lang w:val="en-IN" w:eastAsia="en-IN"/>
          </w:rPr>
          <w:id w:val="173543912"/>
          <w:citation/>
        </w:sdtPr>
        <w:sdtContent>
          <w:r>
            <w:rPr>
              <w:color w:val="000000"/>
              <w:lang w:val="en-IN" w:eastAsia="en-IN"/>
            </w:rPr>
            <w:fldChar w:fldCharType="begin"/>
          </w:r>
          <w:r>
            <w:rPr>
              <w:color w:val="000000"/>
              <w:lang w:val="en-US" w:eastAsia="en-IN"/>
            </w:rPr>
            <w:instrText xml:space="preserve"> CITATION coa24 \l 1033 </w:instrText>
          </w:r>
          <w:r>
            <w:rPr>
              <w:color w:val="000000"/>
              <w:lang w:val="en-IN" w:eastAsia="en-IN"/>
            </w:rPr>
            <w:fldChar w:fldCharType="separate"/>
          </w:r>
          <w:r w:rsidRPr="00F90C9F">
            <w:rPr>
              <w:noProof/>
              <w:color w:val="000000"/>
              <w:lang w:val="en-US" w:eastAsia="en-IN"/>
            </w:rPr>
            <w:t>(coachingcultureatwork, 2024)</w:t>
          </w:r>
          <w:r>
            <w:rPr>
              <w:color w:val="000000"/>
              <w:lang w:val="en-IN" w:eastAsia="en-IN"/>
            </w:rPr>
            <w:fldChar w:fldCharType="end"/>
          </w:r>
        </w:sdtContent>
      </w:sdt>
      <w:r w:rsidRPr="007A4934">
        <w:rPr>
          <w:color w:val="000000"/>
          <w:lang w:val="en-IN" w:eastAsia="en-IN"/>
        </w:rPr>
        <w:t>. This can include attending leadership workshops, seeking mentorships, practicing conflict resolution techniques and participating in role-play exercises. The last and final stage will describe my commitment to specific actions and timelines. I will make an actionable plan with short-term and long-term steps like scheduling monthly feedback sessions with my manager in assessing my leadership growth and track progress. A structured way which is found here will empower me to take ownership of my own development where I stay accountable while adapting my strategies whenever I encounter new problems</w:t>
      </w:r>
      <w:r>
        <w:rPr>
          <w:color w:val="000000"/>
          <w:lang w:val="en-IN" w:eastAsia="en-IN"/>
        </w:rPr>
        <w:t xml:space="preserve"> </w:t>
      </w:r>
      <w:sdt>
        <w:sdtPr>
          <w:rPr>
            <w:color w:val="000000"/>
            <w:lang w:val="en-IN" w:eastAsia="en-IN"/>
          </w:rPr>
          <w:id w:val="-42828192"/>
          <w:citation/>
        </w:sdtPr>
        <w:sdtContent>
          <w:r>
            <w:rPr>
              <w:color w:val="000000"/>
              <w:lang w:val="en-IN" w:eastAsia="en-IN"/>
            </w:rPr>
            <w:fldChar w:fldCharType="begin"/>
          </w:r>
          <w:r>
            <w:rPr>
              <w:color w:val="000000"/>
              <w:lang w:val="en-US" w:eastAsia="en-IN"/>
            </w:rPr>
            <w:instrText xml:space="preserve"> CITATION Mik24 \l 1033 </w:instrText>
          </w:r>
          <w:r>
            <w:rPr>
              <w:color w:val="000000"/>
              <w:lang w:val="en-IN" w:eastAsia="en-IN"/>
            </w:rPr>
            <w:fldChar w:fldCharType="separate"/>
          </w:r>
          <w:r w:rsidRPr="00F90C9F">
            <w:rPr>
              <w:noProof/>
              <w:color w:val="000000"/>
              <w:lang w:val="en-US" w:eastAsia="en-IN"/>
            </w:rPr>
            <w:t>(Balk, 2024)</w:t>
          </w:r>
          <w:r>
            <w:rPr>
              <w:color w:val="000000"/>
              <w:lang w:val="en-IN" w:eastAsia="en-IN"/>
            </w:rPr>
            <w:fldChar w:fldCharType="end"/>
          </w:r>
        </w:sdtContent>
      </w:sdt>
      <w:r w:rsidRPr="007A4934">
        <w:rPr>
          <w:color w:val="000000"/>
          <w:lang w:val="en-IN" w:eastAsia="en-IN"/>
        </w:rPr>
        <w:t>. They will eventually foster resilience and continuous development which are essential qualities for long-term professional success.</w:t>
      </w:r>
    </w:p>
    <w:p w14:paraId="53723857" w14:textId="77777777" w:rsidR="00E42310" w:rsidRDefault="00E42310"/>
    <w:p w14:paraId="00000002" w14:textId="39BAEF11" w:rsidR="00244B87" w:rsidRDefault="00DB5000">
      <w:r>
        <w:t>The reflective cycle of Rolfe’s implies the framework which has three phases in the model, which include knowledge-building, descriptive as well as action-oriented. This is one of the simplest ways for expressing personal reflecti</w:t>
      </w:r>
      <w:r>
        <w:t>on on experiences</w:t>
      </w:r>
      <w:r w:rsidR="0095153F">
        <w:t xml:space="preserve"> </w:t>
      </w:r>
      <w:sdt>
        <w:sdtPr>
          <w:id w:val="-673263374"/>
          <w:citation/>
        </w:sdtPr>
        <w:sdtEndPr/>
        <w:sdtContent>
          <w:r w:rsidR="0095153F">
            <w:fldChar w:fldCharType="begin"/>
          </w:r>
          <w:r w:rsidR="0095153F">
            <w:rPr>
              <w:lang w:val="en-US"/>
            </w:rPr>
            <w:instrText xml:space="preserve"> CITATION Jes22 \l 1033 </w:instrText>
          </w:r>
          <w:r w:rsidR="0095153F">
            <w:fldChar w:fldCharType="separate"/>
          </w:r>
          <w:r w:rsidR="0095153F" w:rsidRPr="0095153F">
            <w:rPr>
              <w:noProof/>
              <w:lang w:val="en-US"/>
            </w:rPr>
            <w:t>(Robinson, 2022)</w:t>
          </w:r>
          <w:r w:rsidR="0095153F">
            <w:fldChar w:fldCharType="end"/>
          </w:r>
        </w:sdtContent>
      </w:sdt>
      <w:r>
        <w:t>. Concerning so, the model begins by encouraging people from describing the things that happened in the professional development and primarily focuses on the facts as well as details</w:t>
      </w:r>
      <w:r w:rsidR="00EE1F89">
        <w:t xml:space="preserve"> </w:t>
      </w:r>
      <w:sdt>
        <w:sdtPr>
          <w:id w:val="-2050298009"/>
          <w:citation/>
        </w:sdtPr>
        <w:sdtEndPr/>
        <w:sdtContent>
          <w:r w:rsidR="00EE1F89">
            <w:fldChar w:fldCharType="begin"/>
          </w:r>
          <w:r w:rsidR="00EE1F89">
            <w:rPr>
              <w:lang w:val="en-US"/>
            </w:rPr>
            <w:instrText xml:space="preserve"> CITATION Lar212 \l 1033 </w:instrText>
          </w:r>
          <w:r w:rsidR="00EE1F89">
            <w:fldChar w:fldCharType="separate"/>
          </w:r>
          <w:r w:rsidR="00EE1F89" w:rsidRPr="00EE1F89">
            <w:rPr>
              <w:noProof/>
              <w:lang w:val="en-US"/>
            </w:rPr>
            <w:t>(Caimi, 2021)</w:t>
          </w:r>
          <w:r w:rsidR="00EE1F89">
            <w:fldChar w:fldCharType="end"/>
          </w:r>
        </w:sdtContent>
      </w:sdt>
      <w:r>
        <w:t>. Therefore, this model encourages the person in understanding the practical as well as theoretical knowledge in the professional career development by supporting the personal as well as professional growth</w:t>
      </w:r>
      <w:r w:rsidR="00147B2A">
        <w:t xml:space="preserve"> </w:t>
      </w:r>
      <w:sdt>
        <w:sdtPr>
          <w:id w:val="563377682"/>
          <w:citation/>
        </w:sdtPr>
        <w:sdtEndPr/>
        <w:sdtContent>
          <w:r w:rsidR="00147B2A">
            <w:fldChar w:fldCharType="begin"/>
          </w:r>
          <w:r w:rsidR="00147B2A">
            <w:rPr>
              <w:lang w:val="en-US"/>
            </w:rPr>
            <w:instrText xml:space="preserve"> CITATION Kat25 \l 1033 </w:instrText>
          </w:r>
          <w:r w:rsidR="00147B2A">
            <w:fldChar w:fldCharType="separate"/>
          </w:r>
          <w:r w:rsidR="00147B2A" w:rsidRPr="00147B2A">
            <w:rPr>
              <w:noProof/>
              <w:lang w:val="en-US"/>
            </w:rPr>
            <w:t>(Salvator, 2025)</w:t>
          </w:r>
          <w:r w:rsidR="00147B2A">
            <w:fldChar w:fldCharType="end"/>
          </w:r>
        </w:sdtContent>
      </w:sdt>
      <w:r>
        <w:t xml:space="preserve">. </w:t>
      </w:r>
    </w:p>
    <w:p w14:paraId="00000003" w14:textId="5C12C77A" w:rsidR="00244B87" w:rsidRDefault="00DB5000">
      <w:r>
        <w:t xml:space="preserve">Within the very first stage of this reflective cycle, I initially learnt the specific learning events as well as experiences from that particular lecture, as well as workshops. Therefore, this has included </w:t>
      </w:r>
      <w:r>
        <w:lastRenderedPageBreak/>
        <w:t>the impo</w:t>
      </w:r>
      <w:r>
        <w:t>rtance on the aspects of participating in the mock interview, along with writing a personal statement, and receiving feedback on my personal CV. Further, I have acknowledged the significance on the improvement of my personal skills, which has been importan</w:t>
      </w:r>
      <w:r>
        <w:t>t for professional development. The skills have been communication, time management as well as teamworking skills, which can help me to elevate my professional career</w:t>
      </w:r>
      <w:r w:rsidR="00D50F2C">
        <w:t xml:space="preserve"> (</w:t>
      </w:r>
      <w:r w:rsidR="00D50F2C" w:rsidRPr="00D50F2C">
        <w:t>Aaron</w:t>
      </w:r>
      <w:r w:rsidR="00D50F2C">
        <w:t xml:space="preserve"> et al., 2021)</w:t>
      </w:r>
      <w:r>
        <w:t>. Within the professional lecture, I have also understood the effecti</w:t>
      </w:r>
      <w:r>
        <w:t xml:space="preserve">veness of the CV, along with gathering proper knowledge for gathering competency-based questions. </w:t>
      </w:r>
    </w:p>
    <w:p w14:paraId="00000004" w14:textId="56FDE75E" w:rsidR="00244B87" w:rsidRDefault="00DB5000">
      <w:r>
        <w:t>The second stage of this model has helped me in anaylsing the importance of the experience that I have gained while the professional lecture. Within this sec</w:t>
      </w:r>
      <w:r>
        <w:t>tion, I have faced issues with the CV making and its effectiveness, as earlier I have not made any CV or attended the competencies. However, the understanding of the skills has confirmed my existing knowledge as I have efficiencies in some of the soft skil</w:t>
      </w:r>
      <w:r>
        <w:t xml:space="preserve">ls, which will help me to go forward with my professional goals. Concerning this, I have realised the ways through which I can understand the way to improve myself in professional career development. With the help of the STAR method, I can improve my body </w:t>
      </w:r>
      <w:r>
        <w:t xml:space="preserve">language while representing myself in the interview. Eventually, I can also structure my answers in my professional career, due to which I will confront fewer hindrances. On the other hand, this analytical reflection has also helped me to have an in-depth </w:t>
      </w:r>
      <w:r>
        <w:t>understanding in both the application as well as relevance of the skills that are important in a professional career</w:t>
      </w:r>
      <w:r w:rsidR="003B72AC">
        <w:t xml:space="preserve"> (</w:t>
      </w:r>
      <w:r w:rsidR="003B72AC" w:rsidRPr="003B72AC">
        <w:t>Martinez,</w:t>
      </w:r>
      <w:r w:rsidR="003B72AC">
        <w:t xml:space="preserve"> 2022)</w:t>
      </w:r>
      <w:r>
        <w:t xml:space="preserve">. </w:t>
      </w:r>
    </w:p>
    <w:p w14:paraId="5B596FBC" w14:textId="0DC8605A" w:rsidR="00D50F2C" w:rsidRDefault="00DB5000">
      <w:r>
        <w:t>The last phase of this reflective cycle will be denoted as future action. Therefore, with the help of this stage, I will</w:t>
      </w:r>
      <w:r>
        <w:t xml:space="preserve"> be able to improve my understanding regarding a professional career in the future. Within the context, I will focus on continuous learning, networking as well as self-assessment, which will help me to enhance my personal knowledge gaps. Further, I will re</w:t>
      </w:r>
      <w:r>
        <w:t xml:space="preserve">gularly reflect on </w:t>
      </w:r>
      <w:r>
        <w:lastRenderedPageBreak/>
        <w:t>my skills and will try to learn some new digital technologies that are relevant to my professional goals. I will also make myself adaptable, through which I will be able</w:t>
      </w:r>
      <w:r w:rsidR="004239AE">
        <w:t xml:space="preserve"> </w:t>
      </w:r>
      <w:r>
        <w:t>to adapt myself in the critical condition in the professional lands</w:t>
      </w:r>
      <w:r>
        <w:t xml:space="preserve">cape.   </w:t>
      </w:r>
    </w:p>
    <w:p w14:paraId="5B251078" w14:textId="45E3117C" w:rsidR="00431C05" w:rsidRDefault="00431C05">
      <w:r>
        <w:br w:type="page"/>
      </w:r>
    </w:p>
    <w:p w14:paraId="588F0CC8" w14:textId="77777777" w:rsidR="00431C05" w:rsidRPr="007A4934" w:rsidRDefault="00431C05" w:rsidP="00431C05">
      <w:pPr>
        <w:pStyle w:val="Heading1"/>
        <w:rPr>
          <w:lang w:val="en-IN" w:eastAsia="en-IN"/>
        </w:rPr>
      </w:pPr>
      <w:r w:rsidRPr="007A4934">
        <w:rPr>
          <w:lang w:val="en-IN" w:eastAsia="en-IN"/>
        </w:rPr>
        <w:lastRenderedPageBreak/>
        <w:t>Conclusion</w:t>
      </w:r>
    </w:p>
    <w:p w14:paraId="0D1398DD" w14:textId="77777777" w:rsidR="00BB1688" w:rsidRDefault="00BB1688" w:rsidP="00BB1688">
      <w:pPr>
        <w:rPr>
          <w:color w:val="000000"/>
          <w:lang w:val="en-IN" w:eastAsia="en-IN"/>
        </w:rPr>
      </w:pPr>
      <w:r w:rsidRPr="007A4934">
        <w:rPr>
          <w:color w:val="000000"/>
          <w:lang w:val="en-IN" w:eastAsia="en-IN"/>
        </w:rPr>
        <w:t>The reflecti</w:t>
      </w:r>
      <w:r>
        <w:rPr>
          <w:color w:val="000000"/>
          <w:lang w:val="en-IN" w:eastAsia="en-IN"/>
        </w:rPr>
        <w:t>on</w:t>
      </w:r>
      <w:r w:rsidRPr="007A4934">
        <w:rPr>
          <w:color w:val="000000"/>
          <w:lang w:val="en-IN" w:eastAsia="en-IN"/>
        </w:rPr>
        <w:t xml:space="preserve"> has crit</w:t>
      </w:r>
      <w:r>
        <w:rPr>
          <w:color w:val="000000"/>
          <w:lang w:val="en-IN" w:eastAsia="en-IN"/>
        </w:rPr>
        <w:t>ically examined personal growth that showcased</w:t>
      </w:r>
      <w:r w:rsidRPr="007A4934">
        <w:rPr>
          <w:color w:val="000000"/>
          <w:lang w:val="en-IN" w:eastAsia="en-IN"/>
        </w:rPr>
        <w:t xml:space="preserve"> practical experiences </w:t>
      </w:r>
      <w:r>
        <w:rPr>
          <w:color w:val="000000"/>
          <w:lang w:val="en-IN" w:eastAsia="en-IN"/>
        </w:rPr>
        <w:t>too which paves way for</w:t>
      </w:r>
      <w:r w:rsidRPr="007A4934">
        <w:rPr>
          <w:color w:val="000000"/>
          <w:lang w:val="en-IN" w:eastAsia="en-IN"/>
        </w:rPr>
        <w:t xml:space="preserve"> future</w:t>
      </w:r>
      <w:r>
        <w:rPr>
          <w:color w:val="000000"/>
          <w:lang w:val="en-IN" w:eastAsia="en-IN"/>
        </w:rPr>
        <w:t xml:space="preserve"> professional</w:t>
      </w:r>
      <w:r w:rsidRPr="007A4934">
        <w:rPr>
          <w:color w:val="000000"/>
          <w:lang w:val="en-IN" w:eastAsia="en-IN"/>
        </w:rPr>
        <w:t xml:space="preserve"> pathways. Structured reflection </w:t>
      </w:r>
      <w:r>
        <w:rPr>
          <w:color w:val="000000"/>
          <w:lang w:val="en-IN" w:eastAsia="en-IN"/>
        </w:rPr>
        <w:t>understood from</w:t>
      </w:r>
      <w:r w:rsidRPr="007A4934">
        <w:rPr>
          <w:color w:val="000000"/>
          <w:lang w:val="en-IN" w:eastAsia="en-IN"/>
        </w:rPr>
        <w:t xml:space="preserve"> strategic models enabled the work to </w:t>
      </w:r>
      <w:r>
        <w:rPr>
          <w:color w:val="000000"/>
          <w:lang w:val="en-IN" w:eastAsia="en-IN"/>
        </w:rPr>
        <w:t>put more focus towards</w:t>
      </w:r>
      <w:r w:rsidRPr="007A4934">
        <w:rPr>
          <w:color w:val="000000"/>
          <w:lang w:val="en-IN" w:eastAsia="en-IN"/>
        </w:rPr>
        <w:t xml:space="preserve"> valuable insights into personal strengths for skill enhancement. Integration of self-assessment</w:t>
      </w:r>
      <w:r>
        <w:rPr>
          <w:color w:val="000000"/>
          <w:lang w:val="en-IN" w:eastAsia="en-IN"/>
        </w:rPr>
        <w:t xml:space="preserve"> furthermore</w:t>
      </w:r>
      <w:r w:rsidRPr="007A4934">
        <w:rPr>
          <w:color w:val="000000"/>
          <w:lang w:val="en-IN" w:eastAsia="en-IN"/>
        </w:rPr>
        <w:t xml:space="preserve"> </w:t>
      </w:r>
      <w:r>
        <w:rPr>
          <w:color w:val="000000"/>
          <w:lang w:val="en-IN" w:eastAsia="en-IN"/>
        </w:rPr>
        <w:t>observed through</w:t>
      </w:r>
      <w:r w:rsidRPr="007A4934">
        <w:rPr>
          <w:color w:val="000000"/>
          <w:lang w:val="en-IN" w:eastAsia="en-IN"/>
        </w:rPr>
        <w:t xml:space="preserve"> experiential learning created a solid foundation for continuous advancement. Such a process greatly promotes self-awareness while equipping with adaptive strategies to face evolving professional environments. </w:t>
      </w:r>
    </w:p>
    <w:p w14:paraId="332296B8" w14:textId="77777777" w:rsidR="00431C05" w:rsidRDefault="00431C05">
      <w:bookmarkStart w:id="0" w:name="_GoBack"/>
      <w:bookmarkEnd w:id="0"/>
    </w:p>
    <w:p w14:paraId="5EEA8BF1" w14:textId="77777777" w:rsidR="00BD27D0" w:rsidRDefault="00BD27D0">
      <w:r>
        <w:br w:type="page"/>
      </w:r>
    </w:p>
    <w:p w14:paraId="267ACA4E" w14:textId="5549C78A" w:rsidR="00BD27D0" w:rsidRDefault="00BD27D0" w:rsidP="00BD27D0">
      <w:pPr>
        <w:pStyle w:val="Heading1"/>
      </w:pPr>
      <w:r>
        <w:lastRenderedPageBreak/>
        <w:t xml:space="preserve">References </w:t>
      </w:r>
    </w:p>
    <w:p w14:paraId="3DDB5D6E" w14:textId="77777777" w:rsidR="0022780B" w:rsidRDefault="0022780B" w:rsidP="00D83122">
      <w:r w:rsidRPr="00D50F2C">
        <w:t xml:space="preserve">Aaron, L., Hicks, J., McKnight, A. and Andary, J., </w:t>
      </w:r>
      <w:r>
        <w:t>(</w:t>
      </w:r>
      <w:r w:rsidRPr="00D50F2C">
        <w:t>2021</w:t>
      </w:r>
      <w:r>
        <w:t>)</w:t>
      </w:r>
      <w:r w:rsidRPr="00D50F2C">
        <w:t>. Reflection as a Tool for Personal and Professional Development. </w:t>
      </w:r>
      <w:r w:rsidRPr="00D83122">
        <w:rPr>
          <w:i/>
          <w:iCs/>
        </w:rPr>
        <w:t>Radiologic Technology</w:t>
      </w:r>
      <w:r w:rsidRPr="00D50F2C">
        <w:t>, </w:t>
      </w:r>
      <w:r w:rsidRPr="00D83122">
        <w:rPr>
          <w:i/>
          <w:iCs/>
        </w:rPr>
        <w:t>93</w:t>
      </w:r>
      <w:r w:rsidRPr="00D50F2C">
        <w:t>(2).</w:t>
      </w:r>
      <w:r>
        <w:t xml:space="preserve">  </w:t>
      </w:r>
    </w:p>
    <w:p w14:paraId="239C09D2" w14:textId="77777777" w:rsidR="0022780B" w:rsidRDefault="0022780B" w:rsidP="00431C05">
      <w:r>
        <w:t xml:space="preserve">Balk, M., (2024). </w:t>
      </w:r>
      <w:r w:rsidRPr="00F90C9F">
        <w:rPr>
          <w:i/>
        </w:rPr>
        <w:t>GROW model for coaching: achieve goals and boost performance.</w:t>
      </w:r>
      <w:r>
        <w:t xml:space="preserve"> [Online]Available at: https://www.betterup.com/blog/grow-model-for-coaching [Accessed 28 May 2025].</w:t>
      </w:r>
    </w:p>
    <w:p w14:paraId="3431945B" w14:textId="77777777" w:rsidR="0022780B" w:rsidRDefault="0022780B" w:rsidP="00D83122">
      <w:proofErr w:type="spellStart"/>
      <w:r>
        <w:t>Caimi</w:t>
      </w:r>
      <w:proofErr w:type="spellEnd"/>
      <w:r>
        <w:t xml:space="preserve">, L., (2021). </w:t>
      </w:r>
      <w:r w:rsidRPr="00D83122">
        <w:rPr>
          <w:i/>
          <w:iCs/>
        </w:rPr>
        <w:t xml:space="preserve">The Power </w:t>
      </w:r>
      <w:proofErr w:type="gramStart"/>
      <w:r w:rsidRPr="00D83122">
        <w:rPr>
          <w:i/>
          <w:iCs/>
        </w:rPr>
        <w:t>Of</w:t>
      </w:r>
      <w:proofErr w:type="gramEnd"/>
      <w:r w:rsidRPr="00D83122">
        <w:rPr>
          <w:i/>
          <w:iCs/>
        </w:rPr>
        <w:t xml:space="preserve"> Reflection And Self-Assessment</w:t>
      </w:r>
      <w:r>
        <w:t>. [Online] Available at: https://www.forbes.com/sites/servicenow/2021/01/28/the-power-of-reflection-and-self-assessment/ [Accessed 27 May 2025].</w:t>
      </w:r>
    </w:p>
    <w:p w14:paraId="6D154371" w14:textId="77777777" w:rsidR="0022780B" w:rsidRDefault="0022780B" w:rsidP="00431C05">
      <w:proofErr w:type="spellStart"/>
      <w:r>
        <w:t>coachingcultureatwork</w:t>
      </w:r>
      <w:proofErr w:type="spellEnd"/>
      <w:r>
        <w:t xml:space="preserve">, (2024). </w:t>
      </w:r>
      <w:r w:rsidRPr="00F90C9F">
        <w:rPr>
          <w:i/>
        </w:rPr>
        <w:t>GROW Model Coaching Framework</w:t>
      </w:r>
      <w:r>
        <w:t>. [Online]Available at: https://www.coachingcultureatwork.com/the-grow-model/ [Accessed 28 May 2025].</w:t>
      </w:r>
    </w:p>
    <w:p w14:paraId="63C944D4" w14:textId="77777777" w:rsidR="0022780B" w:rsidRPr="0014062C" w:rsidRDefault="0022780B" w:rsidP="00431C05">
      <w:pPr>
        <w:rPr>
          <w:lang w:val="en-IN" w:eastAsia="en-IN"/>
        </w:rPr>
      </w:pPr>
      <w:r w:rsidRPr="0014062C">
        <w:rPr>
          <w:color w:val="000000"/>
          <w:lang w:val="en-IN" w:eastAsia="en-IN"/>
        </w:rPr>
        <w:t xml:space="preserve">Do, N.X.B., An, T.S. and Krauss, C., (2024), May. SMART-goal-buddy: Goal-setting oriented adaptive learning paths. In </w:t>
      </w:r>
      <w:r w:rsidRPr="0014062C">
        <w:rPr>
          <w:i/>
          <w:iCs/>
          <w:color w:val="000000"/>
          <w:lang w:val="en-IN" w:eastAsia="en-IN"/>
        </w:rPr>
        <w:t>International workshop on learning technology for education challenges</w:t>
      </w:r>
      <w:r w:rsidRPr="0014062C">
        <w:rPr>
          <w:color w:val="000000"/>
          <w:lang w:val="en-IN" w:eastAsia="en-IN"/>
        </w:rPr>
        <w:t xml:space="preserve"> (pp. 319-331). Cham: Springer Nature Switzerland.</w:t>
      </w:r>
    </w:p>
    <w:p w14:paraId="3B625FBE" w14:textId="77777777" w:rsidR="0022780B" w:rsidRDefault="0022780B" w:rsidP="00431C05">
      <w:r w:rsidRPr="0014062C">
        <w:rPr>
          <w:color w:val="000000"/>
          <w:lang w:val="en-IN" w:eastAsia="en-IN"/>
        </w:rPr>
        <w:t xml:space="preserve">Fyfe, L., Heinrich, B., </w:t>
      </w:r>
      <w:proofErr w:type="spellStart"/>
      <w:r w:rsidRPr="0014062C">
        <w:rPr>
          <w:color w:val="000000"/>
          <w:lang w:val="en-IN" w:eastAsia="en-IN"/>
        </w:rPr>
        <w:t>Kanar</w:t>
      </w:r>
      <w:proofErr w:type="spellEnd"/>
      <w:r w:rsidRPr="0014062C">
        <w:rPr>
          <w:color w:val="000000"/>
          <w:lang w:val="en-IN" w:eastAsia="en-IN"/>
        </w:rPr>
        <w:t xml:space="preserve">, A.M. and </w:t>
      </w:r>
      <w:proofErr w:type="spellStart"/>
      <w:r w:rsidRPr="0014062C">
        <w:rPr>
          <w:color w:val="000000"/>
          <w:lang w:val="en-IN" w:eastAsia="en-IN"/>
        </w:rPr>
        <w:t>D’Intino</w:t>
      </w:r>
      <w:proofErr w:type="spellEnd"/>
      <w:r w:rsidRPr="0014062C">
        <w:rPr>
          <w:color w:val="000000"/>
          <w:lang w:val="en-IN" w:eastAsia="en-IN"/>
        </w:rPr>
        <w:t xml:space="preserve">, K., (2024). Competency articulation at the intersection of happenstance and experiential learning. </w:t>
      </w:r>
      <w:r w:rsidRPr="0014062C">
        <w:rPr>
          <w:i/>
          <w:iCs/>
          <w:color w:val="000000"/>
          <w:lang w:val="en-IN" w:eastAsia="en-IN"/>
        </w:rPr>
        <w:t>Industry and Higher Education</w:t>
      </w:r>
      <w:r w:rsidRPr="0014062C">
        <w:rPr>
          <w:color w:val="000000"/>
          <w:lang w:val="en-IN" w:eastAsia="en-IN"/>
        </w:rPr>
        <w:t>, 38(6), pp.534-546.</w:t>
      </w:r>
    </w:p>
    <w:p w14:paraId="47FFD6FC" w14:textId="77777777" w:rsidR="0022780B" w:rsidRPr="0014062C" w:rsidRDefault="0022780B" w:rsidP="00431C05">
      <w:pPr>
        <w:rPr>
          <w:lang w:val="en-IN" w:eastAsia="en-IN"/>
        </w:rPr>
      </w:pPr>
      <w:r w:rsidRPr="0014062C">
        <w:rPr>
          <w:color w:val="000000"/>
          <w:lang w:val="en-IN" w:eastAsia="en-IN"/>
        </w:rPr>
        <w:t xml:space="preserve">Grant, K.A., (2025). Experiential learning. </w:t>
      </w:r>
      <w:r w:rsidRPr="0014062C">
        <w:rPr>
          <w:i/>
          <w:iCs/>
          <w:color w:val="000000"/>
          <w:lang w:val="en-IN" w:eastAsia="en-IN"/>
        </w:rPr>
        <w:t>Practical Applications of Experiential and Community-Engaged Learning Methods in Business: High-Impact Teaching Practices in Business Education</w:t>
      </w:r>
      <w:r w:rsidRPr="0014062C">
        <w:rPr>
          <w:color w:val="000000"/>
          <w:lang w:val="en-IN" w:eastAsia="en-IN"/>
        </w:rPr>
        <w:t>, Volume 1, p.91.</w:t>
      </w:r>
    </w:p>
    <w:p w14:paraId="3CE76F05" w14:textId="77777777" w:rsidR="0022780B" w:rsidRPr="0014062C" w:rsidRDefault="0022780B" w:rsidP="00431C05">
      <w:pPr>
        <w:rPr>
          <w:lang w:val="en-IN" w:eastAsia="en-IN"/>
        </w:rPr>
      </w:pPr>
      <w:proofErr w:type="spellStart"/>
      <w:r w:rsidRPr="0014062C">
        <w:rPr>
          <w:color w:val="000000"/>
          <w:lang w:val="en-IN" w:eastAsia="en-IN"/>
        </w:rPr>
        <w:t>Iskandarova</w:t>
      </w:r>
      <w:proofErr w:type="spellEnd"/>
      <w:r w:rsidRPr="0014062C">
        <w:rPr>
          <w:color w:val="000000"/>
          <w:lang w:val="en-IN" w:eastAsia="en-IN"/>
        </w:rPr>
        <w:t xml:space="preserve">, S. and Ford, K., (2024). A Case Study for Experiential Teaching and Learning. </w:t>
      </w:r>
      <w:r w:rsidRPr="0014062C">
        <w:rPr>
          <w:i/>
          <w:iCs/>
          <w:color w:val="000000"/>
          <w:lang w:val="en-IN" w:eastAsia="en-IN"/>
        </w:rPr>
        <w:t>Journal of Effective Teaching in Higher Education</w:t>
      </w:r>
      <w:r w:rsidRPr="0014062C">
        <w:rPr>
          <w:color w:val="000000"/>
          <w:lang w:val="en-IN" w:eastAsia="en-IN"/>
        </w:rPr>
        <w:t>, 7(1), pp.3-27.</w:t>
      </w:r>
    </w:p>
    <w:p w14:paraId="159AD4C2" w14:textId="77777777" w:rsidR="0022780B" w:rsidRPr="0014062C" w:rsidRDefault="0022780B" w:rsidP="00431C05">
      <w:pPr>
        <w:rPr>
          <w:lang w:val="en-IN" w:eastAsia="en-IN"/>
        </w:rPr>
      </w:pPr>
      <w:proofErr w:type="spellStart"/>
      <w:r w:rsidRPr="0014062C">
        <w:rPr>
          <w:color w:val="000000"/>
          <w:lang w:val="en-IN" w:eastAsia="en-IN"/>
        </w:rPr>
        <w:lastRenderedPageBreak/>
        <w:t>Lartey</w:t>
      </w:r>
      <w:proofErr w:type="spellEnd"/>
      <w:r w:rsidRPr="0014062C">
        <w:rPr>
          <w:color w:val="000000"/>
          <w:lang w:val="en-IN" w:eastAsia="en-IN"/>
        </w:rPr>
        <w:t>, F.M., (2021). Impact of career Planning, employee autonomy, and manager recognition on employee engagement.</w:t>
      </w:r>
      <w:r w:rsidRPr="0014062C">
        <w:rPr>
          <w:i/>
          <w:iCs/>
          <w:color w:val="000000"/>
          <w:lang w:val="en-IN" w:eastAsia="en-IN"/>
        </w:rPr>
        <w:t xml:space="preserve"> Journal of Human Resource and Sustainability Studies</w:t>
      </w:r>
      <w:r w:rsidRPr="0014062C">
        <w:rPr>
          <w:color w:val="000000"/>
          <w:lang w:val="en-IN" w:eastAsia="en-IN"/>
        </w:rPr>
        <w:t>, 9(02), p.135.</w:t>
      </w:r>
    </w:p>
    <w:p w14:paraId="6FE0C3F5" w14:textId="77777777" w:rsidR="0022780B" w:rsidRDefault="0022780B" w:rsidP="00D83122">
      <w:r w:rsidRPr="003B72AC">
        <w:t xml:space="preserve">Martinez, C., </w:t>
      </w:r>
      <w:r>
        <w:t>(</w:t>
      </w:r>
      <w:r w:rsidRPr="003B72AC">
        <w:t>2022</w:t>
      </w:r>
      <w:r>
        <w:t>)</w:t>
      </w:r>
      <w:r w:rsidRPr="003B72AC">
        <w:t>. Developing 21st century teaching skills: A case study of teaching and learning through project-based curriculum. </w:t>
      </w:r>
      <w:r w:rsidRPr="00D83122">
        <w:rPr>
          <w:i/>
          <w:iCs/>
        </w:rPr>
        <w:t>Cogent Education</w:t>
      </w:r>
      <w:r w:rsidRPr="003B72AC">
        <w:t>, </w:t>
      </w:r>
      <w:r w:rsidRPr="00D83122">
        <w:rPr>
          <w:i/>
          <w:iCs/>
        </w:rPr>
        <w:t>9</w:t>
      </w:r>
      <w:r w:rsidRPr="003B72AC">
        <w:t>(1), p.2024936.</w:t>
      </w:r>
      <w:r>
        <w:t xml:space="preserve">   </w:t>
      </w:r>
    </w:p>
    <w:p w14:paraId="1CCA71A9" w14:textId="77777777" w:rsidR="0022780B" w:rsidRDefault="0022780B" w:rsidP="00D83122">
      <w:r>
        <w:t xml:space="preserve">Robinson, J., (2022). </w:t>
      </w:r>
      <w:r w:rsidRPr="00D83122">
        <w:rPr>
          <w:i/>
          <w:iCs/>
        </w:rPr>
        <w:t xml:space="preserve">Rolfe et </w:t>
      </w:r>
      <w:proofErr w:type="spellStart"/>
      <w:r w:rsidRPr="00D83122">
        <w:rPr>
          <w:i/>
          <w:iCs/>
        </w:rPr>
        <w:t>al’s</w:t>
      </w:r>
      <w:proofErr w:type="spellEnd"/>
      <w:r w:rsidRPr="00D83122">
        <w:rPr>
          <w:i/>
          <w:iCs/>
        </w:rPr>
        <w:t xml:space="preserve"> Framework for Reflective Learning</w:t>
      </w:r>
      <w:r>
        <w:t>. [Online] Available at: https://crowjack.com/blog/strategy/reflection-models/rolfe-reflective-model [Accessed 27 May 2025].</w:t>
      </w:r>
    </w:p>
    <w:p w14:paraId="1D772A5A" w14:textId="77777777" w:rsidR="0022780B" w:rsidRDefault="0022780B" w:rsidP="00D83122">
      <w:proofErr w:type="spellStart"/>
      <w:r>
        <w:t>Salvator</w:t>
      </w:r>
      <w:proofErr w:type="spellEnd"/>
      <w:r>
        <w:t xml:space="preserve">, K., (2025). </w:t>
      </w:r>
      <w:r w:rsidRPr="00D83122">
        <w:rPr>
          <w:i/>
          <w:iCs/>
        </w:rPr>
        <w:t>The Secret to Growth: Rolfe’s Reflective Model Explained</w:t>
      </w:r>
      <w:r>
        <w:t>. [Online] Available at: https://vocal.media/education/the-secret-to-growth-rolfe-s-reflective-model-explained [Accessed 27 May 2025].</w:t>
      </w:r>
    </w:p>
    <w:p w14:paraId="7FA07CE2" w14:textId="77777777" w:rsidR="0022780B" w:rsidRPr="0014062C" w:rsidRDefault="0022780B" w:rsidP="00431C05">
      <w:pPr>
        <w:rPr>
          <w:lang w:val="en-IN" w:eastAsia="en-IN"/>
        </w:rPr>
      </w:pPr>
      <w:r w:rsidRPr="0014062C">
        <w:rPr>
          <w:color w:val="000000"/>
          <w:lang w:val="en-IN" w:eastAsia="en-IN"/>
        </w:rPr>
        <w:t xml:space="preserve">Stephen, J.S., (2024). Career Planning, Professional Development, and Lifelong Learning. In </w:t>
      </w:r>
      <w:r w:rsidRPr="0014062C">
        <w:rPr>
          <w:i/>
          <w:iCs/>
          <w:color w:val="000000"/>
          <w:lang w:val="en-IN" w:eastAsia="en-IN"/>
        </w:rPr>
        <w:t>Academic Success in Online Programs: A Resource for College Students</w:t>
      </w:r>
      <w:r w:rsidRPr="0014062C">
        <w:rPr>
          <w:color w:val="000000"/>
          <w:lang w:val="en-IN" w:eastAsia="en-IN"/>
        </w:rPr>
        <w:t xml:space="preserve"> (pp. 199-212). Cham: Springer Nature Switzerland.</w:t>
      </w:r>
    </w:p>
    <w:p w14:paraId="4AE3E12A" w14:textId="77777777" w:rsidR="0022780B" w:rsidRPr="0014062C" w:rsidRDefault="0022780B" w:rsidP="00431C05">
      <w:pPr>
        <w:rPr>
          <w:lang w:val="en-IN" w:eastAsia="en-IN"/>
        </w:rPr>
      </w:pPr>
      <w:proofErr w:type="spellStart"/>
      <w:r w:rsidRPr="0014062C">
        <w:rPr>
          <w:color w:val="000000"/>
          <w:lang w:val="en-IN" w:eastAsia="en-IN"/>
        </w:rPr>
        <w:t>Straby</w:t>
      </w:r>
      <w:proofErr w:type="spellEnd"/>
      <w:r w:rsidRPr="0014062C">
        <w:rPr>
          <w:color w:val="000000"/>
          <w:lang w:val="en-IN" w:eastAsia="en-IN"/>
        </w:rPr>
        <w:t>, R., (2024). 5.2: Establishing Clear Goals and Action Plans</w:t>
      </w:r>
      <w:r w:rsidRPr="0014062C">
        <w:rPr>
          <w:i/>
          <w:iCs/>
          <w:color w:val="000000"/>
          <w:lang w:val="en-IN" w:eastAsia="en-IN"/>
        </w:rPr>
        <w:t>. Career Coaching Techniques: A Guide for Instructors.</w:t>
      </w:r>
    </w:p>
    <w:p w14:paraId="2341D3DD" w14:textId="77777777" w:rsidR="0022780B" w:rsidRDefault="0022780B" w:rsidP="00431C05">
      <w:proofErr w:type="spellStart"/>
      <w:r>
        <w:t>Threadgould</w:t>
      </w:r>
      <w:proofErr w:type="spellEnd"/>
      <w:r>
        <w:t xml:space="preserve">, M. V., (2023). </w:t>
      </w:r>
      <w:r w:rsidRPr="00F90C9F">
        <w:rPr>
          <w:i/>
        </w:rPr>
        <w:t xml:space="preserve">What Is the GROW Coaching </w:t>
      </w:r>
      <w:proofErr w:type="gramStart"/>
      <w:r w:rsidRPr="00F90C9F">
        <w:rPr>
          <w:i/>
        </w:rPr>
        <w:t>Model?.</w:t>
      </w:r>
      <w:proofErr w:type="gramEnd"/>
      <w:r>
        <w:t xml:space="preserve"> [Online]Available at: https://lattice.com/articles/everything-you-need-to-know-about-the-grow-coaching-model [Accessed 28 May 2025].</w:t>
      </w:r>
    </w:p>
    <w:p w14:paraId="51EE7FEA" w14:textId="77777777" w:rsidR="00431C05" w:rsidRDefault="00431C05" w:rsidP="00D83122"/>
    <w:p w14:paraId="79602A9B" w14:textId="2CFB742A" w:rsidR="003D4CDB" w:rsidRDefault="003D4CDB" w:rsidP="003D4CDB"/>
    <w:p w14:paraId="00000005" w14:textId="3828044B" w:rsidR="00244B87" w:rsidRDefault="00DB5000">
      <w:r>
        <w:t xml:space="preserve">            </w:t>
      </w:r>
    </w:p>
    <w:p w14:paraId="00000008" w14:textId="0720000D" w:rsidR="00244B87" w:rsidRDefault="00244B87">
      <w:pPr>
        <w:rPr>
          <w:b/>
        </w:rPr>
      </w:pPr>
    </w:p>
    <w:sectPr w:rsidR="00244B87" w:rsidSect="00222727">
      <w:headerReference w:type="default" r:id="rId9"/>
      <w:footerReference w:type="default" r:id="rId10"/>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710A44" w14:textId="77777777" w:rsidR="00DB5000" w:rsidRDefault="00DB5000" w:rsidP="00222727">
      <w:pPr>
        <w:spacing w:line="240" w:lineRule="auto"/>
      </w:pPr>
      <w:r>
        <w:separator/>
      </w:r>
    </w:p>
  </w:endnote>
  <w:endnote w:type="continuationSeparator" w:id="0">
    <w:p w14:paraId="762DD88A" w14:textId="77777777" w:rsidR="00DB5000" w:rsidRDefault="00DB5000" w:rsidP="002227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8016924"/>
      <w:docPartObj>
        <w:docPartGallery w:val="Page Numbers (Bottom of Page)"/>
        <w:docPartUnique/>
      </w:docPartObj>
    </w:sdtPr>
    <w:sdtEndPr/>
    <w:sdtContent>
      <w:sdt>
        <w:sdtPr>
          <w:id w:val="-1769616900"/>
          <w:docPartObj>
            <w:docPartGallery w:val="Page Numbers (Top of Page)"/>
            <w:docPartUnique/>
          </w:docPartObj>
        </w:sdtPr>
        <w:sdtEndPr/>
        <w:sdtContent>
          <w:p w14:paraId="7C29BC33" w14:textId="72F9E16E" w:rsidR="00222727" w:rsidRDefault="00222727">
            <w:pPr>
              <w:pStyle w:val="Footer"/>
              <w:jc w:val="right"/>
            </w:pPr>
            <w:r w:rsidRPr="00222727">
              <w:rPr>
                <w:b/>
                <w:bCs/>
              </w:rPr>
              <w:t xml:space="preserve">Page </w:t>
            </w:r>
            <w:r w:rsidRPr="00222727">
              <w:rPr>
                <w:b/>
                <w:bCs/>
              </w:rPr>
              <w:fldChar w:fldCharType="begin"/>
            </w:r>
            <w:r w:rsidRPr="00222727">
              <w:rPr>
                <w:b/>
                <w:bCs/>
              </w:rPr>
              <w:instrText xml:space="preserve"> PAGE </w:instrText>
            </w:r>
            <w:r w:rsidRPr="00222727">
              <w:rPr>
                <w:b/>
                <w:bCs/>
              </w:rPr>
              <w:fldChar w:fldCharType="separate"/>
            </w:r>
            <w:r w:rsidR="00BB1688">
              <w:rPr>
                <w:b/>
                <w:bCs/>
                <w:noProof/>
              </w:rPr>
              <w:t>10</w:t>
            </w:r>
            <w:r w:rsidRPr="00222727">
              <w:rPr>
                <w:b/>
                <w:bCs/>
              </w:rPr>
              <w:fldChar w:fldCharType="end"/>
            </w:r>
            <w:r w:rsidRPr="00222727">
              <w:rPr>
                <w:b/>
                <w:bCs/>
              </w:rPr>
              <w:t xml:space="preserve"> of</w:t>
            </w:r>
            <w:r>
              <w:t xml:space="preserve"> </w:t>
            </w:r>
            <w:r>
              <w:rPr>
                <w:b/>
                <w:bCs/>
              </w:rPr>
              <w:fldChar w:fldCharType="begin"/>
            </w:r>
            <w:r>
              <w:rPr>
                <w:b/>
                <w:bCs/>
              </w:rPr>
              <w:instrText xml:space="preserve"> NUMPAGES  </w:instrText>
            </w:r>
            <w:r>
              <w:rPr>
                <w:b/>
                <w:bCs/>
              </w:rPr>
              <w:fldChar w:fldCharType="separate"/>
            </w:r>
            <w:r w:rsidR="00BB1688">
              <w:rPr>
                <w:b/>
                <w:bCs/>
                <w:noProof/>
              </w:rPr>
              <w:t>10</w:t>
            </w:r>
            <w:r>
              <w:rPr>
                <w:b/>
                <w:bCs/>
              </w:rPr>
              <w:fldChar w:fldCharType="end"/>
            </w:r>
          </w:p>
        </w:sdtContent>
      </w:sdt>
    </w:sdtContent>
  </w:sdt>
  <w:p w14:paraId="594A22FC" w14:textId="77777777" w:rsidR="00BB1688" w:rsidRDefault="00BB168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91DBA8" w14:textId="77777777" w:rsidR="00DB5000" w:rsidRDefault="00DB5000" w:rsidP="00222727">
      <w:pPr>
        <w:spacing w:line="240" w:lineRule="auto"/>
      </w:pPr>
      <w:r>
        <w:separator/>
      </w:r>
    </w:p>
  </w:footnote>
  <w:footnote w:type="continuationSeparator" w:id="0">
    <w:p w14:paraId="4FB781F3" w14:textId="77777777" w:rsidR="00DB5000" w:rsidRDefault="00DB5000" w:rsidP="0022272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5205C5" w14:textId="700D4D79" w:rsidR="00222727" w:rsidRPr="00222727" w:rsidRDefault="00222727" w:rsidP="00222727">
    <w:pPr>
      <w:pStyle w:val="Header"/>
      <w:jc w:val="right"/>
      <w:rPr>
        <w:b/>
        <w:bCs/>
      </w:rPr>
    </w:pPr>
    <w:r w:rsidRPr="00222727">
      <w:rPr>
        <w:b/>
        <w:bCs/>
      </w:rPr>
      <w:t>Professional Career Development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8B2E82"/>
    <w:multiLevelType w:val="hybridMultilevel"/>
    <w:tmpl w:val="F8A8CC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4B87"/>
    <w:rsid w:val="00117CA0"/>
    <w:rsid w:val="00147B2A"/>
    <w:rsid w:val="0016553A"/>
    <w:rsid w:val="001A777E"/>
    <w:rsid w:val="00222727"/>
    <w:rsid w:val="0022780B"/>
    <w:rsid w:val="00244B87"/>
    <w:rsid w:val="002B06E5"/>
    <w:rsid w:val="003124D3"/>
    <w:rsid w:val="00320873"/>
    <w:rsid w:val="003918A7"/>
    <w:rsid w:val="003B72AC"/>
    <w:rsid w:val="003D4CDB"/>
    <w:rsid w:val="003F7095"/>
    <w:rsid w:val="004239AE"/>
    <w:rsid w:val="00431C05"/>
    <w:rsid w:val="006C1427"/>
    <w:rsid w:val="0070010C"/>
    <w:rsid w:val="0095153F"/>
    <w:rsid w:val="00953D64"/>
    <w:rsid w:val="00AE7E42"/>
    <w:rsid w:val="00AF2388"/>
    <w:rsid w:val="00BB1688"/>
    <w:rsid w:val="00BD0324"/>
    <w:rsid w:val="00BD27D0"/>
    <w:rsid w:val="00C52860"/>
    <w:rsid w:val="00D50F2C"/>
    <w:rsid w:val="00D83122"/>
    <w:rsid w:val="00DB5000"/>
    <w:rsid w:val="00E42310"/>
    <w:rsid w:val="00EA17AC"/>
    <w:rsid w:val="00EE1F89"/>
    <w:rsid w:val="00F15EC8"/>
    <w:rsid w:val="00F91321"/>
    <w:rsid w:val="00FA23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CF8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 w:eastAsia="en-US" w:bidi="ar-SA"/>
      </w:rPr>
    </w:rPrDefault>
    <w:pPrDefault>
      <w:pPr>
        <w:spacing w:line="48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outlineLvl w:val="2"/>
    </w:pPr>
    <w:rPr>
      <w:i/>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character" w:customStyle="1" w:styleId="Heading1Char">
    <w:name w:val="Heading 1 Char"/>
    <w:basedOn w:val="DefaultParagraphFont"/>
    <w:link w:val="Heading1"/>
    <w:uiPriority w:val="9"/>
    <w:rsid w:val="003D4CDB"/>
    <w:rPr>
      <w:b/>
      <w:sz w:val="28"/>
      <w:szCs w:val="28"/>
    </w:rPr>
  </w:style>
  <w:style w:type="paragraph" w:styleId="Bibliography">
    <w:name w:val="Bibliography"/>
    <w:basedOn w:val="Normal"/>
    <w:next w:val="Normal"/>
    <w:uiPriority w:val="37"/>
    <w:unhideWhenUsed/>
    <w:rsid w:val="003D4CDB"/>
  </w:style>
  <w:style w:type="character" w:styleId="Hyperlink">
    <w:name w:val="Hyperlink"/>
    <w:basedOn w:val="DefaultParagraphFont"/>
    <w:uiPriority w:val="99"/>
    <w:unhideWhenUsed/>
    <w:rsid w:val="003D4CDB"/>
    <w:rPr>
      <w:color w:val="0000FF" w:themeColor="hyperlink"/>
      <w:u w:val="single"/>
    </w:rPr>
  </w:style>
  <w:style w:type="character" w:customStyle="1" w:styleId="UnresolvedMention">
    <w:name w:val="Unresolved Mention"/>
    <w:basedOn w:val="DefaultParagraphFont"/>
    <w:uiPriority w:val="99"/>
    <w:semiHidden/>
    <w:unhideWhenUsed/>
    <w:rsid w:val="003D4CDB"/>
    <w:rPr>
      <w:color w:val="605E5C"/>
      <w:shd w:val="clear" w:color="auto" w:fill="E1DFDD"/>
    </w:rPr>
  </w:style>
  <w:style w:type="paragraph" w:styleId="Header">
    <w:name w:val="header"/>
    <w:basedOn w:val="Normal"/>
    <w:link w:val="HeaderChar"/>
    <w:uiPriority w:val="99"/>
    <w:unhideWhenUsed/>
    <w:rsid w:val="00222727"/>
    <w:pPr>
      <w:tabs>
        <w:tab w:val="center" w:pos="4680"/>
        <w:tab w:val="right" w:pos="9360"/>
      </w:tabs>
      <w:spacing w:line="240" w:lineRule="auto"/>
    </w:pPr>
  </w:style>
  <w:style w:type="character" w:customStyle="1" w:styleId="HeaderChar">
    <w:name w:val="Header Char"/>
    <w:basedOn w:val="DefaultParagraphFont"/>
    <w:link w:val="Header"/>
    <w:uiPriority w:val="99"/>
    <w:rsid w:val="00222727"/>
  </w:style>
  <w:style w:type="paragraph" w:styleId="Footer">
    <w:name w:val="footer"/>
    <w:basedOn w:val="Normal"/>
    <w:link w:val="FooterChar"/>
    <w:uiPriority w:val="99"/>
    <w:unhideWhenUsed/>
    <w:rsid w:val="00222727"/>
    <w:pPr>
      <w:tabs>
        <w:tab w:val="center" w:pos="4680"/>
        <w:tab w:val="right" w:pos="9360"/>
      </w:tabs>
      <w:spacing w:line="240" w:lineRule="auto"/>
    </w:pPr>
  </w:style>
  <w:style w:type="character" w:customStyle="1" w:styleId="FooterChar">
    <w:name w:val="Footer Char"/>
    <w:basedOn w:val="DefaultParagraphFont"/>
    <w:link w:val="Footer"/>
    <w:uiPriority w:val="99"/>
    <w:rsid w:val="00222727"/>
  </w:style>
  <w:style w:type="paragraph" w:styleId="ListParagraph">
    <w:name w:val="List Paragraph"/>
    <w:basedOn w:val="Normal"/>
    <w:uiPriority w:val="34"/>
    <w:qFormat/>
    <w:rsid w:val="00D83122"/>
    <w:pPr>
      <w:ind w:left="720"/>
      <w:contextualSpacing/>
    </w:pPr>
  </w:style>
  <w:style w:type="paragraph" w:styleId="NoSpacing">
    <w:name w:val="No Spacing"/>
    <w:uiPriority w:val="1"/>
    <w:qFormat/>
    <w:rsid w:val="00E42310"/>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149876">
      <w:bodyDiv w:val="1"/>
      <w:marLeft w:val="0"/>
      <w:marRight w:val="0"/>
      <w:marTop w:val="0"/>
      <w:marBottom w:val="0"/>
      <w:divBdr>
        <w:top w:val="none" w:sz="0" w:space="0" w:color="auto"/>
        <w:left w:val="none" w:sz="0" w:space="0" w:color="auto"/>
        <w:bottom w:val="none" w:sz="0" w:space="0" w:color="auto"/>
        <w:right w:val="none" w:sz="0" w:space="0" w:color="auto"/>
      </w:divBdr>
    </w:div>
    <w:div w:id="1086999338">
      <w:bodyDiv w:val="1"/>
      <w:marLeft w:val="0"/>
      <w:marRight w:val="0"/>
      <w:marTop w:val="0"/>
      <w:marBottom w:val="0"/>
      <w:divBdr>
        <w:top w:val="none" w:sz="0" w:space="0" w:color="auto"/>
        <w:left w:val="none" w:sz="0" w:space="0" w:color="auto"/>
        <w:bottom w:val="none" w:sz="0" w:space="0" w:color="auto"/>
        <w:right w:val="none" w:sz="0" w:space="0" w:color="auto"/>
      </w:divBdr>
    </w:div>
    <w:div w:id="1434666240">
      <w:bodyDiv w:val="1"/>
      <w:marLeft w:val="0"/>
      <w:marRight w:val="0"/>
      <w:marTop w:val="0"/>
      <w:marBottom w:val="0"/>
      <w:divBdr>
        <w:top w:val="none" w:sz="0" w:space="0" w:color="auto"/>
        <w:left w:val="none" w:sz="0" w:space="0" w:color="auto"/>
        <w:bottom w:val="none" w:sz="0" w:space="0" w:color="auto"/>
        <w:right w:val="none" w:sz="0" w:space="0" w:color="auto"/>
      </w:divBdr>
    </w:div>
    <w:div w:id="20351854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Jes22</b:Tag>
    <b:SourceType>InternetSite</b:SourceType>
    <b:Guid>{6D2EE05A-D067-4A2D-90E2-60704DFE08FF}</b:Guid>
    <b:Author>
      <b:Author>
        <b:NameList>
          <b:Person>
            <b:Last>Robinson</b:Last>
            <b:First>Jessica</b:First>
          </b:Person>
        </b:NameList>
      </b:Author>
    </b:Author>
    <b:Title>Rolfe et al’s Framework for Reflective Learning</b:Title>
    <b:Year>2022</b:Year>
    <b:YearAccessed>2025</b:YearAccessed>
    <b:MonthAccessed>May</b:MonthAccessed>
    <b:DayAccessed>27</b:DayAccessed>
    <b:URL>https://crowjack.com/blog/strategy/reflection-models/rolfe-reflective-model</b:URL>
    <b:RefOrder>1</b:RefOrder>
  </b:Source>
  <b:Source>
    <b:Tag>Lar212</b:Tag>
    <b:SourceType>InternetSite</b:SourceType>
    <b:Guid>{69DCE852-E001-45F2-BFD0-CDBEA67B9E7E}</b:Guid>
    <b:Author>
      <b:Author>
        <b:NameList>
          <b:Person>
            <b:Last>Caimi</b:Last>
            <b:First>Lara</b:First>
          </b:Person>
        </b:NameList>
      </b:Author>
    </b:Author>
    <b:Title>The Power Of Reflection And Self-Assessment</b:Title>
    <b:Year>2021</b:Year>
    <b:YearAccessed>2025</b:YearAccessed>
    <b:MonthAccessed>May</b:MonthAccessed>
    <b:DayAccessed>27</b:DayAccessed>
    <b:URL>https://www.forbes.com/sites/servicenow/2021/01/28/the-power-of-reflection-and-self-assessment/</b:URL>
    <b:RefOrder>2</b:RefOrder>
  </b:Source>
  <b:Source>
    <b:Tag>Kat25</b:Tag>
    <b:SourceType>InternetSite</b:SourceType>
    <b:Guid>{A312B4E6-9395-43B4-BAE4-B64124EDAB84}</b:Guid>
    <b:Author>
      <b:Author>
        <b:NameList>
          <b:Person>
            <b:Last>Salvator</b:Last>
            <b:First>Katherine</b:First>
          </b:Person>
        </b:NameList>
      </b:Author>
    </b:Author>
    <b:Title>The Secret to Growth: Rolfe’s Reflective Model Explained</b:Title>
    <b:Year>2025</b:Year>
    <b:YearAccessed>2025</b:YearAccessed>
    <b:MonthAccessed>May</b:MonthAccessed>
    <b:DayAccessed>27</b:DayAccessed>
    <b:URL>https://vocal.media/education/the-secret-to-growth-rolfe-s-reflective-model-explained</b:URL>
    <b:RefOrder>3</b:RefOrder>
  </b:Source>
  <b:Source>
    <b:Tag>Mic23</b:Tag>
    <b:SourceType>InternetSite</b:SourceType>
    <b:Guid>{779DA1BE-F08F-4C68-8341-BCCA700A8E3D}</b:Guid>
    <b:Author>
      <b:Author>
        <b:NameList>
          <b:Person>
            <b:Last>Threadgould</b:Last>
            <b:First>Michelle</b:First>
            <b:Middle>Villegas</b:Middle>
          </b:Person>
        </b:NameList>
      </b:Author>
    </b:Author>
    <b:Title>What Is the GROW Coaching Model?</b:Title>
    <b:Year>2023</b:Year>
    <b:YearAccessed>2025</b:YearAccessed>
    <b:MonthAccessed>May</b:MonthAccessed>
    <b:DayAccessed>28</b:DayAccessed>
    <b:URL>https://lattice.com/articles/everything-you-need-to-know-about-the-grow-coaching-model</b:URL>
    <b:RefOrder>1</b:RefOrder>
  </b:Source>
  <b:Source>
    <b:Tag>coa24</b:Tag>
    <b:SourceType>InternetSite</b:SourceType>
    <b:Guid>{3A7EF372-3E72-4184-8F8C-8C86ED633499}</b:Guid>
    <b:Author>
      <b:Author>
        <b:Corporate>coachingcultureatwork</b:Corporate>
      </b:Author>
    </b:Author>
    <b:Title>GROW Model Coaching Framework</b:Title>
    <b:Year>2024</b:Year>
    <b:YearAccessed>2025</b:YearAccessed>
    <b:MonthAccessed>May</b:MonthAccessed>
    <b:DayAccessed>28</b:DayAccessed>
    <b:URL>https://www.coachingcultureatwork.com/the-grow-model/</b:URL>
    <b:RefOrder>2</b:RefOrder>
  </b:Source>
  <b:Source>
    <b:Tag>Mik24</b:Tag>
    <b:SourceType>InternetSite</b:SourceType>
    <b:Guid>{ECFAD5A3-4844-4987-A741-B780B2072F8C}</b:Guid>
    <b:Author>
      <b:Author>
        <b:NameList>
          <b:Person>
            <b:Last>Balk</b:Last>
            <b:First>Mikayla</b:First>
          </b:Person>
        </b:NameList>
      </b:Author>
    </b:Author>
    <b:Title>GROW model for coaching: achieve goals and boost performance</b:Title>
    <b:Year>2024</b:Year>
    <b:YearAccessed>2025</b:YearAccessed>
    <b:MonthAccessed>May</b:MonthAccessed>
    <b:DayAccessed>28</b:DayAccessed>
    <b:URL>https://www.betterup.com/blog/grow-model-for-coaching</b:URL>
    <b:RefOrder>3</b:RefOrder>
  </b:Source>
</b:Sources>
</file>

<file path=customXml/itemProps1.xml><?xml version="1.0" encoding="utf-8"?>
<ds:datastoreItem xmlns:ds="http://schemas.openxmlformats.org/officeDocument/2006/customXml" ds:itemID="{A9B63044-2BBF-4333-9E69-90F421238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1930</Words>
  <Characters>11007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2025-05-30T13:16:00Z</dcterms:created>
  <dcterms:modified xsi:type="dcterms:W3CDTF">2025-05-30T15:28:00Z</dcterms:modified>
</cp:coreProperties>
</file>