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D7579" w14:textId="758153F0" w:rsidR="00A0389D" w:rsidRDefault="002D45B5">
      <w:pPr>
        <w:rPr>
          <w:b/>
          <w:bCs/>
          <w:u w:val="single"/>
        </w:rPr>
      </w:pPr>
      <w:r w:rsidRPr="00A1695C">
        <w:rPr>
          <w:b/>
          <w:bCs/>
          <w:u w:val="single"/>
        </w:rPr>
        <w:t>Movement Process Workbook</w:t>
      </w:r>
    </w:p>
    <w:p w14:paraId="656619F8" w14:textId="5BDC15FA" w:rsidR="00F56C86" w:rsidRPr="00234C92" w:rsidRDefault="00234C92">
      <w:r>
        <w:t>During movement lessons we looked at many practitioners including Wangh, Lecoq</w:t>
      </w:r>
      <w:r w:rsidR="00297B9A">
        <w:t xml:space="preserve"> and Laban.</w:t>
      </w:r>
      <w:r w:rsidR="00D04DB9">
        <w:t xml:space="preserve"> </w:t>
      </w:r>
      <w:r w:rsidR="004C120E">
        <w:t>For our practical piece we tried to tie in all we had learnt together to make one ensemble piece with many different techniques added in throughout. We didn’t want to just create a piece with techniques</w:t>
      </w:r>
      <w:r w:rsidR="00B668DE">
        <w:t>,</w:t>
      </w:r>
      <w:r w:rsidR="004C120E">
        <w:t xml:space="preserve"> but also have a storyline throughout</w:t>
      </w:r>
      <w:r w:rsidR="0092516C">
        <w:t>.</w:t>
      </w:r>
      <w:r w:rsidR="004C120E">
        <w:t xml:space="preserve"> </w:t>
      </w:r>
      <w:r w:rsidR="0092516C">
        <w:t>T</w:t>
      </w:r>
      <w:r w:rsidR="00BF4BA1">
        <w:t>he poems tell a story t</w:t>
      </w:r>
      <w:r w:rsidR="0092516C">
        <w:t>hat</w:t>
      </w:r>
      <w:r w:rsidR="00BF4BA1">
        <w:t xml:space="preserve"> allow</w:t>
      </w:r>
      <w:r w:rsidR="0092516C">
        <w:t>s</w:t>
      </w:r>
      <w:r w:rsidR="00BF4BA1">
        <w:t xml:space="preserve"> the audience to understand the</w:t>
      </w:r>
      <w:r w:rsidR="0092516C">
        <w:t xml:space="preserve">ir </w:t>
      </w:r>
      <w:r w:rsidR="00BF4BA1">
        <w:t>deeper meaning</w:t>
      </w:r>
      <w:r w:rsidR="0092516C">
        <w:t>s</w:t>
      </w:r>
      <w:r w:rsidR="00BF4BA1">
        <w:t xml:space="preserve">. </w:t>
      </w:r>
      <w:r w:rsidR="004C120E">
        <w:t>I have written about some of the techniques that I found most interesting during the sessions which were able to be included in the performance.</w:t>
      </w:r>
    </w:p>
    <w:p w14:paraId="63FE521F" w14:textId="32BA5A6F" w:rsidR="00B51B04" w:rsidRPr="00B51B04" w:rsidRDefault="00B51B04">
      <w:pPr>
        <w:rPr>
          <w:u w:val="single"/>
        </w:rPr>
      </w:pPr>
      <w:r w:rsidRPr="00B51B04">
        <w:rPr>
          <w:u w:val="single"/>
        </w:rPr>
        <w:t>Complicite:</w:t>
      </w:r>
    </w:p>
    <w:p w14:paraId="0E5AEFC4" w14:textId="6E1CA468" w:rsidR="00F56C86" w:rsidRPr="00214C6B" w:rsidRDefault="000862D2">
      <w:r>
        <w:t xml:space="preserve">One subject we focused on intensely in class was </w:t>
      </w:r>
      <w:r w:rsidR="00922E15">
        <w:t>c</w:t>
      </w:r>
      <w:r>
        <w:t xml:space="preserve">omplicite, and more </w:t>
      </w:r>
      <w:r w:rsidR="0084351C">
        <w:t>in-depth</w:t>
      </w:r>
      <w:r>
        <w:t xml:space="preserve"> Jacques Lecoq’s influence on complicite, toying with an idea of playfulness, unlike those who worked on it before him. The first time we attempted this as a class, it was a mess with many being confused as to how it worked. Yet as time went on and we began to focus in silence, we managed to achieve stopping in complete unison</w:t>
      </w:r>
      <w:r w:rsidR="00B30FDE">
        <w:t>. This felt like a great accomplishment in itself and when we broke off into two groups and I was able to watch the other group stop in perfect harmony, I found it incredibly intriguing and yet very eerie. In another lesson we attempted complicite again but added in another step; to clap at the same time. Although it was just another small step, it was incredibly challenging with complications from some clapping to</w:t>
      </w:r>
      <w:r w:rsidR="0092516C">
        <w:t>o</w:t>
      </w:r>
      <w:r w:rsidR="00B30FDE">
        <w:t xml:space="preserve"> early and others being more hesitant to do some. However, after we again began to </w:t>
      </w:r>
      <w:r w:rsidR="0084351C">
        <w:t>focus,</w:t>
      </w:r>
      <w:r w:rsidR="00B30FDE">
        <w:t xml:space="preserve"> we were able to complete this next step. </w:t>
      </w:r>
      <w:r w:rsidR="000B5CE3">
        <w:t xml:space="preserve">Jacques Lecoq had a fundamental influence on the work of complicite by allowing actors to explore different ways to walk around. This is something my group added into our performance piece, because we found that after each reading of a poem, we could choose one key emotion felt in that poem and focus on it while we walked. Some of these emotions </w:t>
      </w:r>
      <w:r w:rsidR="0084351C">
        <w:t>included</w:t>
      </w:r>
      <w:r w:rsidR="000B5CE3">
        <w:t xml:space="preserve"> wonder, </w:t>
      </w:r>
      <w:r w:rsidR="0084351C">
        <w:t>depression,</w:t>
      </w:r>
      <w:r w:rsidR="000B5CE3">
        <w:t xml:space="preserve"> and pride. We felt this added a key element to our performance piece which allowed the poems to come to life, lead by the emotions each poem oozed.</w:t>
      </w:r>
      <w:r w:rsidR="00B53115">
        <w:t xml:space="preserve"> I found that complicite </w:t>
      </w:r>
      <w:r w:rsidR="000A74D4">
        <w:t xml:space="preserve">is incredibly useful when training to be an actor </w:t>
      </w:r>
      <w:r w:rsidR="00B53115">
        <w:t xml:space="preserve">as it allows you to be more aware of your surroundings </w:t>
      </w:r>
      <w:r w:rsidR="000A74D4">
        <w:t xml:space="preserve">which is crucial when performing. </w:t>
      </w:r>
      <w:r w:rsidR="00285CAA">
        <w:t>‘Complicite amongst performers is the crux of ensemble practices.’</w:t>
      </w:r>
      <w:r w:rsidR="00285CAA">
        <w:rPr>
          <w:rStyle w:val="FootnoteReference"/>
        </w:rPr>
        <w:footnoteReference w:id="1"/>
      </w:r>
      <w:r w:rsidR="00285CAA">
        <w:t xml:space="preserve"> </w:t>
      </w:r>
      <w:r w:rsidR="000A74D4">
        <w:t>I have already begun to apply it to my other modules where I am performing monologues and a duologue.</w:t>
      </w:r>
      <w:r w:rsidR="00285CAA">
        <w:t xml:space="preserve"> </w:t>
      </w:r>
    </w:p>
    <w:p w14:paraId="474D6E8F" w14:textId="18FF1F28" w:rsidR="00B51B04" w:rsidRPr="00B51B04" w:rsidRDefault="00B51B04">
      <w:pPr>
        <w:rPr>
          <w:u w:val="single"/>
        </w:rPr>
      </w:pPr>
      <w:r w:rsidRPr="00B51B04">
        <w:rPr>
          <w:u w:val="single"/>
        </w:rPr>
        <w:t>Plastiques:</w:t>
      </w:r>
    </w:p>
    <w:p w14:paraId="7A1F4033" w14:textId="5696A567" w:rsidR="007C5E43" w:rsidRDefault="00B51B04">
      <w:r>
        <w:t>Another key element we looked at in class which had a big impact on m</w:t>
      </w:r>
      <w:r w:rsidR="00D656E1">
        <w:t>e</w:t>
      </w:r>
      <w:r>
        <w:t xml:space="preserve"> was plastiques as well as isolation within that.</w:t>
      </w:r>
      <w:r w:rsidR="00B049A5">
        <w:t xml:space="preserve"> We talked about</w:t>
      </w:r>
      <w:r w:rsidR="004D1489" w:rsidRPr="004D1489">
        <w:t xml:space="preserve"> </w:t>
      </w:r>
      <w:r w:rsidR="004D1489">
        <w:t xml:space="preserve">Stephen Wangh who wrote ‘An acrobat of the heart’ </w:t>
      </w:r>
      <w:r w:rsidR="00640AE1">
        <w:t xml:space="preserve">(2000) </w:t>
      </w:r>
      <w:r w:rsidR="004D1489">
        <w:t>where he writes about Grotowski’s work and how it is helpful for an actor</w:t>
      </w:r>
      <w:r w:rsidR="007C5E43">
        <w:t>’s</w:t>
      </w:r>
      <w:r w:rsidR="0051530B">
        <w:t xml:space="preserve"> creativity on the stage</w:t>
      </w:r>
      <w:r w:rsidR="00B049A5">
        <w:t xml:space="preserve"> and as</w:t>
      </w:r>
      <w:r w:rsidR="0051530B">
        <w:t xml:space="preserve"> a </w:t>
      </w:r>
      <w:r w:rsidR="00B049A5">
        <w:t>class,</w:t>
      </w:r>
      <w:r w:rsidR="0051530B">
        <w:t xml:space="preserve"> we </w:t>
      </w:r>
      <w:r w:rsidR="00B049A5">
        <w:t>explored some of his work.</w:t>
      </w:r>
      <w:r w:rsidR="00640AE1">
        <w:rPr>
          <w:rStyle w:val="FootnoteReference"/>
        </w:rPr>
        <w:footnoteReference w:id="2"/>
      </w:r>
    </w:p>
    <w:p w14:paraId="33546C4F" w14:textId="167AA530" w:rsidR="007C5E43" w:rsidRDefault="007C5E43">
      <w:r>
        <w:t>To begin the</w:t>
      </w:r>
      <w:r>
        <w:t xml:space="preserve"> lesson</w:t>
      </w:r>
      <w:r w:rsidR="00BA4AFB">
        <w:t>,</w:t>
      </w:r>
      <w:r>
        <w:t xml:space="preserve"> we were told to come up with our own warm up, which could be anything of our choosing. After about 5 minutes of us all leading our own warmups, we were told to notice what we were thinking about and even say it out loud if we wanted too. I never really considered the benefits of a warmup other than the idea of stretching out our limbs to reduce the risk of harming ourselves later with strenuous workouts. But Wangh writes ‘’you will find that these two ways of working – bringing the body to the mind and bring</w:t>
      </w:r>
      <w:r w:rsidR="00BA4AFB">
        <w:t>ing</w:t>
      </w:r>
      <w:r>
        <w:t xml:space="preserve"> the mind to the body – slip back and forth quite effortlessly. And both of them serve the purpose of centring you.’’</w:t>
      </w:r>
      <w:r>
        <w:rPr>
          <w:rStyle w:val="FootnoteReference"/>
        </w:rPr>
        <w:footnoteReference w:id="3"/>
      </w:r>
      <w:r>
        <w:t xml:space="preserve"> I found this interesting when I started to notice where my mind wondered off too while doing a simple warmup.</w:t>
      </w:r>
    </w:p>
    <w:p w14:paraId="704A900B" w14:textId="720D4C89" w:rsidR="004D1489" w:rsidRDefault="00B049A5">
      <w:r>
        <w:lastRenderedPageBreak/>
        <w:t xml:space="preserve"> </w:t>
      </w:r>
      <w:r w:rsidR="007C5E43">
        <w:t>However, it wasn’t until w</w:t>
      </w:r>
      <w:r>
        <w:t xml:space="preserve">e </w:t>
      </w:r>
      <w:r w:rsidR="0051530B">
        <w:t>went through different isolations of the body</w:t>
      </w:r>
      <w:r w:rsidR="00F61300">
        <w:t>,</w:t>
      </w:r>
      <w:r w:rsidR="0051530B">
        <w:t xml:space="preserve"> starting with our eyelids and working all the way down to our feet</w:t>
      </w:r>
      <w:r w:rsidR="00F61300">
        <w:t>,</w:t>
      </w:r>
      <w:r w:rsidR="007C5E43">
        <w:t xml:space="preserve"> that I realised the importance of allowing both my mind and my body to work in harmony</w:t>
      </w:r>
      <w:r w:rsidR="0051530B">
        <w:t>.</w:t>
      </w:r>
      <w:r>
        <w:t xml:space="preserve"> This brought an amazing insight as it allowed me to explore movements within my body </w:t>
      </w:r>
      <w:r w:rsidR="004D1489">
        <w:t xml:space="preserve"> </w:t>
      </w:r>
      <w:r>
        <w:t>and instead of thinking ahead to what I should do next, instead I just allowed myself to be in the moment and allow my body to flow.</w:t>
      </w:r>
      <w:r w:rsidR="000169CB">
        <w:t xml:space="preserve"> This happened when we attempted the plastiques river where we had to move from one side of the room to the next allowing our movements to just flow. The first time we attempted this I couldn’t get into it as I felt too self-conscious, but when I allowed myself to move past this and we attempted it for the second time, I actually allowed my movements to flow and didn’t even realise I had reached the other side of the room until I almost bumped into another student. This definitely had a big effect on </w:t>
      </w:r>
      <w:r w:rsidR="0026336E">
        <w:t>me,</w:t>
      </w:r>
      <w:r w:rsidR="000169CB">
        <w:t xml:space="preserve"> and I felt almost empowered with the idea that if I stopped worrying about </w:t>
      </w:r>
      <w:r w:rsidR="00570C68">
        <w:t xml:space="preserve">things such as how I </w:t>
      </w:r>
      <w:r w:rsidR="0026336E">
        <w:t>looked,</w:t>
      </w:r>
      <w:r w:rsidR="00570C68">
        <w:t xml:space="preserve"> I could make real progress. This was something I incorporated into my practical piece for my individual poem</w:t>
      </w:r>
      <w:r w:rsidR="00026328">
        <w:t>, by having isolation of just my wrist at several points within the piece</w:t>
      </w:r>
      <w:r w:rsidR="00570C68">
        <w:t>.</w:t>
      </w:r>
      <w:r w:rsidR="00297B9A">
        <w:t xml:space="preserve"> This is also something I believe I can use for my other modules and future projects, as allowing just the simple idea of not letting myself get self-conscious </w:t>
      </w:r>
      <w:r w:rsidR="00584C0E">
        <w:t xml:space="preserve">about what I look like and allowing my body and my mind to work together to help centre myself </w:t>
      </w:r>
      <w:r w:rsidR="00026328">
        <w:t xml:space="preserve">which </w:t>
      </w:r>
      <w:r w:rsidR="00584C0E">
        <w:t>could be very beneficial for future projects.</w:t>
      </w:r>
    </w:p>
    <w:p w14:paraId="0248386A" w14:textId="70C71A82" w:rsidR="005D11E2" w:rsidRDefault="005D11E2">
      <w:pPr>
        <w:rPr>
          <w:u w:val="single"/>
        </w:rPr>
      </w:pPr>
      <w:r>
        <w:rPr>
          <w:u w:val="single"/>
        </w:rPr>
        <w:t>Laban:</w:t>
      </w:r>
    </w:p>
    <w:p w14:paraId="2150E680" w14:textId="224D2FDD" w:rsidR="005D11E2" w:rsidRDefault="005D11E2">
      <w:r>
        <w:t xml:space="preserve">We also looked at Laban’s work where he writes about </w:t>
      </w:r>
      <w:r w:rsidR="00D01F6E">
        <w:t xml:space="preserve">the </w:t>
      </w:r>
      <w:r>
        <w:t>8 basic efforts and how applying each one to either an action or saying a simple sentence can change it completely.</w:t>
      </w:r>
      <w:r w:rsidR="00056930">
        <w:rPr>
          <w:rStyle w:val="FootnoteReference"/>
        </w:rPr>
        <w:footnoteReference w:id="4"/>
      </w:r>
      <w:r>
        <w:t xml:space="preserve"> This was very </w:t>
      </w:r>
      <w:r w:rsidR="008515D8">
        <w:t>interesting,</w:t>
      </w:r>
      <w:r>
        <w:t xml:space="preserve"> </w:t>
      </w:r>
      <w:r w:rsidR="008515D8">
        <w:t>and each effort would affect your pace, stance, weight, space</w:t>
      </w:r>
      <w:r w:rsidR="00D01F6E">
        <w:t>,</w:t>
      </w:r>
      <w:r w:rsidR="008515D8">
        <w:t xml:space="preserve"> and flow which was a lot of fun to play around with. We played around with this idea by being put into groups and put into a line and being told to copy the person in front of us and exaggerate one thing in particular. When watching the other group do this you witness one simple movement such as arms swinging very slightly from the first person in the line get exaggerated as it went down the line until the person at the end was swinging their arms frantically around.</w:t>
      </w:r>
      <w:r w:rsidR="00E415EC">
        <w:t xml:space="preserve"> This was a lot of fun to play around with and when it came to our practical performance, we decided to use this idea in with our complicite. So, when we were walking around, we were not neutral every time but reacting to our poems and trying to include some of the efforts into this. I also incorporated this into how I recited my poem, with different lines having a different effort attached to it. </w:t>
      </w:r>
      <w:r w:rsidR="00E415EC" w:rsidRPr="00AD46F5">
        <w:t>This allowed me to play around with the poem and explore</w:t>
      </w:r>
      <w:r w:rsidR="00E415EC">
        <w:t xml:space="preserve"> the meaning further. Laban’s 8 basic efforts is something we have also looked at in our acting module with learning lines and how to perform them. It is definitely something I will continue to use </w:t>
      </w:r>
      <w:r w:rsidR="00F47731">
        <w:t>with further pr</w:t>
      </w:r>
      <w:r w:rsidR="00AD46F5">
        <w:t>o</w:t>
      </w:r>
      <w:r w:rsidR="00F47731">
        <w:t>jects as I have found it to be highly beneficial and very interesting.</w:t>
      </w:r>
    </w:p>
    <w:p w14:paraId="00893ADB" w14:textId="30982FFC" w:rsidR="005C233A" w:rsidRPr="005C233A" w:rsidRDefault="005C233A">
      <w:pPr>
        <w:rPr>
          <w:u w:val="single"/>
        </w:rPr>
      </w:pPr>
      <w:r w:rsidRPr="005C233A">
        <w:rPr>
          <w:u w:val="single"/>
        </w:rPr>
        <w:t>Vocal Exercises:</w:t>
      </w:r>
    </w:p>
    <w:p w14:paraId="1EB055C7" w14:textId="7E940D24" w:rsidR="00056930" w:rsidRDefault="005C233A">
      <w:r>
        <w:t xml:space="preserve">We had a few sessions where we just looked at warming up our voices and how we can apply these to our practical performances. Some exercises include simple tongue twisters which helped when focusing on pronunciation when reciting our poems, which certainly helped when it came to performing mine because before </w:t>
      </w:r>
      <w:r w:rsidR="00951A0D">
        <w:t>this,</w:t>
      </w:r>
      <w:r>
        <w:t xml:space="preserve"> I wasn’t really thinking about pronunciation but rather what I was doing while </w:t>
      </w:r>
      <w:r w:rsidR="00951A0D">
        <w:t>doing it. When I actually read through my poem and thought about all the punctuation as well, it changed the way I read it and therefore the overall meaning was changed.</w:t>
      </w:r>
    </w:p>
    <w:p w14:paraId="3C441EED" w14:textId="77777777" w:rsidR="00214C6B" w:rsidRDefault="00214C6B">
      <w:pPr>
        <w:rPr>
          <w:b/>
          <w:bCs/>
          <w:u w:val="single"/>
        </w:rPr>
      </w:pPr>
    </w:p>
    <w:p w14:paraId="27B659EA" w14:textId="77777777" w:rsidR="00214C6B" w:rsidRDefault="00214C6B">
      <w:pPr>
        <w:rPr>
          <w:b/>
          <w:bCs/>
          <w:u w:val="single"/>
        </w:rPr>
      </w:pPr>
    </w:p>
    <w:p w14:paraId="7B496857" w14:textId="1C634763" w:rsidR="00056930" w:rsidRPr="00056930" w:rsidRDefault="00056930">
      <w:pPr>
        <w:rPr>
          <w:b/>
          <w:bCs/>
          <w:u w:val="single"/>
        </w:rPr>
      </w:pPr>
      <w:r w:rsidRPr="00056930">
        <w:rPr>
          <w:b/>
          <w:bCs/>
          <w:u w:val="single"/>
        </w:rPr>
        <w:lastRenderedPageBreak/>
        <w:t>Bibliography</w:t>
      </w:r>
    </w:p>
    <w:p w14:paraId="7AEC89C6" w14:textId="3CEE2467" w:rsidR="000862D2" w:rsidRDefault="004C14F4">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Callery</w:t>
      </w:r>
      <w:proofErr w:type="spellEnd"/>
      <w:r>
        <w:rPr>
          <w:rFonts w:ascii="Open Sans" w:hAnsi="Open Sans" w:cs="Open Sans"/>
          <w:color w:val="000000"/>
          <w:sz w:val="20"/>
          <w:szCs w:val="20"/>
          <w:shd w:val="clear" w:color="auto" w:fill="FFFFFF"/>
        </w:rPr>
        <w:t>, D., 2001. </w:t>
      </w:r>
      <w:r>
        <w:rPr>
          <w:rFonts w:ascii="Open Sans" w:hAnsi="Open Sans" w:cs="Open Sans"/>
          <w:i/>
          <w:iCs/>
          <w:color w:val="000000"/>
          <w:sz w:val="20"/>
          <w:szCs w:val="20"/>
          <w:shd w:val="clear" w:color="auto" w:fill="FFFFFF"/>
        </w:rPr>
        <w:t>Through the body</w:t>
      </w:r>
      <w:r>
        <w:rPr>
          <w:rFonts w:ascii="Open Sans" w:hAnsi="Open Sans" w:cs="Open Sans"/>
          <w:color w:val="000000"/>
          <w:sz w:val="20"/>
          <w:szCs w:val="20"/>
          <w:shd w:val="clear" w:color="auto" w:fill="FFFFFF"/>
        </w:rPr>
        <w:t>. p.88.</w:t>
      </w:r>
    </w:p>
    <w:p w14:paraId="16F76A5F" w14:textId="03D1AFBF" w:rsidR="004C14F4" w:rsidRDefault="004C14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Ewan, V. and </w:t>
      </w:r>
      <w:proofErr w:type="spellStart"/>
      <w:r>
        <w:rPr>
          <w:rFonts w:ascii="Open Sans" w:hAnsi="Open Sans" w:cs="Open Sans"/>
          <w:color w:val="000000"/>
          <w:sz w:val="20"/>
          <w:szCs w:val="20"/>
          <w:shd w:val="clear" w:color="auto" w:fill="FFFFFF"/>
        </w:rPr>
        <w:t>Sagovsky</w:t>
      </w:r>
      <w:proofErr w:type="spellEnd"/>
      <w:r>
        <w:rPr>
          <w:rFonts w:ascii="Open Sans" w:hAnsi="Open Sans" w:cs="Open Sans"/>
          <w:color w:val="000000"/>
          <w:sz w:val="20"/>
          <w:szCs w:val="20"/>
          <w:shd w:val="clear" w:color="auto" w:fill="FFFFFF"/>
        </w:rPr>
        <w:t>, K., n.d. </w:t>
      </w:r>
      <w:r>
        <w:rPr>
          <w:rFonts w:ascii="Open Sans" w:hAnsi="Open Sans" w:cs="Open Sans"/>
          <w:i/>
          <w:iCs/>
          <w:color w:val="000000"/>
          <w:sz w:val="20"/>
          <w:szCs w:val="20"/>
          <w:shd w:val="clear" w:color="auto" w:fill="FFFFFF"/>
        </w:rPr>
        <w:t>Laban's efforts in action</w:t>
      </w:r>
      <w:r>
        <w:rPr>
          <w:rFonts w:ascii="Open Sans" w:hAnsi="Open Sans" w:cs="Open Sans"/>
          <w:color w:val="000000"/>
          <w:sz w:val="20"/>
          <w:szCs w:val="20"/>
          <w:shd w:val="clear" w:color="auto" w:fill="FFFFFF"/>
        </w:rPr>
        <w:t>.</w:t>
      </w:r>
    </w:p>
    <w:p w14:paraId="1E4FF3E0" w14:textId="55C41F68" w:rsidR="004C14F4" w:rsidRDefault="004C14F4">
      <w:r>
        <w:rPr>
          <w:rFonts w:ascii="Open Sans" w:hAnsi="Open Sans" w:cs="Open Sans"/>
          <w:color w:val="000000"/>
          <w:sz w:val="20"/>
          <w:szCs w:val="20"/>
          <w:shd w:val="clear" w:color="auto" w:fill="FFFFFF"/>
        </w:rPr>
        <w:t>Wangh, S., 2016. </w:t>
      </w:r>
      <w:r>
        <w:rPr>
          <w:rFonts w:ascii="Open Sans" w:hAnsi="Open Sans" w:cs="Open Sans"/>
          <w:i/>
          <w:iCs/>
          <w:color w:val="000000"/>
          <w:sz w:val="20"/>
          <w:szCs w:val="20"/>
          <w:shd w:val="clear" w:color="auto" w:fill="FFFFFF"/>
        </w:rPr>
        <w:t>An acrobat of the heart</w:t>
      </w:r>
      <w:r>
        <w:rPr>
          <w:rFonts w:ascii="Open Sans" w:hAnsi="Open Sans" w:cs="Open Sans"/>
          <w:color w:val="000000"/>
          <w:sz w:val="20"/>
          <w:szCs w:val="20"/>
          <w:shd w:val="clear" w:color="auto" w:fill="FFFFFF"/>
        </w:rPr>
        <w:t xml:space="preserve">. Vancouver, B.C.: </w:t>
      </w:r>
      <w:proofErr w:type="spellStart"/>
      <w:r>
        <w:rPr>
          <w:rFonts w:ascii="Open Sans" w:hAnsi="Open Sans" w:cs="Open Sans"/>
          <w:color w:val="000000"/>
          <w:sz w:val="20"/>
          <w:szCs w:val="20"/>
          <w:shd w:val="clear" w:color="auto" w:fill="FFFFFF"/>
        </w:rPr>
        <w:t>Langara</w:t>
      </w:r>
      <w:proofErr w:type="spellEnd"/>
      <w:r>
        <w:rPr>
          <w:rFonts w:ascii="Open Sans" w:hAnsi="Open Sans" w:cs="Open Sans"/>
          <w:color w:val="000000"/>
          <w:sz w:val="20"/>
          <w:szCs w:val="20"/>
          <w:shd w:val="clear" w:color="auto" w:fill="FFFFFF"/>
        </w:rPr>
        <w:t xml:space="preserve"> College, p.17.</w:t>
      </w:r>
    </w:p>
    <w:p w14:paraId="27BDFC24" w14:textId="77777777" w:rsidR="000862D2" w:rsidRDefault="000862D2"/>
    <w:p w14:paraId="5CADE2C2" w14:textId="59AA2676" w:rsidR="000862D2" w:rsidRPr="009E395F" w:rsidRDefault="000862D2"/>
    <w:sectPr w:rsidR="000862D2" w:rsidRPr="009E395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827D2" w14:textId="77777777" w:rsidR="009206F1" w:rsidRDefault="009206F1" w:rsidP="00A1695C">
      <w:pPr>
        <w:spacing w:after="0" w:line="240" w:lineRule="auto"/>
      </w:pPr>
      <w:r>
        <w:separator/>
      </w:r>
    </w:p>
  </w:endnote>
  <w:endnote w:type="continuationSeparator" w:id="0">
    <w:p w14:paraId="0D397D88" w14:textId="77777777" w:rsidR="009206F1" w:rsidRDefault="009206F1" w:rsidP="00A16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7397185"/>
      <w:docPartObj>
        <w:docPartGallery w:val="Page Numbers (Bottom of Page)"/>
        <w:docPartUnique/>
      </w:docPartObj>
    </w:sdtPr>
    <w:sdtEndPr>
      <w:rPr>
        <w:noProof/>
      </w:rPr>
    </w:sdtEndPr>
    <w:sdtContent>
      <w:p w14:paraId="4DA865E0" w14:textId="05FB1763" w:rsidR="00946EEC" w:rsidRDefault="00946E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CEA388" w14:textId="77777777" w:rsidR="00A13814" w:rsidRDefault="00A13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170F4" w14:textId="77777777" w:rsidR="009206F1" w:rsidRDefault="009206F1" w:rsidP="00A1695C">
      <w:pPr>
        <w:spacing w:after="0" w:line="240" w:lineRule="auto"/>
      </w:pPr>
      <w:r>
        <w:separator/>
      </w:r>
    </w:p>
  </w:footnote>
  <w:footnote w:type="continuationSeparator" w:id="0">
    <w:p w14:paraId="44F5A202" w14:textId="77777777" w:rsidR="009206F1" w:rsidRDefault="009206F1" w:rsidP="00A1695C">
      <w:pPr>
        <w:spacing w:after="0" w:line="240" w:lineRule="auto"/>
      </w:pPr>
      <w:r>
        <w:continuationSeparator/>
      </w:r>
    </w:p>
  </w:footnote>
  <w:footnote w:id="1">
    <w:p w14:paraId="796728BC" w14:textId="50AE7B2D" w:rsidR="00285CAA" w:rsidRDefault="00285CAA">
      <w:pPr>
        <w:pStyle w:val="FootnoteText"/>
      </w:pPr>
      <w:r>
        <w:rPr>
          <w:rStyle w:val="FootnoteReference"/>
        </w:rPr>
        <w:footnoteRef/>
      </w:r>
      <w:r>
        <w:t xml:space="preserve"> </w:t>
      </w:r>
      <w:proofErr w:type="spellStart"/>
      <w:r w:rsidR="009B6766" w:rsidRPr="009B6766">
        <w:t>Callery</w:t>
      </w:r>
      <w:proofErr w:type="spellEnd"/>
      <w:r w:rsidR="009B6766" w:rsidRPr="009B6766">
        <w:t>, D., 2001. </w:t>
      </w:r>
      <w:r w:rsidR="009B6766" w:rsidRPr="009B6766">
        <w:rPr>
          <w:i/>
          <w:iCs/>
        </w:rPr>
        <w:t>Through the body</w:t>
      </w:r>
      <w:r w:rsidR="009B6766" w:rsidRPr="009B6766">
        <w:t>. p.88.</w:t>
      </w:r>
    </w:p>
  </w:footnote>
  <w:footnote w:id="2">
    <w:p w14:paraId="4BB10359" w14:textId="29413E76" w:rsidR="00640AE1" w:rsidRDefault="00640AE1">
      <w:pPr>
        <w:pStyle w:val="FootnoteText"/>
      </w:pPr>
      <w:r>
        <w:rPr>
          <w:rStyle w:val="FootnoteReference"/>
        </w:rPr>
        <w:footnoteRef/>
      </w:r>
      <w:r>
        <w:t xml:space="preserve"> Wangh, S., 2000. ‘ An acrobat of the heart’ New York: Vintage books</w:t>
      </w:r>
    </w:p>
  </w:footnote>
  <w:footnote w:id="3">
    <w:p w14:paraId="1F0E0F92" w14:textId="77777777" w:rsidR="007C5E43" w:rsidRDefault="007C5E43" w:rsidP="007C5E43">
      <w:pPr>
        <w:pStyle w:val="FootnoteText"/>
      </w:pPr>
      <w:r>
        <w:rPr>
          <w:rStyle w:val="FootnoteReference"/>
        </w:rPr>
        <w:footnoteRef/>
      </w:r>
      <w:r>
        <w:t xml:space="preserve"> </w:t>
      </w:r>
      <w:r w:rsidRPr="004D1489">
        <w:t>Wangh, S., 2016. </w:t>
      </w:r>
      <w:r w:rsidRPr="004D1489">
        <w:rPr>
          <w:i/>
          <w:iCs/>
        </w:rPr>
        <w:t>An acrobat of the heart</w:t>
      </w:r>
      <w:r w:rsidRPr="004D1489">
        <w:t xml:space="preserve">. Vancouver, B.C.: </w:t>
      </w:r>
      <w:proofErr w:type="spellStart"/>
      <w:r w:rsidRPr="004D1489">
        <w:t>Langara</w:t>
      </w:r>
      <w:proofErr w:type="spellEnd"/>
      <w:r w:rsidRPr="004D1489">
        <w:t xml:space="preserve"> College, p.17.</w:t>
      </w:r>
    </w:p>
  </w:footnote>
  <w:footnote w:id="4">
    <w:p w14:paraId="168A7847" w14:textId="5989BFF9" w:rsidR="00056930" w:rsidRDefault="00056930">
      <w:pPr>
        <w:pStyle w:val="FootnoteText"/>
      </w:pPr>
      <w:r>
        <w:rPr>
          <w:rStyle w:val="FootnoteReference"/>
        </w:rPr>
        <w:footnoteRef/>
      </w:r>
      <w:r>
        <w:t xml:space="preserve"> </w:t>
      </w:r>
      <w:r w:rsidRPr="00056930">
        <w:t xml:space="preserve">Ewan, V. and </w:t>
      </w:r>
      <w:proofErr w:type="spellStart"/>
      <w:r w:rsidRPr="00056930">
        <w:t>Sagovsky</w:t>
      </w:r>
      <w:proofErr w:type="spellEnd"/>
      <w:r w:rsidRPr="00056930">
        <w:t>, K., n.d. </w:t>
      </w:r>
      <w:r w:rsidRPr="00056930">
        <w:rPr>
          <w:i/>
          <w:iCs/>
        </w:rPr>
        <w:t>Laban's efforts in action</w:t>
      </w:r>
      <w:r w:rsidRPr="0005693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DF4EC" w14:textId="76B15607" w:rsidR="00A13814" w:rsidRDefault="00A13814">
    <w:pPr>
      <w:pStyle w:val="Header"/>
    </w:pPr>
    <w:r>
      <w:t>Anna Erwin - 2100694</w:t>
    </w:r>
  </w:p>
  <w:p w14:paraId="5B1905DB" w14:textId="77777777" w:rsidR="00A13814" w:rsidRDefault="00A138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5B5"/>
    <w:rsid w:val="000169CB"/>
    <w:rsid w:val="00026328"/>
    <w:rsid w:val="00056930"/>
    <w:rsid w:val="000862D2"/>
    <w:rsid w:val="000A74D4"/>
    <w:rsid w:val="000B5CE3"/>
    <w:rsid w:val="001A4B65"/>
    <w:rsid w:val="001F78DF"/>
    <w:rsid w:val="00214C6B"/>
    <w:rsid w:val="0022613D"/>
    <w:rsid w:val="00234C92"/>
    <w:rsid w:val="0026336E"/>
    <w:rsid w:val="00285CAA"/>
    <w:rsid w:val="00297B9A"/>
    <w:rsid w:val="002B03E1"/>
    <w:rsid w:val="002D45B5"/>
    <w:rsid w:val="004C120E"/>
    <w:rsid w:val="004C14F4"/>
    <w:rsid w:val="004D1489"/>
    <w:rsid w:val="0051530B"/>
    <w:rsid w:val="00570C68"/>
    <w:rsid w:val="00584C0E"/>
    <w:rsid w:val="005C233A"/>
    <w:rsid w:val="005D11E2"/>
    <w:rsid w:val="00640AE1"/>
    <w:rsid w:val="007C5E43"/>
    <w:rsid w:val="0084351C"/>
    <w:rsid w:val="008515D8"/>
    <w:rsid w:val="009206F1"/>
    <w:rsid w:val="00922E15"/>
    <w:rsid w:val="0092516C"/>
    <w:rsid w:val="00946EEC"/>
    <w:rsid w:val="00951A0D"/>
    <w:rsid w:val="00954ADF"/>
    <w:rsid w:val="009B6766"/>
    <w:rsid w:val="009E395F"/>
    <w:rsid w:val="00A0389D"/>
    <w:rsid w:val="00A13814"/>
    <w:rsid w:val="00A1695C"/>
    <w:rsid w:val="00AD0208"/>
    <w:rsid w:val="00AD46F5"/>
    <w:rsid w:val="00AD7780"/>
    <w:rsid w:val="00AE69E7"/>
    <w:rsid w:val="00B049A5"/>
    <w:rsid w:val="00B30FDE"/>
    <w:rsid w:val="00B51B04"/>
    <w:rsid w:val="00B53115"/>
    <w:rsid w:val="00B53D90"/>
    <w:rsid w:val="00B668DE"/>
    <w:rsid w:val="00BA4AFB"/>
    <w:rsid w:val="00BF4BA1"/>
    <w:rsid w:val="00C27B5D"/>
    <w:rsid w:val="00D01F6E"/>
    <w:rsid w:val="00D04DB9"/>
    <w:rsid w:val="00D656E1"/>
    <w:rsid w:val="00D87394"/>
    <w:rsid w:val="00DC1A4F"/>
    <w:rsid w:val="00E415EC"/>
    <w:rsid w:val="00F47731"/>
    <w:rsid w:val="00F56C86"/>
    <w:rsid w:val="00F61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34B66"/>
  <w15:chartTrackingRefBased/>
  <w15:docId w15:val="{0FF865D1-E48F-43BC-BA74-384D35CAB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6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95C"/>
  </w:style>
  <w:style w:type="paragraph" w:styleId="Footer">
    <w:name w:val="footer"/>
    <w:basedOn w:val="Normal"/>
    <w:link w:val="FooterChar"/>
    <w:uiPriority w:val="99"/>
    <w:unhideWhenUsed/>
    <w:rsid w:val="00A169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95C"/>
  </w:style>
  <w:style w:type="paragraph" w:styleId="FootnoteText">
    <w:name w:val="footnote text"/>
    <w:basedOn w:val="Normal"/>
    <w:link w:val="FootnoteTextChar"/>
    <w:uiPriority w:val="99"/>
    <w:semiHidden/>
    <w:unhideWhenUsed/>
    <w:rsid w:val="00285C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5CAA"/>
    <w:rPr>
      <w:sz w:val="20"/>
      <w:szCs w:val="20"/>
    </w:rPr>
  </w:style>
  <w:style w:type="character" w:styleId="FootnoteReference">
    <w:name w:val="footnote reference"/>
    <w:basedOn w:val="DefaultParagraphFont"/>
    <w:uiPriority w:val="99"/>
    <w:semiHidden/>
    <w:unhideWhenUsed/>
    <w:rsid w:val="00285C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702A0-4E76-42CD-BE3B-B9F9D5A9D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7470</TotalTime>
  <Pages>3</Pages>
  <Words>1097</Words>
  <Characters>6257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Erwin</dc:creator>
  <cp:keywords/>
  <dc:description/>
  <cp:lastModifiedBy>Anna Erwin</cp:lastModifiedBy>
  <cp:revision>27</cp:revision>
  <dcterms:created xsi:type="dcterms:W3CDTF">2021-12-04T14:34:00Z</dcterms:created>
  <dcterms:modified xsi:type="dcterms:W3CDTF">2021-12-10T16:42:00Z</dcterms:modified>
</cp:coreProperties>
</file>