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sz w:val="24"/>
          <w:szCs w:val="24"/>
        </w:rPr>
        <w:id w:val="115575929"/>
        <w:docPartObj>
          <w:docPartGallery w:val="Cover Pages"/>
          <w:docPartUnique/>
        </w:docPartObj>
      </w:sdtPr>
      <w:sdtContent>
        <w:p w14:paraId="4131A6DC" w14:textId="3734E640" w:rsidR="00D34555" w:rsidRPr="000A56B5" w:rsidRDefault="00D34555">
          <w:pPr>
            <w:rPr>
              <w:rFonts w:cstheme="minorHAnsi"/>
              <w:sz w:val="24"/>
              <w:szCs w:val="24"/>
            </w:rPr>
          </w:pPr>
          <w:r w:rsidRPr="000A56B5">
            <w:rPr>
              <w:rFonts w:cstheme="minorHAnsi"/>
              <w:noProof/>
              <w:sz w:val="24"/>
              <w:szCs w:val="24"/>
            </w:rPr>
            <mc:AlternateContent>
              <mc:Choice Requires="wpg">
                <w:drawing>
                  <wp:anchor distT="0" distB="0" distL="114300" distR="114300" simplePos="0" relativeHeight="251659264" behindDoc="1" locked="0" layoutInCell="1" allowOverlap="1" wp14:anchorId="28DB0AEF" wp14:editId="763F3176">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967192A" w14:textId="009A9EB5" w:rsidR="00D34555" w:rsidRDefault="007A45ED">
                                      <w:pPr>
                                        <w:pStyle w:val="NoSpacing"/>
                                        <w:rPr>
                                          <w:color w:val="FFFFFF" w:themeColor="background1"/>
                                          <w:sz w:val="32"/>
                                          <w:szCs w:val="32"/>
                                        </w:rPr>
                                      </w:pPr>
                                      <w:r>
                                        <w:rPr>
                                          <w:color w:val="FFFFFF" w:themeColor="background1"/>
                                          <w:sz w:val="32"/>
                                          <w:szCs w:val="32"/>
                                        </w:rPr>
                                        <w:t>Bartosz Malinowski (2005342)</w:t>
                                      </w:r>
                                    </w:p>
                                  </w:sdtContent>
                                </w:sdt>
                                <w:p w14:paraId="533D147B" w14:textId="3DBDB402" w:rsidR="00D34555" w:rsidRDefault="00D34555">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imes New Roman" w:cstheme="minorHAnsi"/>
                                      <w:b/>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C5EFA63" w14:textId="3C8C61E1" w:rsidR="00D34555" w:rsidRPr="00D34555" w:rsidRDefault="007A45ED">
                                      <w:pPr>
                                        <w:pStyle w:val="NoSpacing"/>
                                        <w:pBdr>
                                          <w:bottom w:val="single" w:sz="6" w:space="4" w:color="7F7F7F" w:themeColor="text1" w:themeTint="80"/>
                                        </w:pBdr>
                                        <w:rPr>
                                          <w:rFonts w:eastAsiaTheme="majorEastAsia" w:cstheme="minorHAnsi"/>
                                          <w:color w:val="595959" w:themeColor="text1" w:themeTint="A6"/>
                                          <w:sz w:val="52"/>
                                          <w:szCs w:val="52"/>
                                        </w:rPr>
                                      </w:pPr>
                                      <w:r w:rsidRPr="007A45ED">
                                        <w:rPr>
                                          <w:rFonts w:eastAsia="Times New Roman" w:cstheme="minorHAnsi"/>
                                          <w:b/>
                                          <w:sz w:val="52"/>
                                          <w:szCs w:val="52"/>
                                        </w:rPr>
                                        <w:t>Intention to create legal relations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2B8A04C" w14:textId="5700E062" w:rsidR="00D34555" w:rsidRDefault="00D34555">
                                      <w:pPr>
                                        <w:pStyle w:val="NoSpacing"/>
                                        <w:spacing w:before="240"/>
                                        <w:rPr>
                                          <w:caps/>
                                          <w:color w:val="44546A" w:themeColor="text2"/>
                                          <w:sz w:val="36"/>
                                          <w:szCs w:val="36"/>
                                        </w:rPr>
                                      </w:pPr>
                                      <w:r>
                                        <w:rPr>
                                          <w:caps/>
                                          <w:color w:val="44546A" w:themeColor="text2"/>
                                          <w:sz w:val="36"/>
                                          <w:szCs w:val="36"/>
                                        </w:rPr>
                                        <w:t>Bartosz Malinowski (2005342)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8DB0AEF"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967192A" w14:textId="009A9EB5" w:rsidR="00D34555" w:rsidRDefault="007A45ED">
                                <w:pPr>
                                  <w:pStyle w:val="NoSpacing"/>
                                  <w:rPr>
                                    <w:color w:val="FFFFFF" w:themeColor="background1"/>
                                    <w:sz w:val="32"/>
                                    <w:szCs w:val="32"/>
                                  </w:rPr>
                                </w:pPr>
                                <w:r>
                                  <w:rPr>
                                    <w:color w:val="FFFFFF" w:themeColor="background1"/>
                                    <w:sz w:val="32"/>
                                    <w:szCs w:val="32"/>
                                  </w:rPr>
                                  <w:t>Bartosz Malinowski (2005342)</w:t>
                                </w:r>
                              </w:p>
                            </w:sdtContent>
                          </w:sdt>
                          <w:p w14:paraId="533D147B" w14:textId="3DBDB402" w:rsidR="00D34555" w:rsidRDefault="00D34555">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eastAsia="Times New Roman" w:cstheme="minorHAnsi"/>
                                <w:b/>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C5EFA63" w14:textId="3C8C61E1" w:rsidR="00D34555" w:rsidRPr="00D34555" w:rsidRDefault="007A45ED">
                                <w:pPr>
                                  <w:pStyle w:val="NoSpacing"/>
                                  <w:pBdr>
                                    <w:bottom w:val="single" w:sz="6" w:space="4" w:color="7F7F7F" w:themeColor="text1" w:themeTint="80"/>
                                  </w:pBdr>
                                  <w:rPr>
                                    <w:rFonts w:eastAsiaTheme="majorEastAsia" w:cstheme="minorHAnsi"/>
                                    <w:color w:val="595959" w:themeColor="text1" w:themeTint="A6"/>
                                    <w:sz w:val="52"/>
                                    <w:szCs w:val="52"/>
                                  </w:rPr>
                                </w:pPr>
                                <w:r w:rsidRPr="007A45ED">
                                  <w:rPr>
                                    <w:rFonts w:eastAsia="Times New Roman" w:cstheme="minorHAnsi"/>
                                    <w:b/>
                                    <w:sz w:val="52"/>
                                    <w:szCs w:val="52"/>
                                  </w:rPr>
                                  <w:t>Intention to create legal relations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2B8A04C" w14:textId="5700E062" w:rsidR="00D34555" w:rsidRDefault="00D34555">
                                <w:pPr>
                                  <w:pStyle w:val="NoSpacing"/>
                                  <w:spacing w:before="240"/>
                                  <w:rPr>
                                    <w:caps/>
                                    <w:color w:val="44546A" w:themeColor="text2"/>
                                    <w:sz w:val="36"/>
                                    <w:szCs w:val="36"/>
                                  </w:rPr>
                                </w:pPr>
                                <w:r>
                                  <w:rPr>
                                    <w:caps/>
                                    <w:color w:val="44546A" w:themeColor="text2"/>
                                    <w:sz w:val="36"/>
                                    <w:szCs w:val="36"/>
                                  </w:rPr>
                                  <w:t>Bartosz Malinowski (2005342)</w:t>
                                </w:r>
                              </w:p>
                            </w:sdtContent>
                          </w:sdt>
                        </w:txbxContent>
                      </v:textbox>
                    </v:shape>
                    <w10:wrap anchorx="page" anchory="page"/>
                  </v:group>
                </w:pict>
              </mc:Fallback>
            </mc:AlternateContent>
          </w:r>
        </w:p>
        <w:p w14:paraId="645C57C7" w14:textId="0ECA7D04" w:rsidR="007525C1" w:rsidRPr="000A56B5" w:rsidRDefault="00D34555" w:rsidP="007525C1">
          <w:pPr>
            <w:rPr>
              <w:rFonts w:cstheme="minorHAnsi"/>
              <w:sz w:val="24"/>
              <w:szCs w:val="24"/>
            </w:rPr>
          </w:pPr>
          <w:r w:rsidRPr="000A56B5">
            <w:rPr>
              <w:rFonts w:cstheme="minorHAnsi"/>
              <w:sz w:val="24"/>
              <w:szCs w:val="24"/>
            </w:rPr>
            <w:br w:type="page"/>
          </w:r>
        </w:p>
      </w:sdtContent>
    </w:sdt>
    <w:sdt>
      <w:sdtPr>
        <w:rPr>
          <w:rFonts w:asciiTheme="minorHAnsi" w:eastAsiaTheme="minorHAnsi" w:hAnsiTheme="minorHAnsi" w:cstheme="minorHAnsi"/>
          <w:color w:val="auto"/>
          <w:kern w:val="2"/>
          <w:sz w:val="24"/>
          <w:szCs w:val="24"/>
          <w:lang w:val="en-GB"/>
          <w14:ligatures w14:val="standardContextual"/>
        </w:rPr>
        <w:id w:val="240906819"/>
        <w:docPartObj>
          <w:docPartGallery w:val="Table of Contents"/>
          <w:docPartUnique/>
        </w:docPartObj>
      </w:sdtPr>
      <w:sdtEndPr>
        <w:rPr>
          <w:b/>
          <w:bCs/>
          <w:noProof/>
        </w:rPr>
      </w:sdtEndPr>
      <w:sdtContent>
        <w:p w14:paraId="45A05D3C" w14:textId="77777777" w:rsidR="007525C1" w:rsidRPr="000A56B5" w:rsidRDefault="007525C1" w:rsidP="007525C1">
          <w:pPr>
            <w:pStyle w:val="TOCHeading"/>
            <w:rPr>
              <w:rFonts w:asciiTheme="minorHAnsi" w:hAnsiTheme="minorHAnsi" w:cstheme="minorHAnsi"/>
              <w:sz w:val="24"/>
              <w:szCs w:val="24"/>
            </w:rPr>
          </w:pPr>
          <w:r w:rsidRPr="000A56B5">
            <w:rPr>
              <w:rFonts w:asciiTheme="minorHAnsi" w:hAnsiTheme="minorHAnsi" w:cstheme="minorHAnsi"/>
              <w:sz w:val="24"/>
              <w:szCs w:val="24"/>
            </w:rPr>
            <w:t>Contents</w:t>
          </w:r>
        </w:p>
        <w:p w14:paraId="11A1746E" w14:textId="0880C9BE" w:rsidR="00D4054D" w:rsidRDefault="007525C1">
          <w:pPr>
            <w:pStyle w:val="TOC1"/>
            <w:tabs>
              <w:tab w:val="right" w:leader="dot" w:pos="9016"/>
            </w:tabs>
            <w:rPr>
              <w:rFonts w:eastAsiaTheme="minorEastAsia"/>
              <w:noProof/>
              <w:kern w:val="0"/>
              <w:lang w:eastAsia="en-GB"/>
              <w14:ligatures w14:val="none"/>
            </w:rPr>
          </w:pPr>
          <w:r w:rsidRPr="000A56B5">
            <w:rPr>
              <w:rFonts w:cstheme="minorHAnsi"/>
              <w:sz w:val="24"/>
              <w:szCs w:val="24"/>
            </w:rPr>
            <w:fldChar w:fldCharType="begin"/>
          </w:r>
          <w:r w:rsidRPr="000A56B5">
            <w:rPr>
              <w:rFonts w:cstheme="minorHAnsi"/>
              <w:sz w:val="24"/>
              <w:szCs w:val="24"/>
            </w:rPr>
            <w:instrText xml:space="preserve"> TOC \o "1-3" \h \z \u </w:instrText>
          </w:r>
          <w:r w:rsidRPr="000A56B5">
            <w:rPr>
              <w:rFonts w:cstheme="minorHAnsi"/>
              <w:sz w:val="24"/>
              <w:szCs w:val="24"/>
            </w:rPr>
            <w:fldChar w:fldCharType="separate"/>
          </w:r>
          <w:hyperlink w:anchor="_Toc129342033" w:history="1">
            <w:r w:rsidR="00D4054D" w:rsidRPr="00710AFF">
              <w:rPr>
                <w:rStyle w:val="Hyperlink"/>
                <w:noProof/>
              </w:rPr>
              <w:t>Introduction</w:t>
            </w:r>
            <w:r w:rsidR="00D4054D">
              <w:rPr>
                <w:noProof/>
                <w:webHidden/>
              </w:rPr>
              <w:tab/>
            </w:r>
            <w:r w:rsidR="00D4054D">
              <w:rPr>
                <w:noProof/>
                <w:webHidden/>
              </w:rPr>
              <w:fldChar w:fldCharType="begin"/>
            </w:r>
            <w:r w:rsidR="00D4054D">
              <w:rPr>
                <w:noProof/>
                <w:webHidden/>
              </w:rPr>
              <w:instrText xml:space="preserve"> PAGEREF _Toc129342033 \h </w:instrText>
            </w:r>
            <w:r w:rsidR="00D4054D">
              <w:rPr>
                <w:noProof/>
                <w:webHidden/>
              </w:rPr>
            </w:r>
            <w:r w:rsidR="00D4054D">
              <w:rPr>
                <w:noProof/>
                <w:webHidden/>
              </w:rPr>
              <w:fldChar w:fldCharType="separate"/>
            </w:r>
            <w:r w:rsidR="00D4054D">
              <w:rPr>
                <w:noProof/>
                <w:webHidden/>
              </w:rPr>
              <w:t>2</w:t>
            </w:r>
            <w:r w:rsidR="00D4054D">
              <w:rPr>
                <w:noProof/>
                <w:webHidden/>
              </w:rPr>
              <w:fldChar w:fldCharType="end"/>
            </w:r>
          </w:hyperlink>
        </w:p>
        <w:p w14:paraId="79FC4C9D" w14:textId="1918314E" w:rsidR="00D4054D" w:rsidRDefault="00D4054D">
          <w:pPr>
            <w:pStyle w:val="TOC1"/>
            <w:tabs>
              <w:tab w:val="right" w:leader="dot" w:pos="9016"/>
            </w:tabs>
            <w:rPr>
              <w:rFonts w:eastAsiaTheme="minorEastAsia"/>
              <w:noProof/>
              <w:kern w:val="0"/>
              <w:lang w:eastAsia="en-GB"/>
              <w14:ligatures w14:val="none"/>
            </w:rPr>
          </w:pPr>
          <w:hyperlink w:anchor="_Toc129342034" w:history="1">
            <w:r w:rsidRPr="00710AFF">
              <w:rPr>
                <w:rStyle w:val="Hyperlink"/>
                <w:noProof/>
              </w:rPr>
              <w:t>Main Body</w:t>
            </w:r>
            <w:r>
              <w:rPr>
                <w:noProof/>
                <w:webHidden/>
              </w:rPr>
              <w:tab/>
            </w:r>
            <w:r>
              <w:rPr>
                <w:noProof/>
                <w:webHidden/>
              </w:rPr>
              <w:fldChar w:fldCharType="begin"/>
            </w:r>
            <w:r>
              <w:rPr>
                <w:noProof/>
                <w:webHidden/>
              </w:rPr>
              <w:instrText xml:space="preserve"> PAGEREF _Toc129342034 \h </w:instrText>
            </w:r>
            <w:r>
              <w:rPr>
                <w:noProof/>
                <w:webHidden/>
              </w:rPr>
            </w:r>
            <w:r>
              <w:rPr>
                <w:noProof/>
                <w:webHidden/>
              </w:rPr>
              <w:fldChar w:fldCharType="separate"/>
            </w:r>
            <w:r>
              <w:rPr>
                <w:noProof/>
                <w:webHidden/>
              </w:rPr>
              <w:t>2</w:t>
            </w:r>
            <w:r>
              <w:rPr>
                <w:noProof/>
                <w:webHidden/>
              </w:rPr>
              <w:fldChar w:fldCharType="end"/>
            </w:r>
          </w:hyperlink>
        </w:p>
        <w:p w14:paraId="5F142D20" w14:textId="0F54EDC4" w:rsidR="00D4054D" w:rsidRDefault="00D4054D">
          <w:pPr>
            <w:pStyle w:val="TOC2"/>
            <w:tabs>
              <w:tab w:val="right" w:leader="dot" w:pos="9016"/>
            </w:tabs>
            <w:rPr>
              <w:rFonts w:eastAsiaTheme="minorEastAsia"/>
              <w:noProof/>
              <w:kern w:val="0"/>
              <w:lang w:eastAsia="en-GB"/>
              <w14:ligatures w14:val="none"/>
            </w:rPr>
          </w:pPr>
          <w:hyperlink w:anchor="_Toc129342035" w:history="1">
            <w:r w:rsidRPr="00710AFF">
              <w:rPr>
                <w:rStyle w:val="Hyperlink"/>
                <w:noProof/>
              </w:rPr>
              <w:t>Presumption of intent to create legal relationships:</w:t>
            </w:r>
            <w:r>
              <w:rPr>
                <w:noProof/>
                <w:webHidden/>
              </w:rPr>
              <w:tab/>
            </w:r>
            <w:r>
              <w:rPr>
                <w:noProof/>
                <w:webHidden/>
              </w:rPr>
              <w:fldChar w:fldCharType="begin"/>
            </w:r>
            <w:r>
              <w:rPr>
                <w:noProof/>
                <w:webHidden/>
              </w:rPr>
              <w:instrText xml:space="preserve"> PAGEREF _Toc129342035 \h </w:instrText>
            </w:r>
            <w:r>
              <w:rPr>
                <w:noProof/>
                <w:webHidden/>
              </w:rPr>
            </w:r>
            <w:r>
              <w:rPr>
                <w:noProof/>
                <w:webHidden/>
              </w:rPr>
              <w:fldChar w:fldCharType="separate"/>
            </w:r>
            <w:r>
              <w:rPr>
                <w:noProof/>
                <w:webHidden/>
              </w:rPr>
              <w:t>3</w:t>
            </w:r>
            <w:r>
              <w:rPr>
                <w:noProof/>
                <w:webHidden/>
              </w:rPr>
              <w:fldChar w:fldCharType="end"/>
            </w:r>
          </w:hyperlink>
        </w:p>
        <w:p w14:paraId="24141BD7" w14:textId="4EC74D44" w:rsidR="00D4054D" w:rsidRDefault="00D4054D">
          <w:pPr>
            <w:pStyle w:val="TOC2"/>
            <w:tabs>
              <w:tab w:val="right" w:leader="dot" w:pos="9016"/>
            </w:tabs>
            <w:rPr>
              <w:rFonts w:eastAsiaTheme="minorEastAsia"/>
              <w:noProof/>
              <w:kern w:val="0"/>
              <w:lang w:eastAsia="en-GB"/>
              <w14:ligatures w14:val="none"/>
            </w:rPr>
          </w:pPr>
          <w:hyperlink w:anchor="_Toc129342036" w:history="1">
            <w:r w:rsidRPr="00710AFF">
              <w:rPr>
                <w:rStyle w:val="Hyperlink"/>
                <w:noProof/>
              </w:rPr>
              <w:t>The presumption of consideration</w:t>
            </w:r>
            <w:r>
              <w:rPr>
                <w:noProof/>
                <w:webHidden/>
              </w:rPr>
              <w:tab/>
            </w:r>
            <w:r>
              <w:rPr>
                <w:noProof/>
                <w:webHidden/>
              </w:rPr>
              <w:fldChar w:fldCharType="begin"/>
            </w:r>
            <w:r>
              <w:rPr>
                <w:noProof/>
                <w:webHidden/>
              </w:rPr>
              <w:instrText xml:space="preserve"> PAGEREF _Toc129342036 \h </w:instrText>
            </w:r>
            <w:r>
              <w:rPr>
                <w:noProof/>
                <w:webHidden/>
              </w:rPr>
            </w:r>
            <w:r>
              <w:rPr>
                <w:noProof/>
                <w:webHidden/>
              </w:rPr>
              <w:fldChar w:fldCharType="separate"/>
            </w:r>
            <w:r>
              <w:rPr>
                <w:noProof/>
                <w:webHidden/>
              </w:rPr>
              <w:t>3</w:t>
            </w:r>
            <w:r>
              <w:rPr>
                <w:noProof/>
                <w:webHidden/>
              </w:rPr>
              <w:fldChar w:fldCharType="end"/>
            </w:r>
          </w:hyperlink>
        </w:p>
        <w:p w14:paraId="327CBA35" w14:textId="559D40CB" w:rsidR="00D4054D" w:rsidRDefault="00D4054D">
          <w:pPr>
            <w:pStyle w:val="TOC2"/>
            <w:tabs>
              <w:tab w:val="right" w:leader="dot" w:pos="9016"/>
            </w:tabs>
            <w:rPr>
              <w:rFonts w:eastAsiaTheme="minorEastAsia"/>
              <w:noProof/>
              <w:kern w:val="0"/>
              <w:lang w:eastAsia="en-GB"/>
              <w14:ligatures w14:val="none"/>
            </w:rPr>
          </w:pPr>
          <w:hyperlink w:anchor="_Toc129342037" w:history="1">
            <w:r w:rsidRPr="00710AFF">
              <w:rPr>
                <w:rStyle w:val="Hyperlink"/>
                <w:noProof/>
              </w:rPr>
              <w:t>The prima facie enforceability presumption:</w:t>
            </w:r>
            <w:r>
              <w:rPr>
                <w:noProof/>
                <w:webHidden/>
              </w:rPr>
              <w:tab/>
            </w:r>
            <w:r>
              <w:rPr>
                <w:noProof/>
                <w:webHidden/>
              </w:rPr>
              <w:fldChar w:fldCharType="begin"/>
            </w:r>
            <w:r>
              <w:rPr>
                <w:noProof/>
                <w:webHidden/>
              </w:rPr>
              <w:instrText xml:space="preserve"> PAGEREF _Toc129342037 \h </w:instrText>
            </w:r>
            <w:r>
              <w:rPr>
                <w:noProof/>
                <w:webHidden/>
              </w:rPr>
            </w:r>
            <w:r>
              <w:rPr>
                <w:noProof/>
                <w:webHidden/>
              </w:rPr>
              <w:fldChar w:fldCharType="separate"/>
            </w:r>
            <w:r>
              <w:rPr>
                <w:noProof/>
                <w:webHidden/>
              </w:rPr>
              <w:t>3</w:t>
            </w:r>
            <w:r>
              <w:rPr>
                <w:noProof/>
                <w:webHidden/>
              </w:rPr>
              <w:fldChar w:fldCharType="end"/>
            </w:r>
          </w:hyperlink>
        </w:p>
        <w:p w14:paraId="76005872" w14:textId="1E4C9084" w:rsidR="00D4054D" w:rsidRDefault="00D4054D">
          <w:pPr>
            <w:pStyle w:val="TOC2"/>
            <w:tabs>
              <w:tab w:val="right" w:leader="dot" w:pos="9016"/>
            </w:tabs>
            <w:rPr>
              <w:rFonts w:eastAsiaTheme="minorEastAsia"/>
              <w:noProof/>
              <w:kern w:val="0"/>
              <w:lang w:eastAsia="en-GB"/>
              <w14:ligatures w14:val="none"/>
            </w:rPr>
          </w:pPr>
          <w:hyperlink w:anchor="_Toc129342038" w:history="1">
            <w:r w:rsidRPr="00710AFF">
              <w:rPr>
                <w:rStyle w:val="Hyperlink"/>
                <w:noProof/>
              </w:rPr>
              <w:t>Examples of agreements</w:t>
            </w:r>
            <w:r>
              <w:rPr>
                <w:noProof/>
                <w:webHidden/>
              </w:rPr>
              <w:tab/>
            </w:r>
            <w:r>
              <w:rPr>
                <w:noProof/>
                <w:webHidden/>
              </w:rPr>
              <w:fldChar w:fldCharType="begin"/>
            </w:r>
            <w:r>
              <w:rPr>
                <w:noProof/>
                <w:webHidden/>
              </w:rPr>
              <w:instrText xml:space="preserve"> PAGEREF _Toc129342038 \h </w:instrText>
            </w:r>
            <w:r>
              <w:rPr>
                <w:noProof/>
                <w:webHidden/>
              </w:rPr>
            </w:r>
            <w:r>
              <w:rPr>
                <w:noProof/>
                <w:webHidden/>
              </w:rPr>
              <w:fldChar w:fldCharType="separate"/>
            </w:r>
            <w:r>
              <w:rPr>
                <w:noProof/>
                <w:webHidden/>
              </w:rPr>
              <w:t>3</w:t>
            </w:r>
            <w:r>
              <w:rPr>
                <w:noProof/>
                <w:webHidden/>
              </w:rPr>
              <w:fldChar w:fldCharType="end"/>
            </w:r>
          </w:hyperlink>
        </w:p>
        <w:p w14:paraId="064DFB6A" w14:textId="0BBC85A7" w:rsidR="00D4054D" w:rsidRDefault="00D4054D">
          <w:pPr>
            <w:pStyle w:val="TOC1"/>
            <w:tabs>
              <w:tab w:val="right" w:leader="dot" w:pos="9016"/>
            </w:tabs>
            <w:rPr>
              <w:rFonts w:eastAsiaTheme="minorEastAsia"/>
              <w:noProof/>
              <w:kern w:val="0"/>
              <w:lang w:eastAsia="en-GB"/>
              <w14:ligatures w14:val="none"/>
            </w:rPr>
          </w:pPr>
          <w:hyperlink w:anchor="_Toc129342039" w:history="1">
            <w:r w:rsidRPr="00710AFF">
              <w:rPr>
                <w:rStyle w:val="Hyperlink"/>
                <w:noProof/>
              </w:rPr>
              <w:t>Conclusions</w:t>
            </w:r>
            <w:r>
              <w:rPr>
                <w:noProof/>
                <w:webHidden/>
              </w:rPr>
              <w:tab/>
            </w:r>
            <w:r>
              <w:rPr>
                <w:noProof/>
                <w:webHidden/>
              </w:rPr>
              <w:fldChar w:fldCharType="begin"/>
            </w:r>
            <w:r>
              <w:rPr>
                <w:noProof/>
                <w:webHidden/>
              </w:rPr>
              <w:instrText xml:space="preserve"> PAGEREF _Toc129342039 \h </w:instrText>
            </w:r>
            <w:r>
              <w:rPr>
                <w:noProof/>
                <w:webHidden/>
              </w:rPr>
            </w:r>
            <w:r>
              <w:rPr>
                <w:noProof/>
                <w:webHidden/>
              </w:rPr>
              <w:fldChar w:fldCharType="separate"/>
            </w:r>
            <w:r>
              <w:rPr>
                <w:noProof/>
                <w:webHidden/>
              </w:rPr>
              <w:t>5</w:t>
            </w:r>
            <w:r>
              <w:rPr>
                <w:noProof/>
                <w:webHidden/>
              </w:rPr>
              <w:fldChar w:fldCharType="end"/>
            </w:r>
          </w:hyperlink>
        </w:p>
        <w:p w14:paraId="78B2B77E" w14:textId="7C000EC8" w:rsidR="00D4054D" w:rsidRDefault="00D4054D">
          <w:pPr>
            <w:pStyle w:val="TOC1"/>
            <w:tabs>
              <w:tab w:val="right" w:leader="dot" w:pos="9016"/>
            </w:tabs>
            <w:rPr>
              <w:rFonts w:eastAsiaTheme="minorEastAsia"/>
              <w:noProof/>
              <w:kern w:val="0"/>
              <w:lang w:eastAsia="en-GB"/>
              <w14:ligatures w14:val="none"/>
            </w:rPr>
          </w:pPr>
          <w:hyperlink w:anchor="_Toc129342040" w:history="1">
            <w:r w:rsidRPr="00710AFF">
              <w:rPr>
                <w:rStyle w:val="Hyperlink"/>
                <w:noProof/>
              </w:rPr>
              <w:t>References</w:t>
            </w:r>
            <w:r>
              <w:rPr>
                <w:noProof/>
                <w:webHidden/>
              </w:rPr>
              <w:tab/>
            </w:r>
            <w:r>
              <w:rPr>
                <w:noProof/>
                <w:webHidden/>
              </w:rPr>
              <w:fldChar w:fldCharType="begin"/>
            </w:r>
            <w:r>
              <w:rPr>
                <w:noProof/>
                <w:webHidden/>
              </w:rPr>
              <w:instrText xml:space="preserve"> PAGEREF _Toc129342040 \h </w:instrText>
            </w:r>
            <w:r>
              <w:rPr>
                <w:noProof/>
                <w:webHidden/>
              </w:rPr>
            </w:r>
            <w:r>
              <w:rPr>
                <w:noProof/>
                <w:webHidden/>
              </w:rPr>
              <w:fldChar w:fldCharType="separate"/>
            </w:r>
            <w:r>
              <w:rPr>
                <w:noProof/>
                <w:webHidden/>
              </w:rPr>
              <w:t>7</w:t>
            </w:r>
            <w:r>
              <w:rPr>
                <w:noProof/>
                <w:webHidden/>
              </w:rPr>
              <w:fldChar w:fldCharType="end"/>
            </w:r>
          </w:hyperlink>
        </w:p>
        <w:p w14:paraId="3D653D4F" w14:textId="7B36607E" w:rsidR="007525C1" w:rsidRPr="000A56B5" w:rsidRDefault="007525C1" w:rsidP="007525C1">
          <w:pPr>
            <w:rPr>
              <w:rFonts w:cstheme="minorHAnsi"/>
              <w:sz w:val="24"/>
              <w:szCs w:val="24"/>
            </w:rPr>
          </w:pPr>
          <w:r w:rsidRPr="000A56B5">
            <w:rPr>
              <w:rFonts w:cstheme="minorHAnsi"/>
              <w:b/>
              <w:bCs/>
              <w:noProof/>
              <w:sz w:val="24"/>
              <w:szCs w:val="24"/>
            </w:rPr>
            <w:fldChar w:fldCharType="end"/>
          </w:r>
        </w:p>
      </w:sdtContent>
    </w:sdt>
    <w:p w14:paraId="6FEDE107" w14:textId="77777777" w:rsidR="007525C1" w:rsidRPr="000A56B5" w:rsidRDefault="007525C1" w:rsidP="007525C1">
      <w:pPr>
        <w:rPr>
          <w:rFonts w:cstheme="minorHAnsi"/>
          <w:sz w:val="24"/>
          <w:szCs w:val="24"/>
        </w:rPr>
      </w:pPr>
    </w:p>
    <w:p w14:paraId="65D6A74A" w14:textId="4749CDA5" w:rsidR="007A45ED" w:rsidRPr="000A56B5" w:rsidRDefault="007525C1" w:rsidP="007525C1">
      <w:pPr>
        <w:rPr>
          <w:rFonts w:cstheme="minorHAnsi"/>
          <w:sz w:val="24"/>
          <w:szCs w:val="24"/>
        </w:rPr>
      </w:pPr>
      <w:r w:rsidRPr="000A56B5">
        <w:rPr>
          <w:rFonts w:cstheme="minorHAnsi"/>
          <w:sz w:val="24"/>
          <w:szCs w:val="24"/>
        </w:rPr>
        <w:br w:type="page"/>
      </w:r>
    </w:p>
    <w:p w14:paraId="64A69971" w14:textId="77777777" w:rsidR="007525C1" w:rsidRDefault="007525C1" w:rsidP="007A45ED">
      <w:pPr>
        <w:pStyle w:val="Heading1"/>
      </w:pPr>
      <w:bookmarkStart w:id="0" w:name="_Toc129342033"/>
      <w:r w:rsidRPr="007A45ED">
        <w:lastRenderedPageBreak/>
        <w:t>Introduction</w:t>
      </w:r>
      <w:bookmarkEnd w:id="0"/>
    </w:p>
    <w:p w14:paraId="7207E8D8" w14:textId="77777777" w:rsidR="00EE4510" w:rsidRPr="00EE4510" w:rsidRDefault="00EE4510" w:rsidP="00EE4510"/>
    <w:p w14:paraId="66595F50" w14:textId="27372C6B" w:rsidR="007525C1" w:rsidRPr="000A56B5" w:rsidRDefault="007525C1" w:rsidP="00EB77BC">
      <w:pPr>
        <w:ind w:firstLine="720"/>
        <w:rPr>
          <w:rFonts w:cstheme="minorHAnsi"/>
          <w:sz w:val="24"/>
          <w:szCs w:val="24"/>
        </w:rPr>
      </w:pPr>
      <w:r w:rsidRPr="000A56B5">
        <w:rPr>
          <w:rFonts w:cstheme="minorHAnsi"/>
          <w:sz w:val="24"/>
          <w:szCs w:val="24"/>
        </w:rPr>
        <w:t>In contract law, the idea of purpose to form legal relations is a basic factor that determines whether a contract between parties is legally binding (Chen-Wishart, 2018). For a contract to be enforceable, the parties must have intended to establish legal relations. Nonetheless, depending on the environment in which the agreement was signed, the technique followed by the courts in establishing whether such a purpose existed might differ. This paper will critically examine the courts approach to determining intent to form legal connections in three diverse contexts: social or domestic, commercial/business, and with public organisations.</w:t>
      </w:r>
    </w:p>
    <w:p w14:paraId="0DAA630C" w14:textId="77777777" w:rsidR="007525C1" w:rsidRPr="000A56B5" w:rsidRDefault="007525C1" w:rsidP="00EB77BC">
      <w:pPr>
        <w:ind w:firstLine="720"/>
        <w:rPr>
          <w:rFonts w:cstheme="minorHAnsi"/>
          <w:sz w:val="24"/>
          <w:szCs w:val="24"/>
        </w:rPr>
      </w:pPr>
      <w:r w:rsidRPr="000A56B5">
        <w:rPr>
          <w:rFonts w:cstheme="minorHAnsi"/>
          <w:sz w:val="24"/>
          <w:szCs w:val="24"/>
        </w:rPr>
        <w:t>By examining the different approaches taken by the courts in each of these contexts, this essay aims to provide a comprehensive understanding of the legal principles governing the formation of contracts.</w:t>
      </w:r>
    </w:p>
    <w:p w14:paraId="5CA674D0" w14:textId="77777777" w:rsidR="007525C1" w:rsidRPr="000A56B5" w:rsidRDefault="007525C1" w:rsidP="007525C1">
      <w:pPr>
        <w:rPr>
          <w:rFonts w:cstheme="minorHAnsi"/>
          <w:sz w:val="24"/>
          <w:szCs w:val="24"/>
        </w:rPr>
      </w:pPr>
    </w:p>
    <w:p w14:paraId="78DC24E7" w14:textId="77777777" w:rsidR="007525C1" w:rsidRPr="007A45ED" w:rsidRDefault="007525C1" w:rsidP="007A45ED">
      <w:pPr>
        <w:pStyle w:val="Heading1"/>
      </w:pPr>
      <w:bookmarkStart w:id="1" w:name="_Toc129342034"/>
      <w:r w:rsidRPr="007A45ED">
        <w:t>Main Body</w:t>
      </w:r>
      <w:bookmarkEnd w:id="1"/>
    </w:p>
    <w:p w14:paraId="3080ADDA" w14:textId="77777777" w:rsidR="007525C1" w:rsidRPr="000A56B5" w:rsidRDefault="007525C1" w:rsidP="007525C1">
      <w:pPr>
        <w:rPr>
          <w:rFonts w:cstheme="minorHAnsi"/>
          <w:sz w:val="24"/>
          <w:szCs w:val="24"/>
        </w:rPr>
      </w:pPr>
    </w:p>
    <w:p w14:paraId="539A4874" w14:textId="0AAFC4A3" w:rsidR="007525C1" w:rsidRPr="000A56B5" w:rsidRDefault="007525C1" w:rsidP="00EB77BC">
      <w:pPr>
        <w:ind w:firstLine="720"/>
        <w:rPr>
          <w:rFonts w:cstheme="minorHAnsi"/>
          <w:sz w:val="24"/>
          <w:szCs w:val="24"/>
        </w:rPr>
      </w:pPr>
      <w:r w:rsidRPr="000A56B5">
        <w:rPr>
          <w:rFonts w:cstheme="minorHAnsi"/>
          <w:sz w:val="24"/>
          <w:szCs w:val="24"/>
        </w:rPr>
        <w:t>The necessity of a purpose to form legal relations has evolved via case law and is now a fundamental element in contract law (Smith and Thomas, 2019). The courts play an important role in evaluating whether the parties intended to create legal connections, and they do so by analysing numerous elements such as the circumstances of the agreement and the parties relationship (McKendrick, 2018).</w:t>
      </w:r>
    </w:p>
    <w:p w14:paraId="60DA762F" w14:textId="77777777" w:rsidR="007525C1" w:rsidRPr="000A56B5" w:rsidRDefault="007525C1" w:rsidP="00EB77BC">
      <w:pPr>
        <w:ind w:firstLine="720"/>
        <w:rPr>
          <w:rFonts w:cstheme="minorHAnsi"/>
          <w:sz w:val="24"/>
          <w:szCs w:val="24"/>
        </w:rPr>
      </w:pPr>
      <w:r w:rsidRPr="000A56B5">
        <w:rPr>
          <w:rFonts w:cstheme="minorHAnsi"/>
          <w:sz w:val="24"/>
          <w:szCs w:val="24"/>
        </w:rPr>
        <w:t>One of the key reasons why courts demand an intent to form legal relations is to ensure clarity and predictability in economic transactions (Treitel, 2017). According to Burrows (2019), contract law plays a crucial role in supporting economic growth and development. The necessity of intent to form legal relations aids in ensuring that parties can rely on the enforcement of their agreements, which is critical for boosting corporate trust and investment.</w:t>
      </w:r>
    </w:p>
    <w:p w14:paraId="37F4E66E" w14:textId="77777777" w:rsidR="007525C1" w:rsidRPr="000A56B5" w:rsidRDefault="007525C1" w:rsidP="00EB77BC">
      <w:pPr>
        <w:ind w:firstLine="720"/>
        <w:rPr>
          <w:rFonts w:cstheme="minorHAnsi"/>
          <w:sz w:val="24"/>
          <w:szCs w:val="24"/>
        </w:rPr>
      </w:pPr>
      <w:r w:rsidRPr="000A56B5">
        <w:rPr>
          <w:rFonts w:cstheme="minorHAnsi"/>
          <w:sz w:val="24"/>
          <w:szCs w:val="24"/>
        </w:rPr>
        <w:t>Furthermore, the need of purpose to form legal relations aids in the prevention of false claims and litigation (McKendrick, 2018). If parties are not bound by their commitments, they are more prone to break their responsibilities or back out of a contract, which can lead to disagreements and legal action. Courts can dissuade parties from entering into commitments that they do not intend to fulfil by demanding a demonstrated intention to be bound.</w:t>
      </w:r>
    </w:p>
    <w:p w14:paraId="4938DF61" w14:textId="77777777" w:rsidR="007525C1" w:rsidRPr="000A56B5" w:rsidRDefault="007525C1" w:rsidP="007525C1">
      <w:pPr>
        <w:rPr>
          <w:rFonts w:cstheme="minorHAnsi"/>
          <w:sz w:val="24"/>
          <w:szCs w:val="24"/>
        </w:rPr>
      </w:pPr>
    </w:p>
    <w:p w14:paraId="2BDF6F34" w14:textId="770FF7D0" w:rsidR="00022DE9" w:rsidRPr="00022DE9" w:rsidRDefault="00022DE9" w:rsidP="00EB77BC">
      <w:pPr>
        <w:ind w:firstLine="720"/>
        <w:rPr>
          <w:rFonts w:cstheme="minorHAnsi"/>
          <w:sz w:val="24"/>
          <w:szCs w:val="24"/>
        </w:rPr>
      </w:pPr>
      <w:r w:rsidRPr="00022DE9">
        <w:rPr>
          <w:rFonts w:cstheme="minorHAnsi"/>
          <w:sz w:val="24"/>
          <w:szCs w:val="24"/>
        </w:rPr>
        <w:t>Presumptions are significant in contract law, particularly in determining the parties intent to create legal relations. The following are the major presumptions of contract law:</w:t>
      </w:r>
    </w:p>
    <w:p w14:paraId="35B9D56A" w14:textId="77777777" w:rsidR="00022DE9" w:rsidRPr="00022DE9" w:rsidRDefault="00022DE9" w:rsidP="00022DE9">
      <w:pPr>
        <w:pStyle w:val="Heading2"/>
      </w:pPr>
      <w:bookmarkStart w:id="2" w:name="_Toc129342035"/>
      <w:r w:rsidRPr="00022DE9">
        <w:lastRenderedPageBreak/>
        <w:t>Presumption of intent to create legal relationships:</w:t>
      </w:r>
      <w:bookmarkEnd w:id="2"/>
    </w:p>
    <w:p w14:paraId="733D23E9" w14:textId="77777777" w:rsidR="00022DE9" w:rsidRDefault="00022DE9" w:rsidP="00EB77BC">
      <w:pPr>
        <w:ind w:firstLine="720"/>
        <w:rPr>
          <w:rFonts w:cstheme="minorHAnsi"/>
          <w:sz w:val="24"/>
          <w:szCs w:val="24"/>
        </w:rPr>
      </w:pPr>
      <w:r w:rsidRPr="00022DE9">
        <w:rPr>
          <w:rFonts w:cstheme="minorHAnsi"/>
          <w:sz w:val="24"/>
          <w:szCs w:val="24"/>
        </w:rPr>
        <w:t>In the absence of evidence to the contrary, the parties to a commercial/business contract are presumed to intend to create legal relations, as established in Carlill v Carbolic Smoke Ball Co (1893) 1 QB 256. 2018 (Chitty). This assumption does not apply to agreements created in a social or domestic setting, where there is a presumption that there is no intent to create legal ties, as stated in Balfour v Balfour (1919) 2 KB 571. Treitel (2015).</w:t>
      </w:r>
    </w:p>
    <w:p w14:paraId="37A60763" w14:textId="22E62C45" w:rsidR="002D2578" w:rsidRDefault="007525C1" w:rsidP="00022DE9">
      <w:pPr>
        <w:rPr>
          <w:rFonts w:cstheme="minorHAnsi"/>
          <w:sz w:val="24"/>
          <w:szCs w:val="24"/>
        </w:rPr>
      </w:pPr>
      <w:bookmarkStart w:id="3" w:name="_Toc129342036"/>
      <w:r w:rsidRPr="002D2578">
        <w:rPr>
          <w:rStyle w:val="Heading2Char"/>
        </w:rPr>
        <w:t>The presumption of consideration</w:t>
      </w:r>
      <w:bookmarkEnd w:id="3"/>
      <w:r w:rsidRPr="000A56B5">
        <w:rPr>
          <w:rFonts w:cstheme="minorHAnsi"/>
          <w:sz w:val="24"/>
          <w:szCs w:val="24"/>
        </w:rPr>
        <w:t>:</w:t>
      </w:r>
    </w:p>
    <w:p w14:paraId="5C7C214A" w14:textId="7AB1865F" w:rsidR="007525C1" w:rsidRPr="000A56B5" w:rsidRDefault="00DD6BF5" w:rsidP="00EB77BC">
      <w:pPr>
        <w:ind w:firstLine="720"/>
        <w:rPr>
          <w:rFonts w:cstheme="minorHAnsi"/>
          <w:sz w:val="24"/>
          <w:szCs w:val="24"/>
        </w:rPr>
      </w:pPr>
      <w:r w:rsidRPr="00DD6BF5">
        <w:rPr>
          <w:rFonts w:cstheme="minorHAnsi"/>
          <w:sz w:val="24"/>
          <w:szCs w:val="24"/>
        </w:rPr>
        <w:t>A contract is supposed to be supported by consideration, which is the money paid or pledged in exchange for a promise or performance. This assumption can be overturned if no consideration exists or if the consideration is illegal or damaging to public policy (Chitty, 2018). The consideration presumption: A contract is supposed to be supported by consideration, which is the money paid or pledged in exchange for a promise or performance. This assumption can be overturned if no consideration exists or if the consideration is illegal or damaging to public policy (Chitty, 2018).</w:t>
      </w:r>
    </w:p>
    <w:p w14:paraId="7F2299BF" w14:textId="77777777" w:rsidR="002D2578" w:rsidRDefault="007525C1" w:rsidP="007525C1">
      <w:pPr>
        <w:rPr>
          <w:rStyle w:val="Heading2Char"/>
        </w:rPr>
      </w:pPr>
      <w:bookmarkStart w:id="4" w:name="_Toc129342037"/>
      <w:r w:rsidRPr="002D2578">
        <w:rPr>
          <w:rStyle w:val="Heading2Char"/>
        </w:rPr>
        <w:t>The prima facie enforceability presumption:</w:t>
      </w:r>
      <w:bookmarkEnd w:id="4"/>
    </w:p>
    <w:p w14:paraId="7CDB5F8D" w14:textId="15D3A7F3" w:rsidR="008D16A4" w:rsidRPr="008D16A4" w:rsidRDefault="008D16A4" w:rsidP="00EB77BC">
      <w:pPr>
        <w:ind w:firstLine="720"/>
        <w:rPr>
          <w:rFonts w:cstheme="minorHAnsi"/>
          <w:sz w:val="24"/>
          <w:szCs w:val="24"/>
        </w:rPr>
      </w:pPr>
      <w:r w:rsidRPr="008D16A4">
        <w:rPr>
          <w:rFonts w:cstheme="minorHAnsi"/>
          <w:sz w:val="24"/>
          <w:szCs w:val="24"/>
        </w:rPr>
        <w:t>A contract is thought to be prima facie enforceable, which indicates that the terms of the agreement can legally bind the parties. This presumption can be overturned if the contract was created with a fault, such as fraud, duress, mistake, or illegality (Treitel, 2015).</w:t>
      </w:r>
    </w:p>
    <w:p w14:paraId="4107FE96" w14:textId="3AA2D263" w:rsidR="00A16054" w:rsidRDefault="008D16A4" w:rsidP="008D16A4">
      <w:pPr>
        <w:rPr>
          <w:rFonts w:cstheme="minorHAnsi"/>
          <w:sz w:val="24"/>
          <w:szCs w:val="24"/>
        </w:rPr>
      </w:pPr>
      <w:r w:rsidRPr="008D16A4">
        <w:rPr>
          <w:rFonts w:cstheme="minorHAnsi"/>
          <w:sz w:val="24"/>
          <w:szCs w:val="24"/>
        </w:rPr>
        <w:t>According to the parole evidence statement, the written provisions of a contract are assumed to be the ultimate representation of the parties agreement and cannot be contested by extrinsic evidence, such as oral statements or previous discussions, unless the contract is ambiguous or incomplete (Chitty, 2018).</w:t>
      </w:r>
    </w:p>
    <w:p w14:paraId="58CA45C2" w14:textId="204D747C" w:rsidR="007525C1" w:rsidRPr="000A56B5" w:rsidRDefault="004A1E58" w:rsidP="00EB77BC">
      <w:pPr>
        <w:ind w:firstLine="720"/>
        <w:rPr>
          <w:rFonts w:cstheme="minorHAnsi"/>
          <w:sz w:val="24"/>
          <w:szCs w:val="24"/>
        </w:rPr>
      </w:pPr>
      <w:r w:rsidRPr="004A1E58">
        <w:rPr>
          <w:rFonts w:cstheme="minorHAnsi"/>
          <w:sz w:val="24"/>
          <w:szCs w:val="24"/>
        </w:rPr>
        <w:t>These assumptions are not absolute and can be rejected by contradicting evidence. For example, even though the agreement was made in a commercial/business environment, the assumption of intent to create legal relations can be rebutted by proving that the parties did not intend to be legally bound. Similarly, the premise of contemplation may be refuted by proving that it was illusory or of no value. In general, the use of presumptions in contract law assists to create a framework for analysing contractual disputes and determining the intents of the parties</w:t>
      </w:r>
      <w:r w:rsidR="007525C1" w:rsidRPr="000A56B5">
        <w:rPr>
          <w:rFonts w:cstheme="minorHAnsi"/>
          <w:sz w:val="24"/>
          <w:szCs w:val="24"/>
        </w:rPr>
        <w:t>.</w:t>
      </w:r>
    </w:p>
    <w:p w14:paraId="62E30A47" w14:textId="77777777" w:rsidR="007525C1" w:rsidRPr="000A56B5" w:rsidRDefault="007525C1" w:rsidP="007525C1">
      <w:pPr>
        <w:rPr>
          <w:rFonts w:cstheme="minorHAnsi"/>
          <w:sz w:val="24"/>
          <w:szCs w:val="24"/>
        </w:rPr>
      </w:pPr>
    </w:p>
    <w:p w14:paraId="3B0E27BA" w14:textId="77777777" w:rsidR="007525C1" w:rsidRDefault="007525C1" w:rsidP="002D2578">
      <w:pPr>
        <w:pStyle w:val="Heading2"/>
      </w:pPr>
      <w:bookmarkStart w:id="5" w:name="_Toc129342038"/>
      <w:r w:rsidRPr="000A56B5">
        <w:t>Examples of agreements</w:t>
      </w:r>
      <w:bookmarkEnd w:id="5"/>
    </w:p>
    <w:p w14:paraId="4CD8ABC9" w14:textId="77777777" w:rsidR="00AA6828" w:rsidRPr="00AA6828" w:rsidRDefault="00AA6828" w:rsidP="00AA6828"/>
    <w:p w14:paraId="6AD8A942" w14:textId="5D01148E" w:rsidR="007525C1" w:rsidRPr="000A56B5" w:rsidRDefault="007525C1" w:rsidP="007525C1">
      <w:pPr>
        <w:rPr>
          <w:rFonts w:cstheme="minorHAnsi"/>
          <w:sz w:val="24"/>
          <w:szCs w:val="24"/>
        </w:rPr>
      </w:pPr>
      <w:r w:rsidRPr="000A56B5">
        <w:rPr>
          <w:rFonts w:cstheme="minorHAnsi"/>
          <w:sz w:val="24"/>
          <w:szCs w:val="24"/>
        </w:rPr>
        <w:t xml:space="preserve">a) </w:t>
      </w:r>
      <w:r w:rsidRPr="002D2578">
        <w:rPr>
          <w:rStyle w:val="Heading3Char"/>
        </w:rPr>
        <w:t>Social or domestic:</w:t>
      </w:r>
    </w:p>
    <w:p w14:paraId="46B12BCF" w14:textId="6292E9C4" w:rsidR="007525C1" w:rsidRPr="000A56B5" w:rsidRDefault="009A0367" w:rsidP="00D4054D">
      <w:pPr>
        <w:ind w:firstLine="720"/>
        <w:rPr>
          <w:rFonts w:cstheme="minorHAnsi"/>
          <w:sz w:val="24"/>
          <w:szCs w:val="24"/>
        </w:rPr>
      </w:pPr>
      <w:r w:rsidRPr="009A0367">
        <w:rPr>
          <w:rFonts w:cstheme="minorHAnsi"/>
          <w:sz w:val="24"/>
          <w:szCs w:val="24"/>
        </w:rPr>
        <w:t xml:space="preserve">Courts have long assumed that there is no purpose to create legal links between family members or friends in social or domestic situations, and that agreements formed in these circumstances are purely displays of goodwill or compassion. This was established in the case of Balfour v Balfour (1919) 2 KB 571, when it was determined that there was no purpose to create legal ties between a husband and wife who agreed to their marriage </w:t>
      </w:r>
      <w:r w:rsidRPr="009A0367">
        <w:rPr>
          <w:rFonts w:cstheme="minorHAnsi"/>
          <w:sz w:val="24"/>
          <w:szCs w:val="24"/>
        </w:rPr>
        <w:lastRenderedPageBreak/>
        <w:t>(Martin, 2018). In Merritt v Merritt (1970) 1 WLR 1211, the court took a different approach, ruling that a husband and wife who had separated and formed a formal arrangement to transfer ownership of their home to the woman had meant to create legal ties (Harpum, et al., 2016).</w:t>
      </w:r>
      <w:r>
        <w:rPr>
          <w:rFonts w:cstheme="minorHAnsi"/>
          <w:sz w:val="24"/>
          <w:szCs w:val="24"/>
        </w:rPr>
        <w:t xml:space="preserve"> </w:t>
      </w:r>
      <w:r w:rsidR="007525C1" w:rsidRPr="000A56B5">
        <w:rPr>
          <w:rFonts w:cstheme="minorHAnsi"/>
          <w:sz w:val="24"/>
          <w:szCs w:val="24"/>
        </w:rPr>
        <w:t>The court emphasized that the agreement had been made more formally than in Balfour and that the parties had been living apart.</w:t>
      </w:r>
    </w:p>
    <w:p w14:paraId="15EA6FE1" w14:textId="77777777" w:rsidR="007525C1" w:rsidRPr="000A56B5" w:rsidRDefault="007525C1" w:rsidP="00D4054D">
      <w:pPr>
        <w:ind w:firstLine="720"/>
        <w:rPr>
          <w:rFonts w:cstheme="minorHAnsi"/>
          <w:sz w:val="24"/>
          <w:szCs w:val="24"/>
        </w:rPr>
      </w:pPr>
      <w:r w:rsidRPr="000A56B5">
        <w:rPr>
          <w:rFonts w:cstheme="minorHAnsi"/>
          <w:sz w:val="24"/>
          <w:szCs w:val="24"/>
        </w:rPr>
        <w:t>More recently, the courts have moved away from the presumption of no intention to create legal relations in social or domestic contexts, and instead take a contextual approach. In Jones v Padavatton (1969) 1 WLR 328, Lord Denning stated that the question of intention to create legal relations "depends on the circumstances of the particular case" (Parker, 2002). This was reiterated in Parker v Taswell (2002) EWCA Civ 968, where the court held that there was an intention to create legal relations between two friends who had agreed to purchase a property together, as the agreement had been made more formally than in Balfour (McKendrick, 2019).</w:t>
      </w:r>
    </w:p>
    <w:p w14:paraId="5DD2CFBF" w14:textId="77777777" w:rsidR="007525C1" w:rsidRPr="000A56B5" w:rsidRDefault="007525C1" w:rsidP="007525C1">
      <w:pPr>
        <w:rPr>
          <w:rFonts w:cstheme="minorHAnsi"/>
          <w:sz w:val="24"/>
          <w:szCs w:val="24"/>
        </w:rPr>
      </w:pPr>
    </w:p>
    <w:p w14:paraId="61204B79" w14:textId="15E839E3" w:rsidR="007525C1" w:rsidRPr="000A56B5" w:rsidRDefault="007525C1" w:rsidP="007525C1">
      <w:pPr>
        <w:rPr>
          <w:rFonts w:cstheme="minorHAnsi"/>
          <w:sz w:val="24"/>
          <w:szCs w:val="24"/>
        </w:rPr>
      </w:pPr>
      <w:r w:rsidRPr="000A56B5">
        <w:rPr>
          <w:rFonts w:cstheme="minorHAnsi"/>
          <w:sz w:val="24"/>
          <w:szCs w:val="24"/>
        </w:rPr>
        <w:t xml:space="preserve">b) </w:t>
      </w:r>
      <w:r w:rsidRPr="002D2578">
        <w:rPr>
          <w:rStyle w:val="Heading3Char"/>
        </w:rPr>
        <w:t>Commercial/business:</w:t>
      </w:r>
    </w:p>
    <w:p w14:paraId="6DEF0CCD" w14:textId="77777777" w:rsidR="00875BC6" w:rsidRDefault="00875BC6" w:rsidP="00D4054D">
      <w:pPr>
        <w:ind w:firstLine="720"/>
        <w:rPr>
          <w:rFonts w:cstheme="minorHAnsi"/>
          <w:sz w:val="24"/>
          <w:szCs w:val="24"/>
        </w:rPr>
      </w:pPr>
      <w:r w:rsidRPr="00875BC6">
        <w:rPr>
          <w:rFonts w:cstheme="minorHAnsi"/>
          <w:sz w:val="24"/>
          <w:szCs w:val="24"/>
        </w:rPr>
        <w:t>Courts have historically inferred that there is a purpose to form legal relations in commercial or business situations, as it is commonly thought that parties entering into such agreements want to be legally bound by them. Carlill v Carbolic Smoke Ball Co (1893) 1 QB 256 established this, holding that an advertising for a product promising a reward to anybody who developed influenza after using it was an offer to enter into a binding contract (Stone, 2019).</w:t>
      </w:r>
    </w:p>
    <w:p w14:paraId="40B934CB" w14:textId="77777777" w:rsidR="0085755E" w:rsidRDefault="0085755E" w:rsidP="00D4054D">
      <w:pPr>
        <w:ind w:firstLine="720"/>
        <w:rPr>
          <w:rFonts w:cstheme="minorHAnsi"/>
          <w:sz w:val="24"/>
          <w:szCs w:val="24"/>
        </w:rPr>
      </w:pPr>
      <w:r w:rsidRPr="0085755E">
        <w:rPr>
          <w:rFonts w:cstheme="minorHAnsi"/>
          <w:sz w:val="24"/>
          <w:szCs w:val="24"/>
        </w:rPr>
        <w:t>So far, courts have acknowledged that, in some cases, parties may not intend to be legally bound while being involved in a commercial or economic transaction. The House of Lords decided in Rose and Frank Co v JR Crompton and Bros Ltd (1925) AC 445 that a language in a contract saying that it was not meant to be legally binding was successful in rebutting the assumption of a purpose to create legal relations (Tetley, 2018).</w:t>
      </w:r>
    </w:p>
    <w:p w14:paraId="3ACB3FF7" w14:textId="6A76B500" w:rsidR="007525C1" w:rsidRDefault="00C72BCF" w:rsidP="00D4054D">
      <w:pPr>
        <w:ind w:firstLine="720"/>
        <w:rPr>
          <w:rFonts w:cstheme="minorHAnsi"/>
          <w:sz w:val="24"/>
          <w:szCs w:val="24"/>
        </w:rPr>
      </w:pPr>
      <w:r w:rsidRPr="00C72BCF">
        <w:rPr>
          <w:rFonts w:cstheme="minorHAnsi"/>
          <w:sz w:val="24"/>
          <w:szCs w:val="24"/>
        </w:rPr>
        <w:t>This was developed further in Esso Petroleum Co Ltd v Commissioners of Customs and Excise (1976) 1 WLR 1, where the court determined that a memorandum of understanding between two companies was not intended to be legally binding because it contained a statement to that effect and the parties had not acted in a way that indicated otherwise (Stone, 2019).</w:t>
      </w:r>
    </w:p>
    <w:p w14:paraId="13D8671D" w14:textId="77777777" w:rsidR="00D4054D" w:rsidRPr="000A56B5" w:rsidRDefault="00D4054D" w:rsidP="00D4054D">
      <w:pPr>
        <w:ind w:firstLine="720"/>
        <w:rPr>
          <w:rFonts w:cstheme="minorHAnsi"/>
          <w:sz w:val="24"/>
          <w:szCs w:val="24"/>
        </w:rPr>
      </w:pPr>
    </w:p>
    <w:p w14:paraId="17821C9E" w14:textId="4BC55C6F" w:rsidR="007525C1" w:rsidRPr="000A56B5" w:rsidRDefault="007525C1" w:rsidP="007525C1">
      <w:pPr>
        <w:rPr>
          <w:rFonts w:cstheme="minorHAnsi"/>
          <w:sz w:val="24"/>
          <w:szCs w:val="24"/>
        </w:rPr>
      </w:pPr>
      <w:r w:rsidRPr="000A56B5">
        <w:rPr>
          <w:rFonts w:cstheme="minorHAnsi"/>
          <w:sz w:val="24"/>
          <w:szCs w:val="24"/>
        </w:rPr>
        <w:t xml:space="preserve">c) </w:t>
      </w:r>
      <w:r w:rsidRPr="002D2578">
        <w:rPr>
          <w:rStyle w:val="Heading3Char"/>
        </w:rPr>
        <w:t>With public bodies:</w:t>
      </w:r>
    </w:p>
    <w:p w14:paraId="0B90A420" w14:textId="77777777" w:rsidR="002D3CB9" w:rsidRDefault="002D3CB9" w:rsidP="00D4054D">
      <w:pPr>
        <w:ind w:firstLine="720"/>
        <w:rPr>
          <w:rFonts w:cstheme="minorHAnsi"/>
          <w:sz w:val="24"/>
          <w:szCs w:val="24"/>
        </w:rPr>
      </w:pPr>
      <w:r w:rsidRPr="002D3CB9">
        <w:rPr>
          <w:rFonts w:cstheme="minorHAnsi"/>
          <w:sz w:val="24"/>
          <w:szCs w:val="24"/>
        </w:rPr>
        <w:t>When dealing with public bodies, courts have often concluded that there is a purpose to establish legal connections, as public bodies are believed to behave in accordance with their legal authorities and responsibilities. This was established in R v Panel on Takeovers and Mergers, ex parte Datafin plc (1987) QB 815, when the court determined that an agreement between a private firm and a public body governing the conduct of a takeover attempt was meant to be legally enforceable (Tetley, 2018).</w:t>
      </w:r>
    </w:p>
    <w:p w14:paraId="2E4CB057" w14:textId="0DB59E90" w:rsidR="007525C1" w:rsidRPr="000A56B5" w:rsidRDefault="007525C1" w:rsidP="00D4054D">
      <w:pPr>
        <w:ind w:firstLine="720"/>
        <w:rPr>
          <w:rFonts w:cstheme="minorHAnsi"/>
          <w:sz w:val="24"/>
          <w:szCs w:val="24"/>
        </w:rPr>
      </w:pPr>
      <w:r w:rsidRPr="000A56B5">
        <w:rPr>
          <w:rFonts w:cstheme="minorHAnsi"/>
          <w:sz w:val="24"/>
          <w:szCs w:val="24"/>
        </w:rPr>
        <w:lastRenderedPageBreak/>
        <w:t>However, the courts have recognised that there may be instances where a public entity does not intend to be legally bound. The Privy Council ruled in Attorney General of Belize v Belize Telecom Ltd (2009) UKPC 10 that an agreement between the government of Belize and a telecommunications company was not intended to be legally binding because it was made in the context of a public policy statement, and the language of the agreement did not indicate an intention to create legal relations (Barnett, 2019). Similarly, in Bristol City Council v Savage (2018) EWCA Civ 1884, the court determined that a letter from the council to a tenant outlining a repayment plan for rent arrears was not meant to be legally binding.</w:t>
      </w:r>
    </w:p>
    <w:p w14:paraId="4F15C67B" w14:textId="77777777" w:rsidR="007525C1" w:rsidRPr="000A56B5" w:rsidRDefault="007525C1" w:rsidP="007525C1">
      <w:pPr>
        <w:rPr>
          <w:rFonts w:cstheme="minorHAnsi"/>
          <w:sz w:val="24"/>
          <w:szCs w:val="24"/>
        </w:rPr>
      </w:pPr>
    </w:p>
    <w:p w14:paraId="116C4476" w14:textId="56098DAB" w:rsidR="007525C1" w:rsidRPr="000A56B5" w:rsidRDefault="007525C1" w:rsidP="00D4054D">
      <w:pPr>
        <w:ind w:firstLine="720"/>
        <w:rPr>
          <w:rFonts w:cstheme="minorHAnsi"/>
          <w:sz w:val="24"/>
          <w:szCs w:val="24"/>
        </w:rPr>
      </w:pPr>
      <w:r w:rsidRPr="000A56B5">
        <w:rPr>
          <w:rFonts w:cstheme="minorHAnsi"/>
          <w:sz w:val="24"/>
          <w:szCs w:val="24"/>
        </w:rPr>
        <w:t>Overall, it is clear that courts use a contextual approach to determine the intention to create legal relations, taking into account a variety of factors such as the nature of the parties</w:t>
      </w:r>
      <w:r w:rsidR="00D63C91">
        <w:rPr>
          <w:rFonts w:cstheme="minorHAnsi"/>
          <w:sz w:val="24"/>
          <w:szCs w:val="24"/>
        </w:rPr>
        <w:t xml:space="preserve"> </w:t>
      </w:r>
      <w:r w:rsidRPr="000A56B5">
        <w:rPr>
          <w:rFonts w:cstheme="minorHAnsi"/>
          <w:sz w:val="24"/>
          <w:szCs w:val="24"/>
        </w:rPr>
        <w:t>relationship, the formality of the agreement, and any statements or actions that indicate the parties intentions. While there are basic presumptions that apply in different settings, these can be rebutted in particular cases when the evidence reveals a different purpose.</w:t>
      </w:r>
    </w:p>
    <w:p w14:paraId="018B2C4D" w14:textId="77777777" w:rsidR="007525C1" w:rsidRPr="000A56B5" w:rsidRDefault="007525C1" w:rsidP="007525C1">
      <w:pPr>
        <w:rPr>
          <w:rFonts w:cstheme="minorHAnsi"/>
          <w:sz w:val="24"/>
          <w:szCs w:val="24"/>
        </w:rPr>
      </w:pPr>
    </w:p>
    <w:p w14:paraId="532F39BF" w14:textId="77777777" w:rsidR="007525C1" w:rsidRPr="007A45ED" w:rsidRDefault="007525C1" w:rsidP="007A45ED">
      <w:pPr>
        <w:pStyle w:val="Heading1"/>
      </w:pPr>
      <w:bookmarkStart w:id="6" w:name="_Toc129342039"/>
      <w:r w:rsidRPr="007A45ED">
        <w:t>Conclusions</w:t>
      </w:r>
      <w:bookmarkEnd w:id="6"/>
    </w:p>
    <w:p w14:paraId="55C741EF" w14:textId="77777777" w:rsidR="007525C1" w:rsidRPr="000A56B5" w:rsidRDefault="007525C1" w:rsidP="007525C1">
      <w:pPr>
        <w:rPr>
          <w:rFonts w:cstheme="minorHAnsi"/>
          <w:sz w:val="24"/>
          <w:szCs w:val="24"/>
        </w:rPr>
      </w:pPr>
    </w:p>
    <w:p w14:paraId="19899D84" w14:textId="77777777" w:rsidR="00A5476C" w:rsidRDefault="00A5476C" w:rsidP="00D4054D">
      <w:pPr>
        <w:ind w:firstLine="720"/>
        <w:rPr>
          <w:rFonts w:cstheme="minorHAnsi"/>
          <w:sz w:val="24"/>
          <w:szCs w:val="24"/>
        </w:rPr>
      </w:pPr>
      <w:r w:rsidRPr="00A5476C">
        <w:rPr>
          <w:rFonts w:cstheme="minorHAnsi"/>
          <w:sz w:val="24"/>
          <w:szCs w:val="24"/>
        </w:rPr>
        <w:t>The intent to create legal relations is a critical element in the creation of a legally enforceable contract. It is a crucial aspect in assessing whether or not a contract is legally binding. This article has investigated the concept of aim in forming legal connections, its relevance, and how it may be created in various forms of contracts.</w:t>
      </w:r>
    </w:p>
    <w:p w14:paraId="27AD3FDF" w14:textId="74EBEA54" w:rsidR="007525C1" w:rsidRPr="000A56B5" w:rsidRDefault="007525C1" w:rsidP="00D4054D">
      <w:pPr>
        <w:ind w:firstLine="720"/>
        <w:rPr>
          <w:rFonts w:cstheme="minorHAnsi"/>
          <w:sz w:val="24"/>
          <w:szCs w:val="24"/>
        </w:rPr>
      </w:pPr>
      <w:r w:rsidRPr="000A56B5">
        <w:rPr>
          <w:rFonts w:cstheme="minorHAnsi"/>
          <w:sz w:val="24"/>
          <w:szCs w:val="24"/>
        </w:rPr>
        <w:t>According to Poole (2021), a purpose to form legal relations arises when the parties to a contract desire to be legally bound by their agreement. This aim can be communicated or assumed by the agreement's circumstances, including the parties behaviour. As a result, while entering into a contract, parties must be explicit about their objectives to avoid future confusion or disagreements.</w:t>
      </w:r>
    </w:p>
    <w:p w14:paraId="3C782155" w14:textId="7CC2DB86" w:rsidR="007525C1" w:rsidRPr="000A56B5" w:rsidRDefault="007525C1" w:rsidP="00D4054D">
      <w:pPr>
        <w:ind w:firstLine="720"/>
        <w:rPr>
          <w:rFonts w:cstheme="minorHAnsi"/>
          <w:sz w:val="24"/>
          <w:szCs w:val="24"/>
        </w:rPr>
      </w:pPr>
      <w:r w:rsidRPr="000A56B5">
        <w:rPr>
          <w:rFonts w:cstheme="minorHAnsi"/>
          <w:sz w:val="24"/>
          <w:szCs w:val="24"/>
        </w:rPr>
        <w:t>Commercial contracts are frequently prepared with considerable care and attention to detail, and the parties purpose to be bound by their agreement is typically evident (Chitty et al., 2020). Yet, the presence of a purpose to create legal ties is not always easy to demonstrate, particularly in the context of social or domestic agreements. According to Stone and DeVenny (2020), in certain cases, there may be a presumption against the presence of a purpose to form legal relations, and the parties intentions may need to be inferred from the circumstances of the agreement.</w:t>
      </w:r>
    </w:p>
    <w:p w14:paraId="32D3DC5B" w14:textId="4F88AEE6" w:rsidR="007F633D" w:rsidRDefault="007525C1" w:rsidP="00D4054D">
      <w:pPr>
        <w:ind w:firstLine="720"/>
        <w:rPr>
          <w:rFonts w:cstheme="minorHAnsi"/>
          <w:sz w:val="24"/>
          <w:szCs w:val="24"/>
        </w:rPr>
      </w:pPr>
      <w:r w:rsidRPr="000A56B5">
        <w:rPr>
          <w:rFonts w:cstheme="minorHAnsi"/>
          <w:sz w:val="24"/>
          <w:szCs w:val="24"/>
        </w:rPr>
        <w:t xml:space="preserve">Lastly, the purpose to develop legal relations is a vital component in the formation of a legally enforceable contract. Its existence or absence might have a substantial influence on an agreement's enforceability. As a result, parties must be explicit about their intentions, and courts must carefully analyse the circumstances underlying the establishment of a </w:t>
      </w:r>
      <w:r w:rsidRPr="000A56B5">
        <w:rPr>
          <w:rFonts w:cstheme="minorHAnsi"/>
          <w:sz w:val="24"/>
          <w:szCs w:val="24"/>
        </w:rPr>
        <w:lastRenderedPageBreak/>
        <w:t>contract. The concepts of purpose to form legal connections are critical in maintaining the smooth operation of contract law, and their importance should not be overlooked.</w:t>
      </w:r>
    </w:p>
    <w:p w14:paraId="05A8696C" w14:textId="77777777" w:rsidR="007F633D" w:rsidRDefault="007F633D">
      <w:pPr>
        <w:rPr>
          <w:rFonts w:cstheme="minorHAnsi"/>
          <w:sz w:val="24"/>
          <w:szCs w:val="24"/>
        </w:rPr>
      </w:pPr>
    </w:p>
    <w:p w14:paraId="2B816E2D" w14:textId="77777777" w:rsidR="00D4054D" w:rsidRDefault="00D4054D">
      <w:pPr>
        <w:rPr>
          <w:rFonts w:cstheme="minorHAnsi"/>
          <w:sz w:val="24"/>
          <w:szCs w:val="24"/>
        </w:rPr>
      </w:pPr>
    </w:p>
    <w:p w14:paraId="1F0B41FB" w14:textId="77777777" w:rsidR="00D4054D" w:rsidRDefault="00D4054D">
      <w:pPr>
        <w:rPr>
          <w:rFonts w:cstheme="minorHAnsi"/>
          <w:sz w:val="24"/>
          <w:szCs w:val="24"/>
        </w:rPr>
      </w:pPr>
    </w:p>
    <w:p w14:paraId="23AC4102" w14:textId="77777777" w:rsidR="00D4054D" w:rsidRDefault="00D4054D">
      <w:pPr>
        <w:rPr>
          <w:rFonts w:cstheme="minorHAnsi"/>
          <w:sz w:val="24"/>
          <w:szCs w:val="24"/>
        </w:rPr>
      </w:pPr>
    </w:p>
    <w:p w14:paraId="274BDBE3" w14:textId="77777777" w:rsidR="00D4054D" w:rsidRDefault="00D4054D">
      <w:pPr>
        <w:rPr>
          <w:rFonts w:cstheme="minorHAnsi"/>
          <w:sz w:val="24"/>
          <w:szCs w:val="24"/>
        </w:rPr>
      </w:pPr>
    </w:p>
    <w:p w14:paraId="16797B66" w14:textId="77777777" w:rsidR="00D4054D" w:rsidRDefault="00D4054D">
      <w:pPr>
        <w:rPr>
          <w:rFonts w:cstheme="minorHAnsi"/>
          <w:sz w:val="24"/>
          <w:szCs w:val="24"/>
        </w:rPr>
      </w:pPr>
    </w:p>
    <w:p w14:paraId="69E39E2D" w14:textId="77777777" w:rsidR="00D4054D" w:rsidRDefault="00D4054D">
      <w:pPr>
        <w:rPr>
          <w:rFonts w:cstheme="minorHAnsi"/>
          <w:sz w:val="24"/>
          <w:szCs w:val="24"/>
        </w:rPr>
      </w:pPr>
    </w:p>
    <w:p w14:paraId="0E09F042" w14:textId="77777777" w:rsidR="00D4054D" w:rsidRDefault="00D4054D">
      <w:pPr>
        <w:rPr>
          <w:rFonts w:cstheme="minorHAnsi"/>
          <w:sz w:val="24"/>
          <w:szCs w:val="24"/>
        </w:rPr>
      </w:pPr>
    </w:p>
    <w:p w14:paraId="23370756" w14:textId="77777777" w:rsidR="00D4054D" w:rsidRDefault="00D4054D">
      <w:pPr>
        <w:rPr>
          <w:rFonts w:cstheme="minorHAnsi"/>
          <w:sz w:val="24"/>
          <w:szCs w:val="24"/>
        </w:rPr>
      </w:pPr>
    </w:p>
    <w:p w14:paraId="38669689" w14:textId="77777777" w:rsidR="00D4054D" w:rsidRDefault="00D4054D">
      <w:pPr>
        <w:rPr>
          <w:rFonts w:cstheme="minorHAnsi"/>
          <w:sz w:val="24"/>
          <w:szCs w:val="24"/>
        </w:rPr>
      </w:pPr>
    </w:p>
    <w:p w14:paraId="03C25535" w14:textId="77777777" w:rsidR="00D4054D" w:rsidRDefault="00D4054D">
      <w:pPr>
        <w:rPr>
          <w:rFonts w:cstheme="minorHAnsi"/>
          <w:sz w:val="24"/>
          <w:szCs w:val="24"/>
        </w:rPr>
      </w:pPr>
    </w:p>
    <w:p w14:paraId="0E5E29D3" w14:textId="77777777" w:rsidR="00D4054D" w:rsidRDefault="00D4054D">
      <w:pPr>
        <w:rPr>
          <w:rFonts w:cstheme="minorHAnsi"/>
          <w:sz w:val="24"/>
          <w:szCs w:val="24"/>
        </w:rPr>
      </w:pPr>
    </w:p>
    <w:p w14:paraId="3F745422" w14:textId="77777777" w:rsidR="00D4054D" w:rsidRDefault="00D4054D">
      <w:pPr>
        <w:rPr>
          <w:rFonts w:cstheme="minorHAnsi"/>
          <w:sz w:val="24"/>
          <w:szCs w:val="24"/>
        </w:rPr>
      </w:pPr>
    </w:p>
    <w:p w14:paraId="0AAE451B" w14:textId="77777777" w:rsidR="00D4054D" w:rsidRDefault="00D4054D">
      <w:pPr>
        <w:rPr>
          <w:rFonts w:cstheme="minorHAnsi"/>
          <w:sz w:val="24"/>
          <w:szCs w:val="24"/>
        </w:rPr>
      </w:pPr>
    </w:p>
    <w:p w14:paraId="1BD52701" w14:textId="77777777" w:rsidR="00D4054D" w:rsidRDefault="00D4054D">
      <w:pPr>
        <w:rPr>
          <w:rFonts w:cstheme="minorHAnsi"/>
          <w:sz w:val="24"/>
          <w:szCs w:val="24"/>
        </w:rPr>
      </w:pPr>
    </w:p>
    <w:p w14:paraId="02778D72" w14:textId="77777777" w:rsidR="00D4054D" w:rsidRDefault="00D4054D">
      <w:pPr>
        <w:rPr>
          <w:rFonts w:cstheme="minorHAnsi"/>
          <w:sz w:val="24"/>
          <w:szCs w:val="24"/>
        </w:rPr>
      </w:pPr>
    </w:p>
    <w:p w14:paraId="55BF78DA" w14:textId="77777777" w:rsidR="00D4054D" w:rsidRDefault="00D4054D">
      <w:pPr>
        <w:rPr>
          <w:rFonts w:cstheme="minorHAnsi"/>
          <w:sz w:val="24"/>
          <w:szCs w:val="24"/>
        </w:rPr>
      </w:pPr>
    </w:p>
    <w:p w14:paraId="3724573B" w14:textId="77777777" w:rsidR="00D4054D" w:rsidRDefault="00D4054D">
      <w:pPr>
        <w:rPr>
          <w:rFonts w:cstheme="minorHAnsi"/>
          <w:sz w:val="24"/>
          <w:szCs w:val="24"/>
        </w:rPr>
      </w:pPr>
    </w:p>
    <w:p w14:paraId="7776CE25" w14:textId="77777777" w:rsidR="00D4054D" w:rsidRDefault="00D4054D">
      <w:pPr>
        <w:rPr>
          <w:rFonts w:cstheme="minorHAnsi"/>
          <w:sz w:val="24"/>
          <w:szCs w:val="24"/>
        </w:rPr>
      </w:pPr>
    </w:p>
    <w:p w14:paraId="73A9829D" w14:textId="77777777" w:rsidR="00D4054D" w:rsidRDefault="00D4054D">
      <w:pPr>
        <w:rPr>
          <w:rFonts w:cstheme="minorHAnsi"/>
          <w:sz w:val="24"/>
          <w:szCs w:val="24"/>
        </w:rPr>
      </w:pPr>
    </w:p>
    <w:p w14:paraId="203BA27A" w14:textId="77777777" w:rsidR="00D4054D" w:rsidRDefault="00D4054D">
      <w:pPr>
        <w:rPr>
          <w:rFonts w:cstheme="minorHAnsi"/>
          <w:sz w:val="24"/>
          <w:szCs w:val="24"/>
        </w:rPr>
      </w:pPr>
    </w:p>
    <w:p w14:paraId="19A3AA6F" w14:textId="77777777" w:rsidR="00D4054D" w:rsidRDefault="00D4054D">
      <w:pPr>
        <w:rPr>
          <w:rFonts w:cstheme="minorHAnsi"/>
          <w:sz w:val="24"/>
          <w:szCs w:val="24"/>
        </w:rPr>
      </w:pPr>
    </w:p>
    <w:p w14:paraId="57F0FCB4" w14:textId="77777777" w:rsidR="00D4054D" w:rsidRDefault="00D4054D">
      <w:pPr>
        <w:rPr>
          <w:rFonts w:cstheme="minorHAnsi"/>
          <w:sz w:val="24"/>
          <w:szCs w:val="24"/>
        </w:rPr>
      </w:pPr>
    </w:p>
    <w:p w14:paraId="43A69927" w14:textId="77777777" w:rsidR="00D4054D" w:rsidRDefault="00D4054D">
      <w:pPr>
        <w:rPr>
          <w:rFonts w:cstheme="minorHAnsi"/>
          <w:sz w:val="24"/>
          <w:szCs w:val="24"/>
        </w:rPr>
      </w:pPr>
    </w:p>
    <w:p w14:paraId="58D558E3" w14:textId="77777777" w:rsidR="00D4054D" w:rsidRDefault="00D4054D">
      <w:pPr>
        <w:rPr>
          <w:rFonts w:cstheme="minorHAnsi"/>
          <w:sz w:val="24"/>
          <w:szCs w:val="24"/>
        </w:rPr>
      </w:pPr>
    </w:p>
    <w:p w14:paraId="7EEF4625" w14:textId="77777777" w:rsidR="00D4054D" w:rsidRPr="000A56B5" w:rsidRDefault="00D4054D">
      <w:pPr>
        <w:rPr>
          <w:rFonts w:cstheme="minorHAnsi"/>
          <w:sz w:val="24"/>
          <w:szCs w:val="24"/>
        </w:rPr>
      </w:pPr>
    </w:p>
    <w:p w14:paraId="15621086" w14:textId="096DE263" w:rsidR="007525C1" w:rsidRPr="000A56B5" w:rsidRDefault="007525C1" w:rsidP="000A56B5">
      <w:pPr>
        <w:pStyle w:val="Heading1"/>
      </w:pPr>
      <w:bookmarkStart w:id="7" w:name="_Toc129342040"/>
      <w:r w:rsidRPr="000A56B5">
        <w:lastRenderedPageBreak/>
        <w:t>References</w:t>
      </w:r>
      <w:bookmarkEnd w:id="7"/>
    </w:p>
    <w:p w14:paraId="6AD98A4D" w14:textId="77777777" w:rsidR="000A56B5" w:rsidRPr="000A56B5" w:rsidRDefault="000A56B5" w:rsidP="000A56B5">
      <w:pPr>
        <w:rPr>
          <w:rFonts w:cstheme="minorHAnsi"/>
          <w:sz w:val="24"/>
          <w:szCs w:val="24"/>
        </w:rPr>
      </w:pPr>
    </w:p>
    <w:p w14:paraId="3DE5BF62" w14:textId="588F2A04" w:rsidR="000A56B5" w:rsidRPr="000A56B5" w:rsidRDefault="000A56B5" w:rsidP="000A56B5">
      <w:pPr>
        <w:rPr>
          <w:rFonts w:cstheme="minorHAnsi"/>
          <w:sz w:val="24"/>
          <w:szCs w:val="24"/>
        </w:rPr>
      </w:pPr>
      <w:r w:rsidRPr="000A56B5">
        <w:rPr>
          <w:rFonts w:cstheme="minorHAnsi"/>
          <w:sz w:val="24"/>
          <w:szCs w:val="24"/>
        </w:rPr>
        <w:t>Chen-Wishart, M. (2018). Contract Law. Oxford University Press.</w:t>
      </w:r>
    </w:p>
    <w:p w14:paraId="31EBF06A" w14:textId="77777777" w:rsidR="000A56B5" w:rsidRPr="000A56B5" w:rsidRDefault="000A56B5" w:rsidP="000A56B5">
      <w:pPr>
        <w:rPr>
          <w:rFonts w:cstheme="minorHAnsi"/>
          <w:sz w:val="24"/>
          <w:szCs w:val="24"/>
        </w:rPr>
      </w:pPr>
      <w:r w:rsidRPr="000A56B5">
        <w:rPr>
          <w:rFonts w:cstheme="minorHAnsi"/>
          <w:sz w:val="24"/>
          <w:szCs w:val="24"/>
        </w:rPr>
        <w:t>Adams, M., &amp; Brownsword, R. (2018). Understanding contract law (10th ed.). Routledge.</w:t>
      </w:r>
    </w:p>
    <w:p w14:paraId="4372D5DE" w14:textId="77777777" w:rsidR="000A56B5" w:rsidRPr="000A56B5" w:rsidRDefault="000A56B5" w:rsidP="000A56B5">
      <w:pPr>
        <w:rPr>
          <w:rFonts w:cstheme="minorHAnsi"/>
          <w:sz w:val="24"/>
          <w:szCs w:val="24"/>
        </w:rPr>
      </w:pPr>
      <w:r w:rsidRPr="000A56B5">
        <w:rPr>
          <w:rFonts w:cstheme="minorHAnsi"/>
          <w:sz w:val="24"/>
          <w:szCs w:val="24"/>
        </w:rPr>
        <w:t>Burrows, A. (2019). A casebook on contract (6th ed.). Hart Publishing.</w:t>
      </w:r>
    </w:p>
    <w:p w14:paraId="27838ACE" w14:textId="77777777" w:rsidR="000A56B5" w:rsidRPr="000A56B5" w:rsidRDefault="000A56B5" w:rsidP="000A56B5">
      <w:pPr>
        <w:rPr>
          <w:rFonts w:cstheme="minorHAnsi"/>
          <w:sz w:val="24"/>
          <w:szCs w:val="24"/>
        </w:rPr>
      </w:pPr>
      <w:r w:rsidRPr="000A56B5">
        <w:rPr>
          <w:rFonts w:cstheme="minorHAnsi"/>
          <w:sz w:val="24"/>
          <w:szCs w:val="24"/>
        </w:rPr>
        <w:t>McKendrick, E. (2018). Contract law: Text, cases, and materials (7th ed.). Oxford University Press.</w:t>
      </w:r>
    </w:p>
    <w:p w14:paraId="0BFE6483" w14:textId="312DDE5D" w:rsidR="000A56B5" w:rsidRPr="000A56B5" w:rsidRDefault="000A56B5" w:rsidP="000A56B5">
      <w:pPr>
        <w:rPr>
          <w:rFonts w:cstheme="minorHAnsi"/>
          <w:sz w:val="24"/>
          <w:szCs w:val="24"/>
        </w:rPr>
      </w:pPr>
      <w:r w:rsidRPr="000A56B5">
        <w:rPr>
          <w:rFonts w:cstheme="minorHAnsi"/>
          <w:sz w:val="24"/>
          <w:szCs w:val="24"/>
        </w:rPr>
        <w:t>Treitel, G. (2017). The law of contract (14th ed.). Sweet &amp; Maxwell.</w:t>
      </w:r>
    </w:p>
    <w:p w14:paraId="19F9B778" w14:textId="3C518385" w:rsidR="000A56B5" w:rsidRPr="000A56B5" w:rsidRDefault="000A56B5" w:rsidP="000A56B5">
      <w:pPr>
        <w:rPr>
          <w:rFonts w:cstheme="minorHAnsi"/>
          <w:sz w:val="24"/>
          <w:szCs w:val="24"/>
        </w:rPr>
      </w:pPr>
      <w:r w:rsidRPr="000A56B5">
        <w:rPr>
          <w:rFonts w:cstheme="minorHAnsi"/>
          <w:sz w:val="24"/>
          <w:szCs w:val="24"/>
        </w:rPr>
        <w:t>Barnett, H. (2019). The intention to create legal relations in contracts. LegalVision. Retrieved from https://legalvision.com.au/the-intention-to-create-legal-relations-in-contracts/.</w:t>
      </w:r>
    </w:p>
    <w:p w14:paraId="506E62C6" w14:textId="71D3E108" w:rsidR="000A56B5" w:rsidRPr="000A56B5" w:rsidRDefault="000A56B5" w:rsidP="000A56B5">
      <w:pPr>
        <w:rPr>
          <w:rFonts w:cstheme="minorHAnsi"/>
          <w:sz w:val="24"/>
          <w:szCs w:val="24"/>
        </w:rPr>
      </w:pPr>
      <w:r w:rsidRPr="000A56B5">
        <w:rPr>
          <w:rFonts w:cstheme="minorHAnsi"/>
          <w:sz w:val="24"/>
          <w:szCs w:val="24"/>
        </w:rPr>
        <w:t>Freedland, M. (2019). Can a letter from a local authority create a binding agreement? Mayer Brown. Retrieved from https://www.mayerbrown.com/en/perspectives-events/publications/2019/01/can-a-letter-from-a-local-authority-create-a-binding-agreement.</w:t>
      </w:r>
    </w:p>
    <w:p w14:paraId="0F8FF583" w14:textId="611C8CCE" w:rsidR="000A56B5" w:rsidRPr="000A56B5" w:rsidRDefault="000A56B5" w:rsidP="000A56B5">
      <w:pPr>
        <w:rPr>
          <w:rFonts w:cstheme="minorHAnsi"/>
          <w:sz w:val="24"/>
          <w:szCs w:val="24"/>
        </w:rPr>
      </w:pPr>
      <w:r w:rsidRPr="000A56B5">
        <w:rPr>
          <w:rFonts w:cstheme="minorHAnsi"/>
          <w:sz w:val="24"/>
          <w:szCs w:val="24"/>
        </w:rPr>
        <w:t>Harpum, C., Bridge, S., &amp; Dixon, M. (2016). The Law of Property (2nd ed.). Oxford, UK: Oxford University Press.</w:t>
      </w:r>
    </w:p>
    <w:p w14:paraId="1017BC09" w14:textId="42EBC5E4" w:rsidR="000A56B5" w:rsidRPr="000A56B5" w:rsidRDefault="000A56B5" w:rsidP="000A56B5">
      <w:pPr>
        <w:rPr>
          <w:rFonts w:cstheme="minorHAnsi"/>
          <w:sz w:val="24"/>
          <w:szCs w:val="24"/>
        </w:rPr>
      </w:pPr>
      <w:r w:rsidRPr="000A56B5">
        <w:rPr>
          <w:rFonts w:cstheme="minorHAnsi"/>
          <w:sz w:val="24"/>
          <w:szCs w:val="24"/>
        </w:rPr>
        <w:t>Martin, J. (2018). Intention to create legal relations. Oxford Law Faculty. Retrieved from https://www.law.ox.ac.uk/business-law-blog/blog/2018/09/intention-create-legal-relations.</w:t>
      </w:r>
    </w:p>
    <w:p w14:paraId="74B643CF" w14:textId="1FE9EE2D" w:rsidR="000A56B5" w:rsidRPr="000A56B5" w:rsidRDefault="000A56B5" w:rsidP="000A56B5">
      <w:pPr>
        <w:rPr>
          <w:rFonts w:cstheme="minorHAnsi"/>
          <w:sz w:val="24"/>
          <w:szCs w:val="24"/>
        </w:rPr>
      </w:pPr>
      <w:r w:rsidRPr="000A56B5">
        <w:rPr>
          <w:rFonts w:cstheme="minorHAnsi"/>
          <w:sz w:val="24"/>
          <w:szCs w:val="24"/>
        </w:rPr>
        <w:t>McKendrick, E. (2019). Contract law: Text, cases, and materials (8th ed.). Oxford, UK: Oxford University Press.</w:t>
      </w:r>
    </w:p>
    <w:p w14:paraId="32BA298B" w14:textId="731641D0" w:rsidR="000A56B5" w:rsidRPr="000A56B5" w:rsidRDefault="000A56B5" w:rsidP="000A56B5">
      <w:pPr>
        <w:rPr>
          <w:rFonts w:cstheme="minorHAnsi"/>
          <w:sz w:val="24"/>
          <w:szCs w:val="24"/>
        </w:rPr>
      </w:pPr>
      <w:r w:rsidRPr="000A56B5">
        <w:rPr>
          <w:rFonts w:cstheme="minorHAnsi"/>
          <w:sz w:val="24"/>
          <w:szCs w:val="24"/>
        </w:rPr>
        <w:t>Parker v Taswell (2002) EWCA Civ 968.</w:t>
      </w:r>
    </w:p>
    <w:p w14:paraId="5287B12E" w14:textId="0780A033" w:rsidR="000A56B5" w:rsidRPr="000A56B5" w:rsidRDefault="000A56B5" w:rsidP="000A56B5">
      <w:pPr>
        <w:rPr>
          <w:rFonts w:cstheme="minorHAnsi"/>
          <w:sz w:val="24"/>
          <w:szCs w:val="24"/>
        </w:rPr>
      </w:pPr>
      <w:r w:rsidRPr="000A56B5">
        <w:rPr>
          <w:rFonts w:cstheme="minorHAnsi"/>
          <w:sz w:val="24"/>
          <w:szCs w:val="24"/>
        </w:rPr>
        <w:t>Rose and Frank Co v JR Crompton and Bros Ltd (1925) AC 445.</w:t>
      </w:r>
    </w:p>
    <w:p w14:paraId="69234D1B" w14:textId="2077C971" w:rsidR="000A56B5" w:rsidRPr="000A56B5" w:rsidRDefault="000A56B5" w:rsidP="000A56B5">
      <w:pPr>
        <w:rPr>
          <w:rFonts w:cstheme="minorHAnsi"/>
          <w:sz w:val="24"/>
          <w:szCs w:val="24"/>
        </w:rPr>
      </w:pPr>
      <w:r w:rsidRPr="000A56B5">
        <w:rPr>
          <w:rFonts w:cstheme="minorHAnsi"/>
          <w:sz w:val="24"/>
          <w:szCs w:val="24"/>
        </w:rPr>
        <w:t>Stone, R. (2019). The Modern Law of Contract (11th ed.). Abingdon, UK: Routledge.</w:t>
      </w:r>
    </w:p>
    <w:p w14:paraId="0A52058A" w14:textId="77777777" w:rsidR="000A56B5" w:rsidRPr="000A56B5" w:rsidRDefault="000A56B5" w:rsidP="000A56B5">
      <w:pPr>
        <w:rPr>
          <w:rFonts w:cstheme="minorHAnsi"/>
          <w:sz w:val="24"/>
          <w:szCs w:val="24"/>
        </w:rPr>
      </w:pPr>
      <w:r w:rsidRPr="000A56B5">
        <w:rPr>
          <w:rFonts w:cstheme="minorHAnsi"/>
          <w:sz w:val="24"/>
          <w:szCs w:val="24"/>
        </w:rPr>
        <w:t>Tetley, W. (2018). Intention to create legal relations. The Canadian Encyclopedia. Retrieved from https://www.thecanadianencyclopedia.ca/en/article/intention-to-create-legal-relations.</w:t>
      </w:r>
    </w:p>
    <w:p w14:paraId="07AB34DC" w14:textId="77777777" w:rsidR="000A56B5" w:rsidRPr="000A56B5" w:rsidRDefault="000A56B5" w:rsidP="000A56B5">
      <w:pPr>
        <w:rPr>
          <w:rFonts w:cstheme="minorHAnsi"/>
          <w:sz w:val="24"/>
          <w:szCs w:val="24"/>
        </w:rPr>
      </w:pPr>
      <w:r w:rsidRPr="000A56B5">
        <w:rPr>
          <w:rFonts w:cstheme="minorHAnsi"/>
          <w:sz w:val="24"/>
          <w:szCs w:val="24"/>
        </w:rPr>
        <w:t>Carlill v Carbolic Smoke Ball Co (1893) 1 QB 256</w:t>
      </w:r>
    </w:p>
    <w:p w14:paraId="4E179877" w14:textId="77777777" w:rsidR="000A56B5" w:rsidRPr="000A56B5" w:rsidRDefault="000A56B5" w:rsidP="000A56B5">
      <w:pPr>
        <w:rPr>
          <w:rFonts w:cstheme="minorHAnsi"/>
          <w:sz w:val="24"/>
          <w:szCs w:val="24"/>
        </w:rPr>
      </w:pPr>
      <w:r w:rsidRPr="000A56B5">
        <w:rPr>
          <w:rFonts w:cstheme="minorHAnsi"/>
          <w:sz w:val="24"/>
          <w:szCs w:val="24"/>
        </w:rPr>
        <w:t>Balfour v Balfour (1919) 2 KB 571</w:t>
      </w:r>
    </w:p>
    <w:p w14:paraId="7A40DE13" w14:textId="77777777" w:rsidR="000A56B5" w:rsidRPr="000A56B5" w:rsidRDefault="000A56B5" w:rsidP="000A56B5">
      <w:pPr>
        <w:rPr>
          <w:rFonts w:cstheme="minorHAnsi"/>
          <w:sz w:val="24"/>
          <w:szCs w:val="24"/>
        </w:rPr>
      </w:pPr>
      <w:r w:rsidRPr="000A56B5">
        <w:rPr>
          <w:rFonts w:cstheme="minorHAnsi"/>
          <w:sz w:val="24"/>
          <w:szCs w:val="24"/>
        </w:rPr>
        <w:t>Chitty, J. (2018). Chitty on Contracts. 33rd edition. Sweet &amp; Maxwell.</w:t>
      </w:r>
    </w:p>
    <w:p w14:paraId="2E0DF65D" w14:textId="7AAD19D8" w:rsidR="000A56B5" w:rsidRPr="000A56B5" w:rsidRDefault="000A56B5" w:rsidP="000A56B5">
      <w:pPr>
        <w:rPr>
          <w:rFonts w:cstheme="minorHAnsi"/>
          <w:sz w:val="24"/>
          <w:szCs w:val="24"/>
        </w:rPr>
      </w:pPr>
      <w:r w:rsidRPr="000A56B5">
        <w:rPr>
          <w:rFonts w:cstheme="minorHAnsi"/>
          <w:sz w:val="24"/>
          <w:szCs w:val="24"/>
        </w:rPr>
        <w:t>Treitel, G. (2015). Treitel on the Law of Contract. 14th edition. Sweet &amp; Maxwell.</w:t>
      </w:r>
    </w:p>
    <w:p w14:paraId="68B111E5" w14:textId="77777777" w:rsidR="000A56B5" w:rsidRPr="000A56B5" w:rsidRDefault="000A56B5" w:rsidP="000A56B5">
      <w:pPr>
        <w:rPr>
          <w:rFonts w:cstheme="minorHAnsi"/>
          <w:sz w:val="24"/>
          <w:szCs w:val="24"/>
        </w:rPr>
      </w:pPr>
      <w:r w:rsidRPr="000A56B5">
        <w:rPr>
          <w:rFonts w:cstheme="minorHAnsi"/>
          <w:sz w:val="24"/>
          <w:szCs w:val="24"/>
        </w:rPr>
        <w:t>Chitty, J., Furmston, M., &amp; Tolhurst, G. (2020). Chitty on contracts. Sweet &amp; Maxwell.</w:t>
      </w:r>
    </w:p>
    <w:p w14:paraId="6C085C4D" w14:textId="77777777" w:rsidR="000A56B5" w:rsidRPr="000A56B5" w:rsidRDefault="000A56B5" w:rsidP="000A56B5">
      <w:pPr>
        <w:rPr>
          <w:rFonts w:cstheme="minorHAnsi"/>
          <w:sz w:val="24"/>
          <w:szCs w:val="24"/>
        </w:rPr>
      </w:pPr>
      <w:r w:rsidRPr="000A56B5">
        <w:rPr>
          <w:rFonts w:cstheme="minorHAnsi"/>
          <w:sz w:val="24"/>
          <w:szCs w:val="24"/>
        </w:rPr>
        <w:t>Poole, J. (2021). Textbook on Contract Law. Oxford University Press.</w:t>
      </w:r>
    </w:p>
    <w:p w14:paraId="0AC7A784" w14:textId="44ADABD4" w:rsidR="000A56B5" w:rsidRPr="000A56B5" w:rsidRDefault="000A56B5" w:rsidP="000A56B5">
      <w:pPr>
        <w:rPr>
          <w:rFonts w:cstheme="minorHAnsi"/>
          <w:sz w:val="24"/>
          <w:szCs w:val="24"/>
        </w:rPr>
      </w:pPr>
      <w:r w:rsidRPr="000A56B5">
        <w:rPr>
          <w:rFonts w:cstheme="minorHAnsi"/>
          <w:sz w:val="24"/>
          <w:szCs w:val="24"/>
        </w:rPr>
        <w:t>Stone, R., &amp; Devenney, J. (2020). The Modern Law of Contract. Routledge.</w:t>
      </w:r>
    </w:p>
    <w:sectPr w:rsidR="000A56B5" w:rsidRPr="000A56B5" w:rsidSect="00D34555">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614AE" w14:textId="77777777" w:rsidR="00B85715" w:rsidRDefault="00B85715" w:rsidP="007A45ED">
      <w:pPr>
        <w:spacing w:after="0" w:line="240" w:lineRule="auto"/>
      </w:pPr>
      <w:r>
        <w:separator/>
      </w:r>
    </w:p>
  </w:endnote>
  <w:endnote w:type="continuationSeparator" w:id="0">
    <w:p w14:paraId="3BFC5153" w14:textId="77777777" w:rsidR="00B85715" w:rsidRDefault="00B85715" w:rsidP="007A4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7A45ED" w14:paraId="4BC84AFF" w14:textId="77777777">
      <w:trPr>
        <w:jc w:val="right"/>
      </w:trPr>
      <w:tc>
        <w:tcPr>
          <w:tcW w:w="4795" w:type="dxa"/>
          <w:vAlign w:val="center"/>
        </w:tcPr>
        <w:sdt>
          <w:sdtPr>
            <w:rPr>
              <w:caps/>
              <w:color w:val="000000" w:themeColor="text1"/>
            </w:rPr>
            <w:alias w:val="Author"/>
            <w:tag w:val=""/>
            <w:id w:val="1534539408"/>
            <w:placeholder>
              <w:docPart w:val="88480E0028FE4575BC655ED27951EF62"/>
            </w:placeholder>
            <w:dataBinding w:prefixMappings="xmlns:ns0='http://purl.org/dc/elements/1.1/' xmlns:ns1='http://schemas.openxmlformats.org/package/2006/metadata/core-properties' " w:xpath="/ns1:coreProperties[1]/ns0:creator[1]" w:storeItemID="{6C3C8BC8-F283-45AE-878A-BAB7291924A1}"/>
            <w:text/>
          </w:sdtPr>
          <w:sdtContent>
            <w:p w14:paraId="203B4CA4" w14:textId="2F3BA040" w:rsidR="007A45ED" w:rsidRDefault="007A45ED">
              <w:pPr>
                <w:pStyle w:val="Header"/>
                <w:jc w:val="right"/>
                <w:rPr>
                  <w:caps/>
                  <w:color w:val="000000" w:themeColor="text1"/>
                </w:rPr>
              </w:pPr>
              <w:r>
                <w:rPr>
                  <w:caps/>
                  <w:color w:val="000000" w:themeColor="text1"/>
                </w:rPr>
                <w:t>Bartosz Malinowski (2005342)</w:t>
              </w:r>
            </w:p>
          </w:sdtContent>
        </w:sdt>
      </w:tc>
      <w:tc>
        <w:tcPr>
          <w:tcW w:w="250" w:type="pct"/>
          <w:shd w:val="clear" w:color="auto" w:fill="ED7D31" w:themeFill="accent2"/>
          <w:vAlign w:val="center"/>
        </w:tcPr>
        <w:p w14:paraId="1DF7F03E" w14:textId="77777777" w:rsidR="007A45ED" w:rsidRDefault="007A45ED">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281C57F" w14:textId="77777777" w:rsidR="007A45ED" w:rsidRDefault="007A4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53989" w14:textId="77777777" w:rsidR="00B85715" w:rsidRDefault="00B85715" w:rsidP="007A45ED">
      <w:pPr>
        <w:spacing w:after="0" w:line="240" w:lineRule="auto"/>
      </w:pPr>
      <w:r>
        <w:separator/>
      </w:r>
    </w:p>
  </w:footnote>
  <w:footnote w:type="continuationSeparator" w:id="0">
    <w:p w14:paraId="5E2FD409" w14:textId="77777777" w:rsidR="00B85715" w:rsidRDefault="00B85715" w:rsidP="007A45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C0B"/>
    <w:rsid w:val="00022DE9"/>
    <w:rsid w:val="000A56B5"/>
    <w:rsid w:val="000D1DAD"/>
    <w:rsid w:val="00264199"/>
    <w:rsid w:val="002D2578"/>
    <w:rsid w:val="002D3CB9"/>
    <w:rsid w:val="004A1E58"/>
    <w:rsid w:val="005E375B"/>
    <w:rsid w:val="00695065"/>
    <w:rsid w:val="007525C1"/>
    <w:rsid w:val="007A45ED"/>
    <w:rsid w:val="007F633D"/>
    <w:rsid w:val="0085755E"/>
    <w:rsid w:val="00875BC6"/>
    <w:rsid w:val="008D16A4"/>
    <w:rsid w:val="009A0367"/>
    <w:rsid w:val="009E51EB"/>
    <w:rsid w:val="00A16054"/>
    <w:rsid w:val="00A5476C"/>
    <w:rsid w:val="00AA6828"/>
    <w:rsid w:val="00B85715"/>
    <w:rsid w:val="00C72BCF"/>
    <w:rsid w:val="00D34555"/>
    <w:rsid w:val="00D4054D"/>
    <w:rsid w:val="00D43C0B"/>
    <w:rsid w:val="00D63C91"/>
    <w:rsid w:val="00DD6BF5"/>
    <w:rsid w:val="00DE7C8D"/>
    <w:rsid w:val="00E021F7"/>
    <w:rsid w:val="00EB77BC"/>
    <w:rsid w:val="00EE4510"/>
    <w:rsid w:val="00F1033B"/>
    <w:rsid w:val="00FA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3B44C"/>
  <w15:chartTrackingRefBased/>
  <w15:docId w15:val="{F2A8BC06-1FDB-424C-9FD7-4C9BD9D2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7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2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25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455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34555"/>
    <w:rPr>
      <w:rFonts w:eastAsiaTheme="minorEastAsia"/>
      <w:kern w:val="0"/>
      <w:lang w:val="en-US"/>
      <w14:ligatures w14:val="none"/>
    </w:rPr>
  </w:style>
  <w:style w:type="character" w:customStyle="1" w:styleId="Heading1Char">
    <w:name w:val="Heading 1 Char"/>
    <w:basedOn w:val="DefaultParagraphFont"/>
    <w:link w:val="Heading1"/>
    <w:uiPriority w:val="9"/>
    <w:rsid w:val="005E37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375B"/>
    <w:pPr>
      <w:outlineLvl w:val="9"/>
    </w:pPr>
    <w:rPr>
      <w:kern w:val="0"/>
      <w:lang w:val="en-US"/>
      <w14:ligatures w14:val="none"/>
    </w:rPr>
  </w:style>
  <w:style w:type="paragraph" w:styleId="TOC1">
    <w:name w:val="toc 1"/>
    <w:basedOn w:val="Normal"/>
    <w:next w:val="Normal"/>
    <w:autoRedefine/>
    <w:uiPriority w:val="39"/>
    <w:unhideWhenUsed/>
    <w:rsid w:val="007525C1"/>
    <w:pPr>
      <w:spacing w:after="100"/>
    </w:pPr>
  </w:style>
  <w:style w:type="character" w:styleId="Hyperlink">
    <w:name w:val="Hyperlink"/>
    <w:basedOn w:val="DefaultParagraphFont"/>
    <w:uiPriority w:val="99"/>
    <w:unhideWhenUsed/>
    <w:rsid w:val="007525C1"/>
    <w:rPr>
      <w:color w:val="0563C1" w:themeColor="hyperlink"/>
      <w:u w:val="single"/>
    </w:rPr>
  </w:style>
  <w:style w:type="paragraph" w:styleId="Header">
    <w:name w:val="header"/>
    <w:basedOn w:val="Normal"/>
    <w:link w:val="HeaderChar"/>
    <w:uiPriority w:val="99"/>
    <w:unhideWhenUsed/>
    <w:rsid w:val="007A4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5ED"/>
  </w:style>
  <w:style w:type="paragraph" w:styleId="Footer">
    <w:name w:val="footer"/>
    <w:basedOn w:val="Normal"/>
    <w:link w:val="FooterChar"/>
    <w:uiPriority w:val="99"/>
    <w:unhideWhenUsed/>
    <w:rsid w:val="007A4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5ED"/>
  </w:style>
  <w:style w:type="character" w:customStyle="1" w:styleId="Heading2Char">
    <w:name w:val="Heading 2 Char"/>
    <w:basedOn w:val="DefaultParagraphFont"/>
    <w:link w:val="Heading2"/>
    <w:uiPriority w:val="9"/>
    <w:rsid w:val="002D25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D2578"/>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2D25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480E0028FE4575BC655ED27951EF62"/>
        <w:category>
          <w:name w:val="General"/>
          <w:gallery w:val="placeholder"/>
        </w:category>
        <w:types>
          <w:type w:val="bbPlcHdr"/>
        </w:types>
        <w:behaviors>
          <w:behavior w:val="content"/>
        </w:behaviors>
        <w:guid w:val="{46FE79A8-05BB-415A-848D-9976C8C694CA}"/>
      </w:docPartPr>
      <w:docPartBody>
        <w:p w:rsidR="00331FE3" w:rsidRDefault="001D503F" w:rsidP="001D503F">
          <w:pPr>
            <w:pStyle w:val="88480E0028FE4575BC655ED27951EF62"/>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03F"/>
    <w:rsid w:val="001D503F"/>
    <w:rsid w:val="00331FE3"/>
    <w:rsid w:val="007D7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480E0028FE4575BC655ED27951EF62">
    <w:name w:val="88480E0028FE4575BC655ED27951EF62"/>
    <w:rsid w:val="001D50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AF10C-AC7B-4A1C-A31C-19F2BD920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2074</Words>
  <Characters>11825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Intention to create legal relations</dc:title>
  <dc:subject>Bartosz Malinowski (2005342)</dc:subject>
  <dc:creator>Bartosz Malinowski (2005342)</dc:creator>
  <cp:keywords/>
  <dc:description/>
  <cp:lastModifiedBy>bmalinowski9292@gmail.com</cp:lastModifiedBy>
  <cp:revision>28</cp:revision>
  <dcterms:created xsi:type="dcterms:W3CDTF">2023-03-09T13:47:00Z</dcterms:created>
  <dcterms:modified xsi:type="dcterms:W3CDTF">2023-03-10T12:00:00Z</dcterms:modified>
</cp:coreProperties>
</file>