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67DCCF"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Effective Communication, Administrative Practice and Collaborative Working in the Care of Mrs Thompson</w:t>
      </w:r>
    </w:p>
    <w:p w14:paraId="438EF4C6"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p>
    <w:p w14:paraId="5E512845"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Introduction</w:t>
      </w:r>
    </w:p>
    <w:p w14:paraId="6A82BED3"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sz w:val="26"/>
          <w:szCs w:val="26"/>
        </w:rPr>
        <w:t>Mrs Thompson is an 84-year-old woman who was recently discharged from hospital after receiving treatment for pneumonia. She lives alone in sheltered accommodation and receives domiciliary care twice daily. Mrs Thompson also has mild dementia, which affects her memory and can make it difficult for her to carry out daily activities independently. Recently, concerns were raised when she missed taking her medication for two consecutive days, resulting in increased confusion. An incident report was completed, and a medication review was requested. In addition, Mrs Thompson was found outside during cold weather without appropriate clothing, creating concerns about her safety and wellbeing. As a result, the local authority initiated a review of her care needs. This case highlights the importance of effective communication, good administrative practice and collaborative working in health and social care settings. These principles are essential for promoting safety, dignity, independence and person-centred care. This essay will discuss how communication, record keeping and partnership working contribute to the support of Mrs Thompson while considering relevant legislation and professional frameworks.</w:t>
      </w:r>
    </w:p>
    <w:p w14:paraId="34DF83BD"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p>
    <w:p w14:paraId="7DCDB064"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Importance of Effective Communication</w:t>
      </w:r>
    </w:p>
    <w:p w14:paraId="56F4D826"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Effective communication is one of the most important aspects of health and social care practice. It allows professionals to understand the needs of service users, establish trust, build positive relationships and provide safe and effective care. According to the NHS (2025), communication becomes particularly important when supporting individuals living with dementia because cognitive changes may affect memory, concentration and understanding. In Mrs Thompson’s case, poor communication could contribute to medication errors, increased confusion and situations that place her health and safety at risk.</w:t>
      </w:r>
    </w:p>
    <w:p w14:paraId="0A151255"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Healthcare professionals should therefore adapt their communication methods to meet Mrs Thompson’s individual needs. Using simple language, short sentences and a calm tone of voice can improve understanding and reduce anxiety. Care workers should allow additional time for responses and avoid rushing conversations. Maintaining eye contact and reducing environmental distractions can also support effective communication. These strategies help ensure that Mrs Thompson remains actively involved in decisions regarding her care, promoting independence and dignity.</w:t>
      </w:r>
    </w:p>
    <w:p w14:paraId="656D0943"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 xml:space="preserve">Visual communication methods may also be beneficial. Written reminders, medication charts, calendars and labelled storage areas can help compensate for memory difficulties. Research suggests that visual prompts can support people living with dementia by reinforcing routines and encouraging independence (NHS, 2025). In Mrs </w:t>
      </w:r>
      <w:r w:rsidRPr="005D7509">
        <w:rPr>
          <w:rFonts w:ascii="AppleSystemUIFont" w:hAnsi="AppleSystemUIFont" w:cs="AppleSystemUIFont"/>
          <w:sz w:val="26"/>
          <w:szCs w:val="26"/>
        </w:rPr>
        <w:lastRenderedPageBreak/>
        <w:t>Thompson’s case, a medication schedule displayed in a visible location may help reduce the risk of missed doses and support adherence to treatment.</w:t>
      </w:r>
    </w:p>
    <w:p w14:paraId="23094CFF"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Communication with family members is equally important. Family members often have detailed knowledge of an individual’s personality, routines, preferences and behaviour patterns. They may notice subtle changes in health or wellbeing before professionals become aware of them. According to Skills for Care (2024), involving families in care planning can improve outcomes and promote person-centred care. In Mrs Thompson’s case, relatives may provide valuable information regarding her daily functioning, medication habits and any recent changes in behaviour. This information can support professionals in making informed decisions about her care needs.</w:t>
      </w:r>
    </w:p>
    <w:p w14:paraId="36DB9D91"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The Equality Act 2010 is particularly relevant when considering communication and access to services. The Act protects individuals from discrimination based on protected characteristics, including age and disability (UK Government, 2010). As Mrs Thompson has dementia, healthcare providers have a responsibility to make reasonable adjustments to ensure she can access services on an equal basis with others. This may include adapting communication methods, providing information in accessible formats and allowing additional time during assessments. Such adjustments help maintain dignity, respect and inclusion while ensuring that Mrs Thompson receives equitable care.</w:t>
      </w:r>
    </w:p>
    <w:p w14:paraId="22388FBB"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One communication model that can be applied to this case is Egan's SOLER model. The SOLER model focuses on active listening and non-verbal communication skills that help professionals build trust and understanding with service users. The model encourages practitioners to sit facing the individual, maintain an open posture, lean slightly forward, maintain appropriate eye contact and remain relaxed during interactions (Egan, 1975). These behaviours help create a supportive environment and encourage effective communication. In Mrs Thompson’s case, using the SOLER model could help care workers communicate more effectively by reducing anxiety and increasing understanding. For example, maintaining eye contact, speaking calmly and demonstrating attentive body language may help Mrs Thompson feel respected and supported when discussing medication management or care decisions. As a result, the model can improve engagement, strengthen relationships and support person-centred care.</w:t>
      </w:r>
    </w:p>
    <w:p w14:paraId="6EEEBA6B"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Communication also plays a significant role in safeguarding vulnerable adults. Safeguarding involves protecting individuals from abuse, neglect and avoidable harm (SCIE, 2024). The incident where Mrs Thompson was found outside in cold weather without suitable clothing may indicate confusion, self-neglect or an increased vulnerability to harm. Effective communication allows professionals to identify risks early, discuss concerns with the service user and involve appropriate agencies when necessary. Through open communication and regular monitoring, professionals can help prevent further incidents and support Mrs Thompson’s wellbeing.</w:t>
      </w:r>
    </w:p>
    <w:p w14:paraId="577291A2"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6149C9F1"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Importance of Good Administrative Skills</w:t>
      </w:r>
    </w:p>
    <w:p w14:paraId="66D51770"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Alongside effective communication, good administrative practice is essential for delivering safe, high-quality care. Administrative responsibilities include maintaining accurate records, completing incident reports, updating care plans and ensuring information is shared appropriately. These activities provide a clear record of care delivery and support informed decision-making.</w:t>
      </w:r>
    </w:p>
    <w:p w14:paraId="17F10B51"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Accurate record keeping is particularly important in Mrs Thompson’s case because it enables professionals to monitor changes in her condition over time. Documentation relating to medication administration, health observations, incidents and daily care activities provides valuable evidence that can be used to assess risks and evaluate the effectiveness of interventions. According to the Care Quality Commission (2024), good record keeping supports continuity of care by ensuring that all professionals involved have access to accurate and up-to-date information.</w:t>
      </w:r>
    </w:p>
    <w:p w14:paraId="154BDDEC"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The medication incident demonstrates the importance of effective documentation. By recording the missed medication and resulting confusion, professionals were able to identify a potential risk and initiate a medication review. Without accurate records, this issue may have gone unnoticed, increasing the likelihood of further complications. Documentation therefore contributes directly to patient safety and quality improvement.</w:t>
      </w:r>
    </w:p>
    <w:p w14:paraId="1A8D62C1"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Confidentiality and data protection are also fundamental aspects of administrative practice. The Data Protection Act 2018 requires organisations to process personal information lawfully, securely and transparently (UK Government, 2018). Information regarding Mrs Thompson’s health conditions, medication and personal circumstances must only be shared with authorised individuals who are directly involved in her care. Protecting confidential information helps maintain trust between service users, families and healthcare providers. Families are often more confident in care services when they know personal information is handled responsibly and professionally.</w:t>
      </w:r>
    </w:p>
    <w:p w14:paraId="3D124C8C"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The Care Act 2014 provides an important framework for supporting adults who require care and support. The Act places a duty on local authorities to promote wellbeing, prevent deterioration and safeguard vulnerable adults (Department of Health and Social Care, 2014). Mrs Thompson’s case clearly demonstrates the relevance of these responsibilities. Her missed medication and the incident involving inappropriate clothing indicate potential risks that require assessment and intervention. A review of her care needs may identify additional support measures, such as increased care visits, medication assistance or enhanced monitoring.</w:t>
      </w:r>
    </w:p>
    <w:p w14:paraId="020F66D0"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 xml:space="preserve">The Mental Capacity Act 2005 is equally significant. Although Mrs Thompson has mild dementia, professionals must not automatically assume she lacks capacity to make decisions. The Act states that every adult should be presumed to have capacity unless proven otherwise (UK Government, 2005). Individuals should be supported to make </w:t>
      </w:r>
      <w:r w:rsidRPr="005D7509">
        <w:rPr>
          <w:rFonts w:ascii="AppleSystemUIFont" w:hAnsi="AppleSystemUIFont" w:cs="AppleSystemUIFont"/>
          <w:sz w:val="26"/>
          <w:szCs w:val="26"/>
        </w:rPr>
        <w:lastRenderedPageBreak/>
        <w:t>their own decisions whenever possible. In practice, this may involve presenting information in a clear and accessible manner, allowing extra time for decision-making and ensuring that communication methods meet the person’s needs. If Mrs Thompson is found to lack capacity regarding a specific decision, any action taken must be in her best interests while respecting her rights and preferences.</w:t>
      </w:r>
    </w:p>
    <w:p w14:paraId="23E7E5C6"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Administrative practice also promotes accountability. Incident reporting systems allow organisations to investigate concerns, identify underlying causes and implement improvements. Learning from incidents is a key component of quality assurance and risk management. In Mrs Thompson’s case, the medication incident provides an opportunity to review existing procedures and consider strategies that may reduce future risks, such as medication reminders, electronic monitoring systems or additional support from care staff.</w:t>
      </w:r>
    </w:p>
    <w:p w14:paraId="126696DB"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04B60357"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Importance of Working Collaboratively</w:t>
      </w:r>
    </w:p>
    <w:p w14:paraId="55AAC16C"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Collaborative working is another essential element of health and social care practice. Individuals with complex needs often require support from multiple professionals and organisations. Effective partnership working ensures that care is coordinated, information is shared appropriately and services are delivered efficiently.</w:t>
      </w:r>
    </w:p>
    <w:p w14:paraId="12CB3B82"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Mrs Thompson’s care involves a range of professionals, including general practitioners, community nurses, domiciliary care workers, pharmacists and social workers. Each professional contributes specialist knowledge and skills that support different aspects of her care. The GP may review her medication and overall health status. Community nurses can monitor her recovery from pneumonia and assess any ongoing physical health concerns. Care workers provide practical support and are often the first to identify changes in behaviour or wellbeing. Pharmacists can advise on medication management, while social workers can coordinate services and conduct care assessments.</w:t>
      </w:r>
    </w:p>
    <w:p w14:paraId="19B69397"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Working collaboratively offers several benefits. It allows professionals to share information, reduce duplication of services and develop comprehensive care plans that address all aspects of an individual’s needs. According to the NHS (2025), integrated care approaches improve outcomes by ensuring that services work together around the needs of the person rather than operating independently.</w:t>
      </w:r>
    </w:p>
    <w:p w14:paraId="0C48C586"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Despite these benefits, challenges may arise. Different organisations may use separate systems, have different priorities or experience communication delays. Poor information sharing can lead to fragmented care and increase risks for vulnerable individuals. In Mrs Thompson’s case, delays in communicating concerns about medication adherence could result in further health complications. To overcome these challenges, professionals should engage in regular meetings, maintain accurate records and use shared care plans whenever possible. Effective leadership and clear communication channels are also essential for successful partnership working.</w:t>
      </w:r>
    </w:p>
    <w:p w14:paraId="5ECE6BF6"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lastRenderedPageBreak/>
        <w:t>Ultimately, collaborative working supports person-centred care by ensuring that all decisions are focused on the needs, preferences and wellbeing of the service user. Through effective teamwork, professionals can provide coordinated support that promotes safety, independence and quality of life.</w:t>
      </w:r>
    </w:p>
    <w:p w14:paraId="3010A4BE"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p>
    <w:p w14:paraId="098CE7D7"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Conclusion</w:t>
      </w:r>
    </w:p>
    <w:p w14:paraId="7DA6DC46"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Mrs Thompson’s case highlights the importance of effective communication, good administrative practice and collaborative working within health and social care. Her dementia, medication concerns and recent safety incidents demonstrate the need for clear communication, accurate documentation and coordinated professional support. Effective communication enables professionals to understand her needs, involve her in decision-making and build trusting relationships. Good administrative practice supports accountability, continuity of care and risk management through accurate record keeping and appropriate information sharing. Legislation such as the Equality Act 2010, Care Act 2014, Mental Capacity Act 2005 and Data Protection Act 2018 provides an essential framework for protecting vulnerable adults while promoting independence and wellbeing. Finally, collaborative working ensures that professionals can share expertise, coordinate services and deliver person-centred care. By applying these principles, health and social care professionals can help ensure that Mrs Thompson receives safe, effective and compassionate support that enhances her quality of life.</w:t>
      </w:r>
    </w:p>
    <w:p w14:paraId="055D59FA"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 </w:t>
      </w:r>
    </w:p>
    <w:p w14:paraId="6951788D"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26"/>
          <w:szCs w:val="26"/>
        </w:rPr>
      </w:pPr>
      <w:r w:rsidRPr="005D7509">
        <w:rPr>
          <w:rFonts w:ascii="AppleSystemUIFont" w:hAnsi="AppleSystemUIFont" w:cs="AppleSystemUIFont"/>
          <w:b/>
          <w:bCs/>
          <w:sz w:val="26"/>
          <w:szCs w:val="26"/>
        </w:rPr>
        <w:t>References</w:t>
      </w:r>
    </w:p>
    <w:p w14:paraId="758AA3EB"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 xml:space="preserve">Egan, G. (1975) </w:t>
      </w:r>
      <w:r w:rsidRPr="005D7509">
        <w:rPr>
          <w:rFonts w:ascii="AppleSystemUIFont" w:hAnsi="AppleSystemUIFont" w:cs="AppleSystemUIFont"/>
          <w:i/>
          <w:iCs/>
          <w:sz w:val="26"/>
          <w:szCs w:val="26"/>
        </w:rPr>
        <w:t>The Skilled Helper: A Model for Systematic Helping and Interpersonal Relating</w:t>
      </w:r>
      <w:r w:rsidRPr="005D7509">
        <w:rPr>
          <w:rFonts w:ascii="AppleSystemUIFont" w:hAnsi="AppleSystemUIFont" w:cs="AppleSystemUIFont"/>
          <w:sz w:val="26"/>
          <w:szCs w:val="26"/>
        </w:rPr>
        <w:t>. Monterey, CA: Brooks/Cole.</w:t>
      </w:r>
    </w:p>
    <w:p w14:paraId="62BF6162" w14:textId="77777777" w:rsidR="005D7509" w:rsidRDefault="005D7509" w:rsidP="005D7509">
      <w:pPr>
        <w:autoSpaceDE w:val="0"/>
        <w:autoSpaceDN w:val="0"/>
        <w:adjustRightInd w:val="0"/>
        <w:spacing w:after="0" w:line="240" w:lineRule="auto"/>
        <w:rPr>
          <w:rFonts w:ascii="AppleSystemUIFont" w:hAnsi="AppleSystemUIFont" w:cs="AppleSystemUIFont"/>
          <w:sz w:val="26"/>
          <w:szCs w:val="26"/>
          <w:lang w:val="pt-BR"/>
        </w:rPr>
      </w:pPr>
      <w:r w:rsidRPr="005D7509">
        <w:rPr>
          <w:rFonts w:ascii="AppleSystemUIFont" w:hAnsi="AppleSystemUIFont" w:cs="AppleSystemUIFont"/>
          <w:sz w:val="26"/>
          <w:szCs w:val="26"/>
        </w:rPr>
        <w:t>Care Quality Commission (2024) </w:t>
      </w:r>
      <w:r w:rsidRPr="005D7509">
        <w:rPr>
          <w:rFonts w:ascii="AppleSystemUIFont" w:hAnsi="AppleSystemUIFont" w:cs="AppleSystemUIFont"/>
          <w:i/>
          <w:iCs/>
          <w:sz w:val="26"/>
          <w:szCs w:val="26"/>
        </w:rPr>
        <w:t>Guidance for providers on meeting the regulations</w:t>
      </w:r>
      <w:r w:rsidRPr="005D7509">
        <w:rPr>
          <w:rFonts w:ascii="AppleSystemUIFont" w:hAnsi="AppleSystemUIFont" w:cs="AppleSystemUIFont"/>
          <w:sz w:val="26"/>
          <w:szCs w:val="26"/>
        </w:rPr>
        <w:t xml:space="preserve">. </w:t>
      </w:r>
      <w:r>
        <w:rPr>
          <w:rFonts w:ascii="AppleSystemUIFont" w:hAnsi="AppleSystemUIFont" w:cs="AppleSystemUIFont"/>
          <w:sz w:val="26"/>
          <w:szCs w:val="26"/>
          <w:lang w:val="pt-BR"/>
        </w:rPr>
        <w:t>Available at: </w:t>
      </w:r>
      <w:hyperlink r:id="rId6" w:history="1">
        <w:r>
          <w:rPr>
            <w:rFonts w:ascii="AppleSystemUIFont" w:hAnsi="AppleSystemUIFont" w:cs="AppleSystemUIFont"/>
            <w:sz w:val="26"/>
            <w:szCs w:val="26"/>
            <w:u w:val="single"/>
            <w:lang w:val="pt-BR"/>
          </w:rPr>
          <w:t>https://www.cqc.org.uk</w:t>
        </w:r>
      </w:hyperlink>
      <w:r>
        <w:rPr>
          <w:rFonts w:ascii="AppleSystemUIFont" w:hAnsi="AppleSystemUIFont" w:cs="AppleSystemUIFont"/>
          <w:sz w:val="26"/>
          <w:szCs w:val="26"/>
          <w:lang w:val="pt-BR"/>
        </w:rPr>
        <w:t> (Accessed: 16 July 2026).</w:t>
      </w:r>
    </w:p>
    <w:p w14:paraId="6307E5E9" w14:textId="0A25BB21"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Department of Health and Social Care (2014) </w:t>
      </w:r>
      <w:r w:rsidRPr="005D7509">
        <w:rPr>
          <w:rFonts w:ascii="AppleSystemUIFont" w:hAnsi="AppleSystemUIFont" w:cs="AppleSystemUIFont"/>
          <w:i/>
          <w:iCs/>
          <w:sz w:val="26"/>
          <w:szCs w:val="26"/>
        </w:rPr>
        <w:t>Care Act 2014</w:t>
      </w:r>
      <w:r w:rsidRPr="005D7509">
        <w:rPr>
          <w:rFonts w:ascii="AppleSystemUIFont" w:hAnsi="AppleSystemUIFont" w:cs="AppleSystemUIFont"/>
          <w:sz w:val="26"/>
          <w:szCs w:val="26"/>
        </w:rPr>
        <w:t>. Available at: </w:t>
      </w:r>
      <w:hyperlink r:id="rId7" w:history="1">
        <w:r w:rsidRPr="005D7509">
          <w:rPr>
            <w:rFonts w:ascii="AppleSystemUIFont" w:hAnsi="AppleSystemUIFont" w:cs="AppleSystemUIFont"/>
            <w:sz w:val="26"/>
            <w:szCs w:val="26"/>
            <w:u w:val="single"/>
          </w:rPr>
          <w:t>https://www.legislation.gov.uk/ukpga/2014/23/contents</w:t>
        </w:r>
      </w:hyperlink>
      <w:r w:rsidRPr="005D7509">
        <w:rPr>
          <w:rFonts w:ascii="AppleSystemUIFont" w:hAnsi="AppleSystemUIFont" w:cs="AppleSystemUIFont"/>
          <w:sz w:val="26"/>
          <w:szCs w:val="26"/>
        </w:rPr>
        <w:t xml:space="preserve"> </w:t>
      </w:r>
      <w:r w:rsidRPr="005D7509">
        <w:rPr>
          <w:rFonts w:ascii="AppleSystemUIFont" w:hAnsi="AppleSystemUIFont" w:cs="AppleSystemUIFont"/>
          <w:sz w:val="26"/>
          <w:szCs w:val="26"/>
        </w:rPr>
        <w:t>(Accessed: 16 July 2026).</w:t>
      </w:r>
    </w:p>
    <w:p w14:paraId="410BF868"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National Health Service (2025) </w:t>
      </w:r>
      <w:r w:rsidRPr="005D7509">
        <w:rPr>
          <w:rFonts w:ascii="AppleSystemUIFont" w:hAnsi="AppleSystemUIFont" w:cs="AppleSystemUIFont"/>
          <w:i/>
          <w:iCs/>
          <w:sz w:val="26"/>
          <w:szCs w:val="26"/>
        </w:rPr>
        <w:t>Dementia</w:t>
      </w:r>
      <w:r w:rsidRPr="005D7509">
        <w:rPr>
          <w:rFonts w:ascii="AppleSystemUIFont" w:hAnsi="AppleSystemUIFont" w:cs="AppleSystemUIFont"/>
          <w:sz w:val="26"/>
          <w:szCs w:val="26"/>
        </w:rPr>
        <w:t>. Available at: </w:t>
      </w:r>
      <w:hyperlink r:id="rId8" w:history="1">
        <w:r w:rsidRPr="005D7509">
          <w:rPr>
            <w:rFonts w:ascii="AppleSystemUIFont" w:hAnsi="AppleSystemUIFont" w:cs="AppleSystemUIFont"/>
            <w:sz w:val="26"/>
            <w:szCs w:val="26"/>
            <w:u w:val="single"/>
          </w:rPr>
          <w:t>https://www.nhs.uk/conditions/dementia/</w:t>
        </w:r>
      </w:hyperlink>
      <w:r w:rsidRPr="005D7509">
        <w:rPr>
          <w:rFonts w:ascii="AppleSystemUIFont" w:hAnsi="AppleSystemUIFont" w:cs="AppleSystemUIFont"/>
          <w:sz w:val="26"/>
          <w:szCs w:val="26"/>
        </w:rPr>
        <w:t> (Accessed: 16 July 2026).</w:t>
      </w:r>
    </w:p>
    <w:p w14:paraId="034582AE"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SCIE (2024) </w:t>
      </w:r>
      <w:r w:rsidRPr="005D7509">
        <w:rPr>
          <w:rFonts w:ascii="AppleSystemUIFont" w:hAnsi="AppleSystemUIFont" w:cs="AppleSystemUIFont"/>
          <w:i/>
          <w:iCs/>
          <w:sz w:val="26"/>
          <w:szCs w:val="26"/>
        </w:rPr>
        <w:t>Safeguarding Adults</w:t>
      </w:r>
      <w:r w:rsidRPr="005D7509">
        <w:rPr>
          <w:rFonts w:ascii="AppleSystemUIFont" w:hAnsi="AppleSystemUIFont" w:cs="AppleSystemUIFont"/>
          <w:sz w:val="26"/>
          <w:szCs w:val="26"/>
        </w:rPr>
        <w:t>. Available at: </w:t>
      </w:r>
      <w:hyperlink r:id="rId9" w:history="1">
        <w:r w:rsidRPr="005D7509">
          <w:rPr>
            <w:rFonts w:ascii="AppleSystemUIFont" w:hAnsi="AppleSystemUIFont" w:cs="AppleSystemUIFont"/>
            <w:sz w:val="26"/>
            <w:szCs w:val="26"/>
            <w:u w:val="single"/>
          </w:rPr>
          <w:t>https://www.scie.org.uk/safeguarding/adults/</w:t>
        </w:r>
      </w:hyperlink>
      <w:r w:rsidRPr="005D7509">
        <w:rPr>
          <w:rFonts w:ascii="AppleSystemUIFont" w:hAnsi="AppleSystemUIFont" w:cs="AppleSystemUIFont"/>
          <w:sz w:val="26"/>
          <w:szCs w:val="26"/>
        </w:rPr>
        <w:t> (Accessed: 16 July 2026).</w:t>
      </w:r>
    </w:p>
    <w:p w14:paraId="1CB2F8F9"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Skills for Care (2024) </w:t>
      </w:r>
      <w:r w:rsidRPr="005D7509">
        <w:rPr>
          <w:rFonts w:ascii="AppleSystemUIFont" w:hAnsi="AppleSystemUIFont" w:cs="AppleSystemUIFont"/>
          <w:i/>
          <w:iCs/>
          <w:sz w:val="26"/>
          <w:szCs w:val="26"/>
        </w:rPr>
        <w:t>Good Record Keeping</w:t>
      </w:r>
      <w:r w:rsidRPr="005D7509">
        <w:rPr>
          <w:rFonts w:ascii="AppleSystemUIFont" w:hAnsi="AppleSystemUIFont" w:cs="AppleSystemUIFont"/>
          <w:sz w:val="26"/>
          <w:szCs w:val="26"/>
        </w:rPr>
        <w:t>. Available at: </w:t>
      </w:r>
      <w:hyperlink r:id="rId10" w:history="1">
        <w:r w:rsidRPr="005D7509">
          <w:rPr>
            <w:rFonts w:ascii="AppleSystemUIFont" w:hAnsi="AppleSystemUIFont" w:cs="AppleSystemUIFont"/>
            <w:sz w:val="26"/>
            <w:szCs w:val="26"/>
            <w:u w:val="single"/>
          </w:rPr>
          <w:t>https://www.skillsforcare.org.uk</w:t>
        </w:r>
      </w:hyperlink>
      <w:r w:rsidRPr="005D7509">
        <w:rPr>
          <w:rFonts w:ascii="AppleSystemUIFont" w:hAnsi="AppleSystemUIFont" w:cs="AppleSystemUIFont"/>
          <w:sz w:val="26"/>
          <w:szCs w:val="26"/>
        </w:rPr>
        <w:t> (Accessed: 16 July 2026).</w:t>
      </w:r>
    </w:p>
    <w:p w14:paraId="19061EEF"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UK Government (2005) </w:t>
      </w:r>
      <w:r w:rsidRPr="005D7509">
        <w:rPr>
          <w:rFonts w:ascii="AppleSystemUIFont" w:hAnsi="AppleSystemUIFont" w:cs="AppleSystemUIFont"/>
          <w:i/>
          <w:iCs/>
          <w:sz w:val="26"/>
          <w:szCs w:val="26"/>
        </w:rPr>
        <w:t>Mental Capacity Act 2005</w:t>
      </w:r>
      <w:r w:rsidRPr="005D7509">
        <w:rPr>
          <w:rFonts w:ascii="AppleSystemUIFont" w:hAnsi="AppleSystemUIFont" w:cs="AppleSystemUIFont"/>
          <w:sz w:val="26"/>
          <w:szCs w:val="26"/>
        </w:rPr>
        <w:t>. Available at: </w:t>
      </w:r>
      <w:hyperlink r:id="rId11" w:history="1">
        <w:r w:rsidRPr="005D7509">
          <w:rPr>
            <w:rFonts w:ascii="AppleSystemUIFont" w:hAnsi="AppleSystemUIFont" w:cs="AppleSystemUIFont"/>
            <w:sz w:val="26"/>
            <w:szCs w:val="26"/>
            <w:u w:val="single"/>
          </w:rPr>
          <w:t>https://www.legislation.gov.uk/ukpga/2005/9/contents</w:t>
        </w:r>
      </w:hyperlink>
      <w:r w:rsidRPr="005D7509">
        <w:rPr>
          <w:rFonts w:ascii="AppleSystemUIFont" w:hAnsi="AppleSystemUIFont" w:cs="AppleSystemUIFont"/>
          <w:sz w:val="26"/>
          <w:szCs w:val="26"/>
        </w:rPr>
        <w:t>(Accessed: 16 July 2026).</w:t>
      </w:r>
    </w:p>
    <w:p w14:paraId="1ADD8354"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UK Government (2010) </w:t>
      </w:r>
      <w:r w:rsidRPr="005D7509">
        <w:rPr>
          <w:rFonts w:ascii="AppleSystemUIFont" w:hAnsi="AppleSystemUIFont" w:cs="AppleSystemUIFont"/>
          <w:i/>
          <w:iCs/>
          <w:sz w:val="26"/>
          <w:szCs w:val="26"/>
        </w:rPr>
        <w:t>Equality Act 2010</w:t>
      </w:r>
      <w:r w:rsidRPr="005D7509">
        <w:rPr>
          <w:rFonts w:ascii="AppleSystemUIFont" w:hAnsi="AppleSystemUIFont" w:cs="AppleSystemUIFont"/>
          <w:sz w:val="26"/>
          <w:szCs w:val="26"/>
        </w:rPr>
        <w:t>. Available at: </w:t>
      </w:r>
      <w:hyperlink r:id="rId12" w:history="1">
        <w:r w:rsidRPr="005D7509">
          <w:rPr>
            <w:rFonts w:ascii="AppleSystemUIFont" w:hAnsi="AppleSystemUIFont" w:cs="AppleSystemUIFont"/>
            <w:sz w:val="26"/>
            <w:szCs w:val="26"/>
            <w:u w:val="single"/>
          </w:rPr>
          <w:t>https://www.legislation.gov.uk/ukpga/2010/15/contents</w:t>
        </w:r>
      </w:hyperlink>
      <w:r w:rsidRPr="005D7509">
        <w:rPr>
          <w:rFonts w:ascii="AppleSystemUIFont" w:hAnsi="AppleSystemUIFont" w:cs="AppleSystemUIFont"/>
          <w:sz w:val="26"/>
          <w:szCs w:val="26"/>
        </w:rPr>
        <w:t>(Accessed: 16 July 2026).</w:t>
      </w:r>
    </w:p>
    <w:p w14:paraId="3F03F273"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t>UK Government (2018) </w:t>
      </w:r>
      <w:r w:rsidRPr="005D7509">
        <w:rPr>
          <w:rFonts w:ascii="AppleSystemUIFont" w:hAnsi="AppleSystemUIFont" w:cs="AppleSystemUIFont"/>
          <w:i/>
          <w:iCs/>
          <w:sz w:val="26"/>
          <w:szCs w:val="26"/>
        </w:rPr>
        <w:t>Data Protection Act 2018</w:t>
      </w:r>
      <w:r w:rsidRPr="005D7509">
        <w:rPr>
          <w:rFonts w:ascii="AppleSystemUIFont" w:hAnsi="AppleSystemUIFont" w:cs="AppleSystemUIFont"/>
          <w:sz w:val="26"/>
          <w:szCs w:val="26"/>
        </w:rPr>
        <w:t>. Available at: </w:t>
      </w:r>
      <w:hyperlink r:id="rId13" w:history="1">
        <w:r w:rsidRPr="005D7509">
          <w:rPr>
            <w:rFonts w:ascii="AppleSystemUIFont" w:hAnsi="AppleSystemUIFont" w:cs="AppleSystemUIFont"/>
            <w:sz w:val="26"/>
            <w:szCs w:val="26"/>
            <w:u w:val="single"/>
          </w:rPr>
          <w:t>https://www.legislation.gov.uk/ukpga/2018/12/contents</w:t>
        </w:r>
      </w:hyperlink>
      <w:r w:rsidRPr="005D7509">
        <w:rPr>
          <w:rFonts w:ascii="AppleSystemUIFont" w:hAnsi="AppleSystemUIFont" w:cs="AppleSystemUIFont"/>
          <w:sz w:val="26"/>
          <w:szCs w:val="26"/>
        </w:rPr>
        <w:t>(Accessed: 16 July 2026).</w:t>
      </w:r>
    </w:p>
    <w:p w14:paraId="157903D1"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r w:rsidRPr="005D7509">
        <w:rPr>
          <w:rFonts w:ascii="AppleSystemUIFont" w:hAnsi="AppleSystemUIFont" w:cs="AppleSystemUIFont"/>
          <w:sz w:val="26"/>
          <w:szCs w:val="26"/>
        </w:rPr>
        <w:lastRenderedPageBreak/>
        <w:t> </w:t>
      </w:r>
    </w:p>
    <w:p w14:paraId="5E941AD4"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72D60FCE"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1929350B"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5CE4AD5A"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4BDB450A" w14:textId="77777777" w:rsidR="005D7509" w:rsidRPr="005D7509" w:rsidRDefault="005D7509" w:rsidP="005D7509">
      <w:pPr>
        <w:autoSpaceDE w:val="0"/>
        <w:autoSpaceDN w:val="0"/>
        <w:adjustRightInd w:val="0"/>
        <w:spacing w:after="0" w:line="240" w:lineRule="auto"/>
        <w:rPr>
          <w:rFonts w:ascii="AppleSystemUIFont" w:hAnsi="AppleSystemUIFont" w:cs="AppleSystemUIFont"/>
          <w:b/>
          <w:bCs/>
          <w:sz w:val="40"/>
          <w:szCs w:val="40"/>
        </w:rPr>
      </w:pPr>
    </w:p>
    <w:p w14:paraId="35F46753" w14:textId="77777777" w:rsidR="005D7509" w:rsidRPr="005D7509" w:rsidRDefault="005D7509" w:rsidP="005D7509">
      <w:pPr>
        <w:autoSpaceDE w:val="0"/>
        <w:autoSpaceDN w:val="0"/>
        <w:adjustRightInd w:val="0"/>
        <w:spacing w:after="0" w:line="240" w:lineRule="auto"/>
        <w:rPr>
          <w:rFonts w:ascii="AppleSystemUIFont" w:hAnsi="AppleSystemUIFont" w:cs="AppleSystemUIFont"/>
          <w:sz w:val="26"/>
          <w:szCs w:val="26"/>
        </w:rPr>
      </w:pPr>
    </w:p>
    <w:p w14:paraId="1EBEE4B4" w14:textId="6FC85882" w:rsidR="005D7509" w:rsidRPr="005D7509" w:rsidRDefault="005D7509" w:rsidP="005D7509">
      <w:pPr>
        <w:rPr>
          <w:rFonts w:ascii="Arial" w:hAnsi="Arial" w:cs="Arial"/>
          <w:lang w:val="pt-GB"/>
        </w:rPr>
      </w:pPr>
    </w:p>
    <w:sectPr w:rsidR="005D7509" w:rsidRPr="005D7509" w:rsidSect="005D750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2008441674">
    <w:abstractNumId w:val="8"/>
  </w:num>
  <w:num w:numId="2" w16cid:durableId="456341514">
    <w:abstractNumId w:val="6"/>
  </w:num>
  <w:num w:numId="3" w16cid:durableId="188691353">
    <w:abstractNumId w:val="5"/>
  </w:num>
  <w:num w:numId="4" w16cid:durableId="1135024191">
    <w:abstractNumId w:val="4"/>
  </w:num>
  <w:num w:numId="5" w16cid:durableId="1861356870">
    <w:abstractNumId w:val="7"/>
  </w:num>
  <w:num w:numId="6" w16cid:durableId="287666330">
    <w:abstractNumId w:val="3"/>
  </w:num>
  <w:num w:numId="7" w16cid:durableId="731537718">
    <w:abstractNumId w:val="2"/>
  </w:num>
  <w:num w:numId="8" w16cid:durableId="1357268179">
    <w:abstractNumId w:val="1"/>
  </w:num>
  <w:num w:numId="9" w16cid:durableId="45714149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55719"/>
    <w:rsid w:val="005D7509"/>
    <w:rsid w:val="00AA1D8D"/>
    <w:rsid w:val="00B47730"/>
    <w:rsid w:val="00C17D0D"/>
    <w:rsid w:val="00CB0664"/>
    <w:rsid w:val="00DD434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EADF8D"/>
  <w14:defaultImageDpi w14:val="300"/>
  <w15:docId w15:val="{18057F56-7DF2-A04A-BAB1-DCE97CC7B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D7509"/>
    <w:pPr>
      <w:spacing w:before="100" w:beforeAutospacing="1" w:after="100" w:afterAutospacing="1" w:line="240" w:lineRule="auto"/>
    </w:pPr>
    <w:rPr>
      <w:rFonts w:ascii="Times New Roman" w:eastAsia="Times New Roman" w:hAnsi="Times New Roman" w:cs="Times New Roman"/>
      <w:sz w:val="24"/>
      <w:szCs w:val="24"/>
      <w:lang w:val="pt-GB" w:eastAsia="pt-BR"/>
    </w:rPr>
  </w:style>
  <w:style w:type="character" w:customStyle="1" w:styleId="apple-converted-space">
    <w:name w:val="apple-converted-space"/>
    <w:basedOn w:val="Fontepargpadro"/>
    <w:rsid w:val="005D7509"/>
  </w:style>
  <w:style w:type="character" w:styleId="Hyperlink">
    <w:name w:val="Hyperlink"/>
    <w:basedOn w:val="Fontepargpadro"/>
    <w:uiPriority w:val="99"/>
    <w:semiHidden/>
    <w:unhideWhenUsed/>
    <w:rsid w:val="005D75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dementia/" TargetMode="External"/><Relationship Id="rId13" Type="http://schemas.openxmlformats.org/officeDocument/2006/relationships/hyperlink" Target="https://www.legislation.gov.uk/ukpga/2018/12/contents" TargetMode="External"/><Relationship Id="rId3" Type="http://schemas.openxmlformats.org/officeDocument/2006/relationships/styles" Target="styles.xml"/><Relationship Id="rId7" Type="http://schemas.openxmlformats.org/officeDocument/2006/relationships/hyperlink" Target="https://www.legislation.gov.uk/ukpga/2014/23/contents" TargetMode="External"/><Relationship Id="rId12" Type="http://schemas.openxmlformats.org/officeDocument/2006/relationships/hyperlink" Target="https://www.legislation.gov.uk/ukpga/2010/15/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qc.org.uk/" TargetMode="External"/><Relationship Id="rId11" Type="http://schemas.openxmlformats.org/officeDocument/2006/relationships/hyperlink" Target="https://www.legislation.gov.uk/ukpga/2005/9/conten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killsforcare.org.uk/" TargetMode="External"/><Relationship Id="rId4" Type="http://schemas.openxmlformats.org/officeDocument/2006/relationships/settings" Target="settings.xml"/><Relationship Id="rId9" Type="http://schemas.openxmlformats.org/officeDocument/2006/relationships/hyperlink" Target="https://www.scie.org.uk/safeguarding/adul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2368</Words>
  <Characters>12793</Characters>
  <Application>Microsoft Office Word</Application>
  <DocSecurity>0</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15131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Aline Ticiane Ferreira Da Silva (2531527)</cp:lastModifiedBy>
  <cp:revision>1</cp:revision>
  <dcterms:created xsi:type="dcterms:W3CDTF">2013-12-23T23:15:00Z</dcterms:created>
  <dcterms:modified xsi:type="dcterms:W3CDTF">2026-07-17T10:39:00Z</dcterms:modified>
  <cp:category/>
</cp:coreProperties>
</file>