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0FA99" w14:textId="77777777" w:rsidR="00CB2225" w:rsidRPr="00EE6114" w:rsidRDefault="00CB2225" w:rsidP="00143961">
      <w:pPr>
        <w:spacing w:before="100" w:beforeAutospacing="1" w:after="100" w:afterAutospacing="1"/>
        <w:jc w:val="center"/>
        <w:rPr>
          <w:rFonts w:ascii="Arial" w:hAnsi="Arial" w:cs="Arial"/>
          <w:b/>
          <w:bCs/>
          <w:sz w:val="22"/>
          <w:szCs w:val="22"/>
        </w:rPr>
      </w:pPr>
    </w:p>
    <w:p w14:paraId="157A7E73" w14:textId="77777777"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Programme: BA (Hons) Leadership and Management Skills for the Workplace</w:t>
      </w:r>
    </w:p>
    <w:p w14:paraId="1751C477" w14:textId="77777777"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Module: Research Methods for Business</w:t>
      </w:r>
    </w:p>
    <w:p w14:paraId="36EAD608" w14:textId="77777777"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Module code: LCLM6004</w:t>
      </w:r>
    </w:p>
    <w:p w14:paraId="6A21D1B6" w14:textId="4A2C6550"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Module Leaders: Dr Rameses Manalang</w:t>
      </w:r>
    </w:p>
    <w:p w14:paraId="2E772708" w14:textId="77777777"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Assignment Title: Component 1 – Business Research Proposal</w:t>
      </w:r>
    </w:p>
    <w:p w14:paraId="2C2137AC" w14:textId="24377F96"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Topic: A study of compliance requirements for IBM at DHL: implementation challenges and improvement strategies</w:t>
      </w:r>
    </w:p>
    <w:p w14:paraId="377891EC" w14:textId="6270B871"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 xml:space="preserve">Student </w:t>
      </w:r>
      <w:r w:rsidR="00EE6114" w:rsidRPr="00EF2B7F">
        <w:rPr>
          <w:rFonts w:ascii="Arial" w:hAnsi="Arial" w:cs="Arial"/>
          <w:b/>
          <w:bCs/>
        </w:rPr>
        <w:t>Name: Alexandru</w:t>
      </w:r>
      <w:r w:rsidR="00A15D44" w:rsidRPr="00EF2B7F">
        <w:rPr>
          <w:rFonts w:ascii="Arial" w:hAnsi="Arial" w:cs="Arial"/>
          <w:b/>
          <w:bCs/>
        </w:rPr>
        <w:t xml:space="preserve"> Buzatu</w:t>
      </w:r>
    </w:p>
    <w:p w14:paraId="2782E9BF" w14:textId="035405EE" w:rsidR="00CB2225" w:rsidRPr="00EF2B7F" w:rsidRDefault="00000000" w:rsidP="00EE6114">
      <w:pPr>
        <w:spacing w:before="100" w:beforeAutospacing="1" w:after="100" w:afterAutospacing="1"/>
        <w:jc w:val="center"/>
        <w:rPr>
          <w:rFonts w:ascii="Arial" w:hAnsi="Arial" w:cs="Arial"/>
          <w:b/>
          <w:bCs/>
        </w:rPr>
      </w:pPr>
      <w:r w:rsidRPr="00EF2B7F">
        <w:rPr>
          <w:rFonts w:ascii="Arial" w:hAnsi="Arial" w:cs="Arial"/>
          <w:b/>
          <w:bCs/>
        </w:rPr>
        <w:t>Student ID:</w:t>
      </w:r>
      <w:r w:rsidR="00EE6114" w:rsidRPr="00EF2B7F">
        <w:rPr>
          <w:rFonts w:ascii="Arial" w:hAnsi="Arial" w:cs="Arial"/>
          <w:b/>
          <w:bCs/>
        </w:rPr>
        <w:t>2312847</w:t>
      </w:r>
    </w:p>
    <w:p w14:paraId="200215C0" w14:textId="77777777" w:rsidR="00CB2225" w:rsidRPr="00EE6114" w:rsidRDefault="00000000" w:rsidP="00143961">
      <w:pPr>
        <w:spacing w:before="100" w:beforeAutospacing="1" w:after="100" w:afterAutospacing="1"/>
        <w:rPr>
          <w:rFonts w:ascii="Arial" w:hAnsi="Arial" w:cs="Arial"/>
          <w:b/>
          <w:bCs/>
          <w:sz w:val="22"/>
          <w:szCs w:val="22"/>
        </w:rPr>
      </w:pPr>
      <w:bookmarkStart w:id="0" w:name="_heading=h.hh26bcqf9awe" w:colFirst="0" w:colLast="0"/>
      <w:bookmarkEnd w:id="0"/>
      <w:r w:rsidRPr="00EE6114">
        <w:rPr>
          <w:rFonts w:ascii="Arial" w:hAnsi="Arial" w:cs="Arial"/>
          <w:sz w:val="22"/>
          <w:szCs w:val="22"/>
        </w:rPr>
        <w:br w:type="page"/>
      </w:r>
    </w:p>
    <w:p w14:paraId="0B092877" w14:textId="77777777" w:rsidR="00CB2225" w:rsidRPr="00EE6114" w:rsidRDefault="00000000" w:rsidP="00143961">
      <w:pPr>
        <w:keepNext/>
        <w:keepLines/>
        <w:pBdr>
          <w:top w:val="nil"/>
          <w:left w:val="nil"/>
          <w:bottom w:val="nil"/>
          <w:right w:val="nil"/>
          <w:between w:val="nil"/>
        </w:pBdr>
        <w:spacing w:before="100" w:beforeAutospacing="1" w:after="100" w:afterAutospacing="1"/>
        <w:jc w:val="center"/>
        <w:rPr>
          <w:rFonts w:ascii="Arial" w:hAnsi="Arial" w:cs="Arial"/>
          <w:b/>
          <w:bCs/>
          <w:color w:val="000000"/>
          <w:sz w:val="22"/>
          <w:szCs w:val="22"/>
        </w:rPr>
      </w:pPr>
      <w:r w:rsidRPr="00EE6114">
        <w:rPr>
          <w:rFonts w:ascii="Arial" w:hAnsi="Arial" w:cs="Arial"/>
          <w:b/>
          <w:bCs/>
          <w:color w:val="000000"/>
          <w:sz w:val="22"/>
          <w:szCs w:val="22"/>
        </w:rPr>
        <w:lastRenderedPageBreak/>
        <w:t>Table of Contents</w:t>
      </w:r>
    </w:p>
    <w:sdt>
      <w:sdtPr>
        <w:rPr>
          <w:rFonts w:ascii="Arial" w:hAnsi="Arial" w:cs="Arial"/>
          <w:sz w:val="22"/>
          <w:szCs w:val="22"/>
        </w:rPr>
        <w:id w:val="2099794966"/>
        <w:docPartObj>
          <w:docPartGallery w:val="Table of Contents"/>
          <w:docPartUnique/>
        </w:docPartObj>
      </w:sdtPr>
      <w:sdtContent>
        <w:p w14:paraId="79621C2B" w14:textId="77777777" w:rsidR="00CB2225" w:rsidRPr="00EE6114" w:rsidRDefault="00CB2225" w:rsidP="00143961">
          <w:pPr>
            <w:widowControl w:val="0"/>
            <w:tabs>
              <w:tab w:val="right" w:leader="dot" w:pos="12000"/>
            </w:tabs>
            <w:spacing w:before="100" w:beforeAutospacing="1" w:after="100" w:afterAutospacing="1"/>
            <w:jc w:val="left"/>
            <w:rPr>
              <w:rFonts w:ascii="Arial" w:hAnsi="Arial" w:cs="Arial"/>
              <w:color w:val="000000"/>
              <w:sz w:val="22"/>
              <w:szCs w:val="22"/>
            </w:rPr>
          </w:pPr>
          <w:r w:rsidRPr="00EE6114">
            <w:rPr>
              <w:rFonts w:ascii="Arial" w:hAnsi="Arial" w:cs="Arial"/>
              <w:sz w:val="22"/>
              <w:szCs w:val="22"/>
            </w:rPr>
            <w:fldChar w:fldCharType="begin"/>
          </w:r>
          <w:r w:rsidRPr="00EE6114">
            <w:rPr>
              <w:rFonts w:ascii="Arial" w:hAnsi="Arial" w:cs="Arial"/>
              <w:sz w:val="22"/>
              <w:szCs w:val="22"/>
            </w:rPr>
            <w:instrText xml:space="preserve"> TOC \h \u \z \t "Heading 1,1,Heading 2,2,Heading 3,3,"</w:instrText>
          </w:r>
          <w:r w:rsidRPr="00EE6114">
            <w:rPr>
              <w:rFonts w:ascii="Arial" w:hAnsi="Arial" w:cs="Arial"/>
              <w:sz w:val="22"/>
              <w:szCs w:val="22"/>
            </w:rPr>
            <w:fldChar w:fldCharType="separate"/>
          </w:r>
          <w:hyperlink w:anchor="_heading=">
            <w:r w:rsidRPr="00EE6114">
              <w:rPr>
                <w:rFonts w:ascii="Arial" w:hAnsi="Arial" w:cs="Arial"/>
                <w:color w:val="000000"/>
                <w:sz w:val="22"/>
                <w:szCs w:val="22"/>
              </w:rPr>
              <w:t>1. Identification of a Business Problem</w:t>
            </w:r>
            <w:r w:rsidRPr="00EE6114">
              <w:rPr>
                <w:rFonts w:ascii="Arial" w:hAnsi="Arial" w:cs="Arial"/>
                <w:color w:val="000000"/>
                <w:sz w:val="22"/>
                <w:szCs w:val="22"/>
              </w:rPr>
              <w:tab/>
              <w:t>4</w:t>
            </w:r>
          </w:hyperlink>
        </w:p>
        <w:p w14:paraId="43DF8DA4"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tl44rve1r68a">
            <w:r w:rsidRPr="00EE6114">
              <w:rPr>
                <w:rFonts w:ascii="Arial" w:hAnsi="Arial" w:cs="Arial"/>
                <w:color w:val="000000"/>
                <w:sz w:val="22"/>
                <w:szCs w:val="22"/>
              </w:rPr>
              <w:t>1.1 Business Problem</w:t>
            </w:r>
          </w:hyperlink>
          <w:hyperlink w:anchor="_heading=h.tl44rve1r68a">
            <w:r w:rsidRPr="00EE6114">
              <w:rPr>
                <w:rFonts w:ascii="Arial" w:hAnsi="Arial" w:cs="Arial"/>
                <w:color w:val="000000"/>
                <w:sz w:val="22"/>
                <w:szCs w:val="22"/>
              </w:rPr>
              <w:tab/>
              <w:t>4</w:t>
            </w:r>
          </w:hyperlink>
        </w:p>
        <w:p w14:paraId="72499555"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emo46u7h1pin">
            <w:r w:rsidRPr="00EE6114">
              <w:rPr>
                <w:rFonts w:ascii="Arial" w:hAnsi="Arial" w:cs="Arial"/>
                <w:color w:val="000000"/>
                <w:sz w:val="22"/>
                <w:szCs w:val="22"/>
              </w:rPr>
              <w:t>1.2 Significance of the Problem</w:t>
            </w:r>
            <w:r w:rsidRPr="00EE6114">
              <w:rPr>
                <w:rFonts w:ascii="Arial" w:hAnsi="Arial" w:cs="Arial"/>
                <w:color w:val="000000"/>
                <w:sz w:val="22"/>
                <w:szCs w:val="22"/>
              </w:rPr>
              <w:tab/>
              <w:t>4</w:t>
            </w:r>
          </w:hyperlink>
        </w:p>
        <w:p w14:paraId="0BF2C608"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l85q6cv7nk0e">
            <w:r w:rsidRPr="00EE6114">
              <w:rPr>
                <w:rFonts w:ascii="Arial" w:hAnsi="Arial" w:cs="Arial"/>
                <w:color w:val="000000"/>
                <w:sz w:val="22"/>
                <w:szCs w:val="22"/>
              </w:rPr>
              <w:t>1.3 Organisational Context and Challenges</w:t>
            </w:r>
            <w:r w:rsidRPr="00EE6114">
              <w:rPr>
                <w:rFonts w:ascii="Arial" w:hAnsi="Arial" w:cs="Arial"/>
                <w:color w:val="000000"/>
                <w:sz w:val="22"/>
                <w:szCs w:val="22"/>
              </w:rPr>
              <w:tab/>
              <w:t>4</w:t>
            </w:r>
          </w:hyperlink>
        </w:p>
        <w:p w14:paraId="7BA3E6F6" w14:textId="77777777" w:rsidR="00CB2225" w:rsidRPr="00EE6114" w:rsidRDefault="00CB2225" w:rsidP="00143961">
          <w:pPr>
            <w:widowControl w:val="0"/>
            <w:tabs>
              <w:tab w:val="right" w:leader="dot" w:pos="12000"/>
            </w:tabs>
            <w:spacing w:before="100" w:beforeAutospacing="1" w:after="100" w:afterAutospacing="1"/>
            <w:jc w:val="left"/>
            <w:rPr>
              <w:rFonts w:ascii="Arial" w:eastAsia="Arial" w:hAnsi="Arial" w:cs="Arial"/>
              <w:b/>
              <w:bCs/>
              <w:color w:val="000000"/>
              <w:sz w:val="22"/>
              <w:szCs w:val="22"/>
            </w:rPr>
          </w:pPr>
          <w:hyperlink w:anchor="_heading=h.j8ztxor6vovp">
            <w:r w:rsidRPr="00EE6114">
              <w:rPr>
                <w:rFonts w:ascii="Arial" w:hAnsi="Arial" w:cs="Arial"/>
                <w:color w:val="000000"/>
                <w:sz w:val="22"/>
                <w:szCs w:val="22"/>
              </w:rPr>
              <w:t>2. Research Aim, Objectives and Questions</w:t>
            </w:r>
            <w:r w:rsidRPr="00EE6114">
              <w:rPr>
                <w:rFonts w:ascii="Arial" w:hAnsi="Arial" w:cs="Arial"/>
                <w:color w:val="000000"/>
                <w:sz w:val="22"/>
                <w:szCs w:val="22"/>
              </w:rPr>
              <w:tab/>
              <w:t>5</w:t>
            </w:r>
          </w:hyperlink>
        </w:p>
        <w:p w14:paraId="59E06533"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nqax1c6a4ze5">
            <w:r w:rsidRPr="00EE6114">
              <w:rPr>
                <w:rFonts w:ascii="Arial" w:hAnsi="Arial" w:cs="Arial"/>
                <w:color w:val="000000"/>
                <w:sz w:val="22"/>
                <w:szCs w:val="22"/>
              </w:rPr>
              <w:t>2.1 Research Aim</w:t>
            </w:r>
            <w:r w:rsidRPr="00EE6114">
              <w:rPr>
                <w:rFonts w:ascii="Arial" w:hAnsi="Arial" w:cs="Arial"/>
                <w:color w:val="000000"/>
                <w:sz w:val="22"/>
                <w:szCs w:val="22"/>
              </w:rPr>
              <w:tab/>
              <w:t>5</w:t>
            </w:r>
          </w:hyperlink>
        </w:p>
        <w:p w14:paraId="10973CDB"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iq4hetmywj7">
            <w:r w:rsidRPr="00EE6114">
              <w:rPr>
                <w:rFonts w:ascii="Arial" w:hAnsi="Arial" w:cs="Arial"/>
                <w:color w:val="000000"/>
                <w:sz w:val="22"/>
                <w:szCs w:val="22"/>
              </w:rPr>
              <w:t>2.2 Research Objectives</w:t>
            </w:r>
            <w:r w:rsidRPr="00EE6114">
              <w:rPr>
                <w:rFonts w:ascii="Arial" w:hAnsi="Arial" w:cs="Arial"/>
                <w:color w:val="000000"/>
                <w:sz w:val="22"/>
                <w:szCs w:val="22"/>
              </w:rPr>
              <w:tab/>
              <w:t>5</w:t>
            </w:r>
          </w:hyperlink>
        </w:p>
        <w:p w14:paraId="1506638B"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tikixefinvy">
            <w:r w:rsidRPr="00EE6114">
              <w:rPr>
                <w:rFonts w:ascii="Arial" w:hAnsi="Arial" w:cs="Arial"/>
                <w:color w:val="000000"/>
                <w:sz w:val="22"/>
                <w:szCs w:val="22"/>
              </w:rPr>
              <w:t>2.3 Research Questions</w:t>
            </w:r>
            <w:r w:rsidRPr="00EE6114">
              <w:rPr>
                <w:rFonts w:ascii="Arial" w:hAnsi="Arial" w:cs="Arial"/>
                <w:color w:val="000000"/>
                <w:sz w:val="22"/>
                <w:szCs w:val="22"/>
              </w:rPr>
              <w:tab/>
              <w:t>6</w:t>
            </w:r>
          </w:hyperlink>
        </w:p>
        <w:p w14:paraId="31259800" w14:textId="77777777" w:rsidR="00CB2225" w:rsidRPr="00EE6114" w:rsidRDefault="00CB2225" w:rsidP="00143961">
          <w:pPr>
            <w:widowControl w:val="0"/>
            <w:tabs>
              <w:tab w:val="right" w:leader="dot" w:pos="12000"/>
            </w:tabs>
            <w:spacing w:before="100" w:beforeAutospacing="1" w:after="100" w:afterAutospacing="1"/>
            <w:jc w:val="left"/>
            <w:rPr>
              <w:rFonts w:ascii="Arial" w:eastAsia="Arial" w:hAnsi="Arial" w:cs="Arial"/>
              <w:b/>
              <w:bCs/>
              <w:color w:val="000000"/>
              <w:sz w:val="22"/>
              <w:szCs w:val="22"/>
            </w:rPr>
          </w:pPr>
          <w:hyperlink w:anchor="_heading=h.n92ccq17lvw2">
            <w:r w:rsidRPr="00EE6114">
              <w:rPr>
                <w:rFonts w:ascii="Arial" w:hAnsi="Arial" w:cs="Arial"/>
                <w:color w:val="000000"/>
                <w:sz w:val="22"/>
                <w:szCs w:val="22"/>
              </w:rPr>
              <w:t>3. Critical Literature Review</w:t>
            </w:r>
            <w:r w:rsidRPr="00EE6114">
              <w:rPr>
                <w:rFonts w:ascii="Arial" w:hAnsi="Arial" w:cs="Arial"/>
                <w:color w:val="000000"/>
                <w:sz w:val="22"/>
                <w:szCs w:val="22"/>
              </w:rPr>
              <w:tab/>
              <w:t>6</w:t>
            </w:r>
          </w:hyperlink>
        </w:p>
        <w:p w14:paraId="0A44FCF0"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4mby5ktu8oyu">
            <w:r w:rsidRPr="00EE6114">
              <w:rPr>
                <w:rFonts w:ascii="Arial" w:hAnsi="Arial" w:cs="Arial"/>
                <w:color w:val="000000"/>
                <w:sz w:val="22"/>
                <w:szCs w:val="22"/>
              </w:rPr>
              <w:t>3.1 Key theories</w:t>
            </w:r>
            <w:r w:rsidRPr="00EE6114">
              <w:rPr>
                <w:rFonts w:ascii="Arial" w:hAnsi="Arial" w:cs="Arial"/>
                <w:color w:val="000000"/>
                <w:sz w:val="22"/>
                <w:szCs w:val="22"/>
              </w:rPr>
              <w:tab/>
              <w:t>6</w:t>
            </w:r>
          </w:hyperlink>
        </w:p>
        <w:p w14:paraId="13A83ADD"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1ews625mnclq">
            <w:r w:rsidRPr="00EE6114">
              <w:rPr>
                <w:rFonts w:ascii="Arial" w:hAnsi="Arial" w:cs="Arial"/>
                <w:color w:val="000000"/>
                <w:sz w:val="22"/>
                <w:szCs w:val="22"/>
              </w:rPr>
              <w:t>3.2 Compliance Requirements for organisations Systems and Operations</w:t>
            </w:r>
            <w:r w:rsidRPr="00EE6114">
              <w:rPr>
                <w:rFonts w:ascii="Arial" w:hAnsi="Arial" w:cs="Arial"/>
                <w:color w:val="000000"/>
                <w:sz w:val="22"/>
                <w:szCs w:val="22"/>
              </w:rPr>
              <w:tab/>
              <w:t>7</w:t>
            </w:r>
          </w:hyperlink>
        </w:p>
        <w:p w14:paraId="37E6E230"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c5rvfaeqx39j">
            <w:r w:rsidRPr="00EE6114">
              <w:rPr>
                <w:rFonts w:ascii="Arial" w:hAnsi="Arial" w:cs="Arial"/>
                <w:color w:val="000000"/>
                <w:sz w:val="22"/>
                <w:szCs w:val="22"/>
              </w:rPr>
              <w:t>3.3 Challenges in Implementing Compliance Requirements at Organisations</w:t>
            </w:r>
            <w:r w:rsidRPr="00EE6114">
              <w:rPr>
                <w:rFonts w:ascii="Arial" w:hAnsi="Arial" w:cs="Arial"/>
                <w:color w:val="000000"/>
                <w:sz w:val="22"/>
                <w:szCs w:val="22"/>
              </w:rPr>
              <w:tab/>
              <w:t>7</w:t>
            </w:r>
          </w:hyperlink>
        </w:p>
        <w:p w14:paraId="2F80243B"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a2f4xgcxyxxo">
            <w:r w:rsidRPr="00EE6114">
              <w:rPr>
                <w:rFonts w:ascii="Arial" w:hAnsi="Arial" w:cs="Arial"/>
                <w:color w:val="000000"/>
                <w:sz w:val="22"/>
                <w:szCs w:val="22"/>
              </w:rPr>
              <w:t>3.4 Strategies for Improving Compliance Implementation and Organisational Performance</w:t>
            </w:r>
            <w:r w:rsidRPr="00EE6114">
              <w:rPr>
                <w:rFonts w:ascii="Arial" w:hAnsi="Arial" w:cs="Arial"/>
                <w:color w:val="000000"/>
                <w:sz w:val="22"/>
                <w:szCs w:val="22"/>
              </w:rPr>
              <w:tab/>
              <w:t>7</w:t>
            </w:r>
          </w:hyperlink>
        </w:p>
        <w:p w14:paraId="61FAA846"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7bgczytt7qvg">
            <w:r w:rsidRPr="00EE6114">
              <w:rPr>
                <w:rFonts w:ascii="Arial" w:hAnsi="Arial" w:cs="Arial"/>
                <w:color w:val="000000"/>
                <w:sz w:val="22"/>
                <w:szCs w:val="22"/>
              </w:rPr>
              <w:t>3.5 Literature Gap</w:t>
            </w:r>
            <w:r w:rsidRPr="00EE6114">
              <w:rPr>
                <w:rFonts w:ascii="Arial" w:hAnsi="Arial" w:cs="Arial"/>
                <w:color w:val="000000"/>
                <w:sz w:val="22"/>
                <w:szCs w:val="22"/>
              </w:rPr>
              <w:tab/>
              <w:t>8</w:t>
            </w:r>
          </w:hyperlink>
        </w:p>
        <w:p w14:paraId="68167226" w14:textId="77777777" w:rsidR="00CB2225" w:rsidRPr="00EE6114" w:rsidRDefault="00CB2225" w:rsidP="00143961">
          <w:pPr>
            <w:widowControl w:val="0"/>
            <w:tabs>
              <w:tab w:val="right" w:leader="dot" w:pos="12000"/>
            </w:tabs>
            <w:spacing w:before="100" w:beforeAutospacing="1" w:after="100" w:afterAutospacing="1"/>
            <w:jc w:val="left"/>
            <w:rPr>
              <w:rFonts w:ascii="Arial" w:eastAsia="Arial" w:hAnsi="Arial" w:cs="Arial"/>
              <w:b/>
              <w:bCs/>
              <w:color w:val="000000"/>
              <w:sz w:val="22"/>
              <w:szCs w:val="22"/>
            </w:rPr>
          </w:pPr>
          <w:hyperlink w:anchor="_heading=h.7r1f5la8y2h1">
            <w:r w:rsidRPr="00EE6114">
              <w:rPr>
                <w:rFonts w:ascii="Arial" w:hAnsi="Arial" w:cs="Arial"/>
                <w:color w:val="000000"/>
                <w:sz w:val="22"/>
                <w:szCs w:val="22"/>
              </w:rPr>
              <w:t>4. Research Methodology and Design</w:t>
            </w:r>
            <w:r w:rsidRPr="00EE6114">
              <w:rPr>
                <w:rFonts w:ascii="Arial" w:hAnsi="Arial" w:cs="Arial"/>
                <w:color w:val="000000"/>
                <w:sz w:val="22"/>
                <w:szCs w:val="22"/>
              </w:rPr>
              <w:tab/>
              <w:t>8</w:t>
            </w:r>
          </w:hyperlink>
        </w:p>
        <w:p w14:paraId="40260B26"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y04ltrewyyk7">
            <w:r w:rsidRPr="00EE6114">
              <w:rPr>
                <w:rFonts w:ascii="Arial" w:hAnsi="Arial" w:cs="Arial"/>
                <w:color w:val="000000"/>
                <w:sz w:val="22"/>
                <w:szCs w:val="22"/>
              </w:rPr>
              <w:t>4.1 Research approach</w:t>
            </w:r>
            <w:r w:rsidRPr="00EE6114">
              <w:rPr>
                <w:rFonts w:ascii="Arial" w:hAnsi="Arial" w:cs="Arial"/>
                <w:color w:val="000000"/>
                <w:sz w:val="22"/>
                <w:szCs w:val="22"/>
              </w:rPr>
              <w:tab/>
              <w:t>8</w:t>
            </w:r>
          </w:hyperlink>
        </w:p>
        <w:p w14:paraId="0E868780"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mc5l9sodoewa">
            <w:r w:rsidRPr="00EE6114">
              <w:rPr>
                <w:rFonts w:ascii="Arial" w:hAnsi="Arial" w:cs="Arial"/>
                <w:color w:val="000000"/>
                <w:sz w:val="22"/>
                <w:szCs w:val="22"/>
              </w:rPr>
              <w:t>4.2 Data collection</w:t>
            </w:r>
            <w:r w:rsidRPr="00EE6114">
              <w:rPr>
                <w:rFonts w:ascii="Arial" w:hAnsi="Arial" w:cs="Arial"/>
                <w:color w:val="000000"/>
                <w:sz w:val="22"/>
                <w:szCs w:val="22"/>
              </w:rPr>
              <w:tab/>
              <w:t>9</w:t>
            </w:r>
          </w:hyperlink>
        </w:p>
        <w:p w14:paraId="5A08F30B"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b382hvtwrmz7">
            <w:r w:rsidRPr="00EE6114">
              <w:rPr>
                <w:rFonts w:ascii="Arial" w:hAnsi="Arial" w:cs="Arial"/>
                <w:color w:val="000000"/>
                <w:sz w:val="22"/>
                <w:szCs w:val="22"/>
              </w:rPr>
              <w:t>4.3 Sampling strategy</w:t>
            </w:r>
            <w:r w:rsidRPr="00EE6114">
              <w:rPr>
                <w:rFonts w:ascii="Arial" w:hAnsi="Arial" w:cs="Arial"/>
                <w:color w:val="000000"/>
                <w:sz w:val="22"/>
                <w:szCs w:val="22"/>
              </w:rPr>
              <w:tab/>
              <w:t>9</w:t>
            </w:r>
          </w:hyperlink>
        </w:p>
        <w:p w14:paraId="2460DA05"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kcqgy2bplmk">
            <w:r w:rsidRPr="00EE6114">
              <w:rPr>
                <w:rFonts w:ascii="Arial" w:hAnsi="Arial" w:cs="Arial"/>
                <w:color w:val="000000"/>
                <w:sz w:val="22"/>
                <w:szCs w:val="22"/>
              </w:rPr>
              <w:t>4.4 Data reliability</w:t>
            </w:r>
            <w:r w:rsidRPr="00EE6114">
              <w:rPr>
                <w:rFonts w:ascii="Arial" w:hAnsi="Arial" w:cs="Arial"/>
                <w:color w:val="000000"/>
                <w:sz w:val="22"/>
                <w:szCs w:val="22"/>
              </w:rPr>
              <w:tab/>
              <w:t>9</w:t>
            </w:r>
          </w:hyperlink>
        </w:p>
        <w:p w14:paraId="3298B04F"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gblh1kdz5g5f">
            <w:r w:rsidRPr="00EE6114">
              <w:rPr>
                <w:rFonts w:ascii="Arial" w:hAnsi="Arial" w:cs="Arial"/>
                <w:color w:val="000000"/>
                <w:sz w:val="22"/>
                <w:szCs w:val="22"/>
              </w:rPr>
              <w:t>4.5 Ethical considerations</w:t>
            </w:r>
            <w:r w:rsidRPr="00EE6114">
              <w:rPr>
                <w:rFonts w:ascii="Arial" w:hAnsi="Arial" w:cs="Arial"/>
                <w:color w:val="000000"/>
                <w:sz w:val="22"/>
                <w:szCs w:val="22"/>
              </w:rPr>
              <w:tab/>
              <w:t>9</w:t>
            </w:r>
          </w:hyperlink>
        </w:p>
        <w:p w14:paraId="26B08CE9" w14:textId="77777777" w:rsidR="00CB2225" w:rsidRPr="00EE6114" w:rsidRDefault="00CB2225" w:rsidP="00143961">
          <w:pPr>
            <w:widowControl w:val="0"/>
            <w:tabs>
              <w:tab w:val="right" w:leader="dot" w:pos="12000"/>
            </w:tabs>
            <w:spacing w:before="100" w:beforeAutospacing="1" w:after="100" w:afterAutospacing="1"/>
            <w:jc w:val="left"/>
            <w:rPr>
              <w:rFonts w:ascii="Arial" w:eastAsia="Arial" w:hAnsi="Arial" w:cs="Arial"/>
              <w:b/>
              <w:bCs/>
              <w:color w:val="000000"/>
              <w:sz w:val="22"/>
              <w:szCs w:val="22"/>
            </w:rPr>
          </w:pPr>
          <w:hyperlink w:anchor="_heading=h.e7rl6orbsptb">
            <w:r w:rsidRPr="00EE6114">
              <w:rPr>
                <w:rFonts w:ascii="Arial" w:hAnsi="Arial" w:cs="Arial"/>
                <w:color w:val="000000"/>
                <w:sz w:val="22"/>
                <w:szCs w:val="22"/>
              </w:rPr>
              <w:t>5. Business Relevance and Practical Implications</w:t>
            </w:r>
            <w:r w:rsidRPr="00EE6114">
              <w:rPr>
                <w:rFonts w:ascii="Arial" w:hAnsi="Arial" w:cs="Arial"/>
                <w:color w:val="000000"/>
                <w:sz w:val="22"/>
                <w:szCs w:val="22"/>
              </w:rPr>
              <w:tab/>
              <w:t>10</w:t>
            </w:r>
          </w:hyperlink>
        </w:p>
        <w:p w14:paraId="5E1A81B0"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6wxrhh4mmxng">
            <w:r w:rsidRPr="00EE6114">
              <w:rPr>
                <w:rFonts w:ascii="Arial" w:hAnsi="Arial" w:cs="Arial"/>
                <w:color w:val="000000"/>
                <w:sz w:val="22"/>
                <w:szCs w:val="22"/>
              </w:rPr>
              <w:t>5.1 Improving Organisational Decision-Making and Operations</w:t>
            </w:r>
            <w:r w:rsidRPr="00EE6114">
              <w:rPr>
                <w:rFonts w:ascii="Arial" w:hAnsi="Arial" w:cs="Arial"/>
                <w:color w:val="000000"/>
                <w:sz w:val="22"/>
                <w:szCs w:val="22"/>
              </w:rPr>
              <w:tab/>
              <w:t>10</w:t>
            </w:r>
          </w:hyperlink>
        </w:p>
        <w:p w14:paraId="39EE1BDF"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gy514pg4rf0x">
            <w:r w:rsidRPr="00EE6114">
              <w:rPr>
                <w:rFonts w:ascii="Arial" w:hAnsi="Arial" w:cs="Arial"/>
                <w:color w:val="000000"/>
                <w:sz w:val="22"/>
                <w:szCs w:val="22"/>
              </w:rPr>
              <w:t>5.2 Potential Recommendations, Innovations, and Strategies</w:t>
            </w:r>
            <w:r w:rsidRPr="00EE6114">
              <w:rPr>
                <w:rFonts w:ascii="Arial" w:hAnsi="Arial" w:cs="Arial"/>
                <w:color w:val="000000"/>
                <w:sz w:val="22"/>
                <w:szCs w:val="22"/>
              </w:rPr>
              <w:tab/>
              <w:t>10</w:t>
            </w:r>
          </w:hyperlink>
        </w:p>
        <w:p w14:paraId="7EB0192B" w14:textId="77777777" w:rsidR="00CB2225" w:rsidRPr="00EE6114" w:rsidRDefault="00CB2225" w:rsidP="00143961">
          <w:pPr>
            <w:widowControl w:val="0"/>
            <w:tabs>
              <w:tab w:val="right" w:leader="dot" w:pos="12000"/>
            </w:tabs>
            <w:spacing w:before="100" w:beforeAutospacing="1" w:after="100" w:afterAutospacing="1"/>
            <w:ind w:left="360"/>
            <w:jc w:val="left"/>
            <w:rPr>
              <w:rFonts w:ascii="Arial" w:eastAsia="Arial" w:hAnsi="Arial" w:cs="Arial"/>
              <w:color w:val="000000"/>
              <w:sz w:val="22"/>
              <w:szCs w:val="22"/>
            </w:rPr>
          </w:pPr>
          <w:hyperlink w:anchor="_heading=h.bzf44q9thrhh">
            <w:r w:rsidRPr="00EE6114">
              <w:rPr>
                <w:rFonts w:ascii="Arial" w:hAnsi="Arial" w:cs="Arial"/>
                <w:color w:val="000000"/>
                <w:sz w:val="22"/>
                <w:szCs w:val="22"/>
              </w:rPr>
              <w:t>5.3 Contribution to Applied Business Research</w:t>
            </w:r>
            <w:r w:rsidRPr="00EE6114">
              <w:rPr>
                <w:rFonts w:ascii="Arial" w:hAnsi="Arial" w:cs="Arial"/>
                <w:color w:val="000000"/>
                <w:sz w:val="22"/>
                <w:szCs w:val="22"/>
              </w:rPr>
              <w:tab/>
              <w:t>11</w:t>
            </w:r>
          </w:hyperlink>
        </w:p>
        <w:p w14:paraId="44C27AAF" w14:textId="77777777" w:rsidR="00CB2225" w:rsidRPr="00EE6114" w:rsidRDefault="00CB2225" w:rsidP="00143961">
          <w:pPr>
            <w:widowControl w:val="0"/>
            <w:tabs>
              <w:tab w:val="right" w:leader="dot" w:pos="12000"/>
            </w:tabs>
            <w:spacing w:before="100" w:beforeAutospacing="1" w:after="100" w:afterAutospacing="1"/>
            <w:jc w:val="left"/>
            <w:rPr>
              <w:rFonts w:ascii="Arial" w:eastAsia="Arial" w:hAnsi="Arial" w:cs="Arial"/>
              <w:b/>
              <w:bCs/>
              <w:color w:val="000000"/>
              <w:sz w:val="22"/>
              <w:szCs w:val="22"/>
            </w:rPr>
          </w:pPr>
          <w:hyperlink w:anchor="_heading=h.szkb89w3m5fb">
            <w:r w:rsidRPr="00EE6114">
              <w:rPr>
                <w:rFonts w:ascii="Arial" w:hAnsi="Arial" w:cs="Arial"/>
                <w:color w:val="000000"/>
                <w:sz w:val="22"/>
                <w:szCs w:val="22"/>
              </w:rPr>
              <w:t>6. References</w:t>
            </w:r>
            <w:r w:rsidRPr="00EE6114">
              <w:rPr>
                <w:rFonts w:ascii="Arial" w:hAnsi="Arial" w:cs="Arial"/>
                <w:color w:val="000000"/>
                <w:sz w:val="22"/>
                <w:szCs w:val="22"/>
              </w:rPr>
              <w:tab/>
              <w:t>12</w:t>
            </w:r>
          </w:hyperlink>
          <w:r w:rsidRPr="00EE6114">
            <w:rPr>
              <w:rFonts w:ascii="Arial" w:hAnsi="Arial" w:cs="Arial"/>
              <w:sz w:val="22"/>
              <w:szCs w:val="22"/>
            </w:rPr>
            <w:fldChar w:fldCharType="end"/>
          </w:r>
        </w:p>
      </w:sdtContent>
    </w:sdt>
    <w:p w14:paraId="73E97359" w14:textId="77777777" w:rsidR="00CB2225" w:rsidRPr="00EE6114" w:rsidRDefault="00CB2225" w:rsidP="00143961">
      <w:pPr>
        <w:spacing w:before="100" w:beforeAutospacing="1" w:after="100" w:afterAutospacing="1"/>
        <w:rPr>
          <w:rFonts w:ascii="Arial" w:hAnsi="Arial" w:cs="Arial"/>
          <w:b/>
          <w:bCs/>
          <w:sz w:val="22"/>
          <w:szCs w:val="22"/>
        </w:rPr>
      </w:pPr>
    </w:p>
    <w:p w14:paraId="5DFB0D20" w14:textId="77777777" w:rsidR="00CB2225" w:rsidRPr="00EE6114" w:rsidRDefault="00000000" w:rsidP="00143961">
      <w:pPr>
        <w:spacing w:before="100" w:beforeAutospacing="1" w:after="100" w:afterAutospacing="1"/>
        <w:rPr>
          <w:rFonts w:ascii="Arial" w:hAnsi="Arial" w:cs="Arial"/>
          <w:b/>
          <w:bCs/>
          <w:sz w:val="22"/>
          <w:szCs w:val="22"/>
        </w:rPr>
      </w:pPr>
      <w:bookmarkStart w:id="1" w:name="_heading=h.v7rvz3xglq97" w:colFirst="0" w:colLast="0"/>
      <w:bookmarkEnd w:id="1"/>
      <w:r w:rsidRPr="00EE6114">
        <w:rPr>
          <w:rFonts w:ascii="Arial" w:hAnsi="Arial" w:cs="Arial"/>
          <w:sz w:val="22"/>
          <w:szCs w:val="22"/>
        </w:rPr>
        <w:br w:type="page"/>
      </w:r>
    </w:p>
    <w:p w14:paraId="03335EC5" w14:textId="77777777" w:rsidR="00CB2225" w:rsidRPr="00EE6114" w:rsidRDefault="00000000" w:rsidP="00143961">
      <w:pPr>
        <w:pStyle w:val="Heading1"/>
        <w:spacing w:before="100" w:beforeAutospacing="1" w:after="100" w:afterAutospacing="1"/>
        <w:rPr>
          <w:rFonts w:ascii="Arial" w:hAnsi="Arial" w:cs="Arial"/>
          <w:sz w:val="22"/>
          <w:szCs w:val="22"/>
        </w:rPr>
      </w:pPr>
      <w:r w:rsidRPr="00EE6114">
        <w:rPr>
          <w:rFonts w:ascii="Arial" w:hAnsi="Arial" w:cs="Arial"/>
          <w:sz w:val="22"/>
          <w:szCs w:val="22"/>
        </w:rPr>
        <w:lastRenderedPageBreak/>
        <w:t>1. Identification of a Business Problem</w:t>
      </w:r>
    </w:p>
    <w:p w14:paraId="64C74C62"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2" w:name="_heading=h.tl44rve1r68a" w:colFirst="0" w:colLast="0"/>
      <w:bookmarkEnd w:id="2"/>
      <w:r w:rsidRPr="00EE6114">
        <w:rPr>
          <w:rFonts w:ascii="Arial" w:hAnsi="Arial" w:cs="Arial"/>
          <w:sz w:val="22"/>
          <w:szCs w:val="22"/>
        </w:rPr>
        <w:t xml:space="preserve">1.1 Business Problem </w:t>
      </w:r>
    </w:p>
    <w:p w14:paraId="4CCA3ADF"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DHL has been using IBM technologies to support logistics, data management, and business operations. However, compliance requirements of IBM are still challenging to adopt due to the changes in regulations, system integration, non-uniformity of the compliance practices and employee awareness (Olufemi and Olufemi, 2025). These problems enhance risks in operations and can have an adverse impact on regulatory compliance, business continuity and organisational performance.</w:t>
      </w:r>
    </w:p>
    <w:p w14:paraId="054163BE"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3" w:name="_heading=h.emo46u7h1pin" w:colFirst="0" w:colLast="0"/>
      <w:bookmarkEnd w:id="3"/>
      <w:r w:rsidRPr="00EE6114">
        <w:rPr>
          <w:rFonts w:ascii="Arial" w:hAnsi="Arial" w:cs="Arial"/>
          <w:sz w:val="22"/>
          <w:szCs w:val="22"/>
        </w:rPr>
        <w:t>1.2 Significance of the Problem</w:t>
      </w:r>
    </w:p>
    <w:p w14:paraId="389C24A0"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Compliance with the IBM requirements is the key to safe, trustworthy, and legally acceptable logistics activities at DHL. The failure to implement effectively may result in regulation non-compliance, data leakage, technical issues, penalties and loss of reputation. Since DHL operates in different countries, it is becoming more difficult to have standardised levels of compliance as there are different levels of legal and regulatory standards. However, lack of compliance can also affect customer confidence and distract from digital transformation initiatives that enable operational efficiency (Omowole </w:t>
      </w:r>
      <w:r w:rsidRPr="00EE6114">
        <w:rPr>
          <w:rFonts w:ascii="Arial" w:hAnsi="Arial" w:cs="Arial"/>
          <w:i/>
          <w:iCs/>
          <w:sz w:val="22"/>
          <w:szCs w:val="22"/>
        </w:rPr>
        <w:t>et al.,</w:t>
      </w:r>
      <w:r w:rsidRPr="00EE6114">
        <w:rPr>
          <w:rFonts w:ascii="Arial" w:hAnsi="Arial" w:cs="Arial"/>
          <w:sz w:val="22"/>
          <w:szCs w:val="22"/>
        </w:rPr>
        <w:t xml:space="preserve"> 2024). The study of implementation issues and ways of effective improvement can be relevant to reinforce governance, reduce organisational risks, improve business resilience, and help achieve long-term strategic priorities and the competitive stance of DHL.</w:t>
      </w:r>
    </w:p>
    <w:p w14:paraId="5935D53B"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4" w:name="_heading=h.l85q6cv7nk0e" w:colFirst="0" w:colLast="0"/>
      <w:bookmarkEnd w:id="4"/>
      <w:r w:rsidRPr="00EE6114">
        <w:rPr>
          <w:rFonts w:ascii="Arial" w:hAnsi="Arial" w:cs="Arial"/>
          <w:sz w:val="22"/>
          <w:szCs w:val="22"/>
        </w:rPr>
        <w:t>1.3 Organisational Context and Challenges</w:t>
      </w:r>
    </w:p>
    <w:p w14:paraId="014220BD"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DHL is a multinational logistics and supply chain business with operations in over 220 countries (DHL, 2024). The territories actively utilise IBM technologies to aid enterprise systems, cloud services, cybersecurity, and data management (IBM, 2022). The organisation has to adhere to internal organisational policies, contractual requirements and international regulatory standards and yet maintain uninterrupted business operations. This graph shows that the capital expenditures of DHL is over £2.58 billion. </w:t>
      </w:r>
    </w:p>
    <w:p w14:paraId="60EEA024" w14:textId="77777777" w:rsidR="00CB2225" w:rsidRPr="00EE6114" w:rsidRDefault="00000000" w:rsidP="00143961">
      <w:pPr>
        <w:spacing w:before="100" w:beforeAutospacing="1" w:after="100" w:afterAutospacing="1"/>
        <w:jc w:val="center"/>
        <w:rPr>
          <w:rFonts w:ascii="Arial" w:hAnsi="Arial" w:cs="Arial"/>
          <w:sz w:val="22"/>
          <w:szCs w:val="22"/>
        </w:rPr>
      </w:pPr>
      <w:r w:rsidRPr="00EE6114">
        <w:rPr>
          <w:rFonts w:ascii="Arial" w:hAnsi="Arial" w:cs="Arial"/>
          <w:noProof/>
          <w:sz w:val="22"/>
          <w:szCs w:val="22"/>
        </w:rPr>
        <w:lastRenderedPageBreak/>
        <w:drawing>
          <wp:inline distT="114300" distB="114300" distL="114300" distR="114300" wp14:anchorId="77ED1BF7" wp14:editId="5E56D22F">
            <wp:extent cx="4014788" cy="2566946"/>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014788" cy="2566946"/>
                    </a:xfrm>
                    <a:prstGeom prst="rect">
                      <a:avLst/>
                    </a:prstGeom>
                    <a:ln w="12700">
                      <a:solidFill>
                        <a:srgbClr val="000000"/>
                      </a:solidFill>
                      <a:prstDash val="solid"/>
                    </a:ln>
                  </pic:spPr>
                </pic:pic>
              </a:graphicData>
            </a:graphic>
          </wp:inline>
        </w:drawing>
      </w:r>
    </w:p>
    <w:p w14:paraId="3D8268BC" w14:textId="77777777" w:rsidR="00CB2225" w:rsidRPr="00EE6114" w:rsidRDefault="00000000" w:rsidP="00143961">
      <w:pPr>
        <w:spacing w:before="100" w:beforeAutospacing="1" w:after="100" w:afterAutospacing="1"/>
        <w:jc w:val="center"/>
        <w:rPr>
          <w:rFonts w:ascii="Arial" w:hAnsi="Arial" w:cs="Arial"/>
          <w:b/>
          <w:bCs/>
          <w:sz w:val="22"/>
          <w:szCs w:val="22"/>
        </w:rPr>
      </w:pPr>
      <w:r w:rsidRPr="00EE6114">
        <w:rPr>
          <w:rFonts w:ascii="Arial" w:hAnsi="Arial" w:cs="Arial"/>
          <w:b/>
          <w:bCs/>
          <w:sz w:val="22"/>
          <w:szCs w:val="22"/>
        </w:rPr>
        <w:t>Figure 1: Capital expenditures of DHL</w:t>
      </w:r>
    </w:p>
    <w:p w14:paraId="4EF8C991" w14:textId="77777777" w:rsidR="00CB2225" w:rsidRPr="00EE6114" w:rsidRDefault="00000000" w:rsidP="00143961">
      <w:pPr>
        <w:spacing w:before="100" w:beforeAutospacing="1" w:after="100" w:afterAutospacing="1"/>
        <w:jc w:val="center"/>
        <w:rPr>
          <w:rFonts w:ascii="Arial" w:hAnsi="Arial" w:cs="Arial"/>
          <w:sz w:val="22"/>
          <w:szCs w:val="22"/>
        </w:rPr>
      </w:pPr>
      <w:r w:rsidRPr="00EE6114">
        <w:rPr>
          <w:rFonts w:ascii="Arial" w:hAnsi="Arial" w:cs="Arial"/>
          <w:sz w:val="22"/>
          <w:szCs w:val="22"/>
        </w:rPr>
        <w:t>(Source: Statista, 2025)</w:t>
      </w:r>
    </w:p>
    <w:p w14:paraId="39598E47"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However, the problems of regional regulations, changing compliance demands, technological sophistication and the differences in employee awareness pose a major challenge in implementation. With DHL going through its digital transformation, the need to ensure uniform compliance in all its worldwide businesses has emerged as a key to enhancing its operational effectiveness, risk management, and confidence of stakeholders.</w:t>
      </w:r>
    </w:p>
    <w:p w14:paraId="3BB40206" w14:textId="77777777" w:rsidR="00CB2225" w:rsidRPr="00EE6114" w:rsidRDefault="00000000" w:rsidP="00143961">
      <w:pPr>
        <w:pStyle w:val="Heading1"/>
        <w:spacing w:before="100" w:beforeAutospacing="1" w:after="100" w:afterAutospacing="1"/>
        <w:rPr>
          <w:rFonts w:ascii="Arial" w:hAnsi="Arial" w:cs="Arial"/>
          <w:sz w:val="22"/>
          <w:szCs w:val="22"/>
        </w:rPr>
      </w:pPr>
      <w:bookmarkStart w:id="5" w:name="_heading=h.j8ztxor6vovp" w:colFirst="0" w:colLast="0"/>
      <w:bookmarkEnd w:id="5"/>
      <w:r w:rsidRPr="00EE6114">
        <w:rPr>
          <w:rFonts w:ascii="Arial" w:hAnsi="Arial" w:cs="Arial"/>
          <w:sz w:val="22"/>
          <w:szCs w:val="22"/>
        </w:rPr>
        <w:t>2. Research Aim, Objectives and Questions</w:t>
      </w:r>
    </w:p>
    <w:p w14:paraId="03BE7DEB"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6" w:name="_heading=h.nqax1c6a4ze5" w:colFirst="0" w:colLast="0"/>
      <w:bookmarkEnd w:id="6"/>
      <w:r w:rsidRPr="00EE6114">
        <w:rPr>
          <w:rFonts w:ascii="Arial" w:hAnsi="Arial" w:cs="Arial"/>
          <w:sz w:val="22"/>
          <w:szCs w:val="22"/>
        </w:rPr>
        <w:t>2.1 Research Aim</w:t>
      </w:r>
    </w:p>
    <w:p w14:paraId="3DF15CC4"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The research aim is to explore the compliance needs of IBM in DHL, analyse the difficulties of its application and suggest measures to enhance the effectiveness of compliance.</w:t>
      </w:r>
    </w:p>
    <w:p w14:paraId="6F808E1D"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7" w:name="_heading=h.iq4hetmywj7" w:colFirst="0" w:colLast="0"/>
      <w:bookmarkEnd w:id="7"/>
      <w:r w:rsidRPr="00EE6114">
        <w:rPr>
          <w:rFonts w:ascii="Arial" w:hAnsi="Arial" w:cs="Arial"/>
          <w:sz w:val="22"/>
          <w:szCs w:val="22"/>
        </w:rPr>
        <w:t>2.2 Research Objectives</w:t>
      </w:r>
    </w:p>
    <w:p w14:paraId="31D8D03E" w14:textId="718B02E9" w:rsidR="00CB2225" w:rsidRPr="00EE6114" w:rsidRDefault="00000000" w:rsidP="00143961">
      <w:pPr>
        <w:numPr>
          <w:ilvl w:val="0"/>
          <w:numId w:val="1"/>
        </w:numPr>
        <w:spacing w:before="100" w:beforeAutospacing="1" w:after="100" w:afterAutospacing="1"/>
        <w:rPr>
          <w:rFonts w:ascii="Arial" w:hAnsi="Arial" w:cs="Arial"/>
          <w:sz w:val="22"/>
          <w:szCs w:val="22"/>
        </w:rPr>
      </w:pPr>
      <w:r w:rsidRPr="00EE6114">
        <w:rPr>
          <w:rFonts w:ascii="Arial" w:hAnsi="Arial" w:cs="Arial"/>
          <w:sz w:val="22"/>
          <w:szCs w:val="22"/>
        </w:rPr>
        <w:t>To examine the compliance requirements that are related to IBM systems and operations in DHL</w:t>
      </w:r>
      <w:r w:rsidR="00A15D44" w:rsidRPr="00EE6114">
        <w:rPr>
          <w:rFonts w:ascii="Arial" w:hAnsi="Arial" w:cs="Arial"/>
          <w:sz w:val="22"/>
          <w:szCs w:val="22"/>
        </w:rPr>
        <w:t>.</w:t>
      </w:r>
    </w:p>
    <w:p w14:paraId="65B9AEF7" w14:textId="77777777" w:rsidR="00CB2225" w:rsidRPr="00EE6114" w:rsidRDefault="00000000" w:rsidP="00143961">
      <w:pPr>
        <w:numPr>
          <w:ilvl w:val="0"/>
          <w:numId w:val="1"/>
        </w:numPr>
        <w:spacing w:before="100" w:beforeAutospacing="1" w:after="100" w:afterAutospacing="1"/>
        <w:rPr>
          <w:rFonts w:ascii="Arial" w:hAnsi="Arial" w:cs="Arial"/>
          <w:sz w:val="22"/>
          <w:szCs w:val="22"/>
        </w:rPr>
      </w:pPr>
      <w:r w:rsidRPr="00EE6114">
        <w:rPr>
          <w:rFonts w:ascii="Arial" w:hAnsi="Arial" w:cs="Arial"/>
          <w:sz w:val="22"/>
          <w:szCs w:val="22"/>
        </w:rPr>
        <w:t>To identify the issues that affect the implementation of IBM compliance requirements in DHL.</w:t>
      </w:r>
    </w:p>
    <w:p w14:paraId="1F7A2EC5" w14:textId="77777777" w:rsidR="00CB2225" w:rsidRPr="00EE6114" w:rsidRDefault="00000000" w:rsidP="00143961">
      <w:pPr>
        <w:numPr>
          <w:ilvl w:val="0"/>
          <w:numId w:val="1"/>
        </w:numPr>
        <w:spacing w:before="100" w:beforeAutospacing="1" w:after="100" w:afterAutospacing="1"/>
        <w:rPr>
          <w:rFonts w:ascii="Arial" w:hAnsi="Arial" w:cs="Arial"/>
          <w:sz w:val="22"/>
          <w:szCs w:val="22"/>
        </w:rPr>
      </w:pPr>
      <w:r w:rsidRPr="00EE6114">
        <w:rPr>
          <w:rFonts w:ascii="Arial" w:hAnsi="Arial" w:cs="Arial"/>
          <w:sz w:val="22"/>
          <w:szCs w:val="22"/>
        </w:rPr>
        <w:t>To provide practical recommendations on how compliance implementation can be improved, in accordance with the organisational performance.</w:t>
      </w:r>
    </w:p>
    <w:p w14:paraId="2D610AC4"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8" w:name="_heading=h.tikixefinvy" w:colFirst="0" w:colLast="0"/>
      <w:bookmarkEnd w:id="8"/>
      <w:r w:rsidRPr="00EE6114">
        <w:rPr>
          <w:rFonts w:ascii="Arial" w:hAnsi="Arial" w:cs="Arial"/>
          <w:sz w:val="22"/>
          <w:szCs w:val="22"/>
        </w:rPr>
        <w:lastRenderedPageBreak/>
        <w:t xml:space="preserve">2.3 Research Questions </w:t>
      </w:r>
    </w:p>
    <w:p w14:paraId="7EE6DAD0" w14:textId="77777777" w:rsidR="00CB2225" w:rsidRPr="00EE6114" w:rsidRDefault="00000000" w:rsidP="00143961">
      <w:pPr>
        <w:numPr>
          <w:ilvl w:val="0"/>
          <w:numId w:val="2"/>
        </w:numPr>
        <w:spacing w:before="100" w:beforeAutospacing="1" w:after="100" w:afterAutospacing="1"/>
        <w:rPr>
          <w:rFonts w:ascii="Arial" w:hAnsi="Arial" w:cs="Arial"/>
          <w:sz w:val="22"/>
          <w:szCs w:val="22"/>
        </w:rPr>
      </w:pPr>
      <w:r w:rsidRPr="00EE6114">
        <w:rPr>
          <w:rFonts w:ascii="Arial" w:hAnsi="Arial" w:cs="Arial"/>
          <w:sz w:val="22"/>
          <w:szCs w:val="22"/>
        </w:rPr>
        <w:t>What are the compliance requirements on the most important IBM systems and operations at DHL?</w:t>
      </w:r>
    </w:p>
    <w:p w14:paraId="7965670E" w14:textId="77777777" w:rsidR="00CB2225" w:rsidRPr="00EE6114" w:rsidRDefault="00000000" w:rsidP="00143961">
      <w:pPr>
        <w:numPr>
          <w:ilvl w:val="0"/>
          <w:numId w:val="2"/>
        </w:numPr>
        <w:spacing w:before="100" w:beforeAutospacing="1" w:after="100" w:afterAutospacing="1"/>
        <w:rPr>
          <w:rFonts w:ascii="Arial" w:hAnsi="Arial" w:cs="Arial"/>
          <w:sz w:val="22"/>
          <w:szCs w:val="22"/>
        </w:rPr>
      </w:pPr>
      <w:r w:rsidRPr="00EE6114">
        <w:rPr>
          <w:rFonts w:ascii="Arial" w:hAnsi="Arial" w:cs="Arial"/>
          <w:sz w:val="22"/>
          <w:szCs w:val="22"/>
        </w:rPr>
        <w:t>What are the issues with implementing the IBM compliance requirements at DHL?</w:t>
      </w:r>
    </w:p>
    <w:p w14:paraId="422F69EA" w14:textId="77777777" w:rsidR="00CB2225" w:rsidRPr="00EE6114" w:rsidRDefault="00000000" w:rsidP="00143961">
      <w:pPr>
        <w:numPr>
          <w:ilvl w:val="0"/>
          <w:numId w:val="2"/>
        </w:numPr>
        <w:spacing w:before="100" w:beforeAutospacing="1" w:after="100" w:afterAutospacing="1"/>
        <w:rPr>
          <w:rFonts w:ascii="Arial" w:hAnsi="Arial" w:cs="Arial"/>
          <w:sz w:val="22"/>
          <w:szCs w:val="22"/>
        </w:rPr>
      </w:pPr>
      <w:r w:rsidRPr="00EE6114">
        <w:rPr>
          <w:rFonts w:ascii="Arial" w:hAnsi="Arial" w:cs="Arial"/>
          <w:sz w:val="22"/>
          <w:szCs w:val="22"/>
        </w:rPr>
        <w:t>How can IBM compliance requirements be implemented to improve the performance of organisations?</w:t>
      </w:r>
    </w:p>
    <w:p w14:paraId="2FFF0A27" w14:textId="77777777" w:rsidR="00CB2225" w:rsidRPr="00EE6114" w:rsidRDefault="00000000" w:rsidP="00143961">
      <w:pPr>
        <w:pStyle w:val="Heading1"/>
        <w:spacing w:before="100" w:beforeAutospacing="1" w:after="100" w:afterAutospacing="1"/>
        <w:rPr>
          <w:rFonts w:ascii="Arial" w:hAnsi="Arial" w:cs="Arial"/>
          <w:sz w:val="22"/>
          <w:szCs w:val="22"/>
        </w:rPr>
      </w:pPr>
      <w:bookmarkStart w:id="9" w:name="_heading=h.n92ccq17lvw2" w:colFirst="0" w:colLast="0"/>
      <w:bookmarkEnd w:id="9"/>
      <w:r w:rsidRPr="00EE6114">
        <w:rPr>
          <w:rFonts w:ascii="Arial" w:hAnsi="Arial" w:cs="Arial"/>
          <w:sz w:val="22"/>
          <w:szCs w:val="22"/>
        </w:rPr>
        <w:t>3. Critical Literature Review</w:t>
      </w:r>
    </w:p>
    <w:p w14:paraId="66355355"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0" w:name="_heading=h.4mby5ktu8oyu" w:colFirst="0" w:colLast="0"/>
      <w:bookmarkEnd w:id="10"/>
      <w:r w:rsidRPr="00EE6114">
        <w:rPr>
          <w:rFonts w:ascii="Arial" w:hAnsi="Arial" w:cs="Arial"/>
          <w:sz w:val="22"/>
          <w:szCs w:val="22"/>
        </w:rPr>
        <w:t>3.1 Key theories</w:t>
      </w:r>
    </w:p>
    <w:p w14:paraId="26CAC390" w14:textId="77777777" w:rsidR="00CB2225" w:rsidRPr="00EE6114" w:rsidRDefault="00000000" w:rsidP="00143961">
      <w:pPr>
        <w:spacing w:before="100" w:beforeAutospacing="1" w:after="100" w:afterAutospacing="1"/>
        <w:jc w:val="center"/>
        <w:rPr>
          <w:rFonts w:ascii="Arial" w:hAnsi="Arial" w:cs="Arial"/>
          <w:sz w:val="22"/>
          <w:szCs w:val="22"/>
        </w:rPr>
      </w:pPr>
      <w:r w:rsidRPr="00EE6114">
        <w:rPr>
          <w:rFonts w:ascii="Arial" w:hAnsi="Arial" w:cs="Arial"/>
          <w:noProof/>
          <w:sz w:val="22"/>
          <w:szCs w:val="22"/>
        </w:rPr>
        <w:drawing>
          <wp:inline distT="114300" distB="114300" distL="114300" distR="114300" wp14:anchorId="43CA2DDD" wp14:editId="3E4E5A7E">
            <wp:extent cx="3786188" cy="1232712"/>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786188" cy="1232712"/>
                    </a:xfrm>
                    <a:prstGeom prst="rect">
                      <a:avLst/>
                    </a:prstGeom>
                    <a:ln w="12700">
                      <a:solidFill>
                        <a:srgbClr val="000000"/>
                      </a:solidFill>
                      <a:prstDash val="solid"/>
                    </a:ln>
                  </pic:spPr>
                </pic:pic>
              </a:graphicData>
            </a:graphic>
          </wp:inline>
        </w:drawing>
      </w:r>
    </w:p>
    <w:p w14:paraId="4BBD436E" w14:textId="77777777" w:rsidR="00CB2225" w:rsidRPr="00EE6114" w:rsidRDefault="00000000" w:rsidP="00143961">
      <w:pPr>
        <w:spacing w:before="100" w:beforeAutospacing="1" w:after="100" w:afterAutospacing="1"/>
        <w:jc w:val="center"/>
        <w:rPr>
          <w:rFonts w:ascii="Arial" w:hAnsi="Arial" w:cs="Arial"/>
          <w:b/>
          <w:bCs/>
          <w:sz w:val="22"/>
          <w:szCs w:val="22"/>
        </w:rPr>
      </w:pPr>
      <w:r w:rsidRPr="00EE6114">
        <w:rPr>
          <w:rFonts w:ascii="Arial" w:hAnsi="Arial" w:cs="Arial"/>
          <w:b/>
          <w:bCs/>
          <w:sz w:val="22"/>
          <w:szCs w:val="22"/>
        </w:rPr>
        <w:t>Figure 2: TOE</w:t>
      </w:r>
    </w:p>
    <w:p w14:paraId="36D09DD1" w14:textId="77777777" w:rsidR="00CB2225" w:rsidRPr="00EE6114" w:rsidRDefault="00000000" w:rsidP="00143961">
      <w:pPr>
        <w:spacing w:before="100" w:beforeAutospacing="1" w:after="100" w:afterAutospacing="1"/>
        <w:jc w:val="center"/>
        <w:rPr>
          <w:rFonts w:ascii="Arial" w:hAnsi="Arial" w:cs="Arial"/>
          <w:sz w:val="22"/>
          <w:szCs w:val="22"/>
        </w:rPr>
      </w:pPr>
      <w:r w:rsidRPr="00EE6114">
        <w:rPr>
          <w:rFonts w:ascii="Arial" w:hAnsi="Arial" w:cs="Arial"/>
          <w:sz w:val="22"/>
          <w:szCs w:val="22"/>
        </w:rPr>
        <w:t>(Source: Freier and Schumann, 2021)</w:t>
      </w:r>
    </w:p>
    <w:p w14:paraId="7C432002" w14:textId="3FDE4092"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According to the </w:t>
      </w:r>
      <w:r w:rsidRPr="00EF2B7F">
        <w:rPr>
          <w:rFonts w:ascii="Arial" w:hAnsi="Arial" w:cs="Arial"/>
          <w:b/>
          <w:bCs/>
          <w:sz w:val="22"/>
          <w:szCs w:val="22"/>
        </w:rPr>
        <w:t>Technology-Organisation-Environment</w:t>
      </w:r>
      <w:r w:rsidRPr="00EE6114">
        <w:rPr>
          <w:rFonts w:ascii="Arial" w:hAnsi="Arial" w:cs="Arial"/>
          <w:sz w:val="22"/>
          <w:szCs w:val="22"/>
        </w:rPr>
        <w:t xml:space="preserve"> (</w:t>
      </w:r>
      <w:proofErr w:type="gramStart"/>
      <w:r w:rsidRPr="00EE6114">
        <w:rPr>
          <w:rFonts w:ascii="Arial" w:hAnsi="Arial" w:cs="Arial"/>
          <w:sz w:val="22"/>
          <w:szCs w:val="22"/>
        </w:rPr>
        <w:t>TOE)</w:t>
      </w:r>
      <w:r w:rsidR="00ED2421">
        <w:rPr>
          <w:rFonts w:ascii="Arial" w:hAnsi="Arial" w:cs="Arial"/>
          <w:sz w:val="22"/>
          <w:szCs w:val="22"/>
        </w:rPr>
        <w:t xml:space="preserve"> </w:t>
      </w:r>
      <w:r w:rsidRPr="00EE6114">
        <w:rPr>
          <w:rFonts w:ascii="Arial" w:hAnsi="Arial" w:cs="Arial"/>
          <w:sz w:val="22"/>
          <w:szCs w:val="22"/>
        </w:rPr>
        <w:t xml:space="preserve"> Framework</w:t>
      </w:r>
      <w:proofErr w:type="gramEnd"/>
      <w:r w:rsidRPr="00EE6114">
        <w:rPr>
          <w:rFonts w:ascii="Arial" w:hAnsi="Arial" w:cs="Arial"/>
          <w:sz w:val="22"/>
          <w:szCs w:val="22"/>
        </w:rPr>
        <w:t xml:space="preserve">, the adoption of technology is influenced by technological capability, organisational readiness, and external environmental strain (Komathi and Sim, 2024). It can be applied because the IBM compliance at DHL is founded on technological infrastructure, management facilitation, and regulatory requirements. However, the framework is little concerned with the behaviour of employees once implemented. </w:t>
      </w:r>
    </w:p>
    <w:p w14:paraId="362FD8B3" w14:textId="77777777" w:rsidR="00CB2225" w:rsidRPr="00EE6114" w:rsidRDefault="00000000" w:rsidP="00143961">
      <w:pPr>
        <w:spacing w:before="100" w:beforeAutospacing="1" w:after="100" w:afterAutospacing="1"/>
        <w:jc w:val="center"/>
        <w:rPr>
          <w:rFonts w:ascii="Arial" w:hAnsi="Arial" w:cs="Arial"/>
          <w:sz w:val="22"/>
          <w:szCs w:val="22"/>
        </w:rPr>
      </w:pPr>
      <w:r w:rsidRPr="00EE6114">
        <w:rPr>
          <w:rFonts w:ascii="Arial" w:hAnsi="Arial" w:cs="Arial"/>
          <w:noProof/>
          <w:sz w:val="22"/>
          <w:szCs w:val="22"/>
        </w:rPr>
        <w:drawing>
          <wp:inline distT="114300" distB="114300" distL="114300" distR="114300" wp14:anchorId="5EF25A21" wp14:editId="12789356">
            <wp:extent cx="4557713" cy="1264349"/>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57713" cy="1264349"/>
                    </a:xfrm>
                    <a:prstGeom prst="rect">
                      <a:avLst/>
                    </a:prstGeom>
                    <a:ln w="12700">
                      <a:solidFill>
                        <a:srgbClr val="000000"/>
                      </a:solidFill>
                      <a:prstDash val="solid"/>
                    </a:ln>
                  </pic:spPr>
                </pic:pic>
              </a:graphicData>
            </a:graphic>
          </wp:inline>
        </w:drawing>
      </w:r>
    </w:p>
    <w:p w14:paraId="64991B20" w14:textId="77777777" w:rsidR="00CB2225" w:rsidRPr="00EE6114" w:rsidRDefault="00000000" w:rsidP="00143961">
      <w:pPr>
        <w:spacing w:before="100" w:beforeAutospacing="1" w:after="100" w:afterAutospacing="1"/>
        <w:jc w:val="center"/>
        <w:rPr>
          <w:rFonts w:ascii="Arial" w:hAnsi="Arial" w:cs="Arial"/>
          <w:b/>
          <w:bCs/>
          <w:sz w:val="22"/>
          <w:szCs w:val="22"/>
        </w:rPr>
      </w:pPr>
      <w:r w:rsidRPr="00EE6114">
        <w:rPr>
          <w:rFonts w:ascii="Arial" w:hAnsi="Arial" w:cs="Arial"/>
          <w:b/>
          <w:bCs/>
          <w:sz w:val="22"/>
          <w:szCs w:val="22"/>
        </w:rPr>
        <w:t>Figure 3: Institutional Theory</w:t>
      </w:r>
    </w:p>
    <w:p w14:paraId="60B27B22" w14:textId="77777777" w:rsidR="00CB2225" w:rsidRPr="00EE6114" w:rsidRDefault="00000000" w:rsidP="00143961">
      <w:pPr>
        <w:spacing w:before="100" w:beforeAutospacing="1" w:after="100" w:afterAutospacing="1"/>
        <w:jc w:val="center"/>
        <w:rPr>
          <w:rFonts w:ascii="Arial" w:hAnsi="Arial" w:cs="Arial"/>
          <w:sz w:val="22"/>
          <w:szCs w:val="22"/>
        </w:rPr>
      </w:pPr>
      <w:r w:rsidRPr="00EE6114">
        <w:rPr>
          <w:rFonts w:ascii="Arial" w:hAnsi="Arial" w:cs="Arial"/>
          <w:sz w:val="22"/>
          <w:szCs w:val="22"/>
        </w:rPr>
        <w:t>(Source: Self-made)</w:t>
      </w:r>
    </w:p>
    <w:p w14:paraId="3A2A9F65"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lastRenderedPageBreak/>
        <w:t xml:space="preserve">On the other hand, the </w:t>
      </w:r>
      <w:r w:rsidRPr="00EF2B7F">
        <w:rPr>
          <w:rFonts w:ascii="Arial" w:hAnsi="Arial" w:cs="Arial"/>
          <w:b/>
          <w:bCs/>
          <w:sz w:val="22"/>
          <w:szCs w:val="22"/>
        </w:rPr>
        <w:t>Institutional Theory</w:t>
      </w:r>
      <w:r w:rsidRPr="00EE6114">
        <w:rPr>
          <w:rFonts w:ascii="Arial" w:hAnsi="Arial" w:cs="Arial"/>
          <w:sz w:val="22"/>
          <w:szCs w:val="22"/>
        </w:rPr>
        <w:t xml:space="preserve"> argues that organisations are driven by compliance practices due to regulatory, competitive and professional forces (Bhuiyan </w:t>
      </w:r>
      <w:r w:rsidRPr="00EE6114">
        <w:rPr>
          <w:rFonts w:ascii="Arial" w:hAnsi="Arial" w:cs="Arial"/>
          <w:i/>
          <w:iCs/>
          <w:sz w:val="22"/>
          <w:szCs w:val="22"/>
        </w:rPr>
        <w:t xml:space="preserve">et al., </w:t>
      </w:r>
      <w:r w:rsidRPr="00EE6114">
        <w:rPr>
          <w:rFonts w:ascii="Arial" w:hAnsi="Arial" w:cs="Arial"/>
          <w:sz w:val="22"/>
          <w:szCs w:val="22"/>
        </w:rPr>
        <w:t>2023). However, it does not take into consideration internal technological capabilities. Therefore, the combination of the two theories provides a more comprehensive explanation of the implementation of IBM compliance in DHL.</w:t>
      </w:r>
    </w:p>
    <w:p w14:paraId="1031A994"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1" w:name="_heading=h.1ews625mnclq" w:colFirst="0" w:colLast="0"/>
      <w:bookmarkEnd w:id="11"/>
      <w:r w:rsidRPr="00EE6114">
        <w:rPr>
          <w:rFonts w:ascii="Arial" w:hAnsi="Arial" w:cs="Arial"/>
          <w:sz w:val="22"/>
          <w:szCs w:val="22"/>
        </w:rPr>
        <w:t>3.2 Compliance Requirements for organisations Systems and Operations</w:t>
      </w:r>
    </w:p>
    <w:p w14:paraId="5C435BF8"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Compliance requirements make sure that the enterprise systems are secure, ethical, and working within legal and organisational standards, and they aid in business continuity and effective management of risk. Folorunso </w:t>
      </w:r>
      <w:r w:rsidRPr="00EE6114">
        <w:rPr>
          <w:rFonts w:ascii="Arial" w:hAnsi="Arial" w:cs="Arial"/>
          <w:i/>
          <w:iCs/>
          <w:sz w:val="22"/>
          <w:szCs w:val="22"/>
        </w:rPr>
        <w:t>et al.</w:t>
      </w:r>
      <w:r w:rsidRPr="00EE6114">
        <w:rPr>
          <w:rFonts w:ascii="Arial" w:hAnsi="Arial" w:cs="Arial"/>
          <w:sz w:val="22"/>
          <w:szCs w:val="22"/>
        </w:rPr>
        <w:t xml:space="preserve"> (2024) state that information security controls, regulatory compliance, and governance should be prioritised by organisations to minimise operational risks and safeguard organisational assets. On the other hand, Efunniyi </w:t>
      </w:r>
      <w:r w:rsidRPr="00EE6114">
        <w:rPr>
          <w:rFonts w:ascii="Arial" w:hAnsi="Arial" w:cs="Arial"/>
          <w:i/>
          <w:iCs/>
          <w:sz w:val="22"/>
          <w:szCs w:val="22"/>
        </w:rPr>
        <w:t xml:space="preserve">et al. </w:t>
      </w:r>
      <w:r w:rsidRPr="00EE6114">
        <w:rPr>
          <w:rFonts w:ascii="Arial" w:hAnsi="Arial" w:cs="Arial"/>
          <w:sz w:val="22"/>
          <w:szCs w:val="22"/>
        </w:rPr>
        <w:t>(2024) claimed that compliance should be supplemented with continuous monitoring, accountability, and enterprise governance to help organisations become more resilient over the long term. The comparison shows that DHL requires not just the existence of good regulatory compliance, but also proactive governance so that the implementation of IBM systems in all its global operations can be achieved successfully.</w:t>
      </w:r>
    </w:p>
    <w:p w14:paraId="1F2C24B1"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2" w:name="_heading=h.c5rvfaeqx39j" w:colFirst="0" w:colLast="0"/>
      <w:bookmarkEnd w:id="12"/>
      <w:r w:rsidRPr="00EE6114">
        <w:rPr>
          <w:rFonts w:ascii="Arial" w:hAnsi="Arial" w:cs="Arial"/>
          <w:sz w:val="22"/>
          <w:szCs w:val="22"/>
        </w:rPr>
        <w:t xml:space="preserve">3.3 Challenges in Implementing Compliance Requirements at Organisations </w:t>
      </w:r>
    </w:p>
    <w:p w14:paraId="7B886DD8"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Compliance requirements are not easily embraced in multinational organisations as they keep on changing in terms of technology, organisation and regulation. Haque </w:t>
      </w:r>
      <w:r w:rsidRPr="00EE6114">
        <w:rPr>
          <w:rFonts w:ascii="Arial" w:hAnsi="Arial" w:cs="Arial"/>
          <w:i/>
          <w:iCs/>
          <w:sz w:val="22"/>
          <w:szCs w:val="22"/>
        </w:rPr>
        <w:t xml:space="preserve">et al. </w:t>
      </w:r>
      <w:r w:rsidRPr="00EE6114">
        <w:rPr>
          <w:rFonts w:ascii="Arial" w:hAnsi="Arial" w:cs="Arial"/>
          <w:sz w:val="22"/>
          <w:szCs w:val="22"/>
        </w:rPr>
        <w:t xml:space="preserve">(2025) believe that the digital transformation is more problematic to implement due to the complexity it brings to the systems and cybersecurity threats, as well as dynamic regulatory requirements that require continual organisational change. Conversely, Karlsson </w:t>
      </w:r>
      <w:r w:rsidRPr="00EE6114">
        <w:rPr>
          <w:rFonts w:ascii="Arial" w:hAnsi="Arial" w:cs="Arial"/>
          <w:i/>
          <w:iCs/>
          <w:sz w:val="22"/>
          <w:szCs w:val="22"/>
        </w:rPr>
        <w:t>et al.</w:t>
      </w:r>
      <w:r w:rsidRPr="00EE6114">
        <w:rPr>
          <w:rFonts w:ascii="Arial" w:hAnsi="Arial" w:cs="Arial"/>
          <w:sz w:val="22"/>
          <w:szCs w:val="22"/>
        </w:rPr>
        <w:t xml:space="preserve"> (2022) insist that successful compliance is more influenced by organisational culture, commitment of leadership, and awareness of employees than technology on its own. This analogy suggests that the implementation of IBM compliance in DHL is influenced by the complexity of the technical side and the human factor, and it needs both technical solutions and effective organisational change management.</w:t>
      </w:r>
    </w:p>
    <w:p w14:paraId="3BEAE59D"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3" w:name="_heading=h.a2f4xgcxyxxo" w:colFirst="0" w:colLast="0"/>
      <w:bookmarkEnd w:id="13"/>
      <w:r w:rsidRPr="00EE6114">
        <w:rPr>
          <w:rFonts w:ascii="Arial" w:hAnsi="Arial" w:cs="Arial"/>
          <w:sz w:val="22"/>
          <w:szCs w:val="22"/>
        </w:rPr>
        <w:t>3.4 Strategies for Improving Compliance Implementation and Organisational Performance</w:t>
      </w:r>
    </w:p>
    <w:p w14:paraId="3D779279"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Organisations need to integrate good governance systems with good organisational leadership and engagement of the employees to enhance the implementation of compliance. Adeniran</w:t>
      </w:r>
      <w:r w:rsidRPr="00EE6114">
        <w:rPr>
          <w:rFonts w:ascii="Arial" w:hAnsi="Arial" w:cs="Arial"/>
          <w:i/>
          <w:iCs/>
          <w:sz w:val="22"/>
          <w:szCs w:val="22"/>
        </w:rPr>
        <w:t xml:space="preserve"> et al.</w:t>
      </w:r>
      <w:r w:rsidRPr="00EE6114">
        <w:rPr>
          <w:rFonts w:ascii="Arial" w:hAnsi="Arial" w:cs="Arial"/>
          <w:sz w:val="22"/>
          <w:szCs w:val="22"/>
        </w:rPr>
        <w:t xml:space="preserve"> (2024) state that structured compliance management systems, continual </w:t>
      </w:r>
      <w:r w:rsidRPr="00EE6114">
        <w:rPr>
          <w:rFonts w:ascii="Arial" w:hAnsi="Arial" w:cs="Arial"/>
          <w:sz w:val="22"/>
          <w:szCs w:val="22"/>
        </w:rPr>
        <w:lastRenderedPageBreak/>
        <w:t>monitoring, and risk-based decision-making can help boost the effectiveness of operations by improving regulatory compliance. On the other hand, Thelma and Chitondo (2024) argued that the most important aspects when it comes to sustainable organisational improvement are commitment by the leadership, involvement of the staff and communication among others, which ought to be employed in the process of the change. Based on this comparison, DHL should integrate formal compliance governance with active leadership and workforce involvement to streamline compliance at IBM implementation, improve organisational performance, and improve long-term operational resilience.</w:t>
      </w:r>
    </w:p>
    <w:p w14:paraId="2F3B0F03"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4" w:name="_heading=h.7bgczytt7qvg" w:colFirst="0" w:colLast="0"/>
      <w:bookmarkEnd w:id="14"/>
      <w:r w:rsidRPr="00EE6114">
        <w:rPr>
          <w:rFonts w:ascii="Arial" w:hAnsi="Arial" w:cs="Arial"/>
          <w:sz w:val="22"/>
          <w:szCs w:val="22"/>
        </w:rPr>
        <w:t>3.5 Literature Gap</w:t>
      </w:r>
    </w:p>
    <w:p w14:paraId="07BBC4E1"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The areas of regulatory compliance, information security governance, and digital transformation have been studied extensively in numerous industries in the past. However, there is a lack of research that directly explores how IBM compliance requirements can be applied in global logistics organisations like DHL. The existing literature is inclined to examine technological compliance frameworks separately, in isolation from organisational and behavioural factors and provide a one-sided view of the implementation problems. Due to limited papers describing the context of DHL, it became important to collect information specific to DHL and investigate the research topic in detail. This literature gap can be addressed using robust data collection techniques. </w:t>
      </w:r>
    </w:p>
    <w:p w14:paraId="497C9699" w14:textId="77777777" w:rsidR="00CB2225" w:rsidRPr="00EE6114" w:rsidRDefault="00000000" w:rsidP="00143961">
      <w:pPr>
        <w:pStyle w:val="Heading1"/>
        <w:spacing w:before="100" w:beforeAutospacing="1" w:after="100" w:afterAutospacing="1"/>
        <w:rPr>
          <w:rFonts w:ascii="Arial" w:hAnsi="Arial" w:cs="Arial"/>
          <w:sz w:val="22"/>
          <w:szCs w:val="22"/>
        </w:rPr>
      </w:pPr>
      <w:bookmarkStart w:id="15" w:name="_heading=h.7r1f5la8y2h1" w:colFirst="0" w:colLast="0"/>
      <w:bookmarkEnd w:id="15"/>
      <w:r w:rsidRPr="00EE6114">
        <w:rPr>
          <w:rFonts w:ascii="Arial" w:hAnsi="Arial" w:cs="Arial"/>
          <w:sz w:val="22"/>
          <w:szCs w:val="22"/>
        </w:rPr>
        <w:t xml:space="preserve">4. Research Methodology and Design </w:t>
      </w:r>
    </w:p>
    <w:p w14:paraId="4BAA4186"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6" w:name="_heading=h.y04ltrewyyk7" w:colFirst="0" w:colLast="0"/>
      <w:bookmarkEnd w:id="16"/>
      <w:r w:rsidRPr="00EE6114">
        <w:rPr>
          <w:rFonts w:ascii="Arial" w:hAnsi="Arial" w:cs="Arial"/>
          <w:sz w:val="22"/>
          <w:szCs w:val="22"/>
        </w:rPr>
        <w:t>4.1 Research approach</w:t>
      </w:r>
    </w:p>
    <w:p w14:paraId="5DA098A1"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This research will use </w:t>
      </w:r>
      <w:r w:rsidRPr="00EF2B7F">
        <w:rPr>
          <w:rFonts w:ascii="Arial" w:hAnsi="Arial" w:cs="Arial"/>
          <w:b/>
          <w:bCs/>
          <w:sz w:val="22"/>
          <w:szCs w:val="22"/>
        </w:rPr>
        <w:t>qualitative</w:t>
      </w:r>
      <w:r w:rsidRPr="00EE6114">
        <w:rPr>
          <w:rFonts w:ascii="Arial" w:hAnsi="Arial" w:cs="Arial"/>
          <w:b/>
          <w:bCs/>
          <w:i/>
          <w:iCs/>
          <w:sz w:val="22"/>
          <w:szCs w:val="22"/>
        </w:rPr>
        <w:t xml:space="preserve"> </w:t>
      </w:r>
      <w:r w:rsidRPr="00EE6114">
        <w:rPr>
          <w:rFonts w:ascii="Arial" w:hAnsi="Arial" w:cs="Arial"/>
          <w:sz w:val="22"/>
          <w:szCs w:val="22"/>
        </w:rPr>
        <w:t xml:space="preserve">research methodology in an effort to have a deep insight into the issues involved in the implementation of IBM compliance requirements in DHL. Qualitative research enables the study of organisational processes, views of managers and circumstances within the environment that cannot be adequately explained through the use of numerical data. Saunders </w:t>
      </w:r>
      <w:r w:rsidRPr="00EE6114">
        <w:rPr>
          <w:rFonts w:ascii="Arial" w:hAnsi="Arial" w:cs="Arial"/>
          <w:i/>
          <w:iCs/>
          <w:sz w:val="22"/>
          <w:szCs w:val="22"/>
        </w:rPr>
        <w:t xml:space="preserve">et al. </w:t>
      </w:r>
      <w:r w:rsidRPr="00EE6114">
        <w:rPr>
          <w:rFonts w:ascii="Arial" w:hAnsi="Arial" w:cs="Arial"/>
          <w:sz w:val="22"/>
          <w:szCs w:val="22"/>
        </w:rPr>
        <w:t>(2019) indicate that qualitative research is appropriate in investigating complex business problems because it generates detailed and rich information. Even though the qualitative results might lack generalisability, the methodology would offer a holistic insight into the compliance issue in organisations and would be appropriate in crafting practical improvement methodologies in DHL.</w:t>
      </w:r>
    </w:p>
    <w:p w14:paraId="750C485A"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7" w:name="_heading=h.mc5l9sodoewa" w:colFirst="0" w:colLast="0"/>
      <w:bookmarkEnd w:id="17"/>
      <w:r w:rsidRPr="00EE6114">
        <w:rPr>
          <w:rFonts w:ascii="Arial" w:hAnsi="Arial" w:cs="Arial"/>
          <w:sz w:val="22"/>
          <w:szCs w:val="22"/>
        </w:rPr>
        <w:lastRenderedPageBreak/>
        <w:t>4.2 Data collection</w:t>
      </w:r>
    </w:p>
    <w:p w14:paraId="7340AC2A"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The research will be based on </w:t>
      </w:r>
      <w:r w:rsidRPr="00EF2B7F">
        <w:rPr>
          <w:rFonts w:ascii="Arial" w:hAnsi="Arial" w:cs="Arial"/>
          <w:b/>
          <w:bCs/>
          <w:sz w:val="22"/>
          <w:szCs w:val="22"/>
        </w:rPr>
        <w:t>secondary web-based</w:t>
      </w:r>
      <w:r w:rsidRPr="00EE6114">
        <w:rPr>
          <w:rFonts w:ascii="Arial" w:hAnsi="Arial" w:cs="Arial"/>
          <w:b/>
          <w:bCs/>
          <w:i/>
          <w:iCs/>
          <w:sz w:val="22"/>
          <w:szCs w:val="22"/>
        </w:rPr>
        <w:t xml:space="preserve"> </w:t>
      </w:r>
      <w:r w:rsidRPr="00EE6114">
        <w:rPr>
          <w:rFonts w:ascii="Arial" w:hAnsi="Arial" w:cs="Arial"/>
          <w:sz w:val="22"/>
          <w:szCs w:val="22"/>
        </w:rPr>
        <w:t>sources. Through this data collection technique, DHL and IBM-specific information can be obtained. The technique will allow the accessibility of a large portion of existing data without the time and cost constraints of primary data collection. Adams</w:t>
      </w:r>
      <w:r w:rsidRPr="00EE6114">
        <w:rPr>
          <w:rFonts w:ascii="Arial" w:hAnsi="Arial" w:cs="Arial"/>
          <w:i/>
          <w:iCs/>
          <w:sz w:val="22"/>
          <w:szCs w:val="22"/>
        </w:rPr>
        <w:t xml:space="preserve"> et al. </w:t>
      </w:r>
      <w:r w:rsidRPr="00EE6114">
        <w:rPr>
          <w:rFonts w:ascii="Arial" w:hAnsi="Arial" w:cs="Arial"/>
          <w:sz w:val="22"/>
          <w:szCs w:val="22"/>
        </w:rPr>
        <w:t>(2007) suggest that secondary data can be beneficial in undertaking business research, provided that credible and reliable sources are critically analysed. However, the secondary information may not be the most pertinent depiction of the current organisational practice or a certain experience of functioning. Thus, data from various credible sources will be juxtaposed to add more profundity and reliability to the research results.</w:t>
      </w:r>
    </w:p>
    <w:p w14:paraId="1319B0AF"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8" w:name="_heading=h.b382hvtwrmz7" w:colFirst="0" w:colLast="0"/>
      <w:bookmarkEnd w:id="18"/>
      <w:r w:rsidRPr="00EE6114">
        <w:rPr>
          <w:rFonts w:ascii="Arial" w:hAnsi="Arial" w:cs="Arial"/>
          <w:sz w:val="22"/>
          <w:szCs w:val="22"/>
        </w:rPr>
        <w:t>4.3 Sampling strategy</w:t>
      </w:r>
    </w:p>
    <w:p w14:paraId="5B9BF2ED"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The research will adopt the </w:t>
      </w:r>
      <w:r w:rsidRPr="00EF2B7F">
        <w:rPr>
          <w:rFonts w:ascii="Arial" w:hAnsi="Arial" w:cs="Arial"/>
          <w:b/>
          <w:bCs/>
          <w:sz w:val="22"/>
          <w:szCs w:val="22"/>
        </w:rPr>
        <w:t>purposive</w:t>
      </w:r>
      <w:r w:rsidRPr="00EE6114">
        <w:rPr>
          <w:rFonts w:ascii="Arial" w:hAnsi="Arial" w:cs="Arial"/>
          <w:sz w:val="22"/>
          <w:szCs w:val="22"/>
        </w:rPr>
        <w:t xml:space="preserve"> sampling method as it will entail the selection of secondary materials that can directly relate to the topic of the research.  Inclusion criteria will be official publications of IBM and DHL, industry reports, and regulatory publications, mostly published in the past five years. In addition, purposive sampling has the benefit of increasing the relevance and richness of evidence; there is a risk of bias due to the selection of the researcher. </w:t>
      </w:r>
    </w:p>
    <w:p w14:paraId="08C367A3"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19" w:name="_heading=h.kcqgy2bplmk" w:colFirst="0" w:colLast="0"/>
      <w:bookmarkEnd w:id="19"/>
      <w:r w:rsidRPr="00EE6114">
        <w:rPr>
          <w:rFonts w:ascii="Arial" w:hAnsi="Arial" w:cs="Arial"/>
          <w:sz w:val="22"/>
          <w:szCs w:val="22"/>
        </w:rPr>
        <w:t>4.4 Data reliability</w:t>
      </w:r>
    </w:p>
    <w:p w14:paraId="4B6B7D27"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The reliability of the data will be enhanced by selecting the data based on plausible academic sources. Using secondary sources of evidence minimises the chances of using biased or inaccurate evidence and increases the consistency of the results (Aslett </w:t>
      </w:r>
      <w:r w:rsidRPr="00EE6114">
        <w:rPr>
          <w:rFonts w:ascii="Arial" w:hAnsi="Arial" w:cs="Arial"/>
          <w:i/>
          <w:iCs/>
          <w:sz w:val="22"/>
          <w:szCs w:val="22"/>
        </w:rPr>
        <w:t>et al.,</w:t>
      </w:r>
      <w:r w:rsidRPr="00EE6114">
        <w:rPr>
          <w:rFonts w:ascii="Arial" w:hAnsi="Arial" w:cs="Arial"/>
          <w:sz w:val="22"/>
          <w:szCs w:val="22"/>
        </w:rPr>
        <w:t xml:space="preserve"> 2024). They will also consider publications that are recent to ensure the compliance requirements are in line with any current regulatory and technological changes. However, the secondary sources might have a variation in the interpretation of compliance implementation. Thus, evidence will be critically compared and cross-verified to enhance the reliability, consistency and general trustworthiness of the research results.</w:t>
      </w:r>
    </w:p>
    <w:p w14:paraId="75AD300F"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20" w:name="_heading=h.gblh1kdz5g5f" w:colFirst="0" w:colLast="0"/>
      <w:bookmarkEnd w:id="20"/>
      <w:r w:rsidRPr="00EE6114">
        <w:rPr>
          <w:rFonts w:ascii="Arial" w:hAnsi="Arial" w:cs="Arial"/>
          <w:sz w:val="22"/>
          <w:szCs w:val="22"/>
        </w:rPr>
        <w:t>4.5 Ethical considerations</w:t>
      </w:r>
    </w:p>
    <w:p w14:paraId="1019A910" w14:textId="77777777"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Although the present research engages the utilisation of secondary data alone, the ethical considerations still apply during the research. Ethics is an important factor for a project or research (Drolet </w:t>
      </w:r>
      <w:r w:rsidRPr="00EE6114">
        <w:rPr>
          <w:rFonts w:ascii="Arial" w:hAnsi="Arial" w:cs="Arial"/>
          <w:i/>
          <w:iCs/>
          <w:sz w:val="22"/>
          <w:szCs w:val="22"/>
        </w:rPr>
        <w:t xml:space="preserve">et al., </w:t>
      </w:r>
      <w:r w:rsidRPr="00EE6114">
        <w:rPr>
          <w:rFonts w:ascii="Arial" w:hAnsi="Arial" w:cs="Arial"/>
          <w:sz w:val="22"/>
          <w:szCs w:val="22"/>
        </w:rPr>
        <w:t xml:space="preserve">2023). The information sources will be publicly accessible and credible, and the copyright regulations will be followed, as well as the norms of academic integrity. And </w:t>
      </w:r>
      <w:r w:rsidRPr="00EE6114">
        <w:rPr>
          <w:rFonts w:ascii="Arial" w:hAnsi="Arial" w:cs="Arial"/>
          <w:sz w:val="22"/>
          <w:szCs w:val="22"/>
        </w:rPr>
        <w:lastRenderedPageBreak/>
        <w:t xml:space="preserve">all the original authors will be given due credit with proper Harvard referencing to avoid plagiarism. No biased interpretation and misrepresentation of the findings will be involved in reporting the information. Moreover, the sources will be critically analysed to reduce bias and be objective. </w:t>
      </w:r>
    </w:p>
    <w:p w14:paraId="437776CC" w14:textId="77777777" w:rsidR="00CB2225" w:rsidRPr="00EE6114" w:rsidRDefault="00000000" w:rsidP="00143961">
      <w:pPr>
        <w:pStyle w:val="Heading1"/>
        <w:spacing w:before="100" w:beforeAutospacing="1" w:after="100" w:afterAutospacing="1"/>
        <w:rPr>
          <w:rFonts w:ascii="Arial" w:hAnsi="Arial" w:cs="Arial"/>
          <w:sz w:val="22"/>
          <w:szCs w:val="22"/>
        </w:rPr>
      </w:pPr>
      <w:bookmarkStart w:id="21" w:name="_heading=h.e7rl6orbsptb" w:colFirst="0" w:colLast="0"/>
      <w:bookmarkEnd w:id="21"/>
      <w:r w:rsidRPr="00EE6114">
        <w:rPr>
          <w:rFonts w:ascii="Arial" w:hAnsi="Arial" w:cs="Arial"/>
          <w:sz w:val="22"/>
          <w:szCs w:val="22"/>
        </w:rPr>
        <w:t>5. Business Relevance and Practical Implications</w:t>
      </w:r>
    </w:p>
    <w:p w14:paraId="59153B7C"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22" w:name="_heading=h.6wxrhh4mmxng" w:colFirst="0" w:colLast="0"/>
      <w:bookmarkEnd w:id="22"/>
      <w:r w:rsidRPr="00EE6114">
        <w:rPr>
          <w:rFonts w:ascii="Arial" w:hAnsi="Arial" w:cs="Arial"/>
          <w:sz w:val="22"/>
          <w:szCs w:val="22"/>
        </w:rPr>
        <w:t xml:space="preserve">5.1 Improving Organisational Decision-Making and Operations </w:t>
      </w:r>
    </w:p>
    <w:p w14:paraId="1E97F9E9" w14:textId="6739C146"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The suggested research can be useful to DHL since it will assist in identifying which organisational and technological elements are an obstacle to the successful adoption of the IBM compliance requirements. These challenges will be used to guide the managers in making evidence-based decisions on compliance governance, resource allocation, employee training and risk management. The improved compliance with regulations may reduce cases of regulatory violations, strengthen information security, and facilitate uniformity in business across the entire logistics of DHL around the world. </w:t>
      </w:r>
    </w:p>
    <w:p w14:paraId="475B2EC5"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23" w:name="_heading=h.gy514pg4rf0x" w:colFirst="0" w:colLast="0"/>
      <w:bookmarkEnd w:id="23"/>
      <w:r w:rsidRPr="00EE6114">
        <w:rPr>
          <w:rFonts w:ascii="Arial" w:hAnsi="Arial" w:cs="Arial"/>
          <w:sz w:val="22"/>
          <w:szCs w:val="22"/>
        </w:rPr>
        <w:t xml:space="preserve">5.2 Potential Recommendations, Innovations, and Strategies </w:t>
      </w:r>
    </w:p>
    <w:p w14:paraId="101E0E37" w14:textId="0A304741" w:rsidR="00CB2225" w:rsidRPr="00EE6114" w:rsidRDefault="00000000"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The findings will </w:t>
      </w:r>
      <w:r w:rsidR="00B07E69">
        <w:rPr>
          <w:rFonts w:ascii="Arial" w:hAnsi="Arial" w:cs="Arial"/>
          <w:sz w:val="22"/>
          <w:szCs w:val="22"/>
        </w:rPr>
        <w:t>contribute to</w:t>
      </w:r>
      <w:r w:rsidRPr="00EE6114">
        <w:rPr>
          <w:rFonts w:ascii="Arial" w:hAnsi="Arial" w:cs="Arial"/>
          <w:sz w:val="22"/>
          <w:szCs w:val="22"/>
        </w:rPr>
        <w:t xml:space="preserve"> the development of a single compliance management framework, which will incorporate governance, technology, and employee engagement. DHL can further improve IBM compliance through continuous compliance monitoring, automated risk assessment tools, as well as a regular employee training programme to create awareness of the requirements of the regulations. Effective leadership should also be involved to make the organisational culture more focused on compliance and accountability.</w:t>
      </w:r>
    </w:p>
    <w:p w14:paraId="6C1414DE" w14:textId="77777777" w:rsidR="00CB2225" w:rsidRPr="00EE6114" w:rsidRDefault="00000000" w:rsidP="00143961">
      <w:pPr>
        <w:spacing w:before="100" w:beforeAutospacing="1" w:after="100" w:afterAutospacing="1"/>
        <w:rPr>
          <w:rFonts w:ascii="Arial" w:hAnsi="Arial" w:cs="Arial"/>
          <w:sz w:val="22"/>
          <w:szCs w:val="22"/>
        </w:rPr>
      </w:pPr>
      <w:r w:rsidRPr="00EF2B7F">
        <w:rPr>
          <w:rFonts w:ascii="Arial" w:hAnsi="Arial" w:cs="Arial"/>
          <w:b/>
          <w:bCs/>
          <w:sz w:val="22"/>
          <w:szCs w:val="22"/>
        </w:rPr>
        <w:t xml:space="preserve">HSBC </w:t>
      </w:r>
      <w:r w:rsidRPr="00EE6114">
        <w:rPr>
          <w:rFonts w:ascii="Arial" w:hAnsi="Arial" w:cs="Arial"/>
          <w:sz w:val="22"/>
          <w:szCs w:val="22"/>
        </w:rPr>
        <w:t xml:space="preserve">has invested in more sophisticated digital compliance systems and risk monitoring systems to enhance regulatory reporting and minimise operational risks (HSBC, 2025). Through these efforts, governance has been enhanced as well as decision-making because of real-time compliance monitoring. On the same note, Tesco has integrated compliance training and ethical governance in its organisational operations to enhance consistency in operations and accountability in various business operations (Tesco, 2026). They demonstrate that not only the investment in technology but also the commitment of the leadership and the participation of the staff are determinants of the effectiveness in compliance. These strategies, when implemented in DHL, could result in a streamlined operation, less risk of compliance, increased trust among all the parties and long-term organisational results. </w:t>
      </w:r>
    </w:p>
    <w:p w14:paraId="59716E06" w14:textId="77777777" w:rsidR="00CB2225" w:rsidRPr="00EE6114" w:rsidRDefault="00000000" w:rsidP="00143961">
      <w:pPr>
        <w:pStyle w:val="Heading2"/>
        <w:spacing w:before="100" w:beforeAutospacing="1" w:after="100" w:afterAutospacing="1"/>
        <w:rPr>
          <w:rFonts w:ascii="Arial" w:hAnsi="Arial" w:cs="Arial"/>
          <w:sz w:val="22"/>
          <w:szCs w:val="22"/>
        </w:rPr>
      </w:pPr>
      <w:bookmarkStart w:id="24" w:name="_heading=h.bzf44q9thrhh" w:colFirst="0" w:colLast="0"/>
      <w:bookmarkEnd w:id="24"/>
      <w:r w:rsidRPr="00EE6114">
        <w:rPr>
          <w:rFonts w:ascii="Arial" w:hAnsi="Arial" w:cs="Arial"/>
          <w:sz w:val="22"/>
          <w:szCs w:val="22"/>
        </w:rPr>
        <w:lastRenderedPageBreak/>
        <w:t>5.3 Contribution to Applied Business Research</w:t>
      </w:r>
    </w:p>
    <w:p w14:paraId="0832BD0E" w14:textId="7E76594D" w:rsidR="00CB2225" w:rsidRPr="00EE6114" w:rsidRDefault="00365312" w:rsidP="00143961">
      <w:pPr>
        <w:pStyle w:val="Heading1"/>
        <w:spacing w:before="100" w:beforeAutospacing="1" w:after="100" w:afterAutospacing="1"/>
        <w:rPr>
          <w:rFonts w:ascii="Arial" w:hAnsi="Arial" w:cs="Arial"/>
          <w:sz w:val="22"/>
          <w:szCs w:val="22"/>
        </w:rPr>
      </w:pPr>
      <w:r w:rsidRPr="00EE6114">
        <w:rPr>
          <w:rFonts w:ascii="Arial" w:hAnsi="Arial" w:cs="Arial"/>
          <w:b w:val="0"/>
          <w:bCs w:val="0"/>
          <w:sz w:val="22"/>
          <w:szCs w:val="22"/>
        </w:rPr>
        <w:t>This research proposal will make an addition to the existing literature in applied business research through the illustration of the possibility of utilising theories and methodologies from academic disciplines to address the practical problems in organisations. The importance of critical review of literature, selection of an appropriate methodology, and development of evidence-based recommendations that may prove helpful for making decisions by managers is highlighted in this research proposal. Another aspect of this research proposal is that business research is not only about identifying problems within organisations but also about providing solutions.</w:t>
      </w:r>
      <w:r w:rsidRPr="00EE6114">
        <w:rPr>
          <w:rFonts w:ascii="Arial" w:hAnsi="Arial" w:cs="Arial"/>
          <w:sz w:val="22"/>
          <w:szCs w:val="22"/>
        </w:rPr>
        <w:br w:type="page"/>
      </w:r>
    </w:p>
    <w:p w14:paraId="5DFADCDE" w14:textId="17756AD0" w:rsidR="00365312" w:rsidRPr="00EE6114" w:rsidRDefault="00000000" w:rsidP="00143961">
      <w:pPr>
        <w:pStyle w:val="Heading1"/>
        <w:spacing w:before="100" w:beforeAutospacing="1" w:after="100" w:afterAutospacing="1"/>
        <w:rPr>
          <w:rFonts w:ascii="Arial" w:hAnsi="Arial" w:cs="Arial"/>
          <w:sz w:val="22"/>
          <w:szCs w:val="22"/>
        </w:rPr>
      </w:pPr>
      <w:bookmarkStart w:id="25" w:name="_heading=h.szkb89w3m5fb" w:colFirst="0" w:colLast="0"/>
      <w:bookmarkEnd w:id="25"/>
      <w:r w:rsidRPr="00EE6114">
        <w:rPr>
          <w:rFonts w:ascii="Arial" w:hAnsi="Arial" w:cs="Arial"/>
          <w:sz w:val="22"/>
          <w:szCs w:val="22"/>
        </w:rPr>
        <w:lastRenderedPageBreak/>
        <w:t xml:space="preserve">6. References </w:t>
      </w:r>
    </w:p>
    <w:p w14:paraId="7BF81307"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Adams, J. et al. (2007) </w:t>
      </w:r>
      <w:r w:rsidRPr="00EE6114">
        <w:rPr>
          <w:rFonts w:ascii="Arial" w:hAnsi="Arial" w:cs="Arial"/>
          <w:i/>
          <w:iCs/>
          <w:sz w:val="22"/>
          <w:szCs w:val="22"/>
        </w:rPr>
        <w:t xml:space="preserve">Research Methods for Business and Social Science Students. </w:t>
      </w:r>
      <w:r w:rsidRPr="00EE6114">
        <w:rPr>
          <w:rFonts w:ascii="Arial" w:hAnsi="Arial" w:cs="Arial"/>
          <w:sz w:val="22"/>
          <w:szCs w:val="22"/>
        </w:rPr>
        <w:t>2nd Sage Publications, Delhi</w:t>
      </w:r>
    </w:p>
    <w:p w14:paraId="76FEE056"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Adeniran, I.A., Abhulimen, A.O., Obiki-Osafiele, A.N., Osundare, O.S., Agu, E.E. and Efunniyi, C.P. (2024) ‘Strategic risk management in financial institutions: Ensuring robust regulatory compliance’, </w:t>
      </w:r>
      <w:r w:rsidRPr="00EE6114">
        <w:rPr>
          <w:rFonts w:ascii="Arial" w:hAnsi="Arial" w:cs="Arial"/>
          <w:i/>
          <w:iCs/>
          <w:sz w:val="22"/>
          <w:szCs w:val="22"/>
          <w:highlight w:val="white"/>
        </w:rPr>
        <w:t>Finance &amp; Accounting Research Journal</w:t>
      </w:r>
      <w:r w:rsidRPr="00EE6114">
        <w:rPr>
          <w:rFonts w:ascii="Arial" w:hAnsi="Arial" w:cs="Arial"/>
          <w:sz w:val="22"/>
          <w:szCs w:val="22"/>
          <w:highlight w:val="white"/>
        </w:rPr>
        <w:t>, 6(8), pp. 1582-1596.</w:t>
      </w:r>
      <w:r w:rsidRPr="00EE6114">
        <w:rPr>
          <w:rFonts w:ascii="Arial" w:hAnsi="Arial" w:cs="Arial"/>
          <w:sz w:val="22"/>
          <w:szCs w:val="22"/>
        </w:rPr>
        <w:t xml:space="preserve"> </w:t>
      </w:r>
    </w:p>
    <w:p w14:paraId="2AF1398E"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Aslett, K., Sanderson, Z., Godel, W., Persily, N., Nagler, J. and Tucker, J.A. (2024) ‘Online searches to evaluate misinformation can increase its perceived veracity’, </w:t>
      </w:r>
      <w:r w:rsidRPr="00EE6114">
        <w:rPr>
          <w:rFonts w:ascii="Arial" w:hAnsi="Arial" w:cs="Arial"/>
          <w:i/>
          <w:iCs/>
          <w:sz w:val="22"/>
          <w:szCs w:val="22"/>
          <w:highlight w:val="white"/>
        </w:rPr>
        <w:t>Nature</w:t>
      </w:r>
      <w:r w:rsidRPr="00EE6114">
        <w:rPr>
          <w:rFonts w:ascii="Arial" w:hAnsi="Arial" w:cs="Arial"/>
          <w:sz w:val="22"/>
          <w:szCs w:val="22"/>
          <w:highlight w:val="white"/>
        </w:rPr>
        <w:t>, 625(7995), pp. 548-556.</w:t>
      </w:r>
      <w:r w:rsidRPr="00EE6114">
        <w:rPr>
          <w:rFonts w:ascii="Arial" w:hAnsi="Arial" w:cs="Arial"/>
          <w:sz w:val="22"/>
          <w:szCs w:val="22"/>
        </w:rPr>
        <w:t xml:space="preserve"> </w:t>
      </w:r>
    </w:p>
    <w:p w14:paraId="0339CF3C"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Bhuiyan, F., Rana, T., Baird, K. and Munir, R. (2023) ‘Strategic outcome of competitive advantage from corporate sustainability practices: Institutional theory perspective from an emerging economy’, </w:t>
      </w:r>
      <w:r w:rsidRPr="00EE6114">
        <w:rPr>
          <w:rFonts w:ascii="Arial" w:hAnsi="Arial" w:cs="Arial"/>
          <w:i/>
          <w:iCs/>
          <w:sz w:val="22"/>
          <w:szCs w:val="22"/>
          <w:highlight w:val="white"/>
        </w:rPr>
        <w:t>Business Strategy and the Environment</w:t>
      </w:r>
      <w:r w:rsidRPr="00EE6114">
        <w:rPr>
          <w:rFonts w:ascii="Arial" w:hAnsi="Arial" w:cs="Arial"/>
          <w:sz w:val="22"/>
          <w:szCs w:val="22"/>
          <w:highlight w:val="white"/>
        </w:rPr>
        <w:t>, 32(7), pp. 4217-4243.</w:t>
      </w:r>
      <w:r w:rsidRPr="00EE6114">
        <w:rPr>
          <w:rFonts w:ascii="Arial" w:hAnsi="Arial" w:cs="Arial"/>
          <w:sz w:val="22"/>
          <w:szCs w:val="22"/>
        </w:rPr>
        <w:t xml:space="preserve"> </w:t>
      </w:r>
    </w:p>
    <w:p w14:paraId="5BCFF1AF"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DHL (2024) </w:t>
      </w:r>
      <w:r w:rsidRPr="00EE6114">
        <w:rPr>
          <w:rFonts w:ascii="Arial" w:hAnsi="Arial" w:cs="Arial"/>
          <w:i/>
          <w:iCs/>
          <w:sz w:val="22"/>
          <w:szCs w:val="22"/>
        </w:rPr>
        <w:t>About us</w:t>
      </w:r>
      <w:r w:rsidRPr="00EE6114">
        <w:rPr>
          <w:rFonts w:ascii="Arial" w:hAnsi="Arial" w:cs="Arial"/>
          <w:sz w:val="22"/>
          <w:szCs w:val="22"/>
        </w:rPr>
        <w:t xml:space="preserve">. Available at: </w:t>
      </w:r>
      <w:hyperlink r:id="rId11">
        <w:r w:rsidRPr="00EE6114">
          <w:rPr>
            <w:rFonts w:ascii="Arial" w:hAnsi="Arial" w:cs="Arial"/>
            <w:color w:val="1155CC"/>
            <w:sz w:val="22"/>
            <w:szCs w:val="22"/>
            <w:u w:val="single"/>
          </w:rPr>
          <w:t>https://group.dhl.com/en/about-us.html</w:t>
        </w:r>
      </w:hyperlink>
      <w:r w:rsidRPr="00EE6114">
        <w:rPr>
          <w:rFonts w:ascii="Arial" w:hAnsi="Arial" w:cs="Arial"/>
          <w:sz w:val="22"/>
          <w:szCs w:val="22"/>
        </w:rPr>
        <w:t xml:space="preserve"> (Accessed 20 July 2026)</w:t>
      </w:r>
    </w:p>
    <w:p w14:paraId="5377ABF4"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Drolet, M.J., Rose-Derouin, E., Leblanc, J.C., Ruest, M. and </w:t>
      </w:r>
      <w:proofErr w:type="gramStart"/>
      <w:r w:rsidRPr="00EE6114">
        <w:rPr>
          <w:rFonts w:ascii="Arial" w:hAnsi="Arial" w:cs="Arial"/>
          <w:sz w:val="22"/>
          <w:szCs w:val="22"/>
          <w:highlight w:val="white"/>
        </w:rPr>
        <w:t>Williams-Jones</w:t>
      </w:r>
      <w:proofErr w:type="gramEnd"/>
      <w:r w:rsidRPr="00EE6114">
        <w:rPr>
          <w:rFonts w:ascii="Arial" w:hAnsi="Arial" w:cs="Arial"/>
          <w:sz w:val="22"/>
          <w:szCs w:val="22"/>
          <w:highlight w:val="white"/>
        </w:rPr>
        <w:t xml:space="preserve">, B. (2023) ‘Ethical issues in research: Perceptions of researchers, research ethics board members and research ethics experts’, </w:t>
      </w:r>
      <w:r w:rsidRPr="00EE6114">
        <w:rPr>
          <w:rFonts w:ascii="Arial" w:hAnsi="Arial" w:cs="Arial"/>
          <w:i/>
          <w:iCs/>
          <w:sz w:val="22"/>
          <w:szCs w:val="22"/>
          <w:highlight w:val="white"/>
        </w:rPr>
        <w:t>Journal of Academic Ethics</w:t>
      </w:r>
      <w:r w:rsidRPr="00EE6114">
        <w:rPr>
          <w:rFonts w:ascii="Arial" w:hAnsi="Arial" w:cs="Arial"/>
          <w:sz w:val="22"/>
          <w:szCs w:val="22"/>
          <w:highlight w:val="white"/>
        </w:rPr>
        <w:t>, 21(2), pp. 269-292.</w:t>
      </w:r>
      <w:r w:rsidRPr="00EE6114">
        <w:rPr>
          <w:rFonts w:ascii="Arial" w:hAnsi="Arial" w:cs="Arial"/>
          <w:sz w:val="22"/>
          <w:szCs w:val="22"/>
        </w:rPr>
        <w:t xml:space="preserve"> </w:t>
      </w:r>
    </w:p>
    <w:p w14:paraId="310C9745"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Efunniyi, C.P., Abhulimen, A.O., Obiki-Osafiele, A.N., Osundare, O.S., Agu, E.E. and Adeniran, I.A. (2024) ‘Strengthening corporate governance and financial compliance: Enhancing accountability and transparency’, </w:t>
      </w:r>
      <w:r w:rsidRPr="00EE6114">
        <w:rPr>
          <w:rFonts w:ascii="Arial" w:hAnsi="Arial" w:cs="Arial"/>
          <w:i/>
          <w:iCs/>
          <w:sz w:val="22"/>
          <w:szCs w:val="22"/>
          <w:highlight w:val="white"/>
        </w:rPr>
        <w:t>Finance &amp; Accounting Research Journal</w:t>
      </w:r>
      <w:r w:rsidRPr="00EE6114">
        <w:rPr>
          <w:rFonts w:ascii="Arial" w:hAnsi="Arial" w:cs="Arial"/>
          <w:sz w:val="22"/>
          <w:szCs w:val="22"/>
          <w:highlight w:val="white"/>
        </w:rPr>
        <w:t>, 6(8), pp. 1597-1616.</w:t>
      </w:r>
      <w:r w:rsidRPr="00EE6114">
        <w:rPr>
          <w:rFonts w:ascii="Arial" w:hAnsi="Arial" w:cs="Arial"/>
          <w:sz w:val="22"/>
          <w:szCs w:val="22"/>
        </w:rPr>
        <w:t xml:space="preserve"> </w:t>
      </w:r>
    </w:p>
    <w:p w14:paraId="4B13ED8F"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Folorunso, A., Wada, I., Samuel, B. and Mohammed, V. (2024) ‘Security compliance and its implication for cybersecurity’, </w:t>
      </w:r>
      <w:r w:rsidRPr="00EE6114">
        <w:rPr>
          <w:rFonts w:ascii="Arial" w:hAnsi="Arial" w:cs="Arial"/>
          <w:i/>
          <w:iCs/>
          <w:sz w:val="22"/>
          <w:szCs w:val="22"/>
          <w:highlight w:val="white"/>
        </w:rPr>
        <w:t>World Journal of Advanced Research and Reviews</w:t>
      </w:r>
      <w:r w:rsidRPr="00EE6114">
        <w:rPr>
          <w:rFonts w:ascii="Arial" w:hAnsi="Arial" w:cs="Arial"/>
          <w:sz w:val="22"/>
          <w:szCs w:val="22"/>
          <w:highlight w:val="white"/>
        </w:rPr>
        <w:t>, 24(01), pp. 2105-2121.</w:t>
      </w:r>
      <w:r w:rsidRPr="00EE6114">
        <w:rPr>
          <w:rFonts w:ascii="Arial" w:hAnsi="Arial" w:cs="Arial"/>
          <w:sz w:val="22"/>
          <w:szCs w:val="22"/>
        </w:rPr>
        <w:t xml:space="preserve"> </w:t>
      </w:r>
    </w:p>
    <w:p w14:paraId="568D6954"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Freier, P. and Schumann, M. (2021) ‘Decision support systems in the context of cyber-physical systems: Influencing factors and challenges for the adoption in production scheduling’, </w:t>
      </w:r>
      <w:r w:rsidRPr="00EE6114">
        <w:rPr>
          <w:rFonts w:ascii="Arial" w:hAnsi="Arial" w:cs="Arial"/>
          <w:i/>
          <w:iCs/>
          <w:sz w:val="22"/>
          <w:szCs w:val="22"/>
          <w:highlight w:val="white"/>
        </w:rPr>
        <w:t>Australasian Journal of Information Systems</w:t>
      </w:r>
      <w:r w:rsidRPr="00EE6114">
        <w:rPr>
          <w:rFonts w:ascii="Arial" w:hAnsi="Arial" w:cs="Arial"/>
          <w:sz w:val="22"/>
          <w:szCs w:val="22"/>
          <w:highlight w:val="white"/>
        </w:rPr>
        <w:t>, 25.</w:t>
      </w:r>
      <w:r w:rsidRPr="00EE6114">
        <w:rPr>
          <w:rFonts w:ascii="Arial" w:hAnsi="Arial" w:cs="Arial"/>
          <w:sz w:val="22"/>
          <w:szCs w:val="22"/>
        </w:rPr>
        <w:t xml:space="preserve"> </w:t>
      </w:r>
    </w:p>
    <w:p w14:paraId="0A0EA851"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lastRenderedPageBreak/>
        <w:t xml:space="preserve">Haque, G.M.M., Akula, D.K., Mohammed, Y.S., Syed, A. and Arafat, Y. (2025) ‘Cybersecurity risk management in the age of digital transformation: A systematic literature review’, </w:t>
      </w:r>
      <w:r w:rsidRPr="00EE6114">
        <w:rPr>
          <w:rFonts w:ascii="Arial" w:hAnsi="Arial" w:cs="Arial"/>
          <w:i/>
          <w:iCs/>
          <w:sz w:val="22"/>
          <w:szCs w:val="22"/>
          <w:highlight w:val="white"/>
        </w:rPr>
        <w:t>The American Journal of Engineering and Technology</w:t>
      </w:r>
      <w:r w:rsidRPr="00EE6114">
        <w:rPr>
          <w:rFonts w:ascii="Arial" w:hAnsi="Arial" w:cs="Arial"/>
          <w:sz w:val="22"/>
          <w:szCs w:val="22"/>
          <w:highlight w:val="white"/>
        </w:rPr>
        <w:t>, 7(8), pp. 126-150.</w:t>
      </w:r>
      <w:r w:rsidRPr="00EE6114">
        <w:rPr>
          <w:rFonts w:ascii="Arial" w:hAnsi="Arial" w:cs="Arial"/>
          <w:sz w:val="22"/>
          <w:szCs w:val="22"/>
        </w:rPr>
        <w:t xml:space="preserve"> </w:t>
      </w:r>
    </w:p>
    <w:p w14:paraId="6F5BD502"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HSBC (2025) </w:t>
      </w:r>
      <w:r w:rsidRPr="00EE6114">
        <w:rPr>
          <w:rFonts w:ascii="Arial" w:hAnsi="Arial" w:cs="Arial"/>
          <w:i/>
          <w:iCs/>
          <w:sz w:val="22"/>
          <w:szCs w:val="22"/>
        </w:rPr>
        <w:t>Technology | fighting financial crime | HSBC holdings plc</w:t>
      </w:r>
      <w:r w:rsidRPr="00EE6114">
        <w:rPr>
          <w:rFonts w:ascii="Arial" w:hAnsi="Arial" w:cs="Arial"/>
          <w:sz w:val="22"/>
          <w:szCs w:val="22"/>
        </w:rPr>
        <w:t xml:space="preserve">. Available at: </w:t>
      </w:r>
      <w:hyperlink r:id="rId12">
        <w:r w:rsidRPr="00EE6114">
          <w:rPr>
            <w:rFonts w:ascii="Arial" w:hAnsi="Arial" w:cs="Arial"/>
            <w:color w:val="1155CC"/>
            <w:sz w:val="22"/>
            <w:szCs w:val="22"/>
            <w:u w:val="single"/>
          </w:rPr>
          <w:t>https://www.hsbc.com/who-we-are/esg-and-responsible-business/fighting-financial-crime/technology</w:t>
        </w:r>
      </w:hyperlink>
      <w:r w:rsidRPr="00EE6114">
        <w:rPr>
          <w:rFonts w:ascii="Arial" w:hAnsi="Arial" w:cs="Arial"/>
          <w:sz w:val="22"/>
          <w:szCs w:val="22"/>
        </w:rPr>
        <w:t xml:space="preserve">  (Accessed 19 July 2026)</w:t>
      </w:r>
    </w:p>
    <w:p w14:paraId="3107A6A9"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IBM (2022) </w:t>
      </w:r>
      <w:r w:rsidRPr="00EE6114">
        <w:rPr>
          <w:rFonts w:ascii="Arial" w:hAnsi="Arial" w:cs="Arial"/>
          <w:i/>
          <w:iCs/>
          <w:sz w:val="22"/>
          <w:szCs w:val="22"/>
        </w:rPr>
        <w:t>DHL international GmbH</w:t>
      </w:r>
      <w:r w:rsidRPr="00EE6114">
        <w:rPr>
          <w:rFonts w:ascii="Arial" w:hAnsi="Arial" w:cs="Arial"/>
          <w:sz w:val="22"/>
          <w:szCs w:val="22"/>
        </w:rPr>
        <w:t xml:space="preserve">. Available at: </w:t>
      </w:r>
      <w:hyperlink r:id="rId13">
        <w:r w:rsidRPr="00EE6114">
          <w:rPr>
            <w:rFonts w:ascii="Arial" w:hAnsi="Arial" w:cs="Arial"/>
            <w:color w:val="1155CC"/>
            <w:sz w:val="22"/>
            <w:szCs w:val="22"/>
            <w:u w:val="single"/>
          </w:rPr>
          <w:t>https://www.ibm.com/case-studies/dhl-international-watson-sterling</w:t>
        </w:r>
      </w:hyperlink>
      <w:r w:rsidRPr="00EE6114">
        <w:rPr>
          <w:rFonts w:ascii="Arial" w:hAnsi="Arial" w:cs="Arial"/>
          <w:sz w:val="22"/>
          <w:szCs w:val="22"/>
        </w:rPr>
        <w:t xml:space="preserve">  (Accessed 19 July 2026)</w:t>
      </w:r>
    </w:p>
    <w:p w14:paraId="0D9181D5"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Karlsson, M., Karlsson, F., Åström, J. and Denk, T. (2022) ‘The effect of perceived organizational culture on employees’ information security compliance’, </w:t>
      </w:r>
      <w:r w:rsidRPr="00EE6114">
        <w:rPr>
          <w:rFonts w:ascii="Arial" w:hAnsi="Arial" w:cs="Arial"/>
          <w:i/>
          <w:iCs/>
          <w:sz w:val="22"/>
          <w:szCs w:val="22"/>
          <w:highlight w:val="white"/>
        </w:rPr>
        <w:t>Information &amp; Computer Security</w:t>
      </w:r>
      <w:r w:rsidRPr="00EE6114">
        <w:rPr>
          <w:rFonts w:ascii="Arial" w:hAnsi="Arial" w:cs="Arial"/>
          <w:sz w:val="22"/>
          <w:szCs w:val="22"/>
          <w:highlight w:val="white"/>
        </w:rPr>
        <w:t>, 30(3), pp. 382-401.</w:t>
      </w:r>
      <w:r w:rsidRPr="00EE6114">
        <w:rPr>
          <w:rFonts w:ascii="Arial" w:hAnsi="Arial" w:cs="Arial"/>
          <w:sz w:val="22"/>
          <w:szCs w:val="22"/>
        </w:rPr>
        <w:t xml:space="preserve"> </w:t>
      </w:r>
    </w:p>
    <w:p w14:paraId="222E7317"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Komathi, W. and Sim, C.H. (2024) ‘Shaping a Digital Future: Examining Technology, Organization and Environment (TOE) Framework’, </w:t>
      </w:r>
      <w:r w:rsidRPr="00EE6114">
        <w:rPr>
          <w:rFonts w:ascii="Arial" w:hAnsi="Arial" w:cs="Arial"/>
          <w:i/>
          <w:iCs/>
          <w:sz w:val="22"/>
          <w:szCs w:val="22"/>
          <w:highlight w:val="white"/>
        </w:rPr>
        <w:t>Journal of Technology Management and Business</w:t>
      </w:r>
      <w:r w:rsidRPr="00EE6114">
        <w:rPr>
          <w:rFonts w:ascii="Arial" w:hAnsi="Arial" w:cs="Arial"/>
          <w:sz w:val="22"/>
          <w:szCs w:val="22"/>
          <w:highlight w:val="white"/>
        </w:rPr>
        <w:t>, 11(1), pp. 80-97.</w:t>
      </w:r>
      <w:r w:rsidRPr="00EE6114">
        <w:rPr>
          <w:rFonts w:ascii="Arial" w:hAnsi="Arial" w:cs="Arial"/>
          <w:sz w:val="22"/>
          <w:szCs w:val="22"/>
        </w:rPr>
        <w:t xml:space="preserve"> </w:t>
      </w:r>
    </w:p>
    <w:p w14:paraId="6B02015C"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Olufemi, O.D. and Olufemi, O.D. (2025) ‘Quantum-AI Federated Clouds: A trust-aware framework for cross-domain observability and security’, </w:t>
      </w:r>
      <w:r w:rsidRPr="00EE6114">
        <w:rPr>
          <w:rFonts w:ascii="Arial" w:hAnsi="Arial" w:cs="Arial"/>
          <w:i/>
          <w:iCs/>
          <w:sz w:val="22"/>
          <w:szCs w:val="22"/>
          <w:highlight w:val="white"/>
        </w:rPr>
        <w:t>Future Gener. Comput. Syst</w:t>
      </w:r>
      <w:r w:rsidRPr="00EE6114">
        <w:rPr>
          <w:rFonts w:ascii="Arial" w:hAnsi="Arial" w:cs="Arial"/>
          <w:sz w:val="22"/>
          <w:szCs w:val="22"/>
          <w:highlight w:val="white"/>
        </w:rPr>
        <w:t>, 142, pp. 234-249.</w:t>
      </w:r>
      <w:r w:rsidRPr="00EE6114">
        <w:rPr>
          <w:rFonts w:ascii="Arial" w:hAnsi="Arial" w:cs="Arial"/>
          <w:sz w:val="22"/>
          <w:szCs w:val="22"/>
        </w:rPr>
        <w:t xml:space="preserve"> </w:t>
      </w:r>
    </w:p>
    <w:p w14:paraId="46FB159E"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Omowole, B.M., Olufemi-Philips, A.Q., Ofadile, O.C., Eyo-Udo, N.L. and Ewim, S.E. (2024) ‘Barriers and drivers of digital transformation in SMEs: A conceptual analysis’, </w:t>
      </w:r>
      <w:r w:rsidRPr="00EE6114">
        <w:rPr>
          <w:rFonts w:ascii="Arial" w:hAnsi="Arial" w:cs="Arial"/>
          <w:i/>
          <w:iCs/>
          <w:sz w:val="22"/>
          <w:szCs w:val="22"/>
        </w:rPr>
        <w:t>International Journal of Frontline Research in Multidisciplinary Studies</w:t>
      </w:r>
      <w:r w:rsidRPr="00EE6114">
        <w:rPr>
          <w:rFonts w:ascii="Arial" w:hAnsi="Arial" w:cs="Arial"/>
          <w:sz w:val="22"/>
          <w:szCs w:val="22"/>
        </w:rPr>
        <w:t>, 5(2), pp. 019-036.</w:t>
      </w:r>
    </w:p>
    <w:p w14:paraId="29791728"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Saunders, M.N.K., Lewis, P., &amp; Thornhill, A. (2019) </w:t>
      </w:r>
      <w:r w:rsidRPr="00EE6114">
        <w:rPr>
          <w:rFonts w:ascii="Arial" w:hAnsi="Arial" w:cs="Arial"/>
          <w:i/>
          <w:iCs/>
          <w:sz w:val="22"/>
          <w:szCs w:val="22"/>
        </w:rPr>
        <w:t xml:space="preserve">Research Methods for Business Students. </w:t>
      </w:r>
      <w:r w:rsidRPr="00EE6114">
        <w:rPr>
          <w:rFonts w:ascii="Arial" w:hAnsi="Arial" w:cs="Arial"/>
          <w:sz w:val="22"/>
          <w:szCs w:val="22"/>
        </w:rPr>
        <w:t>8th, Pearson, Harlow</w:t>
      </w:r>
    </w:p>
    <w:p w14:paraId="257A1B52"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Siddiqui, U.M. (2025) ‘Efficiency is not Effectiveness: How to Design Strategically Aligned Public Sector Information Systems (IS) to Increase the Organizational Effectiveness in Highly Contingent Operational Contexts’, </w:t>
      </w:r>
      <w:r w:rsidRPr="00EE6114">
        <w:rPr>
          <w:rFonts w:ascii="Arial" w:hAnsi="Arial" w:cs="Arial"/>
          <w:i/>
          <w:iCs/>
          <w:sz w:val="22"/>
          <w:szCs w:val="22"/>
          <w:highlight w:val="white"/>
        </w:rPr>
        <w:t>The Critical Review of Social Sciences Studies</w:t>
      </w:r>
      <w:r w:rsidRPr="00EE6114">
        <w:rPr>
          <w:rFonts w:ascii="Arial" w:hAnsi="Arial" w:cs="Arial"/>
          <w:sz w:val="22"/>
          <w:szCs w:val="22"/>
          <w:highlight w:val="white"/>
        </w:rPr>
        <w:t>, 3(1), pp. 2063-2076.</w:t>
      </w:r>
      <w:r w:rsidRPr="00EE6114">
        <w:rPr>
          <w:rFonts w:ascii="Arial" w:hAnsi="Arial" w:cs="Arial"/>
          <w:sz w:val="22"/>
          <w:szCs w:val="22"/>
        </w:rPr>
        <w:t xml:space="preserve"> </w:t>
      </w:r>
    </w:p>
    <w:p w14:paraId="5876DEB2"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t xml:space="preserve">Statista (2025) </w:t>
      </w:r>
      <w:r w:rsidRPr="00EE6114">
        <w:rPr>
          <w:rFonts w:ascii="Arial" w:hAnsi="Arial" w:cs="Arial"/>
          <w:i/>
          <w:iCs/>
          <w:sz w:val="22"/>
          <w:szCs w:val="22"/>
        </w:rPr>
        <w:t>Deutsche post DHL group - investments 2021</w:t>
      </w:r>
      <w:r w:rsidRPr="00EE6114">
        <w:rPr>
          <w:rFonts w:ascii="Arial" w:hAnsi="Arial" w:cs="Arial"/>
          <w:sz w:val="22"/>
          <w:szCs w:val="22"/>
        </w:rPr>
        <w:t xml:space="preserve">. Available at: </w:t>
      </w:r>
      <w:hyperlink r:id="rId14">
        <w:r w:rsidRPr="00EE6114">
          <w:rPr>
            <w:rFonts w:ascii="Arial" w:hAnsi="Arial" w:cs="Arial"/>
            <w:color w:val="1155CC"/>
            <w:sz w:val="22"/>
            <w:szCs w:val="22"/>
            <w:u w:val="single"/>
          </w:rPr>
          <w:t>https://www.statista.com/statistics/272170/investments-by-the-deutsche-post-dhl/</w:t>
        </w:r>
      </w:hyperlink>
      <w:r w:rsidRPr="00EE6114">
        <w:rPr>
          <w:rFonts w:ascii="Arial" w:hAnsi="Arial" w:cs="Arial"/>
          <w:sz w:val="22"/>
          <w:szCs w:val="22"/>
        </w:rPr>
        <w:t xml:space="preserve">  (Accessed 18 July 2026)</w:t>
      </w:r>
    </w:p>
    <w:p w14:paraId="634A3E8F"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rPr>
        <w:lastRenderedPageBreak/>
        <w:t xml:space="preserve">Tesco (2026) </w:t>
      </w:r>
      <w:r w:rsidRPr="00EE6114">
        <w:rPr>
          <w:rFonts w:ascii="Arial" w:hAnsi="Arial" w:cs="Arial"/>
          <w:i/>
          <w:iCs/>
          <w:sz w:val="22"/>
          <w:szCs w:val="22"/>
        </w:rPr>
        <w:t>Ethics and compliance policies</w:t>
      </w:r>
      <w:r w:rsidRPr="00EE6114">
        <w:rPr>
          <w:rFonts w:ascii="Arial" w:hAnsi="Arial" w:cs="Arial"/>
          <w:sz w:val="22"/>
          <w:szCs w:val="22"/>
        </w:rPr>
        <w:t xml:space="preserve">. Available at: </w:t>
      </w:r>
      <w:hyperlink r:id="rId15">
        <w:r w:rsidRPr="00EE6114">
          <w:rPr>
            <w:rFonts w:ascii="Arial" w:hAnsi="Arial" w:cs="Arial"/>
            <w:color w:val="1155CC"/>
            <w:sz w:val="22"/>
            <w:szCs w:val="22"/>
            <w:u w:val="single"/>
          </w:rPr>
          <w:t>https://www.tescoplc.com/about/how-we-do-business/ethics-and-compliance-policies</w:t>
        </w:r>
      </w:hyperlink>
      <w:r w:rsidRPr="00EE6114">
        <w:rPr>
          <w:rFonts w:ascii="Arial" w:hAnsi="Arial" w:cs="Arial"/>
          <w:sz w:val="22"/>
          <w:szCs w:val="22"/>
        </w:rPr>
        <w:t xml:space="preserve">  (Accessed 20 July 2026)</w:t>
      </w:r>
    </w:p>
    <w:p w14:paraId="324EE35E" w14:textId="77777777" w:rsidR="00365312" w:rsidRPr="00EE6114" w:rsidRDefault="00365312" w:rsidP="00143961">
      <w:pPr>
        <w:spacing w:before="100" w:beforeAutospacing="1" w:after="100" w:afterAutospacing="1"/>
        <w:rPr>
          <w:rFonts w:ascii="Arial" w:hAnsi="Arial" w:cs="Arial"/>
          <w:sz w:val="22"/>
          <w:szCs w:val="22"/>
        </w:rPr>
      </w:pPr>
      <w:r w:rsidRPr="00EE6114">
        <w:rPr>
          <w:rFonts w:ascii="Arial" w:hAnsi="Arial" w:cs="Arial"/>
          <w:sz w:val="22"/>
          <w:szCs w:val="22"/>
          <w:highlight w:val="white"/>
        </w:rPr>
        <w:t xml:space="preserve">Thelma, C.C. and Chitondo, L. (2024) ‘Leadership for sustainable development in Africa: A comprehensive perspective’, </w:t>
      </w:r>
      <w:r w:rsidRPr="00EE6114">
        <w:rPr>
          <w:rFonts w:ascii="Arial" w:hAnsi="Arial" w:cs="Arial"/>
          <w:i/>
          <w:iCs/>
          <w:sz w:val="22"/>
          <w:szCs w:val="22"/>
          <w:highlight w:val="white"/>
        </w:rPr>
        <w:t>International Journal of Research Publications</w:t>
      </w:r>
      <w:r w:rsidRPr="00EE6114">
        <w:rPr>
          <w:rFonts w:ascii="Arial" w:hAnsi="Arial" w:cs="Arial"/>
          <w:sz w:val="22"/>
          <w:szCs w:val="22"/>
          <w:highlight w:val="white"/>
        </w:rPr>
        <w:t>, 5(2), pp. 2395-2410.</w:t>
      </w:r>
      <w:r w:rsidRPr="00EE6114">
        <w:rPr>
          <w:rFonts w:ascii="Arial" w:hAnsi="Arial" w:cs="Arial"/>
          <w:sz w:val="22"/>
          <w:szCs w:val="22"/>
        </w:rPr>
        <w:t xml:space="preserve"> </w:t>
      </w:r>
    </w:p>
    <w:sectPr w:rsidR="00365312" w:rsidRPr="00EE6114">
      <w:footerReference w:type="default" r:id="rId16"/>
      <w:headerReference w:type="first" r:id="rId1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20969" w14:textId="77777777" w:rsidR="003C1B65" w:rsidRDefault="003C1B65">
      <w:pPr>
        <w:spacing w:before="0" w:after="0" w:line="240" w:lineRule="auto"/>
      </w:pPr>
      <w:r>
        <w:separator/>
      </w:r>
    </w:p>
  </w:endnote>
  <w:endnote w:type="continuationSeparator" w:id="0">
    <w:p w14:paraId="7740DC05" w14:textId="77777777" w:rsidR="003C1B65" w:rsidRDefault="003C1B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28A21C-D82C-46CE-89CE-BD2AB4E5C100}"/>
  </w:font>
  <w:font w:name="Cambria">
    <w:panose1 w:val="02040503050406030204"/>
    <w:charset w:val="00"/>
    <w:family w:val="roman"/>
    <w:pitch w:val="variable"/>
    <w:sig w:usb0="E00006FF" w:usb1="420024FF" w:usb2="02000000" w:usb3="00000000" w:csb0="0000019F" w:csb1="00000000"/>
    <w:embedRegular r:id="rId2" w:fontKey="{2E7EF12B-3D48-4F35-80CA-101D46481B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0FBFD" w14:textId="77777777" w:rsidR="00CB2225"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DF0065">
      <w:rPr>
        <w:noProof/>
        <w:color w:val="000000"/>
      </w:rPr>
      <w:t>2</w:t>
    </w:r>
    <w:r>
      <w:rPr>
        <w:color w:val="000000"/>
      </w:rPr>
      <w:fldChar w:fldCharType="end"/>
    </w:r>
  </w:p>
  <w:p w14:paraId="77DFCD35" w14:textId="77777777" w:rsidR="00CB2225" w:rsidRDefault="00CB2225">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CADFB" w14:textId="77777777" w:rsidR="003C1B65" w:rsidRDefault="003C1B65">
      <w:pPr>
        <w:spacing w:before="0" w:after="0" w:line="240" w:lineRule="auto"/>
      </w:pPr>
      <w:r>
        <w:separator/>
      </w:r>
    </w:p>
  </w:footnote>
  <w:footnote w:type="continuationSeparator" w:id="0">
    <w:p w14:paraId="038DD225" w14:textId="77777777" w:rsidR="003C1B65" w:rsidRDefault="003C1B6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4C167" w14:textId="77777777" w:rsidR="00CB2225" w:rsidRDefault="00000000">
    <w:r>
      <w:rPr>
        <w:noProof/>
      </w:rPr>
      <w:drawing>
        <wp:inline distT="114300" distB="114300" distL="114300" distR="114300" wp14:anchorId="50D7EEE0" wp14:editId="06F3F5E6">
          <wp:extent cx="2124075" cy="9429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2124075" cy="942975"/>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E5B36"/>
    <w:multiLevelType w:val="multilevel"/>
    <w:tmpl w:val="69926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185622"/>
    <w:multiLevelType w:val="multilevel"/>
    <w:tmpl w:val="615A50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6481105">
    <w:abstractNumId w:val="0"/>
  </w:num>
  <w:num w:numId="2" w16cid:durableId="1017731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2225"/>
    <w:rsid w:val="0008286E"/>
    <w:rsid w:val="00143961"/>
    <w:rsid w:val="001A372A"/>
    <w:rsid w:val="00256585"/>
    <w:rsid w:val="00365312"/>
    <w:rsid w:val="003C1B65"/>
    <w:rsid w:val="005E0349"/>
    <w:rsid w:val="0072529B"/>
    <w:rsid w:val="007A40A9"/>
    <w:rsid w:val="007B5D86"/>
    <w:rsid w:val="00804E39"/>
    <w:rsid w:val="00967D33"/>
    <w:rsid w:val="009D173B"/>
    <w:rsid w:val="009F67B8"/>
    <w:rsid w:val="00A15D44"/>
    <w:rsid w:val="00B07E69"/>
    <w:rsid w:val="00C15420"/>
    <w:rsid w:val="00C1613E"/>
    <w:rsid w:val="00CB2225"/>
    <w:rsid w:val="00D96642"/>
    <w:rsid w:val="00DF0065"/>
    <w:rsid w:val="00ED2421"/>
    <w:rsid w:val="00EE6114"/>
    <w:rsid w:val="00EF2B7F"/>
    <w:rsid w:val="00F615C5"/>
    <w:rsid w:val="00F92D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925E1"/>
  <w15:docId w15:val="{88D05EE2-BEA7-4E5F-A58D-31A23592F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bm.com/case-studies/dhl-international-watson-sterl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bc.com/who-we-are/esg-and-responsible-business/fighting-financial-crime/technolog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roup.dhl.com/en/about-us.html" TargetMode="External"/><Relationship Id="rId5" Type="http://schemas.openxmlformats.org/officeDocument/2006/relationships/webSettings" Target="webSettings.xml"/><Relationship Id="rId15" Type="http://schemas.openxmlformats.org/officeDocument/2006/relationships/hyperlink" Target="https://www.tescoplc.com/about/how-we-do-business/ethics-and-compliance-policie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272170/investments-by-the-deutsche-post-dhl/"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p+2oWSNQGk5LdkARmWo1PUa8rQ==">CgMxLjAyDmguaGgyNmJjcWY5YXdlMg5oLnY3cnZ6M3hnbHE5NzIOaC50bDQ0cnZlMXI2OGEyDmguZW1vNDZ1N2gxcGluMg5oLmw4NXE2Y3Y3bmswZTIOaC5qOHp0eG9yNnZvdnAyDmgubnFheDFjNmE0emU1Mg1oLmlxNGhldG15d2o3Mg1oLnRpa2l4ZWZpbnZ5Mg5oLm45MmNjcTE3bHZ3MjIOaC40bWJ5NWt0dThveXUyDmguMWV3czYyNW1uY2xxMg5oLmM1cnZmYWVxeDM5ajIOaC5hMmY0eGdjeHl4eG8yDmguN2JnY3p5dHQ3cXZnMg5oLjdyMWY1bGE4eTJoMTIOaC55MDRsdHJld3l5azcyDmgubWM1bDlzb2RvZXdhMg5oLmIzODJodnR3cm16NzINaC5rY3FneTJicGxtazIOaC5nYmxoMWtkejVnNWYyDmguZTdybDZvcmJzcHRiMg5oLjZ3eHJoaDRtbXhuZzIOaC5neTUxNHBnNHJmMHgyDmguYnpmNDRxOXRocmhoMg5oLjI2bDVicmEybzNzcDIOaC5zemtiODl3M201ZmI4AHIhMWplT0laTkxUS0wzNXB0ZU9pYUFWSjNMaDZsczJYMEx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14</Pages>
  <Words>3246</Words>
  <Characters>18504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Alecs</cp:lastModifiedBy>
  <cp:revision>5</cp:revision>
  <dcterms:created xsi:type="dcterms:W3CDTF">2026-07-20T11:03:00Z</dcterms:created>
  <dcterms:modified xsi:type="dcterms:W3CDTF">2026-07-25T08:06:00Z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96744020-a986-4390-b8d1-04386ed5e661</vt:lpwstr>
  </property>
</Properties>
</file>