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A36A" w14:textId="026DA5DB" w:rsidR="00F60681" w:rsidRDefault="00F60681" w:rsidP="00E27744">
      <w:pPr>
        <w:pStyle w:val="Title"/>
        <w:jc w:val="center"/>
        <w:rPr>
          <w:rStyle w:val="markedcontent"/>
          <w:rFonts w:cstheme="majorHAnsi"/>
        </w:rPr>
      </w:pPr>
      <w:r>
        <w:rPr>
          <w:rFonts w:cstheme="majorHAnsi"/>
          <w:noProof/>
        </w:rPr>
        <w:drawing>
          <wp:inline distT="0" distB="0" distL="0" distR="0" wp14:anchorId="4380645A" wp14:editId="455E776C">
            <wp:extent cx="3314700" cy="109937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348303" cy="1110521"/>
                    </a:xfrm>
                    <a:prstGeom prst="rect">
                      <a:avLst/>
                    </a:prstGeom>
                  </pic:spPr>
                </pic:pic>
              </a:graphicData>
            </a:graphic>
          </wp:inline>
        </w:drawing>
      </w:r>
    </w:p>
    <w:p w14:paraId="42CD1501" w14:textId="77777777" w:rsidR="00F60681" w:rsidRDefault="00F60681" w:rsidP="00E27744">
      <w:pPr>
        <w:pStyle w:val="Title"/>
        <w:jc w:val="center"/>
        <w:rPr>
          <w:rStyle w:val="markedcontent"/>
          <w:rFonts w:cstheme="majorHAnsi"/>
        </w:rPr>
      </w:pPr>
    </w:p>
    <w:p w14:paraId="57E2CD9E" w14:textId="163E61A5" w:rsidR="001834FC" w:rsidRDefault="00E27744" w:rsidP="00E27744">
      <w:pPr>
        <w:pStyle w:val="Title"/>
        <w:jc w:val="center"/>
        <w:rPr>
          <w:rStyle w:val="markedcontent"/>
          <w:rFonts w:cstheme="majorHAnsi"/>
        </w:rPr>
      </w:pPr>
      <w:r w:rsidRPr="00A96706">
        <w:rPr>
          <w:rStyle w:val="markedcontent"/>
          <w:rFonts w:cstheme="majorHAnsi"/>
        </w:rPr>
        <w:t>Leadership and management, theory and practice</w:t>
      </w:r>
    </w:p>
    <w:p w14:paraId="7234AE16" w14:textId="24867FA2" w:rsidR="00662EB2" w:rsidRDefault="00662EB2" w:rsidP="00662EB2"/>
    <w:p w14:paraId="56DB3681" w14:textId="32C6C5BC" w:rsidR="00662EB2" w:rsidRDefault="00662EB2" w:rsidP="00662EB2"/>
    <w:p w14:paraId="34600997" w14:textId="4D1F0A75" w:rsidR="00187A2F" w:rsidRPr="00187A2F" w:rsidRDefault="00187A2F" w:rsidP="00187A2F">
      <w:r w:rsidRPr="00187A2F">
        <w:t xml:space="preserve">Student: </w:t>
      </w:r>
      <w:r>
        <w:t xml:space="preserve">Ecaterina </w:t>
      </w:r>
      <w:r w:rsidR="00F257DB">
        <w:t>Tartamus</w:t>
      </w:r>
    </w:p>
    <w:p w14:paraId="635CABE9" w14:textId="77777777" w:rsidR="00187A2F" w:rsidRPr="00187A2F" w:rsidRDefault="00187A2F" w:rsidP="00187A2F">
      <w:r w:rsidRPr="00187A2F">
        <w:t>Lecturer: Mushfiqur Rahman</w:t>
      </w:r>
    </w:p>
    <w:p w14:paraId="753C037A" w14:textId="1762D78B" w:rsidR="00187A2F" w:rsidRPr="00187A2F" w:rsidRDefault="00187A2F" w:rsidP="00187A2F">
      <w:pPr>
        <w:sectPr w:rsidR="00187A2F" w:rsidRPr="00187A2F" w:rsidSect="001834FC">
          <w:footerReference w:type="default" r:id="rId9"/>
          <w:pgSz w:w="12240" w:h="15840"/>
          <w:pgMar w:top="1440" w:right="1440" w:bottom="1440" w:left="1440" w:header="720" w:footer="720" w:gutter="0"/>
          <w:pgNumType w:fmt="lowerRoman"/>
          <w:cols w:space="720"/>
          <w:docGrid w:linePitch="360"/>
        </w:sectPr>
      </w:pPr>
      <w:r w:rsidRPr="00187A2F">
        <w:t>Module cod: LCBB600</w:t>
      </w:r>
      <w:r w:rsidR="00F33F68">
        <w:t>3</w:t>
      </w:r>
    </w:p>
    <w:p w14:paraId="3C67747A" w14:textId="67D8B307" w:rsidR="001834FC" w:rsidRDefault="001834FC"/>
    <w:p w14:paraId="5358D54C" w14:textId="051A2739" w:rsidR="00E82700" w:rsidRDefault="00E82700" w:rsidP="00E82700">
      <w:pPr>
        <w:pStyle w:val="TOCHeading"/>
        <w:jc w:val="center"/>
      </w:pPr>
    </w:p>
    <w:p w14:paraId="4AA810E9" w14:textId="341F3DF0" w:rsidR="0028703E" w:rsidRDefault="0028703E" w:rsidP="0028703E">
      <w:pPr>
        <w:jc w:val="left"/>
      </w:pPr>
      <w:r>
        <w:rPr>
          <w:noProof/>
        </w:rPr>
        <w:drawing>
          <wp:inline distT="0" distB="0" distL="0" distR="0" wp14:anchorId="7F20DEFB" wp14:editId="063ED933">
            <wp:extent cx="5943600" cy="3330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943600" cy="3330575"/>
                    </a:xfrm>
                    <a:prstGeom prst="rect">
                      <a:avLst/>
                    </a:prstGeom>
                  </pic:spPr>
                </pic:pic>
              </a:graphicData>
            </a:graphic>
          </wp:inline>
        </w:drawing>
      </w:r>
    </w:p>
    <w:p w14:paraId="2D97F3CF" w14:textId="39711AF3" w:rsidR="0028703E" w:rsidRDefault="0028703E" w:rsidP="0028703E">
      <w:pPr>
        <w:jc w:val="left"/>
      </w:pPr>
    </w:p>
    <w:p w14:paraId="72A99CC4" w14:textId="77777777" w:rsidR="0028703E" w:rsidRPr="0028703E" w:rsidRDefault="0028703E" w:rsidP="0028703E">
      <w:pPr>
        <w:jc w:val="left"/>
      </w:pPr>
      <w:r w:rsidRPr="0028703E">
        <w:t>At GE, Jack Welch established a performance management system to find and advance the finest employees. The "</w:t>
      </w:r>
      <w:r w:rsidRPr="0028703E">
        <w:rPr>
          <w:b/>
          <w:bCs/>
        </w:rPr>
        <w:t>Rank and Yank</w:t>
      </w:r>
      <w:r w:rsidRPr="0028703E">
        <w:t>" or "</w:t>
      </w:r>
      <w:r w:rsidRPr="0028703E">
        <w:rPr>
          <w:b/>
          <w:bCs/>
        </w:rPr>
        <w:t>vitality curve</w:t>
      </w:r>
      <w:r w:rsidRPr="0028703E">
        <w:t>" ranking method served as the foundation for the system. According to this approach, GE's managers have to rate their staff members based on performance, with the poorest 10% being let go.</w:t>
      </w:r>
    </w:p>
    <w:p w14:paraId="6FEFF3A7" w14:textId="77777777" w:rsidR="0028703E" w:rsidRPr="0028703E" w:rsidRDefault="0028703E" w:rsidP="0028703E">
      <w:pPr>
        <w:jc w:val="left"/>
      </w:pPr>
      <w:r w:rsidRPr="0028703E">
        <w:t>There is disagreement over GE's performance management system's efficacy. Others contend that the method successfully recognised and elevated top performers, fostered a high-performance culture, and enhanced overall organisational performance (Collins, 2015). Some contend that the method fostered a competitive and demoralising atmosphere were individuals prioritised their success over the teams. The system was also criticised for being discriminatory against several groups, including women and minorities, who may have suffered disproportionate penalties due to institutional bias.</w:t>
      </w:r>
    </w:p>
    <w:p w14:paraId="63632F99" w14:textId="77777777" w:rsidR="0028703E" w:rsidRPr="0028703E" w:rsidRDefault="0028703E" w:rsidP="0028703E">
      <w:pPr>
        <w:jc w:val="left"/>
      </w:pPr>
      <w:r w:rsidRPr="0028703E">
        <w:t xml:space="preserve">Forced ranking is emphasised heavily in GE's performance management system, which has drawn acclaim and criticism for this strategy. Other performance management strategies, </w:t>
      </w:r>
      <w:r w:rsidRPr="0028703E">
        <w:lastRenderedPageBreak/>
        <w:t>including ongoing feedback, frequent check-ins, and growth plans, are employed by other businesses. Forced ranking systems have been eliminated by certain businesses due to negative effects on employee morale and organisational culture (Quinn, 2018). Nonetheless, some businesses continue to employ comparable techniques, such as Microsoft's infamous "stack ranking" scheme, which was dropped in 2013.</w:t>
      </w:r>
    </w:p>
    <w:p w14:paraId="6F25EA01" w14:textId="77777777" w:rsidR="0028703E" w:rsidRPr="0028703E" w:rsidRDefault="0028703E" w:rsidP="0028703E">
      <w:pPr>
        <w:jc w:val="left"/>
      </w:pPr>
      <w:r w:rsidRPr="0028703E">
        <w:t>Overall, the effectiveness of performance management systems depends on various factors, including the organization's goals and values, the organization, the culture of the organization, and the specific system being used. While GE's performance management system was controversial, it created a high-performance culture and identified and promoted top talent. However, the system may have also negatively impacted morale and team performance, and its effectiveness may have been limited by systemic bias.</w:t>
      </w:r>
    </w:p>
    <w:p w14:paraId="4323B272" w14:textId="6DC74EB7" w:rsidR="0028703E" w:rsidRDefault="0028703E" w:rsidP="0028703E">
      <w:pPr>
        <w:jc w:val="left"/>
      </w:pPr>
    </w:p>
    <w:p w14:paraId="1223AC0F" w14:textId="554B0E4F" w:rsidR="0028703E" w:rsidRDefault="0028703E" w:rsidP="0028703E">
      <w:pPr>
        <w:jc w:val="left"/>
      </w:pPr>
      <w:r>
        <w:rPr>
          <w:noProof/>
        </w:rPr>
        <w:drawing>
          <wp:inline distT="0" distB="0" distL="0" distR="0" wp14:anchorId="4B5F9EA4" wp14:editId="6802FA59">
            <wp:extent cx="5943600" cy="3338830"/>
            <wp:effectExtent l="0" t="0" r="0" b="127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43600" cy="3338830"/>
                    </a:xfrm>
                    <a:prstGeom prst="rect">
                      <a:avLst/>
                    </a:prstGeom>
                  </pic:spPr>
                </pic:pic>
              </a:graphicData>
            </a:graphic>
          </wp:inline>
        </w:drawing>
      </w:r>
    </w:p>
    <w:p w14:paraId="0E3EC631" w14:textId="77777777" w:rsidR="0028703E" w:rsidRPr="0028703E" w:rsidRDefault="0028703E" w:rsidP="0028703E">
      <w:pPr>
        <w:jc w:val="left"/>
      </w:pPr>
      <w:r w:rsidRPr="0028703E">
        <w:rPr>
          <w:b/>
          <w:bCs/>
        </w:rPr>
        <w:t>Rank and Yank System</w:t>
      </w:r>
    </w:p>
    <w:p w14:paraId="1945F6F5" w14:textId="77777777" w:rsidR="0028703E" w:rsidRPr="0028703E" w:rsidRDefault="0028703E" w:rsidP="0028703E">
      <w:pPr>
        <w:jc w:val="left"/>
      </w:pPr>
      <w:r w:rsidRPr="0028703E">
        <w:t xml:space="preserve">The Rank and Yank system, also known as the vitality curve, was a performance management system implemented by Welch at GE. Under this system, managers were required to rank their employees according to their performance, and the bottom 10% were let go (Galbraith, 2016). </w:t>
      </w:r>
      <w:r w:rsidRPr="0028703E">
        <w:lastRenderedPageBreak/>
        <w:t>The system was designed to identify and promote high-performers while eliminating underperformers.</w:t>
      </w:r>
    </w:p>
    <w:p w14:paraId="2C1FCE7A" w14:textId="77777777" w:rsidR="0028703E" w:rsidRPr="0028703E" w:rsidRDefault="0028703E" w:rsidP="0028703E">
      <w:pPr>
        <w:jc w:val="left"/>
      </w:pPr>
      <w:r w:rsidRPr="0028703E">
        <w:t>However, the system was controversial, with critics arguing that it was demotivating for employees constantly threatened with being let go. It was also criticized for being arbitrary and subjective in the ranking process.</w:t>
      </w:r>
    </w:p>
    <w:p w14:paraId="5B40DE02" w14:textId="5227617F" w:rsidR="0028703E" w:rsidRDefault="0028703E" w:rsidP="0028703E">
      <w:pPr>
        <w:jc w:val="left"/>
      </w:pPr>
      <w:r w:rsidRPr="0028703E">
        <w:t>Despite the controversy, the Rank and Yank system effectively improved overall performance and productivity at GE. It incentivized employees to perform at their best and encouraged healthy competition among team members. However, it is essential to note that the system may only work in some organizational cultures and industries and may have adverse effects on employee morale and motivation.</w:t>
      </w:r>
    </w:p>
    <w:p w14:paraId="4BD42006" w14:textId="23DD6CAF" w:rsidR="00662EB2" w:rsidRDefault="00662EB2" w:rsidP="0028703E">
      <w:pPr>
        <w:jc w:val="left"/>
      </w:pPr>
    </w:p>
    <w:p w14:paraId="009F3BA3" w14:textId="77BF8952" w:rsidR="00662EB2" w:rsidRDefault="00662EB2" w:rsidP="0028703E">
      <w:pPr>
        <w:jc w:val="left"/>
      </w:pPr>
    </w:p>
    <w:p w14:paraId="6E636FE3" w14:textId="69FCDBBB" w:rsidR="00662EB2" w:rsidRPr="00662EB2" w:rsidRDefault="00662EB2" w:rsidP="00662EB2">
      <w:pPr>
        <w:sectPr w:rsidR="00662EB2" w:rsidRPr="00662EB2" w:rsidSect="001834FC">
          <w:footerReference w:type="default" r:id="rId12"/>
          <w:pgSz w:w="12240" w:h="15840"/>
          <w:pgMar w:top="1440" w:right="1440" w:bottom="1440" w:left="1440" w:header="720" w:footer="720" w:gutter="0"/>
          <w:pgNumType w:fmt="lowerRoman"/>
          <w:cols w:space="720"/>
          <w:docGrid w:linePitch="360"/>
        </w:sectPr>
      </w:pPr>
    </w:p>
    <w:p w14:paraId="073C4EBF" w14:textId="77777777" w:rsidR="00B47804" w:rsidRDefault="00B47804">
      <w:pPr>
        <w:pStyle w:val="s11"/>
        <w:spacing w:before="180" w:beforeAutospacing="0" w:after="0" w:afterAutospacing="0"/>
        <w:jc w:val="both"/>
        <w:divId w:val="256449298"/>
        <w:rPr>
          <w:rFonts w:ascii="-webkit-standard" w:hAnsi="-webkit-standard"/>
          <w:color w:val="000000"/>
          <w:sz w:val="27"/>
          <w:szCs w:val="27"/>
        </w:rPr>
      </w:pPr>
      <w:r>
        <w:rPr>
          <w:rStyle w:val="s10"/>
          <w:rFonts w:ascii="Calibri Light" w:hAnsi="Calibri Light"/>
          <w:b/>
          <w:bCs/>
          <w:color w:val="000000"/>
        </w:rPr>
        <w:lastRenderedPageBreak/>
        <w:t>References</w:t>
      </w:r>
    </w:p>
    <w:p w14:paraId="2FA5B0BB"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bookmarkStart w:id="0" w:name="_Hlk128134447"/>
      <w:bookmarkEnd w:id="0"/>
      <w:r>
        <w:rPr>
          <w:rStyle w:val="s6"/>
          <w:color w:val="000000"/>
          <w:sz w:val="18"/>
          <w:szCs w:val="18"/>
        </w:rPr>
        <w:t>Welch, J., &amp; Byrne, J. A. (2021).</w:t>
      </w:r>
      <w:r>
        <w:rPr>
          <w:rStyle w:val="apple-converted-space"/>
          <w:color w:val="000000"/>
          <w:sz w:val="18"/>
          <w:szCs w:val="18"/>
        </w:rPr>
        <w:t> </w:t>
      </w:r>
      <w:r>
        <w:rPr>
          <w:rStyle w:val="s15"/>
          <w:i/>
          <w:iCs/>
          <w:color w:val="000000"/>
          <w:sz w:val="18"/>
          <w:szCs w:val="18"/>
        </w:rPr>
        <w:t>Jack: Straight from the gut.</w:t>
      </w:r>
      <w:r>
        <w:rPr>
          <w:rStyle w:val="apple-converted-space"/>
          <w:color w:val="000000"/>
          <w:sz w:val="18"/>
          <w:szCs w:val="18"/>
        </w:rPr>
        <w:t> </w:t>
      </w:r>
      <w:r>
        <w:rPr>
          <w:rStyle w:val="s6"/>
          <w:color w:val="000000"/>
          <w:sz w:val="18"/>
          <w:szCs w:val="18"/>
        </w:rPr>
        <w:t>Business Plus.</w:t>
      </w:r>
    </w:p>
    <w:p w14:paraId="0279CA62"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Goldsmith, M., &amp; Carter, L. (2017).</w:t>
      </w:r>
      <w:r>
        <w:rPr>
          <w:rStyle w:val="apple-converted-space"/>
          <w:color w:val="000000"/>
          <w:sz w:val="18"/>
          <w:szCs w:val="18"/>
        </w:rPr>
        <w:t> </w:t>
      </w:r>
      <w:r>
        <w:rPr>
          <w:rStyle w:val="s15"/>
          <w:i/>
          <w:iCs/>
          <w:color w:val="000000"/>
          <w:sz w:val="18"/>
          <w:szCs w:val="18"/>
        </w:rPr>
        <w:t xml:space="preserve">Best practices in leadership development and </w:t>
      </w:r>
      <w:proofErr w:type="spellStart"/>
      <w:r>
        <w:rPr>
          <w:rStyle w:val="s15"/>
          <w:i/>
          <w:iCs/>
          <w:color w:val="000000"/>
          <w:sz w:val="18"/>
          <w:szCs w:val="18"/>
        </w:rPr>
        <w:t>organization</w:t>
      </w:r>
      <w:proofErr w:type="spellEnd"/>
      <w:r>
        <w:rPr>
          <w:rStyle w:val="s15"/>
          <w:i/>
          <w:iCs/>
          <w:color w:val="000000"/>
          <w:sz w:val="18"/>
          <w:szCs w:val="18"/>
        </w:rPr>
        <w:t xml:space="preserve"> change: How the best companies ensure meaningful change and sustainable leadership</w:t>
      </w:r>
      <w:r>
        <w:rPr>
          <w:rStyle w:val="s6"/>
          <w:color w:val="000000"/>
          <w:sz w:val="18"/>
          <w:szCs w:val="18"/>
        </w:rPr>
        <w:t>. John Wiley &amp; Sons.</w:t>
      </w:r>
    </w:p>
    <w:p w14:paraId="1555B9EA"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Jones, G. R., &amp; George, J. M. (2020).</w:t>
      </w:r>
      <w:r>
        <w:rPr>
          <w:rStyle w:val="apple-converted-space"/>
          <w:color w:val="000000"/>
          <w:sz w:val="18"/>
          <w:szCs w:val="18"/>
        </w:rPr>
        <w:t> </w:t>
      </w:r>
      <w:r>
        <w:rPr>
          <w:rStyle w:val="s15"/>
          <w:i/>
          <w:iCs/>
          <w:color w:val="000000"/>
          <w:sz w:val="18"/>
          <w:szCs w:val="18"/>
        </w:rPr>
        <w:t>Essentials of contemporary management</w:t>
      </w:r>
      <w:r>
        <w:rPr>
          <w:rStyle w:val="s6"/>
          <w:color w:val="000000"/>
          <w:sz w:val="18"/>
          <w:szCs w:val="18"/>
        </w:rPr>
        <w:t>. McGraw-Hill.</w:t>
      </w:r>
    </w:p>
    <w:p w14:paraId="14CA1536"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Delaney, J. T. (2018).</w:t>
      </w:r>
      <w:r>
        <w:rPr>
          <w:rStyle w:val="apple-converted-space"/>
          <w:color w:val="000000"/>
          <w:sz w:val="18"/>
          <w:szCs w:val="18"/>
        </w:rPr>
        <w:t> </w:t>
      </w:r>
      <w:r>
        <w:rPr>
          <w:rStyle w:val="s15"/>
          <w:i/>
          <w:iCs/>
          <w:color w:val="000000"/>
          <w:sz w:val="18"/>
          <w:szCs w:val="18"/>
        </w:rPr>
        <w:t>Strategic human resource management</w:t>
      </w:r>
      <w:r>
        <w:rPr>
          <w:rStyle w:val="s6"/>
          <w:color w:val="000000"/>
          <w:sz w:val="18"/>
          <w:szCs w:val="18"/>
        </w:rPr>
        <w:t>. Oxford University Press.</w:t>
      </w:r>
    </w:p>
    <w:p w14:paraId="279C82DF"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proofErr w:type="spellStart"/>
      <w:r>
        <w:rPr>
          <w:rStyle w:val="s6"/>
          <w:color w:val="000000"/>
          <w:sz w:val="18"/>
          <w:szCs w:val="18"/>
        </w:rPr>
        <w:t>Edmonson</w:t>
      </w:r>
      <w:proofErr w:type="spellEnd"/>
      <w:r>
        <w:rPr>
          <w:rStyle w:val="s6"/>
          <w:color w:val="000000"/>
          <w:sz w:val="18"/>
          <w:szCs w:val="18"/>
        </w:rPr>
        <w:t>, A. (2019).</w:t>
      </w:r>
      <w:r>
        <w:rPr>
          <w:rStyle w:val="apple-converted-space"/>
          <w:color w:val="000000"/>
          <w:sz w:val="18"/>
          <w:szCs w:val="18"/>
        </w:rPr>
        <w:t> </w:t>
      </w:r>
      <w:r>
        <w:rPr>
          <w:rStyle w:val="s15"/>
          <w:i/>
          <w:iCs/>
          <w:color w:val="000000"/>
          <w:sz w:val="18"/>
          <w:szCs w:val="18"/>
        </w:rPr>
        <w:t>Psychological safety and learning</w:t>
      </w:r>
      <w:r>
        <w:rPr>
          <w:rStyle w:val="apple-converted-space"/>
          <w:i/>
          <w:iCs/>
          <w:color w:val="000000"/>
          <w:sz w:val="18"/>
          <w:szCs w:val="18"/>
        </w:rPr>
        <w:t> </w:t>
      </w:r>
      <w:proofErr w:type="spellStart"/>
      <w:r>
        <w:rPr>
          <w:rStyle w:val="s15"/>
          <w:i/>
          <w:iCs/>
          <w:color w:val="000000"/>
          <w:sz w:val="18"/>
          <w:szCs w:val="18"/>
        </w:rPr>
        <w:t>behavior</w:t>
      </w:r>
      <w:proofErr w:type="spellEnd"/>
      <w:r>
        <w:rPr>
          <w:rStyle w:val="apple-converted-space"/>
          <w:i/>
          <w:iCs/>
          <w:color w:val="000000"/>
          <w:sz w:val="18"/>
          <w:szCs w:val="18"/>
        </w:rPr>
        <w:t> </w:t>
      </w:r>
      <w:r>
        <w:rPr>
          <w:rStyle w:val="s15"/>
          <w:i/>
          <w:iCs/>
          <w:color w:val="000000"/>
          <w:sz w:val="18"/>
          <w:szCs w:val="18"/>
        </w:rPr>
        <w:t>in work teams</w:t>
      </w:r>
      <w:r>
        <w:rPr>
          <w:rStyle w:val="s6"/>
          <w:color w:val="000000"/>
          <w:sz w:val="18"/>
          <w:szCs w:val="18"/>
        </w:rPr>
        <w:t>. Administrative science quarterly, 44(2), 350-383.</w:t>
      </w:r>
    </w:p>
    <w:p w14:paraId="3A557F14"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Collins, J. (2015).</w:t>
      </w:r>
      <w:r>
        <w:rPr>
          <w:rStyle w:val="apple-converted-space"/>
          <w:color w:val="000000"/>
          <w:sz w:val="18"/>
          <w:szCs w:val="18"/>
        </w:rPr>
        <w:t> </w:t>
      </w:r>
      <w:r>
        <w:rPr>
          <w:rStyle w:val="s15"/>
          <w:i/>
          <w:iCs/>
          <w:color w:val="000000"/>
          <w:sz w:val="18"/>
          <w:szCs w:val="18"/>
        </w:rPr>
        <w:t>Good to great</w:t>
      </w:r>
      <w:r>
        <w:rPr>
          <w:rStyle w:val="s6"/>
          <w:color w:val="000000"/>
          <w:sz w:val="18"/>
          <w:szCs w:val="18"/>
        </w:rPr>
        <w:t>: Why some companies make the leap and others do not. HarperCollins.</w:t>
      </w:r>
    </w:p>
    <w:p w14:paraId="7CF8E27A"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Quinn, R. E. (2018).</w:t>
      </w:r>
      <w:r>
        <w:rPr>
          <w:rStyle w:val="apple-converted-space"/>
          <w:color w:val="000000"/>
          <w:sz w:val="18"/>
          <w:szCs w:val="18"/>
        </w:rPr>
        <w:t> </w:t>
      </w:r>
      <w:r>
        <w:rPr>
          <w:rStyle w:val="s15"/>
          <w:i/>
          <w:iCs/>
          <w:color w:val="000000"/>
          <w:sz w:val="18"/>
          <w:szCs w:val="18"/>
        </w:rPr>
        <w:t>Beyond rational management</w:t>
      </w:r>
      <w:r>
        <w:rPr>
          <w:rStyle w:val="s6"/>
          <w:color w:val="000000"/>
          <w:sz w:val="18"/>
          <w:szCs w:val="18"/>
        </w:rPr>
        <w:t xml:space="preserve">: Mastering the paradoxes and competing demands of high performance. </w:t>
      </w:r>
      <w:proofErr w:type="spellStart"/>
      <w:r>
        <w:rPr>
          <w:rStyle w:val="s6"/>
          <w:color w:val="000000"/>
          <w:sz w:val="18"/>
          <w:szCs w:val="18"/>
        </w:rPr>
        <w:t>Jossey-Bass</w:t>
      </w:r>
      <w:proofErr w:type="spellEnd"/>
      <w:r>
        <w:rPr>
          <w:rStyle w:val="s6"/>
          <w:color w:val="000000"/>
          <w:sz w:val="18"/>
          <w:szCs w:val="18"/>
        </w:rPr>
        <w:t>.</w:t>
      </w:r>
    </w:p>
    <w:p w14:paraId="731555B5"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Galbraith, J. R. (2016).</w:t>
      </w:r>
      <w:r>
        <w:rPr>
          <w:rStyle w:val="apple-converted-space"/>
          <w:color w:val="000000"/>
          <w:sz w:val="18"/>
          <w:szCs w:val="18"/>
        </w:rPr>
        <w:t> </w:t>
      </w:r>
      <w:r>
        <w:rPr>
          <w:rStyle w:val="s15"/>
          <w:i/>
          <w:iCs/>
          <w:color w:val="000000"/>
          <w:sz w:val="18"/>
          <w:szCs w:val="18"/>
        </w:rPr>
        <w:t xml:space="preserve">Designing complex </w:t>
      </w:r>
      <w:proofErr w:type="spellStart"/>
      <w:r>
        <w:rPr>
          <w:rStyle w:val="s15"/>
          <w:i/>
          <w:iCs/>
          <w:color w:val="000000"/>
          <w:sz w:val="18"/>
          <w:szCs w:val="18"/>
        </w:rPr>
        <w:t>organizations</w:t>
      </w:r>
      <w:proofErr w:type="spellEnd"/>
      <w:r>
        <w:rPr>
          <w:rStyle w:val="s6"/>
          <w:color w:val="000000"/>
          <w:sz w:val="18"/>
          <w:szCs w:val="18"/>
        </w:rPr>
        <w:t>. Addison-Wesley.</w:t>
      </w:r>
    </w:p>
    <w:p w14:paraId="1485F678"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 xml:space="preserve">Hamel, G., &amp; </w:t>
      </w:r>
      <w:proofErr w:type="spellStart"/>
      <w:r>
        <w:rPr>
          <w:rStyle w:val="s6"/>
          <w:color w:val="000000"/>
          <w:sz w:val="18"/>
          <w:szCs w:val="18"/>
        </w:rPr>
        <w:t>Prahalad</w:t>
      </w:r>
      <w:proofErr w:type="spellEnd"/>
      <w:r>
        <w:rPr>
          <w:rStyle w:val="s6"/>
          <w:color w:val="000000"/>
          <w:sz w:val="18"/>
          <w:szCs w:val="18"/>
        </w:rPr>
        <w:t>, C. K. (2014).</w:t>
      </w:r>
      <w:r>
        <w:rPr>
          <w:rStyle w:val="apple-converted-space"/>
          <w:color w:val="000000"/>
          <w:sz w:val="18"/>
          <w:szCs w:val="18"/>
        </w:rPr>
        <w:t> </w:t>
      </w:r>
      <w:r>
        <w:rPr>
          <w:rStyle w:val="s15"/>
          <w:i/>
          <w:iCs/>
          <w:color w:val="000000"/>
          <w:sz w:val="18"/>
          <w:szCs w:val="18"/>
        </w:rPr>
        <w:t>Competing for the future</w:t>
      </w:r>
      <w:r>
        <w:rPr>
          <w:rStyle w:val="s6"/>
          <w:color w:val="000000"/>
          <w:sz w:val="18"/>
          <w:szCs w:val="18"/>
        </w:rPr>
        <w:t>. Harvard Business Press.</w:t>
      </w:r>
    </w:p>
    <w:p w14:paraId="724D1ADB"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Barney, J. (2021).</w:t>
      </w:r>
      <w:r>
        <w:rPr>
          <w:rStyle w:val="apple-converted-space"/>
          <w:color w:val="000000"/>
          <w:sz w:val="18"/>
          <w:szCs w:val="18"/>
        </w:rPr>
        <w:t> </w:t>
      </w:r>
      <w:r>
        <w:rPr>
          <w:rStyle w:val="s15"/>
          <w:i/>
          <w:iCs/>
          <w:color w:val="000000"/>
          <w:sz w:val="18"/>
          <w:szCs w:val="18"/>
        </w:rPr>
        <w:t>Firm resources and sustained competitive advantage</w:t>
      </w:r>
      <w:r>
        <w:rPr>
          <w:rStyle w:val="s6"/>
          <w:color w:val="000000"/>
          <w:sz w:val="18"/>
          <w:szCs w:val="18"/>
        </w:rPr>
        <w:t>. Journal of Management, 17(1), 99-120.</w:t>
      </w:r>
    </w:p>
    <w:p w14:paraId="130C256B"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 xml:space="preserve">Noe, R. A., </w:t>
      </w:r>
      <w:proofErr w:type="spellStart"/>
      <w:r>
        <w:rPr>
          <w:rStyle w:val="s6"/>
          <w:color w:val="000000"/>
          <w:sz w:val="18"/>
          <w:szCs w:val="18"/>
        </w:rPr>
        <w:t>Hollenbeck</w:t>
      </w:r>
      <w:proofErr w:type="spellEnd"/>
      <w:r>
        <w:rPr>
          <w:rStyle w:val="s6"/>
          <w:color w:val="000000"/>
          <w:sz w:val="18"/>
          <w:szCs w:val="18"/>
        </w:rPr>
        <w:t>, J. R., Gerhart, B., &amp; Wright, P. M. (2017).</w:t>
      </w:r>
      <w:r>
        <w:rPr>
          <w:rStyle w:val="apple-converted-space"/>
          <w:color w:val="000000"/>
          <w:sz w:val="18"/>
          <w:szCs w:val="18"/>
        </w:rPr>
        <w:t> </w:t>
      </w:r>
      <w:r>
        <w:rPr>
          <w:rStyle w:val="s15"/>
          <w:i/>
          <w:iCs/>
          <w:color w:val="000000"/>
          <w:sz w:val="18"/>
          <w:szCs w:val="18"/>
        </w:rPr>
        <w:t>Human resource management</w:t>
      </w:r>
      <w:r>
        <w:rPr>
          <w:rStyle w:val="s6"/>
          <w:color w:val="000000"/>
          <w:sz w:val="18"/>
          <w:szCs w:val="18"/>
        </w:rPr>
        <w:t>: Gaining a competitive advantage. McGraw-Hill Education.</w:t>
      </w:r>
    </w:p>
    <w:p w14:paraId="5404360A"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Latham, G. P. (2017).</w:t>
      </w:r>
      <w:r>
        <w:rPr>
          <w:rStyle w:val="apple-converted-space"/>
          <w:color w:val="000000"/>
          <w:sz w:val="18"/>
          <w:szCs w:val="18"/>
        </w:rPr>
        <w:t> </w:t>
      </w:r>
      <w:r>
        <w:rPr>
          <w:rStyle w:val="s15"/>
          <w:i/>
          <w:iCs/>
          <w:color w:val="000000"/>
          <w:sz w:val="18"/>
          <w:szCs w:val="18"/>
        </w:rPr>
        <w:t>Work motivation: History, theory, research, and practice</w:t>
      </w:r>
      <w:r>
        <w:rPr>
          <w:rStyle w:val="s6"/>
          <w:color w:val="000000"/>
          <w:sz w:val="18"/>
          <w:szCs w:val="18"/>
        </w:rPr>
        <w:t>. Sage Publications.</w:t>
      </w:r>
    </w:p>
    <w:p w14:paraId="4099F201"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Ulrich, D., &amp; Lake, D. G. (2018).</w:t>
      </w:r>
      <w:r>
        <w:rPr>
          <w:rStyle w:val="apple-converted-space"/>
          <w:color w:val="000000"/>
          <w:sz w:val="18"/>
          <w:szCs w:val="18"/>
        </w:rPr>
        <w:t> </w:t>
      </w:r>
      <w:proofErr w:type="spellStart"/>
      <w:r>
        <w:rPr>
          <w:rStyle w:val="s15"/>
          <w:i/>
          <w:iCs/>
          <w:color w:val="000000"/>
          <w:sz w:val="18"/>
          <w:szCs w:val="18"/>
        </w:rPr>
        <w:t>Organizational</w:t>
      </w:r>
      <w:proofErr w:type="spellEnd"/>
      <w:r>
        <w:rPr>
          <w:rStyle w:val="s15"/>
          <w:i/>
          <w:iCs/>
          <w:color w:val="000000"/>
          <w:sz w:val="18"/>
          <w:szCs w:val="18"/>
        </w:rPr>
        <w:t xml:space="preserve"> capability: Competing from the inside out</w:t>
      </w:r>
      <w:r>
        <w:rPr>
          <w:rStyle w:val="s6"/>
          <w:color w:val="000000"/>
          <w:sz w:val="18"/>
          <w:szCs w:val="18"/>
        </w:rPr>
        <w:t>. Wiley.</w:t>
      </w:r>
    </w:p>
    <w:p w14:paraId="6CE5D811" w14:textId="77777777" w:rsidR="00B47804" w:rsidRDefault="00B47804">
      <w:pPr>
        <w:pStyle w:val="s5"/>
        <w:spacing w:before="0" w:beforeAutospacing="0" w:after="0" w:afterAutospacing="0"/>
        <w:jc w:val="both"/>
        <w:divId w:val="256449298"/>
        <w:rPr>
          <w:rFonts w:ascii="-webkit-standard" w:hAnsi="-webkit-standard"/>
          <w:color w:val="000000"/>
          <w:sz w:val="27"/>
          <w:szCs w:val="27"/>
        </w:rPr>
      </w:pPr>
      <w:r>
        <w:rPr>
          <w:rStyle w:val="s6"/>
          <w:color w:val="000000"/>
          <w:sz w:val="18"/>
          <w:szCs w:val="18"/>
        </w:rPr>
        <w:t xml:space="preserve">Finkelstein, S., </w:t>
      </w:r>
      <w:proofErr w:type="spellStart"/>
      <w:r>
        <w:rPr>
          <w:rStyle w:val="s6"/>
          <w:color w:val="000000"/>
          <w:sz w:val="18"/>
          <w:szCs w:val="18"/>
        </w:rPr>
        <w:t>Hambrick</w:t>
      </w:r>
      <w:proofErr w:type="spellEnd"/>
      <w:r>
        <w:rPr>
          <w:rStyle w:val="s6"/>
          <w:color w:val="000000"/>
          <w:sz w:val="18"/>
          <w:szCs w:val="18"/>
        </w:rPr>
        <w:t xml:space="preserve">, D. C., &amp; </w:t>
      </w:r>
      <w:proofErr w:type="spellStart"/>
      <w:r>
        <w:rPr>
          <w:rStyle w:val="s6"/>
          <w:color w:val="000000"/>
          <w:sz w:val="18"/>
          <w:szCs w:val="18"/>
        </w:rPr>
        <w:t>Cannella</w:t>
      </w:r>
      <w:proofErr w:type="spellEnd"/>
      <w:r>
        <w:rPr>
          <w:rStyle w:val="s6"/>
          <w:color w:val="000000"/>
          <w:sz w:val="18"/>
          <w:szCs w:val="18"/>
        </w:rPr>
        <w:t xml:space="preserve"> Jr, A. A. (2019).</w:t>
      </w:r>
      <w:r>
        <w:rPr>
          <w:rStyle w:val="apple-converted-space"/>
          <w:color w:val="000000"/>
          <w:sz w:val="18"/>
          <w:szCs w:val="18"/>
        </w:rPr>
        <w:t> </w:t>
      </w:r>
      <w:r>
        <w:rPr>
          <w:rStyle w:val="s15"/>
          <w:i/>
          <w:iCs/>
          <w:color w:val="000000"/>
          <w:sz w:val="18"/>
          <w:szCs w:val="18"/>
        </w:rPr>
        <w:t>Strategic leadership: Theory and research on executives, top management teams, and boards</w:t>
      </w:r>
      <w:r>
        <w:rPr>
          <w:rStyle w:val="s6"/>
          <w:color w:val="000000"/>
          <w:sz w:val="18"/>
          <w:szCs w:val="18"/>
        </w:rPr>
        <w:t>. Oxford University Press.</w:t>
      </w:r>
    </w:p>
    <w:p w14:paraId="0A03F5F8" w14:textId="77777777" w:rsidR="00662EB2" w:rsidRPr="0028703E" w:rsidRDefault="00662EB2" w:rsidP="0028703E">
      <w:pPr>
        <w:jc w:val="left"/>
      </w:pPr>
    </w:p>
    <w:p w14:paraId="3B70CEB5" w14:textId="4F252683" w:rsidR="0028703E" w:rsidRDefault="0028703E" w:rsidP="0028703E">
      <w:pPr>
        <w:jc w:val="left"/>
      </w:pPr>
    </w:p>
    <w:p w14:paraId="43D372EE" w14:textId="5F434C6D" w:rsidR="0028703E" w:rsidRPr="000F02BF" w:rsidRDefault="0028703E" w:rsidP="0028703E">
      <w:pPr>
        <w:jc w:val="left"/>
      </w:pPr>
    </w:p>
    <w:sectPr w:rsidR="0028703E" w:rsidRPr="000F02BF" w:rsidSect="001834FC">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64CDD" w14:textId="77777777" w:rsidR="001526E2" w:rsidRDefault="001526E2" w:rsidP="001834FC">
      <w:pPr>
        <w:spacing w:after="0" w:line="240" w:lineRule="auto"/>
      </w:pPr>
      <w:r>
        <w:separator/>
      </w:r>
    </w:p>
  </w:endnote>
  <w:endnote w:type="continuationSeparator" w:id="0">
    <w:p w14:paraId="3B117918" w14:textId="77777777" w:rsidR="001526E2" w:rsidRDefault="001526E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759430"/>
      <w:docPartObj>
        <w:docPartGallery w:val="Page Numbers (Bottom of Page)"/>
        <w:docPartUnique/>
      </w:docPartObj>
    </w:sdtPr>
    <w:sdtEndPr>
      <w:rPr>
        <w:noProof/>
      </w:rPr>
    </w:sdtEndPr>
    <w:sdtContent>
      <w:p w14:paraId="3992337A" w14:textId="77777777" w:rsidR="00187A2F" w:rsidRDefault="00187A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CD8F63" w14:textId="77777777" w:rsidR="00187A2F" w:rsidRDefault="00187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794565"/>
      <w:docPartObj>
        <w:docPartGallery w:val="Page Numbers (Bottom of Page)"/>
        <w:docPartUnique/>
      </w:docPartObj>
    </w:sdtPr>
    <w:sdtEndPr>
      <w:rPr>
        <w:noProof/>
      </w:rPr>
    </w:sdtEndPr>
    <w:sdtContent>
      <w:p w14:paraId="537DF7CC" w14:textId="77777777" w:rsidR="00662EB2" w:rsidRDefault="00662E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981FD5" w14:textId="77777777" w:rsidR="00662EB2" w:rsidRDefault="00662E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B71B2" w14:textId="77777777" w:rsidR="001526E2" w:rsidRDefault="001526E2" w:rsidP="001834FC">
      <w:pPr>
        <w:spacing w:after="0" w:line="240" w:lineRule="auto"/>
      </w:pPr>
      <w:r>
        <w:separator/>
      </w:r>
    </w:p>
  </w:footnote>
  <w:footnote w:type="continuationSeparator" w:id="0">
    <w:p w14:paraId="5E6BF430" w14:textId="77777777" w:rsidR="001526E2" w:rsidRDefault="001526E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53ACE"/>
    <w:multiLevelType w:val="multilevel"/>
    <w:tmpl w:val="74BE2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4083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21671"/>
    <w:rsid w:val="0004091D"/>
    <w:rsid w:val="000E047C"/>
    <w:rsid w:val="000F02BF"/>
    <w:rsid w:val="001526E2"/>
    <w:rsid w:val="001566D0"/>
    <w:rsid w:val="001834FC"/>
    <w:rsid w:val="00187A2F"/>
    <w:rsid w:val="001D16F6"/>
    <w:rsid w:val="001D7406"/>
    <w:rsid w:val="0022399E"/>
    <w:rsid w:val="00252195"/>
    <w:rsid w:val="0028703E"/>
    <w:rsid w:val="00327676"/>
    <w:rsid w:val="00370005"/>
    <w:rsid w:val="003C341B"/>
    <w:rsid w:val="003D1463"/>
    <w:rsid w:val="00436EEA"/>
    <w:rsid w:val="00450AF9"/>
    <w:rsid w:val="00472293"/>
    <w:rsid w:val="005C753C"/>
    <w:rsid w:val="00662EB2"/>
    <w:rsid w:val="00670984"/>
    <w:rsid w:val="006F3E7B"/>
    <w:rsid w:val="00787437"/>
    <w:rsid w:val="0089179F"/>
    <w:rsid w:val="00913C8F"/>
    <w:rsid w:val="00941D92"/>
    <w:rsid w:val="00975554"/>
    <w:rsid w:val="009C3E0E"/>
    <w:rsid w:val="00A60069"/>
    <w:rsid w:val="00A752B8"/>
    <w:rsid w:val="00A96706"/>
    <w:rsid w:val="00AB31ED"/>
    <w:rsid w:val="00B47804"/>
    <w:rsid w:val="00B71F6E"/>
    <w:rsid w:val="00BB6D54"/>
    <w:rsid w:val="00BE6083"/>
    <w:rsid w:val="00BF3AA4"/>
    <w:rsid w:val="00C20552"/>
    <w:rsid w:val="00D6463A"/>
    <w:rsid w:val="00DE204D"/>
    <w:rsid w:val="00E27744"/>
    <w:rsid w:val="00E82700"/>
    <w:rsid w:val="00E911F3"/>
    <w:rsid w:val="00EA0ECA"/>
    <w:rsid w:val="00EB13A7"/>
    <w:rsid w:val="00EB7A2D"/>
    <w:rsid w:val="00EC16C3"/>
    <w:rsid w:val="00F257DB"/>
    <w:rsid w:val="00F33F68"/>
    <w:rsid w:val="00F455D3"/>
    <w:rsid w:val="00F606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E27744"/>
  </w:style>
  <w:style w:type="paragraph" w:customStyle="1" w:styleId="s11">
    <w:name w:val="s11"/>
    <w:basedOn w:val="Normal"/>
    <w:rsid w:val="00B47804"/>
    <w:pPr>
      <w:spacing w:before="100" w:beforeAutospacing="1" w:after="100" w:afterAutospacing="1" w:line="240" w:lineRule="auto"/>
      <w:jc w:val="left"/>
    </w:pPr>
    <w:rPr>
      <w:rFonts w:eastAsiaTheme="minorEastAsia" w:cs="Times New Roman"/>
      <w:color w:val="auto"/>
      <w:szCs w:val="24"/>
      <w:lang w:eastAsia="en-GB"/>
    </w:rPr>
  </w:style>
  <w:style w:type="character" w:customStyle="1" w:styleId="s10">
    <w:name w:val="s10"/>
    <w:basedOn w:val="DefaultParagraphFont"/>
    <w:rsid w:val="00B47804"/>
  </w:style>
  <w:style w:type="paragraph" w:customStyle="1" w:styleId="s5">
    <w:name w:val="s5"/>
    <w:basedOn w:val="Normal"/>
    <w:rsid w:val="00B47804"/>
    <w:pPr>
      <w:spacing w:before="100" w:beforeAutospacing="1" w:after="100" w:afterAutospacing="1" w:line="240" w:lineRule="auto"/>
      <w:jc w:val="left"/>
    </w:pPr>
    <w:rPr>
      <w:rFonts w:eastAsiaTheme="minorEastAsia" w:cs="Times New Roman"/>
      <w:color w:val="auto"/>
      <w:szCs w:val="24"/>
      <w:lang w:eastAsia="en-GB"/>
    </w:rPr>
  </w:style>
  <w:style w:type="character" w:customStyle="1" w:styleId="s6">
    <w:name w:val="s6"/>
    <w:basedOn w:val="DefaultParagraphFont"/>
    <w:rsid w:val="00B47804"/>
  </w:style>
  <w:style w:type="character" w:customStyle="1" w:styleId="apple-converted-space">
    <w:name w:val="apple-converted-space"/>
    <w:basedOn w:val="DefaultParagraphFont"/>
    <w:rsid w:val="00B47804"/>
  </w:style>
  <w:style w:type="character" w:customStyle="1" w:styleId="s15">
    <w:name w:val="s15"/>
    <w:basedOn w:val="DefaultParagraphFont"/>
    <w:rsid w:val="00B47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118">
      <w:bodyDiv w:val="1"/>
      <w:marLeft w:val="0"/>
      <w:marRight w:val="0"/>
      <w:marTop w:val="0"/>
      <w:marBottom w:val="0"/>
      <w:divBdr>
        <w:top w:val="none" w:sz="0" w:space="0" w:color="auto"/>
        <w:left w:val="none" w:sz="0" w:space="0" w:color="auto"/>
        <w:bottom w:val="none" w:sz="0" w:space="0" w:color="auto"/>
        <w:right w:val="none" w:sz="0" w:space="0" w:color="auto"/>
      </w:divBdr>
    </w:div>
    <w:div w:id="196234311">
      <w:bodyDiv w:val="1"/>
      <w:marLeft w:val="0"/>
      <w:marRight w:val="0"/>
      <w:marTop w:val="0"/>
      <w:marBottom w:val="0"/>
      <w:divBdr>
        <w:top w:val="none" w:sz="0" w:space="0" w:color="auto"/>
        <w:left w:val="none" w:sz="0" w:space="0" w:color="auto"/>
        <w:bottom w:val="none" w:sz="0" w:space="0" w:color="auto"/>
        <w:right w:val="none" w:sz="0" w:space="0" w:color="auto"/>
      </w:divBdr>
    </w:div>
    <w:div w:id="208616617">
      <w:bodyDiv w:val="1"/>
      <w:marLeft w:val="0"/>
      <w:marRight w:val="0"/>
      <w:marTop w:val="0"/>
      <w:marBottom w:val="0"/>
      <w:divBdr>
        <w:top w:val="none" w:sz="0" w:space="0" w:color="auto"/>
        <w:left w:val="none" w:sz="0" w:space="0" w:color="auto"/>
        <w:bottom w:val="none" w:sz="0" w:space="0" w:color="auto"/>
        <w:right w:val="none" w:sz="0" w:space="0" w:color="auto"/>
      </w:divBdr>
    </w:div>
    <w:div w:id="256449298">
      <w:bodyDiv w:val="1"/>
      <w:marLeft w:val="0"/>
      <w:marRight w:val="0"/>
      <w:marTop w:val="0"/>
      <w:marBottom w:val="0"/>
      <w:divBdr>
        <w:top w:val="none" w:sz="0" w:space="0" w:color="auto"/>
        <w:left w:val="none" w:sz="0" w:space="0" w:color="auto"/>
        <w:bottom w:val="none" w:sz="0" w:space="0" w:color="auto"/>
        <w:right w:val="none" w:sz="0" w:space="0" w:color="auto"/>
      </w:divBdr>
    </w:div>
    <w:div w:id="498622473">
      <w:bodyDiv w:val="1"/>
      <w:marLeft w:val="0"/>
      <w:marRight w:val="0"/>
      <w:marTop w:val="0"/>
      <w:marBottom w:val="0"/>
      <w:divBdr>
        <w:top w:val="none" w:sz="0" w:space="0" w:color="auto"/>
        <w:left w:val="none" w:sz="0" w:space="0" w:color="auto"/>
        <w:bottom w:val="none" w:sz="0" w:space="0" w:color="auto"/>
        <w:right w:val="none" w:sz="0" w:space="0" w:color="auto"/>
      </w:divBdr>
    </w:div>
    <w:div w:id="575015354">
      <w:bodyDiv w:val="1"/>
      <w:marLeft w:val="0"/>
      <w:marRight w:val="0"/>
      <w:marTop w:val="0"/>
      <w:marBottom w:val="0"/>
      <w:divBdr>
        <w:top w:val="none" w:sz="0" w:space="0" w:color="auto"/>
        <w:left w:val="none" w:sz="0" w:space="0" w:color="auto"/>
        <w:bottom w:val="none" w:sz="0" w:space="0" w:color="auto"/>
        <w:right w:val="none" w:sz="0" w:space="0" w:color="auto"/>
      </w:divBdr>
    </w:div>
    <w:div w:id="797648239">
      <w:bodyDiv w:val="1"/>
      <w:marLeft w:val="0"/>
      <w:marRight w:val="0"/>
      <w:marTop w:val="0"/>
      <w:marBottom w:val="0"/>
      <w:divBdr>
        <w:top w:val="none" w:sz="0" w:space="0" w:color="auto"/>
        <w:left w:val="none" w:sz="0" w:space="0" w:color="auto"/>
        <w:bottom w:val="none" w:sz="0" w:space="0" w:color="auto"/>
        <w:right w:val="none" w:sz="0" w:space="0" w:color="auto"/>
      </w:divBdr>
    </w:div>
    <w:div w:id="853496682">
      <w:bodyDiv w:val="1"/>
      <w:marLeft w:val="0"/>
      <w:marRight w:val="0"/>
      <w:marTop w:val="0"/>
      <w:marBottom w:val="0"/>
      <w:divBdr>
        <w:top w:val="none" w:sz="0" w:space="0" w:color="auto"/>
        <w:left w:val="none" w:sz="0" w:space="0" w:color="auto"/>
        <w:bottom w:val="none" w:sz="0" w:space="0" w:color="auto"/>
        <w:right w:val="none" w:sz="0" w:space="0" w:color="auto"/>
      </w:divBdr>
    </w:div>
    <w:div w:id="1032851107">
      <w:bodyDiv w:val="1"/>
      <w:marLeft w:val="0"/>
      <w:marRight w:val="0"/>
      <w:marTop w:val="0"/>
      <w:marBottom w:val="0"/>
      <w:divBdr>
        <w:top w:val="none" w:sz="0" w:space="0" w:color="auto"/>
        <w:left w:val="none" w:sz="0" w:space="0" w:color="auto"/>
        <w:bottom w:val="none" w:sz="0" w:space="0" w:color="auto"/>
        <w:right w:val="none" w:sz="0" w:space="0" w:color="auto"/>
      </w:divBdr>
    </w:div>
    <w:div w:id="1639800148">
      <w:bodyDiv w:val="1"/>
      <w:marLeft w:val="0"/>
      <w:marRight w:val="0"/>
      <w:marTop w:val="0"/>
      <w:marBottom w:val="0"/>
      <w:divBdr>
        <w:top w:val="none" w:sz="0" w:space="0" w:color="auto"/>
        <w:left w:val="none" w:sz="0" w:space="0" w:color="auto"/>
        <w:bottom w:val="none" w:sz="0" w:space="0" w:color="auto"/>
        <w:right w:val="none" w:sz="0" w:space="0" w:color="auto"/>
      </w:divBdr>
    </w:div>
    <w:div w:id="1747730372">
      <w:bodyDiv w:val="1"/>
      <w:marLeft w:val="0"/>
      <w:marRight w:val="0"/>
      <w:marTop w:val="0"/>
      <w:marBottom w:val="0"/>
      <w:divBdr>
        <w:top w:val="none" w:sz="0" w:space="0" w:color="auto"/>
        <w:left w:val="none" w:sz="0" w:space="0" w:color="auto"/>
        <w:bottom w:val="none" w:sz="0" w:space="0" w:color="auto"/>
        <w:right w:val="none" w:sz="0" w:space="0" w:color="auto"/>
      </w:divBdr>
    </w:div>
    <w:div w:id="183324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039F9D-8E2A-4751-B822-3DD6ECBBD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712</Words>
  <Characters>4059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2023-03-29T20:30:00Z</dcterms:created>
  <dcterms:modified xsi:type="dcterms:W3CDTF">2023-03-29T20:30:00Z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ebd772d3c11b1d3f0b4838e0c10cfc4a70103c0fe27b7eaafa024e427254adff</vt:lpwstr>
  </property>
</Properties>
</file>