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868371174"/>
        <w:docPartObj>
          <w:docPartGallery w:val="Cover Pages"/>
          <w:docPartUnique/>
        </w:docPartObj>
      </w:sdtPr>
      <w:sdtEndPr>
        <w:rPr>
          <w:rFonts w:ascii="Times New Roman" w:hAnsi="Times New Roman" w:cs="Times New Roman"/>
          <w:b/>
          <w:bCs/>
          <w:color w:val="000000" w:themeColor="text1"/>
          <w:sz w:val="24"/>
          <w:szCs w:val="24"/>
        </w:rPr>
      </w:sdtEndPr>
      <w:sdtContent>
        <w:p w14:paraId="3E21C39C" w14:textId="05F94ED1" w:rsidR="00CE69DE" w:rsidRPr="004156BA" w:rsidRDefault="00CE69DE" w:rsidP="00E84CF8">
          <w:pPr>
            <w:pStyle w:val="NoSpacing"/>
            <w:spacing w:before="1540" w:after="240"/>
            <w:rPr>
              <w:color w:val="4472C4" w:themeColor="accent1"/>
              <w:sz w:val="28"/>
              <w:szCs w:val="28"/>
            </w:rPr>
          </w:pPr>
          <w:r w:rsidRPr="004156BA">
            <w:rPr>
              <w:noProof/>
              <w:color w:val="4472C4" w:themeColor="accent1"/>
              <w:sz w:val="28"/>
              <w:szCs w:val="28"/>
              <w:lang w:eastAsia="en-GB"/>
            </w:rPr>
            <w:drawing>
              <wp:inline distT="0" distB="0" distL="0" distR="0" wp14:anchorId="641735B3" wp14:editId="69740ED5">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000000" w:themeColor="text1"/>
              <w:sz w:val="28"/>
              <w:szCs w:val="28"/>
            </w:rPr>
            <w:alias w:val="Title"/>
            <w:tag w:val=""/>
            <w:id w:val="1735040861"/>
            <w:placeholder>
              <w:docPart w:val="0132C7DBBADF4655AD7F23904431335E"/>
            </w:placeholder>
            <w:dataBinding w:prefixMappings="xmlns:ns0='http://purl.org/dc/elements/1.1/' xmlns:ns1='http://schemas.openxmlformats.org/package/2006/metadata/core-properties' " w:xpath="/ns1:coreProperties[1]/ns0:title[1]" w:storeItemID="{6C3C8BC8-F283-45AE-878A-BAB7291924A1}"/>
            <w:text/>
          </w:sdtPr>
          <w:sdtContent>
            <w:p w14:paraId="305A1569" w14:textId="0B0AF82E" w:rsidR="00CE69DE" w:rsidRPr="004156BA" w:rsidRDefault="0016109B" w:rsidP="00D43F79">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000000" w:themeColor="text1"/>
                  <w:sz w:val="28"/>
                  <w:szCs w:val="28"/>
                </w:rPr>
              </w:pPr>
              <w:r>
                <w:rPr>
                  <w:rFonts w:ascii="Times New Roman" w:eastAsiaTheme="majorEastAsia" w:hAnsi="Times New Roman" w:cs="Times New Roman"/>
                  <w:caps/>
                  <w:color w:val="000000" w:themeColor="text1"/>
                  <w:sz w:val="28"/>
                  <w:szCs w:val="28"/>
                </w:rPr>
                <w:t xml:space="preserve">Exploring the efficacy of various dietary approaches </w:t>
              </w:r>
              <w:r w:rsidR="009F3057">
                <w:rPr>
                  <w:rFonts w:ascii="Times New Roman" w:eastAsiaTheme="majorEastAsia" w:hAnsi="Times New Roman" w:cs="Times New Roman"/>
                  <w:caps/>
                  <w:color w:val="000000" w:themeColor="text1"/>
                  <w:sz w:val="28"/>
                  <w:szCs w:val="28"/>
                </w:rPr>
                <w:t>to improve</w:t>
              </w:r>
              <w:r>
                <w:rPr>
                  <w:rFonts w:ascii="Times New Roman" w:eastAsiaTheme="majorEastAsia" w:hAnsi="Times New Roman" w:cs="Times New Roman"/>
                  <w:caps/>
                  <w:color w:val="000000" w:themeColor="text1"/>
                  <w:sz w:val="28"/>
                  <w:szCs w:val="28"/>
                </w:rPr>
                <w:t xml:space="preserve"> glycated hemoglobin </w:t>
              </w:r>
              <w:r w:rsidR="009F3057">
                <w:rPr>
                  <w:rFonts w:ascii="Times New Roman" w:eastAsiaTheme="majorEastAsia" w:hAnsi="Times New Roman" w:cs="Times New Roman"/>
                  <w:caps/>
                  <w:color w:val="000000" w:themeColor="text1"/>
                  <w:sz w:val="28"/>
                  <w:szCs w:val="28"/>
                </w:rPr>
                <w:t xml:space="preserve">for the treatiment and management of </w:t>
              </w:r>
              <w:r>
                <w:rPr>
                  <w:rFonts w:ascii="Times New Roman" w:eastAsiaTheme="majorEastAsia" w:hAnsi="Times New Roman" w:cs="Times New Roman"/>
                  <w:caps/>
                  <w:color w:val="000000" w:themeColor="text1"/>
                  <w:sz w:val="28"/>
                  <w:szCs w:val="28"/>
                </w:rPr>
                <w:t>people diagnosed with type two (2) diabetes mellitus</w:t>
              </w:r>
            </w:p>
          </w:sdtContent>
        </w:sdt>
        <w:sdt>
          <w:sdtPr>
            <w:rPr>
              <w:rFonts w:ascii="Times New Roman" w:hAnsi="Times New Roman" w:cs="Times New Roman"/>
              <w:b/>
              <w:bCs/>
              <w:color w:val="000000" w:themeColor="text1"/>
              <w:sz w:val="32"/>
              <w:szCs w:val="32"/>
            </w:rPr>
            <w:alias w:val="Subtitle"/>
            <w:tag w:val=""/>
            <w:id w:val="328029620"/>
            <w:placeholder>
              <w:docPart w:val="2C112547F8134A08BE97318808299B97"/>
            </w:placeholder>
            <w:dataBinding w:prefixMappings="xmlns:ns0='http://purl.org/dc/elements/1.1/' xmlns:ns1='http://schemas.openxmlformats.org/package/2006/metadata/core-properties' " w:xpath="/ns1:coreProperties[1]/ns0:subject[1]" w:storeItemID="{6C3C8BC8-F283-45AE-878A-BAB7291924A1}"/>
            <w:text/>
          </w:sdtPr>
          <w:sdtContent>
            <w:p w14:paraId="0AF4198A" w14:textId="3A1FDC7E" w:rsidR="00CE69DE" w:rsidRPr="006C4AA7" w:rsidRDefault="006C4AA7" w:rsidP="006C4AA7">
              <w:pPr>
                <w:pStyle w:val="NoSpacing"/>
                <w:rPr>
                  <w:rFonts w:ascii="Times New Roman" w:hAnsi="Times New Roman" w:cs="Times New Roman"/>
                  <w:color w:val="000000" w:themeColor="text1"/>
                  <w:sz w:val="28"/>
                  <w:szCs w:val="28"/>
                </w:rPr>
              </w:pPr>
              <w:r w:rsidRPr="006C4AA7">
                <w:rPr>
                  <w:rFonts w:ascii="Times New Roman" w:hAnsi="Times New Roman" w:cs="Times New Roman"/>
                  <w:b/>
                  <w:bCs/>
                  <w:color w:val="000000" w:themeColor="text1"/>
                  <w:sz w:val="32"/>
                  <w:szCs w:val="32"/>
                </w:rPr>
                <w:t xml:space="preserve">                                        </w:t>
              </w:r>
              <w:r w:rsidR="009F3057" w:rsidRPr="006C4AA7">
                <w:rPr>
                  <w:rFonts w:ascii="Times New Roman" w:hAnsi="Times New Roman" w:cs="Times New Roman"/>
                  <w:b/>
                  <w:bCs/>
                  <w:color w:val="000000" w:themeColor="text1"/>
                  <w:sz w:val="32"/>
                  <w:szCs w:val="32"/>
                </w:rPr>
                <w:t>Lanique Pompey</w:t>
              </w:r>
            </w:p>
          </w:sdtContent>
        </w:sdt>
        <w:p w14:paraId="2D6821F6" w14:textId="77777777" w:rsidR="004156BA" w:rsidRDefault="004156BA" w:rsidP="00E84CF8">
          <w:pPr>
            <w:pStyle w:val="NoSpacing"/>
            <w:spacing w:before="480"/>
            <w:rPr>
              <w:color w:val="4472C4" w:themeColor="accent1"/>
            </w:rPr>
          </w:pPr>
        </w:p>
        <w:p w14:paraId="5184860B" w14:textId="48B83C10" w:rsidR="00CE69DE" w:rsidRDefault="00CE69DE" w:rsidP="00E84CF8">
          <w:pPr>
            <w:pStyle w:val="NoSpacing"/>
            <w:spacing w:before="480"/>
            <w:rPr>
              <w:color w:val="4472C4" w:themeColor="accent1"/>
            </w:rPr>
          </w:pPr>
          <w:r>
            <w:rPr>
              <w:noProof/>
              <w:color w:val="4472C4" w:themeColor="accent1"/>
              <w:lang w:eastAsia="en-GB"/>
            </w:rPr>
            <w:drawing>
              <wp:inline distT="0" distB="0" distL="0" distR="0" wp14:anchorId="186A2A28" wp14:editId="4DEC1FB7">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BD4FEAD" w14:textId="77777777" w:rsidR="004156BA" w:rsidRDefault="004156BA" w:rsidP="00E84CF8">
          <w:pPr>
            <w:pStyle w:val="NoSpacing"/>
            <w:spacing w:before="480" w:line="360" w:lineRule="auto"/>
            <w:rPr>
              <w:color w:val="4472C4" w:themeColor="accent1"/>
            </w:rPr>
          </w:pPr>
        </w:p>
        <w:p w14:paraId="33C3294C" w14:textId="6B9D6904" w:rsidR="007F069B" w:rsidRPr="004156BA" w:rsidRDefault="007F069B" w:rsidP="00E84CF8">
          <w:pPr>
            <w:spacing w:line="360" w:lineRule="auto"/>
            <w:jc w:val="center"/>
            <w:rPr>
              <w:rFonts w:ascii="Times New Roman" w:hAnsi="Times New Roman" w:cs="Times New Roman"/>
              <w:color w:val="000000" w:themeColor="text1"/>
              <w:sz w:val="28"/>
              <w:szCs w:val="28"/>
            </w:rPr>
          </w:pPr>
          <w:r w:rsidRPr="004156BA">
            <w:rPr>
              <w:rFonts w:ascii="Times New Roman" w:hAnsi="Times New Roman" w:cs="Times New Roman"/>
              <w:color w:val="000000" w:themeColor="text1"/>
              <w:sz w:val="28"/>
              <w:szCs w:val="28"/>
            </w:rPr>
            <w:t xml:space="preserve">A thesis submitted in partial fulfilment of the requirements for the degree of Health, Nutrition </w:t>
          </w:r>
          <w:r w:rsidR="004156BA" w:rsidRPr="004156BA">
            <w:rPr>
              <w:rFonts w:ascii="Times New Roman" w:hAnsi="Times New Roman" w:cs="Times New Roman"/>
              <w:color w:val="000000" w:themeColor="text1"/>
              <w:sz w:val="28"/>
              <w:szCs w:val="28"/>
            </w:rPr>
            <w:t xml:space="preserve">and </w:t>
          </w:r>
          <w:r w:rsidRPr="004156BA">
            <w:rPr>
              <w:rFonts w:ascii="Times New Roman" w:hAnsi="Times New Roman" w:cs="Times New Roman"/>
              <w:color w:val="000000" w:themeColor="text1"/>
              <w:sz w:val="28"/>
              <w:szCs w:val="28"/>
            </w:rPr>
            <w:t>Lifestyle</w:t>
          </w:r>
        </w:p>
        <w:p w14:paraId="1639ED6E" w14:textId="72B03C25" w:rsidR="004156BA" w:rsidRPr="004156BA" w:rsidRDefault="007F069B" w:rsidP="00E84CF8">
          <w:pPr>
            <w:spacing w:line="360" w:lineRule="auto"/>
            <w:jc w:val="center"/>
            <w:rPr>
              <w:rFonts w:ascii="Times New Roman" w:hAnsi="Times New Roman" w:cs="Times New Roman"/>
              <w:color w:val="000000" w:themeColor="text1"/>
              <w:sz w:val="28"/>
              <w:szCs w:val="28"/>
            </w:rPr>
          </w:pPr>
          <w:r w:rsidRPr="004156BA">
            <w:rPr>
              <w:rFonts w:ascii="Times New Roman" w:hAnsi="Times New Roman" w:cs="Times New Roman"/>
              <w:color w:val="000000" w:themeColor="text1"/>
              <w:sz w:val="28"/>
              <w:szCs w:val="28"/>
            </w:rPr>
            <w:t xml:space="preserve">Institute of Management </w:t>
          </w:r>
          <w:r w:rsidR="00BA543B" w:rsidRPr="004156BA">
            <w:rPr>
              <w:rFonts w:ascii="Times New Roman" w:hAnsi="Times New Roman" w:cs="Times New Roman"/>
              <w:color w:val="000000" w:themeColor="text1"/>
              <w:sz w:val="28"/>
              <w:szCs w:val="28"/>
            </w:rPr>
            <w:t>and Health</w:t>
          </w:r>
        </w:p>
        <w:p w14:paraId="6787F73D" w14:textId="77777777" w:rsidR="004156BA" w:rsidRPr="004156BA" w:rsidRDefault="004156BA" w:rsidP="00E84CF8">
          <w:pPr>
            <w:spacing w:line="360" w:lineRule="auto"/>
            <w:jc w:val="center"/>
            <w:rPr>
              <w:rFonts w:ascii="Times New Roman" w:hAnsi="Times New Roman" w:cs="Times New Roman"/>
              <w:color w:val="000000" w:themeColor="text1"/>
              <w:sz w:val="28"/>
              <w:szCs w:val="28"/>
            </w:rPr>
          </w:pPr>
          <w:r w:rsidRPr="004156BA">
            <w:rPr>
              <w:rFonts w:ascii="Times New Roman" w:hAnsi="Times New Roman" w:cs="Times New Roman"/>
              <w:color w:val="000000" w:themeColor="text1"/>
              <w:sz w:val="28"/>
              <w:szCs w:val="28"/>
            </w:rPr>
            <w:t>University of Wales Trinity Saint David</w:t>
          </w:r>
        </w:p>
        <w:p w14:paraId="5044DF48" w14:textId="5EE51817" w:rsidR="007F069B" w:rsidRDefault="00655382" w:rsidP="00E84CF8">
          <w:pPr>
            <w:spacing w:line="360" w:lineRule="auto"/>
            <w:rPr>
              <w:rFonts w:ascii="Times New Roman" w:hAnsi="Times New Roman" w:cs="Times New Roman"/>
              <w:b/>
              <w:bCs/>
              <w:color w:val="000000" w:themeColor="text1"/>
              <w:sz w:val="24"/>
              <w:szCs w:val="24"/>
            </w:rPr>
          </w:pPr>
          <w:r w:rsidRPr="007F069B">
            <w:rPr>
              <w:noProof/>
              <w:color w:val="000000" w:themeColor="text1"/>
              <w:lang w:eastAsia="en-GB"/>
            </w:rPr>
            <mc:AlternateContent>
              <mc:Choice Requires="wps">
                <w:drawing>
                  <wp:anchor distT="0" distB="0" distL="114300" distR="114300" simplePos="0" relativeHeight="251659264" behindDoc="0" locked="0" layoutInCell="1" allowOverlap="1" wp14:anchorId="2469F66B" wp14:editId="151B23D4">
                    <wp:simplePos x="0" y="0"/>
                    <wp:positionH relativeFrom="margin">
                      <wp:posOffset>205105</wp:posOffset>
                    </wp:positionH>
                    <wp:positionV relativeFrom="page">
                      <wp:posOffset>7576185</wp:posOffset>
                    </wp:positionV>
                    <wp:extent cx="6553200" cy="557530"/>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80400" w14:textId="3A605DB1" w:rsidR="00BA543B" w:rsidRPr="004156BA" w:rsidRDefault="00000000">
                                <w:pPr>
                                  <w:pStyle w:val="NoSpacing"/>
                                  <w:jc w:val="center"/>
                                  <w:rPr>
                                    <w:rFonts w:ascii="Times New Roman" w:hAnsi="Times New Roman" w:cs="Times New Roman"/>
                                    <w:color w:val="000000" w:themeColor="text1"/>
                                    <w:sz w:val="28"/>
                                    <w:szCs w:val="28"/>
                                  </w:rPr>
                                </w:pPr>
                                <w:sdt>
                                  <w:sdtPr>
                                    <w:rPr>
                                      <w:rFonts w:ascii="Times New Roman" w:hAnsi="Times New Roman" w:cs="Times New Roman"/>
                                      <w:caps/>
                                      <w:color w:val="000000" w:themeColor="tex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BA543B" w:rsidRPr="004156BA">
                                      <w:rPr>
                                        <w:rFonts w:ascii="Times New Roman" w:hAnsi="Times New Roman" w:cs="Times New Roman"/>
                                        <w:color w:val="000000" w:themeColor="text1"/>
                                        <w:sz w:val="28"/>
                                        <w:szCs w:val="28"/>
                                      </w:rPr>
                                      <w:t>SUPERVISED BY: GERAINT FOSTER</w:t>
                                    </w:r>
                                  </w:sdtContent>
                                </w:sdt>
                              </w:p>
                              <w:p w14:paraId="702E5FE5" w14:textId="064813C4" w:rsidR="00BA543B" w:rsidRPr="004156BA" w:rsidRDefault="00000000">
                                <w:pPr>
                                  <w:pStyle w:val="NoSpacing"/>
                                  <w:jc w:val="center"/>
                                  <w:rPr>
                                    <w:rFonts w:ascii="Times New Roman" w:hAnsi="Times New Roman" w:cs="Times New Roman"/>
                                    <w:color w:val="000000" w:themeColor="text1"/>
                                  </w:rPr>
                                </w:pPr>
                                <w:sdt>
                                  <w:sdtPr>
                                    <w:rPr>
                                      <w:rFonts w:ascii="Times New Roman" w:hAnsi="Times New Roman" w:cs="Times New Roman"/>
                                      <w:color w:val="000000" w:themeColor="tex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BA543B">
                                      <w:rPr>
                                        <w:rFonts w:ascii="Times New Roman" w:hAnsi="Times New Roman" w:cs="Times New Roman"/>
                                        <w:color w:val="000000" w:themeColor="tex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
                <w:pict>
                  <v:shapetype w14:anchorId="2469F66B" id="_x0000_t202" coordsize="21600,21600" o:spt="202" path="m,l,21600r21600,l21600,xe">
                    <v:stroke joinstyle="miter"/>
                    <v:path gradientshapeok="t" o:connecttype="rect"/>
                  </v:shapetype>
                  <v:shape id="Text Box 44" o:spid="_x0000_s1026" type="#_x0000_t202" style="position:absolute;margin-left:16.15pt;margin-top:596.5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" filled="f" stroked="f" strokeweight=".5pt">
                    <v:textbox style="mso-fit-shape-to-text:t" inset="0,0,0,0">
                      <w:txbxContent>
                        <w:p w14:paraId="4E280400" w14:textId="3A605DB1" w:rsidR="00BA543B" w:rsidRPr="004156BA" w:rsidRDefault="00000000">
                          <w:pPr>
                            <w:pStyle w:val="NoSpacing"/>
                            <w:jc w:val="center"/>
                            <w:rPr>
                              <w:rFonts w:ascii="Times New Roman" w:hAnsi="Times New Roman" w:cs="Times New Roman"/>
                              <w:color w:val="000000" w:themeColor="text1"/>
                              <w:sz w:val="28"/>
                              <w:szCs w:val="28"/>
                            </w:rPr>
                          </w:pPr>
                          <w:sdt>
                            <w:sdtPr>
                              <w:rPr>
                                <w:rFonts w:ascii="Times New Roman" w:hAnsi="Times New Roman" w:cs="Times New Roman"/>
                                <w:caps/>
                                <w:color w:val="000000" w:themeColor="tex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BA543B" w:rsidRPr="004156BA">
                                <w:rPr>
                                  <w:rFonts w:ascii="Times New Roman" w:hAnsi="Times New Roman" w:cs="Times New Roman"/>
                                  <w:color w:val="000000" w:themeColor="text1"/>
                                  <w:sz w:val="28"/>
                                  <w:szCs w:val="28"/>
                                </w:rPr>
                                <w:t>SUPERVISED BY: GERAINT FOSTER</w:t>
                              </w:r>
                            </w:sdtContent>
                          </w:sdt>
                        </w:p>
                        <w:p w14:paraId="702E5FE5" w14:textId="064813C4" w:rsidR="00BA543B" w:rsidRPr="004156BA" w:rsidRDefault="00000000">
                          <w:pPr>
                            <w:pStyle w:val="NoSpacing"/>
                            <w:jc w:val="center"/>
                            <w:rPr>
                              <w:rFonts w:ascii="Times New Roman" w:hAnsi="Times New Roman" w:cs="Times New Roman"/>
                              <w:color w:val="000000" w:themeColor="text1"/>
                            </w:rPr>
                          </w:pPr>
                          <w:sdt>
                            <w:sdtPr>
                              <w:rPr>
                                <w:rFonts w:ascii="Times New Roman" w:hAnsi="Times New Roman" w:cs="Times New Roman"/>
                                <w:color w:val="000000" w:themeColor="tex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BA543B">
                                <w:rPr>
                                  <w:rFonts w:ascii="Times New Roman" w:hAnsi="Times New Roman" w:cs="Times New Roman"/>
                                  <w:color w:val="000000" w:themeColor="text1"/>
                                </w:rPr>
                                <w:t xml:space="preserve">     </w:t>
                              </w:r>
                            </w:sdtContent>
                          </w:sdt>
                        </w:p>
                      </w:txbxContent>
                    </v:textbox>
                    <w10:wrap anchorx="margin" anchory="page"/>
                  </v:shape>
                </w:pict>
              </mc:Fallback>
            </mc:AlternateContent>
          </w:r>
        </w:p>
        <w:p w14:paraId="6F68382A" w14:textId="77777777" w:rsidR="00D6177C" w:rsidRDefault="00D6177C" w:rsidP="00E84CF8">
          <w:pPr>
            <w:spacing w:line="360" w:lineRule="auto"/>
            <w:rPr>
              <w:rFonts w:ascii="Times New Roman" w:hAnsi="Times New Roman" w:cs="Times New Roman"/>
              <w:b/>
              <w:bCs/>
              <w:color w:val="000000" w:themeColor="text1"/>
              <w:sz w:val="24"/>
              <w:szCs w:val="24"/>
            </w:rPr>
          </w:pPr>
        </w:p>
        <w:p w14:paraId="7F7A62AE" w14:textId="77777777" w:rsidR="00D6177C" w:rsidRDefault="00D6177C" w:rsidP="00E84CF8">
          <w:pPr>
            <w:spacing w:line="360" w:lineRule="auto"/>
            <w:rPr>
              <w:rFonts w:ascii="Times New Roman" w:hAnsi="Times New Roman" w:cs="Times New Roman"/>
              <w:b/>
              <w:bCs/>
              <w:color w:val="000000" w:themeColor="text1"/>
              <w:sz w:val="24"/>
              <w:szCs w:val="24"/>
            </w:rPr>
          </w:pPr>
        </w:p>
        <w:p w14:paraId="008C6A95" w14:textId="77DE0AB7" w:rsidR="00D6177C" w:rsidRPr="00D6177C" w:rsidRDefault="00D6177C" w:rsidP="00D6177C">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4"/>
              <w:szCs w:val="24"/>
            </w:rPr>
            <w:t xml:space="preserve">                                                      </w:t>
          </w:r>
          <w:r w:rsidR="00BA543B">
            <w:rPr>
              <w:rFonts w:ascii="Times New Roman" w:hAnsi="Times New Roman" w:cs="Times New Roman"/>
              <w:color w:val="000000" w:themeColor="text1"/>
              <w:sz w:val="24"/>
              <w:szCs w:val="24"/>
            </w:rPr>
            <w:tab/>
          </w:r>
          <w:r w:rsidRPr="00D6177C">
            <w:rPr>
              <w:rFonts w:ascii="Times New Roman" w:hAnsi="Times New Roman" w:cs="Times New Roman"/>
              <w:color w:val="000000" w:themeColor="text1"/>
              <w:sz w:val="28"/>
              <w:szCs w:val="28"/>
            </w:rPr>
            <w:t>APRIL 2024</w:t>
          </w:r>
        </w:p>
        <w:p w14:paraId="5197CF9A" w14:textId="77777777" w:rsidR="00D6177C" w:rsidRPr="00D6177C" w:rsidRDefault="00D6177C" w:rsidP="00E84CF8">
          <w:pPr>
            <w:spacing w:line="360" w:lineRule="auto"/>
            <w:rPr>
              <w:rFonts w:ascii="Times New Roman" w:hAnsi="Times New Roman" w:cs="Times New Roman"/>
              <w:color w:val="000000" w:themeColor="text1"/>
              <w:sz w:val="24"/>
              <w:szCs w:val="24"/>
            </w:rPr>
          </w:pPr>
        </w:p>
        <w:p w14:paraId="4BF2BA25" w14:textId="76C85A6A" w:rsidR="00D6177C" w:rsidRPr="00D6177C" w:rsidRDefault="00137F56" w:rsidP="00D6177C">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Word Count:7753</w:t>
          </w:r>
        </w:p>
        <w:p w14:paraId="5A89D2C5" w14:textId="40A937DC" w:rsidR="00590BE3" w:rsidRDefault="00000000" w:rsidP="00E84CF8">
          <w:pPr>
            <w:rPr>
              <w:rFonts w:ascii="Times New Roman" w:hAnsi="Times New Roman" w:cs="Times New Roman"/>
              <w:b/>
              <w:bCs/>
              <w:color w:val="000000" w:themeColor="text1"/>
              <w:sz w:val="24"/>
              <w:szCs w:val="24"/>
            </w:rPr>
          </w:pPr>
        </w:p>
      </w:sdtContent>
    </w:sdt>
    <w:p w14:paraId="223F8DF7" w14:textId="3CBDDB10" w:rsidR="00AA6769" w:rsidRPr="00590BE3" w:rsidRDefault="00AA6769" w:rsidP="00E84CF8">
      <w:pPr>
        <w:rPr>
          <w:rFonts w:ascii="Times New Roman" w:hAnsi="Times New Roman" w:cs="Times New Roman"/>
          <w:b/>
          <w:bCs/>
          <w:color w:val="000000" w:themeColor="text1"/>
          <w:sz w:val="24"/>
          <w:szCs w:val="24"/>
        </w:rPr>
      </w:pPr>
      <w:r w:rsidRPr="0013785C">
        <w:rPr>
          <w:rFonts w:ascii="Times New Roman" w:hAnsi="Times New Roman" w:cs="Times New Roman"/>
          <w:b/>
          <w:sz w:val="24"/>
          <w:szCs w:val="24"/>
        </w:rPr>
        <w:t>Undergraduate Dissertation Certificate</w:t>
      </w:r>
    </w:p>
    <w:p w14:paraId="7B3608B4" w14:textId="77777777" w:rsidR="00AA6769" w:rsidRPr="0013785C" w:rsidRDefault="00AA6769" w:rsidP="00E84CF8">
      <w:pPr>
        <w:rPr>
          <w:rFonts w:ascii="Times New Roman" w:hAnsi="Times New Roman" w:cs="Times New Roman"/>
          <w:b/>
          <w:sz w:val="24"/>
          <w:szCs w:val="24"/>
          <w:u w:val="single"/>
        </w:rPr>
      </w:pPr>
    </w:p>
    <w:p w14:paraId="62F8E8A2" w14:textId="77777777" w:rsidR="00AA6769" w:rsidRPr="0013785C" w:rsidRDefault="00AA6769" w:rsidP="00E84CF8">
      <w:pPr>
        <w:rPr>
          <w:rFonts w:ascii="Times New Roman" w:hAnsi="Times New Roman" w:cs="Times New Roman"/>
          <w:b/>
          <w:sz w:val="24"/>
          <w:szCs w:val="24"/>
          <w:u w:val="single"/>
        </w:rPr>
      </w:pPr>
      <w:r w:rsidRPr="0013785C">
        <w:rPr>
          <w:rFonts w:ascii="Times New Roman" w:hAnsi="Times New Roman" w:cs="Times New Roman"/>
          <w:noProof/>
          <w:color w:val="777777"/>
          <w:sz w:val="24"/>
          <w:szCs w:val="24"/>
          <w:lang w:eastAsia="en-GB"/>
        </w:rPr>
        <w:drawing>
          <wp:inline distT="0" distB="0" distL="0" distR="0" wp14:anchorId="55916DD3" wp14:editId="472F12C4">
            <wp:extent cx="2952750" cy="762000"/>
            <wp:effectExtent l="0" t="0" r="0" b="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952750" cy="762000"/>
                    </a:xfrm>
                    <a:prstGeom prst="rect">
                      <a:avLst/>
                    </a:prstGeom>
                    <a:noFill/>
                    <a:ln>
                      <a:noFill/>
                    </a:ln>
                  </pic:spPr>
                </pic:pic>
              </a:graphicData>
            </a:graphic>
          </wp:inline>
        </w:drawing>
      </w:r>
    </w:p>
    <w:p w14:paraId="020189D0" w14:textId="77777777" w:rsidR="00AA6769" w:rsidRPr="0013785C" w:rsidRDefault="00AA6769" w:rsidP="00E84CF8">
      <w:pPr>
        <w:rPr>
          <w:rFonts w:ascii="Times New Roman" w:hAnsi="Times New Roman" w:cs="Times New Roman"/>
          <w:sz w:val="24"/>
          <w:szCs w:val="24"/>
        </w:rPr>
      </w:pPr>
    </w:p>
    <w:p w14:paraId="1010A6D0" w14:textId="77777777" w:rsidR="00AA6769" w:rsidRPr="0013785C" w:rsidRDefault="00AA6769" w:rsidP="00E84CF8">
      <w:pPr>
        <w:rPr>
          <w:rFonts w:ascii="Times New Roman" w:hAnsi="Times New Roman" w:cs="Times New Roman"/>
          <w:sz w:val="24"/>
          <w:szCs w:val="24"/>
        </w:rPr>
      </w:pPr>
    </w:p>
    <w:p w14:paraId="19DA5DF3" w14:textId="77777777" w:rsidR="00AA6769" w:rsidRPr="0013785C" w:rsidRDefault="00AA6769" w:rsidP="00E84CF8">
      <w:pPr>
        <w:rPr>
          <w:rFonts w:ascii="Times New Roman" w:hAnsi="Times New Roman" w:cs="Times New Roman"/>
          <w:b/>
          <w:sz w:val="24"/>
          <w:szCs w:val="24"/>
        </w:rPr>
      </w:pPr>
    </w:p>
    <w:p w14:paraId="6953040C" w14:textId="77777777" w:rsidR="00AA6769" w:rsidRPr="0013785C" w:rsidRDefault="00AA6769" w:rsidP="00E84CF8">
      <w:pPr>
        <w:rPr>
          <w:rFonts w:ascii="Times New Roman" w:hAnsi="Times New Roman" w:cs="Times New Roman"/>
          <w:b/>
          <w:sz w:val="24"/>
          <w:szCs w:val="24"/>
        </w:rPr>
      </w:pPr>
      <w:r w:rsidRPr="0013785C">
        <w:rPr>
          <w:rFonts w:ascii="Times New Roman" w:hAnsi="Times New Roman" w:cs="Times New Roman"/>
          <w:b/>
          <w:sz w:val="24"/>
          <w:szCs w:val="24"/>
        </w:rPr>
        <w:t>Name of the Programme of Study:</w:t>
      </w:r>
    </w:p>
    <w:p w14:paraId="30CF3938" w14:textId="77777777" w:rsidR="00AA6769" w:rsidRPr="0013785C" w:rsidRDefault="00AA6769" w:rsidP="00E84CF8">
      <w:pPr>
        <w:rPr>
          <w:rFonts w:ascii="Times New Roman" w:hAnsi="Times New Roman" w:cs="Times New Roman"/>
          <w:b/>
          <w:sz w:val="24"/>
          <w:szCs w:val="24"/>
        </w:rPr>
      </w:pPr>
    </w:p>
    <w:p w14:paraId="18D2F2A9" w14:textId="160A9D7A" w:rsidR="00AA6769" w:rsidRPr="0013785C" w:rsidRDefault="00AA6769" w:rsidP="00E84CF8">
      <w:pPr>
        <w:rPr>
          <w:rFonts w:ascii="Times New Roman" w:hAnsi="Times New Roman" w:cs="Times New Roman"/>
          <w:b/>
          <w:sz w:val="24"/>
          <w:szCs w:val="24"/>
        </w:rPr>
      </w:pPr>
      <w:r w:rsidRPr="0013785C">
        <w:rPr>
          <w:rFonts w:ascii="Times New Roman" w:hAnsi="Times New Roman" w:cs="Times New Roman"/>
          <w:b/>
          <w:sz w:val="24"/>
          <w:szCs w:val="24"/>
        </w:rPr>
        <w:t>Name of Student (Capital Letters):</w:t>
      </w:r>
      <w:r w:rsidR="000534C9">
        <w:rPr>
          <w:rFonts w:ascii="Times New Roman" w:hAnsi="Times New Roman" w:cs="Times New Roman"/>
          <w:b/>
          <w:sz w:val="24"/>
          <w:szCs w:val="24"/>
        </w:rPr>
        <w:t xml:space="preserve"> LANIQUE POMPEY</w:t>
      </w:r>
    </w:p>
    <w:p w14:paraId="6FB404A6" w14:textId="77777777" w:rsidR="00AA6769" w:rsidRPr="0013785C" w:rsidRDefault="00AA6769" w:rsidP="00E84CF8">
      <w:pPr>
        <w:rPr>
          <w:rFonts w:ascii="Times New Roman" w:hAnsi="Times New Roman" w:cs="Times New Roman"/>
          <w:b/>
          <w:sz w:val="24"/>
          <w:szCs w:val="24"/>
        </w:rPr>
      </w:pPr>
    </w:p>
    <w:p w14:paraId="7B649D39" w14:textId="77777777" w:rsidR="00AA6769" w:rsidRPr="0013785C" w:rsidRDefault="00AA6769" w:rsidP="00E84CF8">
      <w:pPr>
        <w:rPr>
          <w:rFonts w:ascii="Times New Roman" w:hAnsi="Times New Roman" w:cs="Times New Roman"/>
          <w:b/>
          <w:sz w:val="24"/>
          <w:szCs w:val="24"/>
        </w:rPr>
      </w:pPr>
      <w:r w:rsidRPr="0013785C">
        <w:rPr>
          <w:rFonts w:ascii="Times New Roman" w:hAnsi="Times New Roman" w:cs="Times New Roman"/>
          <w:b/>
          <w:sz w:val="24"/>
          <w:szCs w:val="24"/>
        </w:rPr>
        <w:t>DECLARATION</w:t>
      </w:r>
    </w:p>
    <w:p w14:paraId="5DF09AF3" w14:textId="77777777" w:rsidR="00AA6769" w:rsidRPr="0013785C" w:rsidRDefault="00AA6769" w:rsidP="00E84CF8">
      <w:pPr>
        <w:rPr>
          <w:rFonts w:ascii="Times New Roman" w:hAnsi="Times New Roman" w:cs="Times New Roman"/>
          <w:b/>
          <w:sz w:val="24"/>
          <w:szCs w:val="24"/>
        </w:rPr>
      </w:pPr>
    </w:p>
    <w:p w14:paraId="7275573B" w14:textId="77777777" w:rsidR="00AA6769" w:rsidRPr="0013785C" w:rsidRDefault="00AA6769" w:rsidP="00E84CF8">
      <w:pPr>
        <w:rPr>
          <w:rFonts w:ascii="Times New Roman" w:hAnsi="Times New Roman" w:cs="Times New Roman"/>
          <w:b/>
          <w:sz w:val="24"/>
          <w:szCs w:val="24"/>
        </w:rPr>
      </w:pPr>
      <w:r w:rsidRPr="0013785C">
        <w:rPr>
          <w:rFonts w:ascii="Times New Roman" w:hAnsi="Times New Roman" w:cs="Times New Roman"/>
          <w:b/>
          <w:sz w:val="24"/>
          <w:szCs w:val="24"/>
        </w:rPr>
        <w:t>I certify that the whole of this work is the result of my individual effort, and that all sources have been acknowledged.</w:t>
      </w:r>
    </w:p>
    <w:p w14:paraId="1AA07569" w14:textId="77777777" w:rsidR="00AA6769" w:rsidRPr="0013785C" w:rsidRDefault="00AA6769" w:rsidP="00E84CF8">
      <w:pPr>
        <w:rPr>
          <w:rFonts w:ascii="Times New Roman" w:hAnsi="Times New Roman" w:cs="Times New Roman"/>
          <w:b/>
          <w:sz w:val="24"/>
          <w:szCs w:val="24"/>
        </w:rPr>
      </w:pPr>
    </w:p>
    <w:p w14:paraId="18C5041B" w14:textId="09AC77E4" w:rsidR="00AA6769" w:rsidRPr="0013785C" w:rsidRDefault="00AA6769" w:rsidP="00E84CF8">
      <w:pPr>
        <w:rPr>
          <w:rFonts w:ascii="Times New Roman" w:hAnsi="Times New Roman" w:cs="Times New Roman"/>
          <w:b/>
          <w:sz w:val="24"/>
          <w:szCs w:val="24"/>
        </w:rPr>
      </w:pPr>
      <w:r w:rsidRPr="0013785C">
        <w:rPr>
          <w:rFonts w:ascii="Times New Roman" w:hAnsi="Times New Roman" w:cs="Times New Roman"/>
          <w:b/>
          <w:sz w:val="24"/>
          <w:szCs w:val="24"/>
        </w:rPr>
        <w:t xml:space="preserve">Signed </w:t>
      </w:r>
      <w:r w:rsidR="00CA1B2F">
        <w:rPr>
          <w:rFonts w:ascii="Times New Roman" w:hAnsi="Times New Roman" w:cs="Times New Roman"/>
          <w:b/>
          <w:sz w:val="24"/>
          <w:szCs w:val="24"/>
        </w:rPr>
        <w:t>L. Pompey</w:t>
      </w:r>
      <w:r w:rsidRPr="0013785C">
        <w:rPr>
          <w:rFonts w:ascii="Times New Roman" w:hAnsi="Times New Roman" w:cs="Times New Roman"/>
          <w:b/>
          <w:sz w:val="24"/>
          <w:szCs w:val="24"/>
        </w:rPr>
        <w:t xml:space="preserve"> (Student)</w:t>
      </w:r>
    </w:p>
    <w:p w14:paraId="593B33CF" w14:textId="77777777" w:rsidR="00AA6769" w:rsidRPr="0013785C" w:rsidRDefault="00AA6769" w:rsidP="00E84CF8">
      <w:pPr>
        <w:rPr>
          <w:rFonts w:ascii="Times New Roman" w:hAnsi="Times New Roman" w:cs="Times New Roman"/>
          <w:b/>
          <w:sz w:val="24"/>
          <w:szCs w:val="24"/>
        </w:rPr>
      </w:pPr>
    </w:p>
    <w:p w14:paraId="4F3F6849" w14:textId="1AD5534A" w:rsidR="00AA6769" w:rsidRPr="0013785C" w:rsidRDefault="00AA6769" w:rsidP="00E84CF8">
      <w:pPr>
        <w:rPr>
          <w:rFonts w:ascii="Times New Roman" w:hAnsi="Times New Roman" w:cs="Times New Roman"/>
          <w:b/>
          <w:sz w:val="24"/>
          <w:szCs w:val="24"/>
        </w:rPr>
      </w:pPr>
      <w:r w:rsidRPr="0013785C">
        <w:rPr>
          <w:rFonts w:ascii="Times New Roman" w:hAnsi="Times New Roman" w:cs="Times New Roman"/>
          <w:b/>
          <w:sz w:val="24"/>
          <w:szCs w:val="24"/>
        </w:rPr>
        <w:t xml:space="preserve">Date   </w:t>
      </w:r>
      <w:r w:rsidR="00CA1B2F">
        <w:rPr>
          <w:rFonts w:ascii="Times New Roman" w:hAnsi="Times New Roman" w:cs="Times New Roman"/>
          <w:b/>
          <w:sz w:val="24"/>
          <w:szCs w:val="24"/>
        </w:rPr>
        <w:t>17.04.2024</w:t>
      </w:r>
    </w:p>
    <w:p w14:paraId="1CA77573" w14:textId="77777777" w:rsidR="00AA6769" w:rsidRPr="0013785C" w:rsidRDefault="00AA6769" w:rsidP="00E84CF8">
      <w:pPr>
        <w:rPr>
          <w:rFonts w:ascii="Times New Roman" w:hAnsi="Times New Roman" w:cs="Times New Roman"/>
          <w:b/>
          <w:sz w:val="24"/>
          <w:szCs w:val="24"/>
        </w:rPr>
      </w:pPr>
    </w:p>
    <w:p w14:paraId="5F516FE0" w14:textId="77777777" w:rsidR="00AA6769" w:rsidRPr="0013785C" w:rsidRDefault="00AA6769" w:rsidP="00E84CF8">
      <w:pPr>
        <w:rPr>
          <w:rFonts w:ascii="Times New Roman" w:hAnsi="Times New Roman" w:cs="Times New Roman"/>
          <w:b/>
          <w:sz w:val="24"/>
          <w:szCs w:val="24"/>
        </w:rPr>
      </w:pPr>
    </w:p>
    <w:p w14:paraId="2AC49B75" w14:textId="77777777" w:rsidR="00AA6769" w:rsidRPr="0013785C" w:rsidRDefault="00AA6769" w:rsidP="00E84CF8">
      <w:pPr>
        <w:rPr>
          <w:rFonts w:ascii="Times New Roman" w:hAnsi="Times New Roman" w:cs="Times New Roman"/>
          <w:b/>
          <w:sz w:val="24"/>
          <w:szCs w:val="24"/>
        </w:rPr>
      </w:pPr>
      <w:r w:rsidRPr="0013785C">
        <w:rPr>
          <w:rFonts w:ascii="Times New Roman" w:hAnsi="Times New Roman" w:cs="Times New Roman"/>
          <w:b/>
          <w:sz w:val="24"/>
          <w:szCs w:val="24"/>
        </w:rPr>
        <w:t>DECLARATION</w:t>
      </w:r>
    </w:p>
    <w:p w14:paraId="538CA3DB" w14:textId="77777777" w:rsidR="00AA6769" w:rsidRPr="0013785C" w:rsidRDefault="00AA6769" w:rsidP="00E84CF8">
      <w:pPr>
        <w:rPr>
          <w:rFonts w:ascii="Times New Roman" w:hAnsi="Times New Roman" w:cs="Times New Roman"/>
          <w:b/>
          <w:sz w:val="24"/>
          <w:szCs w:val="24"/>
        </w:rPr>
      </w:pPr>
    </w:p>
    <w:p w14:paraId="5576E5EB" w14:textId="2A1B3F62" w:rsidR="00AA6769" w:rsidRPr="0013785C" w:rsidRDefault="00AA6769" w:rsidP="00E84CF8">
      <w:pPr>
        <w:rPr>
          <w:rFonts w:ascii="Times New Roman" w:hAnsi="Times New Roman" w:cs="Times New Roman"/>
          <w:b/>
          <w:sz w:val="24"/>
          <w:szCs w:val="24"/>
        </w:rPr>
      </w:pPr>
      <w:r w:rsidRPr="0013785C">
        <w:rPr>
          <w:rFonts w:ascii="Times New Roman" w:hAnsi="Times New Roman" w:cs="Times New Roman"/>
          <w:b/>
          <w:sz w:val="24"/>
          <w:szCs w:val="24"/>
        </w:rPr>
        <w:t>I am satisfied that this work is the result of the student’s effort.</w:t>
      </w:r>
    </w:p>
    <w:p w14:paraId="4D5F4EA6" w14:textId="77777777" w:rsidR="00AA6769" w:rsidRPr="0013785C" w:rsidRDefault="00AA6769" w:rsidP="00E84CF8">
      <w:pPr>
        <w:rPr>
          <w:rFonts w:ascii="Times New Roman" w:hAnsi="Times New Roman" w:cs="Times New Roman"/>
          <w:b/>
          <w:sz w:val="24"/>
          <w:szCs w:val="24"/>
        </w:rPr>
      </w:pPr>
    </w:p>
    <w:p w14:paraId="5C590DD2" w14:textId="77777777" w:rsidR="00AA6769" w:rsidRPr="0013785C" w:rsidRDefault="00AA6769" w:rsidP="00E84CF8">
      <w:pPr>
        <w:rPr>
          <w:rFonts w:ascii="Times New Roman" w:hAnsi="Times New Roman" w:cs="Times New Roman"/>
          <w:b/>
          <w:sz w:val="24"/>
          <w:szCs w:val="24"/>
        </w:rPr>
      </w:pPr>
      <w:r w:rsidRPr="0013785C">
        <w:rPr>
          <w:rFonts w:ascii="Times New Roman" w:hAnsi="Times New Roman" w:cs="Times New Roman"/>
          <w:b/>
          <w:sz w:val="24"/>
          <w:szCs w:val="24"/>
        </w:rPr>
        <w:t>Signed .............................................................. (Lecturer)</w:t>
      </w:r>
    </w:p>
    <w:p w14:paraId="5F74111F" w14:textId="77777777" w:rsidR="00AA6769" w:rsidRPr="0013785C" w:rsidRDefault="00AA6769" w:rsidP="00E84CF8">
      <w:pPr>
        <w:rPr>
          <w:rFonts w:ascii="Times New Roman" w:hAnsi="Times New Roman" w:cs="Times New Roman"/>
          <w:b/>
          <w:sz w:val="24"/>
          <w:szCs w:val="24"/>
        </w:rPr>
      </w:pPr>
    </w:p>
    <w:p w14:paraId="02C1B851" w14:textId="77777777" w:rsidR="00AA6769" w:rsidRPr="0013785C" w:rsidRDefault="00AA6769" w:rsidP="00E84CF8">
      <w:pPr>
        <w:rPr>
          <w:rFonts w:ascii="Times New Roman" w:hAnsi="Times New Roman" w:cs="Times New Roman"/>
          <w:b/>
          <w:sz w:val="24"/>
          <w:szCs w:val="24"/>
        </w:rPr>
      </w:pPr>
      <w:r w:rsidRPr="0013785C">
        <w:rPr>
          <w:rFonts w:ascii="Times New Roman" w:hAnsi="Times New Roman" w:cs="Times New Roman"/>
          <w:b/>
          <w:sz w:val="24"/>
          <w:szCs w:val="24"/>
        </w:rPr>
        <w:t>Date     ..............................................................</w:t>
      </w:r>
    </w:p>
    <w:p w14:paraId="0990204F" w14:textId="77777777" w:rsidR="00590BE3" w:rsidRDefault="00590BE3">
      <w:pPr>
        <w:rPr>
          <w:rFonts w:ascii="Times New Roman" w:eastAsia="DengXian" w:hAnsi="Times New Roman" w:cs="Times New Roman"/>
          <w:b/>
          <w:bCs/>
          <w:sz w:val="24"/>
          <w:szCs w:val="24"/>
        </w:rPr>
      </w:pPr>
      <w:r>
        <w:rPr>
          <w:rFonts w:ascii="Times New Roman" w:eastAsia="DengXian" w:hAnsi="Times New Roman" w:cs="Times New Roman"/>
          <w:b/>
          <w:bCs/>
          <w:sz w:val="24"/>
          <w:szCs w:val="24"/>
        </w:rPr>
        <w:br w:type="page"/>
      </w:r>
    </w:p>
    <w:p w14:paraId="62D12612" w14:textId="383FFB15" w:rsidR="00281C76" w:rsidRDefault="00590BE3" w:rsidP="00E84CF8">
      <w:pPr>
        <w:rPr>
          <w:rFonts w:ascii="Times New Roman" w:eastAsia="DengXian" w:hAnsi="Times New Roman" w:cs="Times New Roman"/>
          <w:b/>
          <w:bCs/>
          <w:sz w:val="24"/>
          <w:szCs w:val="24"/>
        </w:rPr>
      </w:pPr>
      <w:r>
        <w:rPr>
          <w:rFonts w:ascii="Times New Roman" w:eastAsia="DengXian" w:hAnsi="Times New Roman" w:cs="Times New Roman"/>
          <w:b/>
          <w:bCs/>
          <w:sz w:val="24"/>
          <w:szCs w:val="24"/>
        </w:rPr>
        <w:lastRenderedPageBreak/>
        <w:t>A</w:t>
      </w:r>
      <w:r w:rsidR="00281C76" w:rsidRPr="0013785C">
        <w:rPr>
          <w:rFonts w:ascii="Times New Roman" w:eastAsia="DengXian" w:hAnsi="Times New Roman" w:cs="Times New Roman"/>
          <w:b/>
          <w:bCs/>
          <w:sz w:val="24"/>
          <w:szCs w:val="24"/>
        </w:rPr>
        <w:t>cknowledgements</w:t>
      </w:r>
    </w:p>
    <w:p w14:paraId="51A1AEAE" w14:textId="77777777" w:rsidR="00FE14C2" w:rsidRPr="0013785C" w:rsidRDefault="00FE14C2" w:rsidP="00E84CF8">
      <w:pPr>
        <w:rPr>
          <w:rFonts w:ascii="Times New Roman" w:eastAsia="DengXian" w:hAnsi="Times New Roman" w:cs="Times New Roman"/>
          <w:b/>
          <w:bCs/>
          <w:sz w:val="24"/>
          <w:szCs w:val="24"/>
        </w:rPr>
      </w:pPr>
    </w:p>
    <w:p w14:paraId="07CE6C39" w14:textId="0E1BFD4D" w:rsidR="0090635D" w:rsidRPr="005717A1" w:rsidRDefault="0090635D" w:rsidP="00E84CF8">
      <w:pPr>
        <w:suppressAutoHyphens/>
        <w:autoSpaceDN w:val="0"/>
        <w:spacing w:line="360" w:lineRule="auto"/>
        <w:rPr>
          <w:rFonts w:ascii="Times New Roman" w:eastAsia="DengXian" w:hAnsi="Times New Roman" w:cs="Times New Roman"/>
          <w:sz w:val="24"/>
          <w:szCs w:val="24"/>
        </w:rPr>
      </w:pPr>
      <w:r w:rsidRPr="005717A1">
        <w:rPr>
          <w:rFonts w:ascii="Times New Roman" w:eastAsia="DengXian" w:hAnsi="Times New Roman" w:cs="Times New Roman"/>
          <w:sz w:val="24"/>
          <w:szCs w:val="24"/>
        </w:rPr>
        <w:t>With profound gratitude, I extend my heartfelt acknowledgments:</w:t>
      </w:r>
    </w:p>
    <w:p w14:paraId="502BD36D" w14:textId="0309A75D" w:rsidR="0090635D" w:rsidRPr="005717A1" w:rsidRDefault="0090635D" w:rsidP="00E84CF8">
      <w:pPr>
        <w:suppressAutoHyphens/>
        <w:autoSpaceDN w:val="0"/>
        <w:spacing w:line="360" w:lineRule="auto"/>
        <w:rPr>
          <w:rFonts w:ascii="Times New Roman" w:eastAsia="DengXian" w:hAnsi="Times New Roman" w:cs="Times New Roman"/>
          <w:sz w:val="24"/>
          <w:szCs w:val="24"/>
        </w:rPr>
      </w:pPr>
      <w:r w:rsidRPr="005717A1">
        <w:rPr>
          <w:rFonts w:ascii="Times New Roman" w:eastAsia="DengXian" w:hAnsi="Times New Roman" w:cs="Times New Roman"/>
          <w:sz w:val="24"/>
          <w:szCs w:val="24"/>
        </w:rPr>
        <w:t>To Almighty God, the source of life and the wellspring of strength, I offer my sincerest gratitude for granting me the vitality and resilience to embark on and successfully complete this project. To my beloved mother R. Gurley, who has been my unwavering support and pillar of strength throughout this challenging journey, your love and encouragement have been my guiding light. My deepest appreciation also goes to my brother D. Pompey, who has been my foremost advocate and advisor.</w:t>
      </w:r>
    </w:p>
    <w:p w14:paraId="3C5AE233" w14:textId="5A32C9F1" w:rsidR="0090635D" w:rsidRPr="005717A1" w:rsidRDefault="0090635D" w:rsidP="00E84CF8">
      <w:pPr>
        <w:suppressAutoHyphens/>
        <w:autoSpaceDN w:val="0"/>
        <w:spacing w:line="360" w:lineRule="auto"/>
        <w:rPr>
          <w:rFonts w:ascii="Times New Roman" w:eastAsia="DengXian" w:hAnsi="Times New Roman" w:cs="Times New Roman"/>
          <w:sz w:val="24"/>
          <w:szCs w:val="24"/>
        </w:rPr>
      </w:pPr>
      <w:r w:rsidRPr="005717A1">
        <w:rPr>
          <w:rFonts w:ascii="Times New Roman" w:eastAsia="DengXian" w:hAnsi="Times New Roman" w:cs="Times New Roman"/>
          <w:sz w:val="24"/>
          <w:szCs w:val="24"/>
        </w:rPr>
        <w:t>To my esteemed Priests, Father H. Johnson, Canon O. Nichols</w:t>
      </w:r>
      <w:r w:rsidR="00AA6769">
        <w:rPr>
          <w:rFonts w:ascii="Times New Roman" w:eastAsia="DengXian" w:hAnsi="Times New Roman" w:cs="Times New Roman"/>
          <w:sz w:val="24"/>
          <w:szCs w:val="24"/>
        </w:rPr>
        <w:t xml:space="preserve"> </w:t>
      </w:r>
      <w:r w:rsidRPr="005717A1">
        <w:rPr>
          <w:rFonts w:ascii="Times New Roman" w:eastAsia="DengXian" w:hAnsi="Times New Roman" w:cs="Times New Roman"/>
          <w:sz w:val="24"/>
          <w:szCs w:val="24"/>
        </w:rPr>
        <w:t>and Pastor Issacs, your prayers and comforting words during moments of illness and discouragement have provided solace and renewed hope.</w:t>
      </w:r>
    </w:p>
    <w:p w14:paraId="09688512" w14:textId="7CE76EFC" w:rsidR="0090635D" w:rsidRPr="005717A1" w:rsidRDefault="002F4DD2" w:rsidP="00E84CF8">
      <w:pPr>
        <w:suppressAutoHyphens/>
        <w:autoSpaceDN w:val="0"/>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To my cherished friends </w:t>
      </w:r>
      <w:r w:rsidR="0090635D" w:rsidRPr="005717A1">
        <w:rPr>
          <w:rFonts w:ascii="Times New Roman" w:eastAsia="DengXian" w:hAnsi="Times New Roman" w:cs="Times New Roman"/>
          <w:sz w:val="24"/>
          <w:szCs w:val="24"/>
        </w:rPr>
        <w:t xml:space="preserve"> X. Black, J. Bentick, R. Woods, </w:t>
      </w:r>
      <w:r w:rsidR="0013785C">
        <w:rPr>
          <w:rFonts w:ascii="Times New Roman" w:eastAsia="DengXian" w:hAnsi="Times New Roman" w:cs="Times New Roman"/>
          <w:sz w:val="24"/>
          <w:szCs w:val="24"/>
        </w:rPr>
        <w:t>G. Duke</w:t>
      </w:r>
      <w:r w:rsidR="00823816" w:rsidRPr="005717A1">
        <w:rPr>
          <w:rFonts w:ascii="Times New Roman" w:eastAsia="DengXian" w:hAnsi="Times New Roman" w:cs="Times New Roman"/>
          <w:sz w:val="24"/>
          <w:szCs w:val="24"/>
        </w:rPr>
        <w:t xml:space="preserve"> and A. Evans </w:t>
      </w:r>
      <w:r w:rsidR="0090635D" w:rsidRPr="005717A1">
        <w:rPr>
          <w:rFonts w:ascii="Times New Roman" w:eastAsia="DengXian" w:hAnsi="Times New Roman" w:cs="Times New Roman"/>
          <w:sz w:val="24"/>
          <w:szCs w:val="24"/>
        </w:rPr>
        <w:t>your unwavering faith in me, words of encouragement and steadfast belief have been instrumental in sustaining my resolve. Lastly, to my supervisor, G. Foster, your invaluable guidance and unwavering support have steered me on the right path and instilled within me the perseverance to overcome obstacles.</w:t>
      </w:r>
    </w:p>
    <w:p w14:paraId="09C5C302" w14:textId="77777777" w:rsidR="0090635D" w:rsidRPr="005717A1" w:rsidRDefault="0090635D" w:rsidP="00E84CF8">
      <w:pPr>
        <w:suppressAutoHyphens/>
        <w:autoSpaceDN w:val="0"/>
        <w:spacing w:line="360" w:lineRule="auto"/>
        <w:rPr>
          <w:rFonts w:ascii="Times New Roman" w:eastAsia="DengXian" w:hAnsi="Times New Roman" w:cs="Times New Roman"/>
          <w:sz w:val="24"/>
          <w:szCs w:val="24"/>
        </w:rPr>
      </w:pPr>
    </w:p>
    <w:p w14:paraId="29F97C08" w14:textId="5726E8AE" w:rsidR="00590BE3" w:rsidRDefault="0090635D" w:rsidP="00E84CF8">
      <w:pPr>
        <w:suppressAutoHyphens/>
        <w:autoSpaceDN w:val="0"/>
        <w:spacing w:line="360" w:lineRule="auto"/>
        <w:rPr>
          <w:rFonts w:ascii="Times New Roman" w:eastAsia="DengXian" w:hAnsi="Times New Roman" w:cs="Times New Roman"/>
          <w:sz w:val="24"/>
          <w:szCs w:val="24"/>
        </w:rPr>
      </w:pPr>
      <w:r w:rsidRPr="005717A1">
        <w:rPr>
          <w:rFonts w:ascii="Times New Roman" w:eastAsia="DengXian" w:hAnsi="Times New Roman" w:cs="Times New Roman"/>
          <w:sz w:val="24"/>
          <w:szCs w:val="24"/>
        </w:rPr>
        <w:t>Together, your collective contributions have enriched my journey and propelled me toward</w:t>
      </w:r>
      <w:r w:rsidR="00C1597F">
        <w:rPr>
          <w:rFonts w:ascii="Times New Roman" w:eastAsia="DengXian" w:hAnsi="Times New Roman" w:cs="Times New Roman"/>
          <w:sz w:val="24"/>
          <w:szCs w:val="24"/>
        </w:rPr>
        <w:t>s</w:t>
      </w:r>
      <w:r w:rsidR="00590BE3">
        <w:rPr>
          <w:rFonts w:ascii="Times New Roman" w:eastAsia="DengXian" w:hAnsi="Times New Roman" w:cs="Times New Roman"/>
          <w:sz w:val="24"/>
          <w:szCs w:val="24"/>
        </w:rPr>
        <w:t xml:space="preserve"> success.</w:t>
      </w:r>
    </w:p>
    <w:p w14:paraId="0AB93C19" w14:textId="77777777" w:rsidR="00590BE3" w:rsidRDefault="00590BE3">
      <w:pPr>
        <w:rPr>
          <w:rFonts w:ascii="Times New Roman" w:eastAsia="DengXian" w:hAnsi="Times New Roman" w:cs="Times New Roman"/>
          <w:sz w:val="24"/>
          <w:szCs w:val="24"/>
        </w:rPr>
      </w:pPr>
      <w:r>
        <w:rPr>
          <w:rFonts w:ascii="Times New Roman" w:eastAsia="DengXian" w:hAnsi="Times New Roman" w:cs="Times New Roman"/>
          <w:sz w:val="24"/>
          <w:szCs w:val="24"/>
        </w:rPr>
        <w:br w:type="page"/>
      </w:r>
    </w:p>
    <w:p w14:paraId="3B9F2230" w14:textId="62EF6726" w:rsidR="000208A3" w:rsidRDefault="00C44C02" w:rsidP="00E84CF8">
      <w:pPr>
        <w:spacing w:line="360" w:lineRule="auto"/>
        <w:rPr>
          <w:rFonts w:ascii="Times New Roman" w:eastAsia="DengXian" w:hAnsi="Times New Roman" w:cs="Times New Roman"/>
          <w:b/>
          <w:bCs/>
          <w:sz w:val="24"/>
          <w:szCs w:val="24"/>
        </w:rPr>
      </w:pPr>
      <w:r w:rsidRPr="005717A1">
        <w:rPr>
          <w:rFonts w:ascii="Times New Roman" w:eastAsia="DengXian" w:hAnsi="Times New Roman" w:cs="Times New Roman"/>
          <w:b/>
          <w:bCs/>
          <w:sz w:val="24"/>
          <w:szCs w:val="24"/>
        </w:rPr>
        <w:lastRenderedPageBreak/>
        <w:t>List of Abbreviations</w:t>
      </w:r>
    </w:p>
    <w:tbl>
      <w:tblPr>
        <w:tblW w:w="0" w:type="auto"/>
        <w:tblCellMar>
          <w:left w:w="10" w:type="dxa"/>
          <w:right w:w="10" w:type="dxa"/>
        </w:tblCellMar>
        <w:tblLook w:val="04A0" w:firstRow="1" w:lastRow="0" w:firstColumn="1" w:lastColumn="0" w:noHBand="0" w:noVBand="1"/>
      </w:tblPr>
      <w:tblGrid>
        <w:gridCol w:w="1463"/>
        <w:gridCol w:w="4781"/>
      </w:tblGrid>
      <w:tr w:rsidR="00702F87" w:rsidRPr="006A7B13" w14:paraId="1936D21E" w14:textId="77777777" w:rsidTr="006A7B13">
        <w:tc>
          <w:tcPr>
            <w:tcW w:w="0" w:type="auto"/>
            <w:tcBorders>
              <w:top w:val="single" w:sz="4" w:space="0" w:color="9CC2E5"/>
              <w:left w:val="single" w:sz="4" w:space="0" w:color="9CC2E5"/>
              <w:bottom w:val="single" w:sz="12" w:space="0" w:color="9CC2E5"/>
              <w:right w:val="single" w:sz="4" w:space="0" w:color="9CC2E5"/>
            </w:tcBorders>
            <w:tcMar>
              <w:top w:w="0" w:type="dxa"/>
              <w:left w:w="108" w:type="dxa"/>
              <w:bottom w:w="0" w:type="dxa"/>
              <w:right w:w="108" w:type="dxa"/>
            </w:tcMar>
            <w:hideMark/>
          </w:tcPr>
          <w:p w14:paraId="41CD94AE" w14:textId="77777777" w:rsidR="00702F87" w:rsidRPr="006A7B13" w:rsidRDefault="00702F87">
            <w:pPr>
              <w:spacing w:after="0" w:line="240" w:lineRule="auto"/>
              <w:rPr>
                <w:rFonts w:ascii="Times New Roman" w:hAnsi="Times New Roman"/>
                <w:b/>
                <w:bCs/>
                <w:color w:val="000000"/>
              </w:rPr>
            </w:pPr>
            <w:r w:rsidRPr="006A7B13">
              <w:rPr>
                <w:rFonts w:ascii="Times New Roman" w:hAnsi="Times New Roman"/>
                <w:b/>
                <w:bCs/>
                <w:color w:val="000000"/>
              </w:rPr>
              <w:t xml:space="preserve">Abbreviation </w:t>
            </w:r>
          </w:p>
        </w:tc>
        <w:tc>
          <w:tcPr>
            <w:tcW w:w="0" w:type="auto"/>
            <w:tcBorders>
              <w:top w:val="single" w:sz="4" w:space="0" w:color="9CC2E5"/>
              <w:left w:val="single" w:sz="4" w:space="0" w:color="9CC2E5"/>
              <w:bottom w:val="single" w:sz="12" w:space="0" w:color="9CC2E5"/>
              <w:right w:val="single" w:sz="4" w:space="0" w:color="9CC2E5"/>
            </w:tcBorders>
            <w:tcMar>
              <w:top w:w="0" w:type="dxa"/>
              <w:left w:w="108" w:type="dxa"/>
              <w:bottom w:w="0" w:type="dxa"/>
              <w:right w:w="108" w:type="dxa"/>
            </w:tcMar>
            <w:hideMark/>
          </w:tcPr>
          <w:p w14:paraId="06CD9E19" w14:textId="77777777" w:rsidR="00702F87" w:rsidRPr="006A7B13" w:rsidRDefault="00702F87">
            <w:pPr>
              <w:spacing w:after="0" w:line="240" w:lineRule="auto"/>
              <w:rPr>
                <w:rFonts w:ascii="Times New Roman" w:hAnsi="Times New Roman"/>
                <w:b/>
                <w:bCs/>
                <w:color w:val="000000"/>
              </w:rPr>
            </w:pPr>
            <w:r w:rsidRPr="006A7B13">
              <w:rPr>
                <w:rFonts w:ascii="Times New Roman" w:hAnsi="Times New Roman"/>
                <w:b/>
                <w:bCs/>
                <w:color w:val="000000"/>
              </w:rPr>
              <w:t xml:space="preserve">Meaning </w:t>
            </w:r>
          </w:p>
        </w:tc>
      </w:tr>
      <w:tr w:rsidR="00702F87" w:rsidRPr="006A7B13" w14:paraId="43A93CF5"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72782BE"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A1C</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1CF958D"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Glycated hemoglobin/ glycosylated hemoglobin</w:t>
            </w:r>
          </w:p>
        </w:tc>
      </w:tr>
      <w:tr w:rsidR="00702F87" w:rsidRPr="006A7B13" w14:paraId="2C01A4B6"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E944ADC"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ADA</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A08BB2E"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American Diabetes Association</w:t>
            </w:r>
          </w:p>
        </w:tc>
      </w:tr>
      <w:tr w:rsidR="00702F87" w:rsidRPr="006A7B13" w14:paraId="23D5CF6E"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6189B27"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BMI</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9051A7C"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Body mass index</w:t>
            </w:r>
          </w:p>
        </w:tc>
      </w:tr>
      <w:tr w:rsidR="00702F87" w:rsidRPr="006A7B13" w14:paraId="1FAFF8CB"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C837445"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BP</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A105595"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Blood pressure</w:t>
            </w:r>
          </w:p>
        </w:tc>
      </w:tr>
      <w:tr w:rsidR="00702F87" w:rsidRPr="006A7B13" w14:paraId="267A8A6D"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CE8380C"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Cm</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3BAF5F5" w14:textId="7A02F582"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Centimetres</w:t>
            </w:r>
          </w:p>
        </w:tc>
      </w:tr>
      <w:tr w:rsidR="00702F87" w:rsidRPr="006A7B13" w14:paraId="6707D0BE"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61D49F2"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CVD</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CAA944A" w14:textId="5E918438"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Cardiovascular disease</w:t>
            </w:r>
          </w:p>
        </w:tc>
      </w:tr>
      <w:tr w:rsidR="00702F87" w:rsidRPr="006A7B13" w14:paraId="3EC2E0F0"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1DFFE96"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DBP</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9369A1A"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Diastolic blood pressure</w:t>
            </w:r>
          </w:p>
        </w:tc>
      </w:tr>
      <w:tr w:rsidR="00702F87" w:rsidRPr="006A7B13" w14:paraId="558464E0"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53C3D04"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FBG</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2FD9687"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Fasting blood glucose</w:t>
            </w:r>
          </w:p>
        </w:tc>
      </w:tr>
      <w:tr w:rsidR="00702F87" w:rsidRPr="006A7B13" w14:paraId="5734C5D0"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31EC92E"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FPG</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F18D874"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Fasting plasma glucose</w:t>
            </w:r>
          </w:p>
        </w:tc>
      </w:tr>
      <w:tr w:rsidR="00702F87" w:rsidRPr="006A7B13" w14:paraId="63A467C2"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E959714"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GI</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BD19DEC"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Glycaemic index</w:t>
            </w:r>
          </w:p>
        </w:tc>
      </w:tr>
      <w:tr w:rsidR="00702F87" w:rsidRPr="006A7B13" w14:paraId="5173044C"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52D7596"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GL</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C04DBDA"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Glycaemic load</w:t>
            </w:r>
          </w:p>
        </w:tc>
      </w:tr>
      <w:tr w:rsidR="00702F87" w:rsidRPr="006A7B13" w14:paraId="0FE4DD33"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478CA1A"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HbA1c</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8EE0FE6"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Glycated hemoglobin/ glycosylated hemoglobin</w:t>
            </w:r>
          </w:p>
        </w:tc>
      </w:tr>
      <w:tr w:rsidR="00702F87" w:rsidRPr="006A7B13" w14:paraId="3DFEACB0"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A069D8E"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HCD</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AD73AFC"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High carbohydrate diet</w:t>
            </w:r>
          </w:p>
        </w:tc>
      </w:tr>
      <w:tr w:rsidR="00702F87" w:rsidRPr="006A7B13" w14:paraId="4109B94F"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E33BF4A"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HDL</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23E748A"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High density lipoprotein</w:t>
            </w:r>
          </w:p>
        </w:tc>
      </w:tr>
      <w:tr w:rsidR="00702F87" w:rsidRPr="006A7B13" w14:paraId="5F02E38E"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D16EA1C"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HGI</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32008EA"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High glycaemic index</w:t>
            </w:r>
          </w:p>
        </w:tc>
      </w:tr>
      <w:tr w:rsidR="00702F87" w:rsidRPr="006A7B13" w14:paraId="3A49BF0E"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CE0A3AB"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HOMA-IR</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0F38BDF"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Homeostatic model assessment of insulin resistance</w:t>
            </w:r>
          </w:p>
        </w:tc>
      </w:tr>
      <w:tr w:rsidR="00702F87" w:rsidRPr="006A7B13" w14:paraId="6C3A51E1"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A335C25"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Kcal</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F62CC09"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kilocalories</w:t>
            </w:r>
          </w:p>
        </w:tc>
      </w:tr>
      <w:tr w:rsidR="00702F87" w:rsidRPr="006A7B13" w14:paraId="7F3D1E84"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4641210"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L1</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E15A3E3"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Lumbar 1</w:t>
            </w:r>
          </w:p>
        </w:tc>
      </w:tr>
      <w:tr w:rsidR="00702F87" w:rsidRPr="006A7B13" w14:paraId="57FAFEEF"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6C8B319"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L2</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C8BBDBE"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Lumbar 2</w:t>
            </w:r>
          </w:p>
        </w:tc>
      </w:tr>
      <w:tr w:rsidR="00702F87" w:rsidRPr="006A7B13" w14:paraId="1D38A73B"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312F9A7"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LCD</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A006BEA"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Low carbohydrate diet</w:t>
            </w:r>
          </w:p>
        </w:tc>
      </w:tr>
      <w:tr w:rsidR="00702F87" w:rsidRPr="006A7B13" w14:paraId="5C1CF729"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1745741"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LCK</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74423C5" w14:textId="0F8A4C43"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Low carbohydrate ketogenic</w:t>
            </w:r>
          </w:p>
        </w:tc>
      </w:tr>
      <w:tr w:rsidR="00702F87" w:rsidRPr="006A7B13" w14:paraId="54A94714"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E42BB61"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LDL</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11B7020"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Low density lipoprotein</w:t>
            </w:r>
          </w:p>
        </w:tc>
      </w:tr>
      <w:tr w:rsidR="00702F87" w:rsidRPr="006A7B13" w14:paraId="5419B811"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D18A0BB"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LFD</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4DB174D"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Low fat diet</w:t>
            </w:r>
          </w:p>
        </w:tc>
      </w:tr>
      <w:tr w:rsidR="00702F87" w:rsidRPr="006A7B13" w14:paraId="745C437C"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9B74EDF"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LGI</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859B408"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Low glycaemic index</w:t>
            </w:r>
          </w:p>
        </w:tc>
      </w:tr>
      <w:tr w:rsidR="00702F87" w:rsidRPr="006A7B13" w14:paraId="6D762C99"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295EF2D"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MCCR</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D054008"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Moderate carbohydrate calorie restricted diet</w:t>
            </w:r>
          </w:p>
        </w:tc>
      </w:tr>
      <w:tr w:rsidR="00702F87" w:rsidRPr="006A7B13" w14:paraId="13FF6C38"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999E48A" w14:textId="479C59BE"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MD</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FE15ED2"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Mean deviation</w:t>
            </w:r>
          </w:p>
        </w:tc>
      </w:tr>
      <w:tr w:rsidR="00702F87" w:rsidRPr="006A7B13" w14:paraId="52D18C01"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8E75039"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MG</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CFD772B"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Milligram</w:t>
            </w:r>
          </w:p>
        </w:tc>
      </w:tr>
      <w:tr w:rsidR="00702F87" w:rsidRPr="006A7B13" w14:paraId="62E8A4CC"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BF4E50B"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Mg/dl</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D03B94E"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Milligram per decilitre</w:t>
            </w:r>
          </w:p>
        </w:tc>
      </w:tr>
      <w:tr w:rsidR="00702F87" w:rsidRPr="006A7B13" w14:paraId="3F3CD81B"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207208C"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mM</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67846B1"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Millimoles</w:t>
            </w:r>
          </w:p>
        </w:tc>
      </w:tr>
      <w:tr w:rsidR="00702F87" w:rsidRPr="006A7B13" w14:paraId="61BB0D45"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C3B5B8D"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Mmol/L</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C33FE99"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Millimoles per litre</w:t>
            </w:r>
          </w:p>
        </w:tc>
      </w:tr>
      <w:tr w:rsidR="00702F87" w:rsidRPr="006A7B13" w14:paraId="7ABC3E4D"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FF8FA2A"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Mmol/mol</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DA1FEE3"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Millimoles per mole</w:t>
            </w:r>
          </w:p>
        </w:tc>
      </w:tr>
      <w:tr w:rsidR="00702F87" w:rsidRPr="006A7B13" w14:paraId="21814B23"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2AF0949"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MSD</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003EBFE"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Mediterranean style diet</w:t>
            </w:r>
          </w:p>
        </w:tc>
      </w:tr>
      <w:tr w:rsidR="00702F87" w:rsidRPr="006A7B13" w14:paraId="76C5C6A3"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82C4BB6"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NAFLD</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66188B1"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Non-alcoholic fatty liver disease</w:t>
            </w:r>
          </w:p>
        </w:tc>
      </w:tr>
      <w:tr w:rsidR="00702F87" w:rsidRPr="006A7B13" w14:paraId="1021BFFE"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C626157"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NCD</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53CFF7B"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Non communicable disease</w:t>
            </w:r>
          </w:p>
        </w:tc>
      </w:tr>
      <w:tr w:rsidR="00702F87" w:rsidRPr="006A7B13" w14:paraId="12177F6A"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9CF307D"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NHS</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C84149D"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National Health Service</w:t>
            </w:r>
          </w:p>
        </w:tc>
      </w:tr>
      <w:tr w:rsidR="00702F87" w:rsidRPr="006A7B13" w14:paraId="1D05CE98"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A7FB7B6"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PBD</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0B78F6C"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Plant based diet</w:t>
            </w:r>
          </w:p>
        </w:tc>
      </w:tr>
      <w:tr w:rsidR="00702F87" w:rsidRPr="006A7B13" w14:paraId="6BAA110A"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2D36515"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RCT</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2D976AA"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Randomised controlled trial</w:t>
            </w:r>
          </w:p>
        </w:tc>
      </w:tr>
      <w:tr w:rsidR="00702F87" w:rsidRPr="006A7B13" w14:paraId="52E4F735"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65CAB71"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RDS</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C2A03E9"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Rapidly digested starch</w:t>
            </w:r>
          </w:p>
        </w:tc>
      </w:tr>
      <w:tr w:rsidR="00702F87" w:rsidRPr="006A7B13" w14:paraId="3B9E500C"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4EC85DF"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RS</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0D878C7"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Resistant starch</w:t>
            </w:r>
          </w:p>
        </w:tc>
      </w:tr>
      <w:tr w:rsidR="00702F87" w:rsidRPr="006A7B13" w14:paraId="4E77C449"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371A99C"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SBP</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A84A9EC"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Systolic blood pressure</w:t>
            </w:r>
          </w:p>
        </w:tc>
      </w:tr>
      <w:tr w:rsidR="00702F87" w:rsidRPr="006A7B13" w14:paraId="044397D5"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3B2009B"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T2DM</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ECE1D37"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Type 2 diabetes mellitus</w:t>
            </w:r>
          </w:p>
        </w:tc>
      </w:tr>
      <w:tr w:rsidR="00702F87" w:rsidRPr="006A7B13" w14:paraId="1A73D75F"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024797B"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UPF</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25538E2"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Ultra-processed food</w:t>
            </w:r>
          </w:p>
        </w:tc>
      </w:tr>
      <w:tr w:rsidR="00702F87" w:rsidRPr="006A7B13" w14:paraId="3FEAC284"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91A23DD"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VLCD</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ADEC9A7"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Very low carbohydrate diet</w:t>
            </w:r>
          </w:p>
        </w:tc>
      </w:tr>
      <w:tr w:rsidR="00702F87" w:rsidRPr="006A7B13" w14:paraId="5700F872"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C351A4C"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VLCDMED</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C3E8F02" w14:textId="3E228220" w:rsidR="00702F87" w:rsidRPr="006A7B13" w:rsidRDefault="00D5544A" w:rsidP="006A7B13">
            <w:pPr>
              <w:spacing w:after="0" w:line="240" w:lineRule="auto"/>
              <w:jc w:val="both"/>
              <w:rPr>
                <w:rFonts w:ascii="Times New Roman" w:hAnsi="Times New Roman"/>
                <w:color w:val="000000"/>
              </w:rPr>
            </w:pPr>
            <w:r>
              <w:rPr>
                <w:rFonts w:ascii="Times New Roman" w:hAnsi="Times New Roman"/>
                <w:color w:val="000000"/>
              </w:rPr>
              <w:t xml:space="preserve">Very </w:t>
            </w:r>
            <w:r w:rsidR="00CA1B2F">
              <w:rPr>
                <w:rFonts w:ascii="Times New Roman" w:hAnsi="Times New Roman"/>
                <w:color w:val="000000"/>
              </w:rPr>
              <w:t>low-calorie</w:t>
            </w:r>
            <w:r>
              <w:rPr>
                <w:rFonts w:ascii="Times New Roman" w:hAnsi="Times New Roman"/>
                <w:color w:val="000000"/>
              </w:rPr>
              <w:t xml:space="preserve"> M</w:t>
            </w:r>
            <w:r w:rsidR="00702F87" w:rsidRPr="006A7B13">
              <w:rPr>
                <w:rFonts w:ascii="Times New Roman" w:hAnsi="Times New Roman"/>
                <w:color w:val="000000"/>
              </w:rPr>
              <w:t>editerranean diet</w:t>
            </w:r>
          </w:p>
        </w:tc>
      </w:tr>
      <w:tr w:rsidR="00702F87" w:rsidRPr="006A7B13" w14:paraId="11EC89D0"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B481A82"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VLCKD</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82DD90C"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Very low carbohydrate ketogenic diet</w:t>
            </w:r>
          </w:p>
        </w:tc>
      </w:tr>
      <w:tr w:rsidR="00702F87" w:rsidRPr="006A7B13" w14:paraId="3EC266EB"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A6FAC22"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VLCKMED</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92B5756" w14:textId="542B98BA"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Very low calorie ketogenic Mediterranean diet</w:t>
            </w:r>
          </w:p>
        </w:tc>
      </w:tr>
      <w:tr w:rsidR="00702F87" w:rsidRPr="006A7B13" w14:paraId="071E6429" w14:textId="77777777" w:rsidTr="006A7B13">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2F315B2"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WFKD</w:t>
            </w:r>
          </w:p>
        </w:tc>
        <w:tc>
          <w:tcPr>
            <w:tcW w:w="0" w:type="auto"/>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2941CB8"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Whole food ketogenic diet</w:t>
            </w:r>
          </w:p>
        </w:tc>
      </w:tr>
      <w:tr w:rsidR="00702F87" w:rsidRPr="006A7B13" w14:paraId="68C66D33" w14:textId="77777777" w:rsidTr="006A7B13">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3F53DE8"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WHO</w:t>
            </w:r>
          </w:p>
        </w:tc>
        <w:tc>
          <w:tcPr>
            <w:tcW w:w="0" w:type="auto"/>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254C2EA" w14:textId="77777777" w:rsidR="00702F87" w:rsidRPr="006A7B13" w:rsidRDefault="00702F87" w:rsidP="006A7B13">
            <w:pPr>
              <w:spacing w:after="0" w:line="240" w:lineRule="auto"/>
              <w:jc w:val="both"/>
              <w:rPr>
                <w:rFonts w:ascii="Times New Roman" w:hAnsi="Times New Roman"/>
                <w:color w:val="000000"/>
              </w:rPr>
            </w:pPr>
            <w:r w:rsidRPr="006A7B13">
              <w:rPr>
                <w:rFonts w:ascii="Times New Roman" w:hAnsi="Times New Roman"/>
                <w:color w:val="000000"/>
              </w:rPr>
              <w:t>World Health Organisation</w:t>
            </w:r>
          </w:p>
        </w:tc>
      </w:tr>
    </w:tbl>
    <w:p w14:paraId="44085D4E" w14:textId="0ABE5FFC" w:rsidR="004C7669" w:rsidRDefault="004C7669">
      <w:pPr>
        <w:rPr>
          <w:rFonts w:ascii="Times New Roman" w:eastAsia="DengXian" w:hAnsi="Times New Roman" w:cs="Times New Roman"/>
          <w:b/>
          <w:bCs/>
          <w:sz w:val="24"/>
          <w:szCs w:val="24"/>
        </w:rPr>
      </w:pPr>
    </w:p>
    <w:p w14:paraId="34FD9306" w14:textId="325CF47B" w:rsidR="004D7481" w:rsidRPr="005717A1" w:rsidRDefault="004C7669" w:rsidP="006A7B13">
      <w:pPr>
        <w:rPr>
          <w:rFonts w:ascii="Times New Roman" w:eastAsia="DengXian" w:hAnsi="Times New Roman" w:cs="Times New Roman"/>
          <w:b/>
          <w:bCs/>
          <w:sz w:val="24"/>
          <w:szCs w:val="24"/>
        </w:rPr>
      </w:pPr>
      <w:r>
        <w:rPr>
          <w:rFonts w:ascii="Times New Roman" w:eastAsia="DengXian" w:hAnsi="Times New Roman" w:cs="Times New Roman"/>
          <w:b/>
          <w:bCs/>
          <w:sz w:val="24"/>
          <w:szCs w:val="24"/>
        </w:rPr>
        <w:br w:type="page"/>
      </w:r>
      <w:r w:rsidR="004D7481" w:rsidRPr="005717A1">
        <w:rPr>
          <w:rFonts w:ascii="Times New Roman" w:eastAsia="DengXian" w:hAnsi="Times New Roman" w:cs="Times New Roman"/>
          <w:b/>
          <w:bCs/>
          <w:sz w:val="24"/>
          <w:szCs w:val="24"/>
        </w:rPr>
        <w:lastRenderedPageBreak/>
        <w:t xml:space="preserve">Glossary </w:t>
      </w:r>
    </w:p>
    <w:tbl>
      <w:tblPr>
        <w:tblStyle w:val="ListTable1Light-Accent5"/>
        <w:tblW w:w="0" w:type="auto"/>
        <w:tblLook w:val="04A0" w:firstRow="1" w:lastRow="0" w:firstColumn="1" w:lastColumn="0" w:noHBand="0" w:noVBand="1"/>
      </w:tblPr>
      <w:tblGrid>
        <w:gridCol w:w="1996"/>
        <w:gridCol w:w="5928"/>
      </w:tblGrid>
      <w:tr w:rsidR="004D7481" w:rsidRPr="005717A1" w14:paraId="351B464F" w14:textId="77777777" w:rsidTr="004D74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AEDBF79" w14:textId="771467FD" w:rsidR="004D7481" w:rsidRPr="005717A1" w:rsidRDefault="004D7481" w:rsidP="00E84CF8">
            <w:pPr>
              <w:suppressAutoHyphens/>
              <w:autoSpaceDN w:val="0"/>
              <w:spacing w:line="360" w:lineRule="auto"/>
              <w:rPr>
                <w:rFonts w:ascii="Times New Roman" w:eastAsia="DengXian" w:hAnsi="Times New Roman" w:cs="Times New Roman"/>
                <w:b w:val="0"/>
                <w:bCs w:val="0"/>
                <w:sz w:val="24"/>
                <w:szCs w:val="24"/>
              </w:rPr>
            </w:pPr>
            <w:r w:rsidRPr="005717A1">
              <w:rPr>
                <w:rFonts w:ascii="Times New Roman" w:eastAsia="DengXian" w:hAnsi="Times New Roman" w:cs="Times New Roman"/>
                <w:b w:val="0"/>
                <w:bCs w:val="0"/>
                <w:sz w:val="24"/>
                <w:szCs w:val="24"/>
              </w:rPr>
              <w:t xml:space="preserve">Term </w:t>
            </w:r>
          </w:p>
        </w:tc>
        <w:tc>
          <w:tcPr>
            <w:tcW w:w="0" w:type="auto"/>
          </w:tcPr>
          <w:p w14:paraId="2DD73BBB" w14:textId="14A4B163" w:rsidR="004D7481" w:rsidRPr="005717A1" w:rsidRDefault="004D7481" w:rsidP="00E84CF8">
            <w:pPr>
              <w:suppressAutoHyphens/>
              <w:autoSpaceDN w:val="0"/>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DengXian" w:hAnsi="Times New Roman" w:cs="Times New Roman"/>
                <w:b w:val="0"/>
                <w:bCs w:val="0"/>
                <w:sz w:val="24"/>
                <w:szCs w:val="24"/>
              </w:rPr>
            </w:pPr>
            <w:r w:rsidRPr="005717A1">
              <w:rPr>
                <w:rFonts w:ascii="Times New Roman" w:eastAsia="DengXian" w:hAnsi="Times New Roman" w:cs="Times New Roman"/>
                <w:b w:val="0"/>
                <w:bCs w:val="0"/>
                <w:sz w:val="24"/>
                <w:szCs w:val="24"/>
              </w:rPr>
              <w:t>Definition</w:t>
            </w:r>
          </w:p>
        </w:tc>
      </w:tr>
      <w:tr w:rsidR="004D7481" w:rsidRPr="005717A1" w14:paraId="75C30E8D" w14:textId="77777777" w:rsidTr="004D7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2650236" w14:textId="11A08F6B" w:rsidR="004D7481" w:rsidRPr="005717A1" w:rsidRDefault="004D7481" w:rsidP="00E84CF8">
            <w:pPr>
              <w:suppressAutoHyphens/>
              <w:autoSpaceDN w:val="0"/>
              <w:spacing w:line="360" w:lineRule="auto"/>
              <w:rPr>
                <w:rFonts w:ascii="Times New Roman" w:eastAsia="DengXian" w:hAnsi="Times New Roman" w:cs="Times New Roman"/>
                <w:b w:val="0"/>
                <w:bCs w:val="0"/>
                <w:sz w:val="24"/>
                <w:szCs w:val="24"/>
              </w:rPr>
            </w:pPr>
            <w:r w:rsidRPr="005717A1">
              <w:rPr>
                <w:rFonts w:ascii="Times New Roman" w:eastAsia="DengXian" w:hAnsi="Times New Roman" w:cs="Times New Roman"/>
                <w:b w:val="0"/>
                <w:bCs w:val="0"/>
                <w:sz w:val="24"/>
                <w:szCs w:val="24"/>
              </w:rPr>
              <w:t xml:space="preserve">Effects </w:t>
            </w:r>
          </w:p>
        </w:tc>
        <w:tc>
          <w:tcPr>
            <w:tcW w:w="0" w:type="auto"/>
          </w:tcPr>
          <w:p w14:paraId="2812D6B1" w14:textId="331BE1F5" w:rsidR="004D7481" w:rsidRPr="005717A1" w:rsidRDefault="004D7481" w:rsidP="00E84CF8">
            <w:pPr>
              <w:suppressAutoHyphens/>
              <w:autoSpaceDN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b/>
                <w:bCs/>
                <w:sz w:val="24"/>
                <w:szCs w:val="24"/>
              </w:rPr>
            </w:pPr>
            <w:r w:rsidRPr="005717A1">
              <w:rPr>
                <w:rFonts w:ascii="Times New Roman" w:hAnsi="Times New Roman" w:cs="Times New Roman"/>
                <w:color w:val="000000"/>
                <w:sz w:val="24"/>
                <w:szCs w:val="24"/>
              </w:rPr>
              <w:t>a change, response or outcome brought about by something</w:t>
            </w:r>
          </w:p>
        </w:tc>
      </w:tr>
      <w:tr w:rsidR="004D7481" w:rsidRPr="005717A1" w14:paraId="0EFD2752" w14:textId="77777777" w:rsidTr="004D7481">
        <w:tc>
          <w:tcPr>
            <w:cnfStyle w:val="001000000000" w:firstRow="0" w:lastRow="0" w:firstColumn="1" w:lastColumn="0" w:oddVBand="0" w:evenVBand="0" w:oddHBand="0" w:evenHBand="0" w:firstRowFirstColumn="0" w:firstRowLastColumn="0" w:lastRowFirstColumn="0" w:lastRowLastColumn="0"/>
            <w:tcW w:w="0" w:type="auto"/>
          </w:tcPr>
          <w:p w14:paraId="2109E2EF" w14:textId="7BB60944" w:rsidR="004D7481" w:rsidRPr="005717A1" w:rsidRDefault="004D7481" w:rsidP="00E84CF8">
            <w:pPr>
              <w:suppressAutoHyphens/>
              <w:autoSpaceDN w:val="0"/>
              <w:spacing w:line="360" w:lineRule="auto"/>
              <w:rPr>
                <w:rFonts w:ascii="Times New Roman" w:eastAsia="DengXian" w:hAnsi="Times New Roman" w:cs="Times New Roman"/>
                <w:b w:val="0"/>
                <w:bCs w:val="0"/>
                <w:sz w:val="24"/>
                <w:szCs w:val="24"/>
              </w:rPr>
            </w:pPr>
            <w:r w:rsidRPr="005717A1">
              <w:rPr>
                <w:rFonts w:ascii="Times New Roman" w:eastAsia="DengXian" w:hAnsi="Times New Roman" w:cs="Times New Roman"/>
                <w:b w:val="0"/>
                <w:bCs w:val="0"/>
                <w:sz w:val="24"/>
                <w:szCs w:val="24"/>
              </w:rPr>
              <w:t xml:space="preserve">Glycaemic control  </w:t>
            </w:r>
          </w:p>
        </w:tc>
        <w:tc>
          <w:tcPr>
            <w:tcW w:w="0" w:type="auto"/>
          </w:tcPr>
          <w:p w14:paraId="1353C018" w14:textId="15568B3D" w:rsidR="004D7481" w:rsidRPr="005717A1" w:rsidRDefault="004D7481" w:rsidP="00E84CF8">
            <w:pPr>
              <w:suppressAutoHyphens/>
              <w:autoSpaceDN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5717A1">
              <w:rPr>
                <w:rFonts w:ascii="Times New Roman" w:hAnsi="Times New Roman" w:cs="Times New Roman"/>
                <w:color w:val="000000"/>
                <w:sz w:val="24"/>
                <w:szCs w:val="24"/>
              </w:rPr>
              <w:t xml:space="preserve">The ideal blood glucose level for a diabetic </w:t>
            </w:r>
          </w:p>
        </w:tc>
      </w:tr>
    </w:tbl>
    <w:p w14:paraId="7CA8914D" w14:textId="1FEF0C80" w:rsidR="001A41E6" w:rsidRDefault="001A41E6">
      <w:pPr>
        <w:rPr>
          <w:rFonts w:ascii="Times New Roman" w:eastAsia="DengXian" w:hAnsi="Times New Roman" w:cs="Times New Roman"/>
          <w:b/>
          <w:bCs/>
          <w:sz w:val="24"/>
          <w:szCs w:val="24"/>
        </w:rPr>
      </w:pPr>
      <w:r>
        <w:rPr>
          <w:rFonts w:ascii="Times New Roman" w:eastAsia="DengXian" w:hAnsi="Times New Roman" w:cs="Times New Roman"/>
          <w:b/>
          <w:bCs/>
          <w:sz w:val="24"/>
          <w:szCs w:val="24"/>
        </w:rPr>
        <w:br w:type="page"/>
      </w:r>
    </w:p>
    <w:sdt>
      <w:sdtPr>
        <w:id w:val="1547561631"/>
        <w:docPartObj>
          <w:docPartGallery w:val="Table of Contents"/>
          <w:docPartUnique/>
        </w:docPartObj>
      </w:sdtPr>
      <w:sdtEndPr>
        <w:rPr>
          <w:b/>
          <w:bCs/>
          <w:noProof/>
        </w:rPr>
      </w:sdtEndPr>
      <w:sdtContent>
        <w:p w14:paraId="6A5ECEAF" w14:textId="77777777" w:rsidR="00C67910" w:rsidRPr="00D5544A" w:rsidRDefault="00C67910" w:rsidP="00D5544A">
          <w:pPr>
            <w:rPr>
              <w:rFonts w:ascii="New times roman" w:hAnsi="New times roman" w:hint="eastAsia"/>
              <w:b/>
            </w:rPr>
          </w:pPr>
          <w:r w:rsidRPr="00D5544A">
            <w:rPr>
              <w:rFonts w:ascii="New times roman" w:hAnsi="New times roman"/>
              <w:b/>
            </w:rPr>
            <w:t>Contents</w:t>
          </w:r>
        </w:p>
        <w:p w14:paraId="0C50D61C" w14:textId="77777777" w:rsidR="00456A6D" w:rsidRDefault="00C67910">
          <w:pPr>
            <w:pStyle w:val="TOC1"/>
            <w:tabs>
              <w:tab w:val="left" w:pos="440"/>
              <w:tab w:val="right" w:leader="dot" w:pos="9016"/>
            </w:tabs>
            <w:rPr>
              <w:rFonts w:cstheme="minorBidi"/>
              <w:noProof/>
              <w:lang w:val="en-GB" w:eastAsia="en-GB"/>
            </w:rPr>
          </w:pPr>
          <w:r w:rsidRPr="000F7066">
            <w:fldChar w:fldCharType="begin"/>
          </w:r>
          <w:r w:rsidRPr="000F7066">
            <w:instrText xml:space="preserve"> TOC \o "1-3" \h \z \u </w:instrText>
          </w:r>
          <w:r w:rsidRPr="000F7066">
            <w:fldChar w:fldCharType="separate"/>
          </w:r>
          <w:hyperlink w:anchor="_Toc164363452" w:history="1">
            <w:r w:rsidR="00456A6D" w:rsidRPr="001C799C">
              <w:rPr>
                <w:rStyle w:val="Hyperlink"/>
                <w:b/>
                <w:noProof/>
              </w:rPr>
              <w:t>1.</w:t>
            </w:r>
            <w:r w:rsidR="00456A6D">
              <w:rPr>
                <w:rFonts w:cstheme="minorBidi"/>
                <w:noProof/>
                <w:lang w:val="en-GB" w:eastAsia="en-GB"/>
              </w:rPr>
              <w:tab/>
            </w:r>
            <w:r w:rsidR="00456A6D" w:rsidRPr="001C799C">
              <w:rPr>
                <w:rStyle w:val="Hyperlink"/>
                <w:b/>
                <w:noProof/>
              </w:rPr>
              <w:t>Abstract</w:t>
            </w:r>
            <w:r w:rsidR="00456A6D">
              <w:rPr>
                <w:noProof/>
                <w:webHidden/>
              </w:rPr>
              <w:tab/>
            </w:r>
            <w:r w:rsidR="00456A6D">
              <w:rPr>
                <w:noProof/>
                <w:webHidden/>
              </w:rPr>
              <w:fldChar w:fldCharType="begin"/>
            </w:r>
            <w:r w:rsidR="00456A6D">
              <w:rPr>
                <w:noProof/>
                <w:webHidden/>
              </w:rPr>
              <w:instrText xml:space="preserve"> PAGEREF _Toc164363452 \h </w:instrText>
            </w:r>
            <w:r w:rsidR="00456A6D">
              <w:rPr>
                <w:noProof/>
                <w:webHidden/>
              </w:rPr>
            </w:r>
            <w:r w:rsidR="00456A6D">
              <w:rPr>
                <w:noProof/>
                <w:webHidden/>
              </w:rPr>
              <w:fldChar w:fldCharType="separate"/>
            </w:r>
            <w:r w:rsidR="00456A6D">
              <w:rPr>
                <w:noProof/>
                <w:webHidden/>
              </w:rPr>
              <w:t>6</w:t>
            </w:r>
            <w:r w:rsidR="00456A6D">
              <w:rPr>
                <w:noProof/>
                <w:webHidden/>
              </w:rPr>
              <w:fldChar w:fldCharType="end"/>
            </w:r>
          </w:hyperlink>
        </w:p>
        <w:p w14:paraId="1432B57C" w14:textId="77777777" w:rsidR="00456A6D" w:rsidRDefault="00000000">
          <w:pPr>
            <w:pStyle w:val="TOC1"/>
            <w:tabs>
              <w:tab w:val="left" w:pos="440"/>
              <w:tab w:val="right" w:leader="dot" w:pos="9016"/>
            </w:tabs>
            <w:rPr>
              <w:rFonts w:cstheme="minorBidi"/>
              <w:noProof/>
              <w:lang w:val="en-GB" w:eastAsia="en-GB"/>
            </w:rPr>
          </w:pPr>
          <w:hyperlink w:anchor="_Toc164363453" w:history="1">
            <w:r w:rsidR="00456A6D" w:rsidRPr="001C799C">
              <w:rPr>
                <w:rStyle w:val="Hyperlink"/>
                <w:b/>
                <w:noProof/>
              </w:rPr>
              <w:t>2.</w:t>
            </w:r>
            <w:r w:rsidR="00456A6D">
              <w:rPr>
                <w:rFonts w:cstheme="minorBidi"/>
                <w:noProof/>
                <w:lang w:val="en-GB" w:eastAsia="en-GB"/>
              </w:rPr>
              <w:tab/>
            </w:r>
            <w:r w:rsidR="00456A6D" w:rsidRPr="001C799C">
              <w:rPr>
                <w:rStyle w:val="Hyperlink"/>
                <w:b/>
                <w:noProof/>
              </w:rPr>
              <w:t>Introduction</w:t>
            </w:r>
            <w:r w:rsidR="00456A6D">
              <w:rPr>
                <w:noProof/>
                <w:webHidden/>
              </w:rPr>
              <w:tab/>
            </w:r>
            <w:r w:rsidR="00456A6D">
              <w:rPr>
                <w:noProof/>
                <w:webHidden/>
              </w:rPr>
              <w:fldChar w:fldCharType="begin"/>
            </w:r>
            <w:r w:rsidR="00456A6D">
              <w:rPr>
                <w:noProof/>
                <w:webHidden/>
              </w:rPr>
              <w:instrText xml:space="preserve"> PAGEREF _Toc164363453 \h </w:instrText>
            </w:r>
            <w:r w:rsidR="00456A6D">
              <w:rPr>
                <w:noProof/>
                <w:webHidden/>
              </w:rPr>
            </w:r>
            <w:r w:rsidR="00456A6D">
              <w:rPr>
                <w:noProof/>
                <w:webHidden/>
              </w:rPr>
              <w:fldChar w:fldCharType="separate"/>
            </w:r>
            <w:r w:rsidR="00456A6D">
              <w:rPr>
                <w:noProof/>
                <w:webHidden/>
              </w:rPr>
              <w:t>7</w:t>
            </w:r>
            <w:r w:rsidR="00456A6D">
              <w:rPr>
                <w:noProof/>
                <w:webHidden/>
              </w:rPr>
              <w:fldChar w:fldCharType="end"/>
            </w:r>
          </w:hyperlink>
        </w:p>
        <w:p w14:paraId="78690A32" w14:textId="77777777" w:rsidR="00456A6D" w:rsidRDefault="00000000">
          <w:pPr>
            <w:pStyle w:val="TOC2"/>
            <w:tabs>
              <w:tab w:val="left" w:pos="880"/>
              <w:tab w:val="right" w:leader="dot" w:pos="9016"/>
            </w:tabs>
            <w:rPr>
              <w:rFonts w:cstheme="minorBidi"/>
              <w:noProof/>
              <w:lang w:val="en-GB" w:eastAsia="en-GB"/>
            </w:rPr>
          </w:pPr>
          <w:hyperlink w:anchor="_Toc164363454" w:history="1">
            <w:r w:rsidR="00456A6D" w:rsidRPr="001C799C">
              <w:rPr>
                <w:rStyle w:val="Hyperlink"/>
                <w:b/>
                <w:noProof/>
              </w:rPr>
              <w:t>2.1</w:t>
            </w:r>
            <w:r w:rsidR="00456A6D">
              <w:rPr>
                <w:rFonts w:cstheme="minorBidi"/>
                <w:noProof/>
                <w:lang w:val="en-GB" w:eastAsia="en-GB"/>
              </w:rPr>
              <w:tab/>
            </w:r>
            <w:r w:rsidR="00456A6D" w:rsidRPr="001C799C">
              <w:rPr>
                <w:rStyle w:val="Hyperlink"/>
                <w:b/>
                <w:noProof/>
              </w:rPr>
              <w:t>Pancreas</w:t>
            </w:r>
            <w:r w:rsidR="00456A6D">
              <w:rPr>
                <w:noProof/>
                <w:webHidden/>
              </w:rPr>
              <w:tab/>
            </w:r>
            <w:r w:rsidR="00456A6D">
              <w:rPr>
                <w:noProof/>
                <w:webHidden/>
              </w:rPr>
              <w:fldChar w:fldCharType="begin"/>
            </w:r>
            <w:r w:rsidR="00456A6D">
              <w:rPr>
                <w:noProof/>
                <w:webHidden/>
              </w:rPr>
              <w:instrText xml:space="preserve"> PAGEREF _Toc164363454 \h </w:instrText>
            </w:r>
            <w:r w:rsidR="00456A6D">
              <w:rPr>
                <w:noProof/>
                <w:webHidden/>
              </w:rPr>
            </w:r>
            <w:r w:rsidR="00456A6D">
              <w:rPr>
                <w:noProof/>
                <w:webHidden/>
              </w:rPr>
              <w:fldChar w:fldCharType="separate"/>
            </w:r>
            <w:r w:rsidR="00456A6D">
              <w:rPr>
                <w:noProof/>
                <w:webHidden/>
              </w:rPr>
              <w:t>12</w:t>
            </w:r>
            <w:r w:rsidR="00456A6D">
              <w:rPr>
                <w:noProof/>
                <w:webHidden/>
              </w:rPr>
              <w:fldChar w:fldCharType="end"/>
            </w:r>
          </w:hyperlink>
        </w:p>
        <w:p w14:paraId="70B90A2F" w14:textId="77777777" w:rsidR="00456A6D" w:rsidRDefault="00000000">
          <w:pPr>
            <w:pStyle w:val="TOC1"/>
            <w:tabs>
              <w:tab w:val="left" w:pos="440"/>
              <w:tab w:val="right" w:leader="dot" w:pos="9016"/>
            </w:tabs>
            <w:rPr>
              <w:rFonts w:cstheme="minorBidi"/>
              <w:noProof/>
              <w:lang w:val="en-GB" w:eastAsia="en-GB"/>
            </w:rPr>
          </w:pPr>
          <w:hyperlink w:anchor="_Toc164363455" w:history="1">
            <w:r w:rsidR="00456A6D" w:rsidRPr="001C799C">
              <w:rPr>
                <w:rStyle w:val="Hyperlink"/>
                <w:b/>
                <w:noProof/>
              </w:rPr>
              <w:t>3.</w:t>
            </w:r>
            <w:r w:rsidR="00456A6D">
              <w:rPr>
                <w:rFonts w:cstheme="minorBidi"/>
                <w:noProof/>
                <w:lang w:val="en-GB" w:eastAsia="en-GB"/>
              </w:rPr>
              <w:tab/>
            </w:r>
            <w:r w:rsidR="00456A6D" w:rsidRPr="001C799C">
              <w:rPr>
                <w:rStyle w:val="Hyperlink"/>
                <w:b/>
                <w:noProof/>
              </w:rPr>
              <w:t>Aims</w:t>
            </w:r>
            <w:r w:rsidR="00456A6D">
              <w:rPr>
                <w:noProof/>
                <w:webHidden/>
              </w:rPr>
              <w:tab/>
            </w:r>
            <w:r w:rsidR="00456A6D">
              <w:rPr>
                <w:noProof/>
                <w:webHidden/>
              </w:rPr>
              <w:fldChar w:fldCharType="begin"/>
            </w:r>
            <w:r w:rsidR="00456A6D">
              <w:rPr>
                <w:noProof/>
                <w:webHidden/>
              </w:rPr>
              <w:instrText xml:space="preserve"> PAGEREF _Toc164363455 \h </w:instrText>
            </w:r>
            <w:r w:rsidR="00456A6D">
              <w:rPr>
                <w:noProof/>
                <w:webHidden/>
              </w:rPr>
            </w:r>
            <w:r w:rsidR="00456A6D">
              <w:rPr>
                <w:noProof/>
                <w:webHidden/>
              </w:rPr>
              <w:fldChar w:fldCharType="separate"/>
            </w:r>
            <w:r w:rsidR="00456A6D">
              <w:rPr>
                <w:noProof/>
                <w:webHidden/>
              </w:rPr>
              <w:t>14</w:t>
            </w:r>
            <w:r w:rsidR="00456A6D">
              <w:rPr>
                <w:noProof/>
                <w:webHidden/>
              </w:rPr>
              <w:fldChar w:fldCharType="end"/>
            </w:r>
          </w:hyperlink>
        </w:p>
        <w:p w14:paraId="05C8AE2E" w14:textId="77777777" w:rsidR="00456A6D" w:rsidRDefault="00000000">
          <w:pPr>
            <w:pStyle w:val="TOC1"/>
            <w:tabs>
              <w:tab w:val="left" w:pos="440"/>
              <w:tab w:val="right" w:leader="dot" w:pos="9016"/>
            </w:tabs>
            <w:rPr>
              <w:rFonts w:cstheme="minorBidi"/>
              <w:noProof/>
              <w:lang w:val="en-GB" w:eastAsia="en-GB"/>
            </w:rPr>
          </w:pPr>
          <w:hyperlink w:anchor="_Toc164363456" w:history="1">
            <w:r w:rsidR="00456A6D" w:rsidRPr="001C799C">
              <w:rPr>
                <w:rStyle w:val="Hyperlink"/>
                <w:b/>
                <w:noProof/>
              </w:rPr>
              <w:t>4.</w:t>
            </w:r>
            <w:r w:rsidR="00456A6D">
              <w:rPr>
                <w:rFonts w:cstheme="minorBidi"/>
                <w:noProof/>
                <w:lang w:val="en-GB" w:eastAsia="en-GB"/>
              </w:rPr>
              <w:tab/>
            </w:r>
            <w:r w:rsidR="00456A6D" w:rsidRPr="001C799C">
              <w:rPr>
                <w:rStyle w:val="Hyperlink"/>
                <w:b/>
                <w:noProof/>
              </w:rPr>
              <w:t>Methodology</w:t>
            </w:r>
            <w:r w:rsidR="00456A6D">
              <w:rPr>
                <w:noProof/>
                <w:webHidden/>
              </w:rPr>
              <w:tab/>
            </w:r>
            <w:r w:rsidR="00456A6D">
              <w:rPr>
                <w:noProof/>
                <w:webHidden/>
              </w:rPr>
              <w:fldChar w:fldCharType="begin"/>
            </w:r>
            <w:r w:rsidR="00456A6D">
              <w:rPr>
                <w:noProof/>
                <w:webHidden/>
              </w:rPr>
              <w:instrText xml:space="preserve"> PAGEREF _Toc164363456 \h </w:instrText>
            </w:r>
            <w:r w:rsidR="00456A6D">
              <w:rPr>
                <w:noProof/>
                <w:webHidden/>
              </w:rPr>
            </w:r>
            <w:r w:rsidR="00456A6D">
              <w:rPr>
                <w:noProof/>
                <w:webHidden/>
              </w:rPr>
              <w:fldChar w:fldCharType="separate"/>
            </w:r>
            <w:r w:rsidR="00456A6D">
              <w:rPr>
                <w:noProof/>
                <w:webHidden/>
              </w:rPr>
              <w:t>15</w:t>
            </w:r>
            <w:r w:rsidR="00456A6D">
              <w:rPr>
                <w:noProof/>
                <w:webHidden/>
              </w:rPr>
              <w:fldChar w:fldCharType="end"/>
            </w:r>
          </w:hyperlink>
        </w:p>
        <w:p w14:paraId="7ECECCFC" w14:textId="77777777" w:rsidR="00456A6D" w:rsidRDefault="00000000">
          <w:pPr>
            <w:pStyle w:val="TOC1"/>
            <w:tabs>
              <w:tab w:val="left" w:pos="440"/>
              <w:tab w:val="right" w:leader="dot" w:pos="9016"/>
            </w:tabs>
            <w:rPr>
              <w:rFonts w:cstheme="minorBidi"/>
              <w:noProof/>
              <w:lang w:val="en-GB" w:eastAsia="en-GB"/>
            </w:rPr>
          </w:pPr>
          <w:hyperlink w:anchor="_Toc164363457" w:history="1">
            <w:r w:rsidR="00456A6D" w:rsidRPr="001C799C">
              <w:rPr>
                <w:rStyle w:val="Hyperlink"/>
                <w:b/>
                <w:noProof/>
              </w:rPr>
              <w:t>5.</w:t>
            </w:r>
            <w:r w:rsidR="00456A6D">
              <w:rPr>
                <w:rFonts w:cstheme="minorBidi"/>
                <w:noProof/>
                <w:lang w:val="en-GB" w:eastAsia="en-GB"/>
              </w:rPr>
              <w:tab/>
            </w:r>
            <w:r w:rsidR="00456A6D" w:rsidRPr="001C799C">
              <w:rPr>
                <w:rStyle w:val="Hyperlink"/>
                <w:b/>
                <w:noProof/>
              </w:rPr>
              <w:t>Ethical Considerations</w:t>
            </w:r>
            <w:r w:rsidR="00456A6D">
              <w:rPr>
                <w:noProof/>
                <w:webHidden/>
              </w:rPr>
              <w:tab/>
            </w:r>
            <w:r w:rsidR="00456A6D">
              <w:rPr>
                <w:noProof/>
                <w:webHidden/>
              </w:rPr>
              <w:fldChar w:fldCharType="begin"/>
            </w:r>
            <w:r w:rsidR="00456A6D">
              <w:rPr>
                <w:noProof/>
                <w:webHidden/>
              </w:rPr>
              <w:instrText xml:space="preserve"> PAGEREF _Toc164363457 \h </w:instrText>
            </w:r>
            <w:r w:rsidR="00456A6D">
              <w:rPr>
                <w:noProof/>
                <w:webHidden/>
              </w:rPr>
            </w:r>
            <w:r w:rsidR="00456A6D">
              <w:rPr>
                <w:noProof/>
                <w:webHidden/>
              </w:rPr>
              <w:fldChar w:fldCharType="separate"/>
            </w:r>
            <w:r w:rsidR="00456A6D">
              <w:rPr>
                <w:noProof/>
                <w:webHidden/>
              </w:rPr>
              <w:t>17</w:t>
            </w:r>
            <w:r w:rsidR="00456A6D">
              <w:rPr>
                <w:noProof/>
                <w:webHidden/>
              </w:rPr>
              <w:fldChar w:fldCharType="end"/>
            </w:r>
          </w:hyperlink>
        </w:p>
        <w:p w14:paraId="5E9ADB2D" w14:textId="77777777" w:rsidR="00456A6D" w:rsidRDefault="00000000">
          <w:pPr>
            <w:pStyle w:val="TOC1"/>
            <w:tabs>
              <w:tab w:val="left" w:pos="440"/>
              <w:tab w:val="right" w:leader="dot" w:pos="9016"/>
            </w:tabs>
            <w:rPr>
              <w:rFonts w:cstheme="minorBidi"/>
              <w:noProof/>
              <w:lang w:val="en-GB" w:eastAsia="en-GB"/>
            </w:rPr>
          </w:pPr>
          <w:hyperlink w:anchor="_Toc164363458" w:history="1">
            <w:r w:rsidR="00456A6D" w:rsidRPr="001C799C">
              <w:rPr>
                <w:rStyle w:val="Hyperlink"/>
                <w:b/>
                <w:noProof/>
              </w:rPr>
              <w:t>6.</w:t>
            </w:r>
            <w:r w:rsidR="00456A6D">
              <w:rPr>
                <w:rFonts w:cstheme="minorBidi"/>
                <w:noProof/>
                <w:lang w:val="en-GB" w:eastAsia="en-GB"/>
              </w:rPr>
              <w:tab/>
            </w:r>
            <w:r w:rsidR="00456A6D" w:rsidRPr="001C799C">
              <w:rPr>
                <w:rStyle w:val="Hyperlink"/>
                <w:b/>
                <w:noProof/>
              </w:rPr>
              <w:t>Discussion</w:t>
            </w:r>
            <w:r w:rsidR="00456A6D">
              <w:rPr>
                <w:noProof/>
                <w:webHidden/>
              </w:rPr>
              <w:tab/>
            </w:r>
            <w:r w:rsidR="00456A6D">
              <w:rPr>
                <w:noProof/>
                <w:webHidden/>
              </w:rPr>
              <w:fldChar w:fldCharType="begin"/>
            </w:r>
            <w:r w:rsidR="00456A6D">
              <w:rPr>
                <w:noProof/>
                <w:webHidden/>
              </w:rPr>
              <w:instrText xml:space="preserve"> PAGEREF _Toc164363458 \h </w:instrText>
            </w:r>
            <w:r w:rsidR="00456A6D">
              <w:rPr>
                <w:noProof/>
                <w:webHidden/>
              </w:rPr>
            </w:r>
            <w:r w:rsidR="00456A6D">
              <w:rPr>
                <w:noProof/>
                <w:webHidden/>
              </w:rPr>
              <w:fldChar w:fldCharType="separate"/>
            </w:r>
            <w:r w:rsidR="00456A6D">
              <w:rPr>
                <w:noProof/>
                <w:webHidden/>
              </w:rPr>
              <w:t>18</w:t>
            </w:r>
            <w:r w:rsidR="00456A6D">
              <w:rPr>
                <w:noProof/>
                <w:webHidden/>
              </w:rPr>
              <w:fldChar w:fldCharType="end"/>
            </w:r>
          </w:hyperlink>
        </w:p>
        <w:p w14:paraId="75D74275" w14:textId="77777777" w:rsidR="00456A6D" w:rsidRDefault="00000000">
          <w:pPr>
            <w:pStyle w:val="TOC2"/>
            <w:tabs>
              <w:tab w:val="left" w:pos="880"/>
              <w:tab w:val="right" w:leader="dot" w:pos="9016"/>
            </w:tabs>
            <w:rPr>
              <w:rFonts w:cstheme="minorBidi"/>
              <w:noProof/>
              <w:lang w:val="en-GB" w:eastAsia="en-GB"/>
            </w:rPr>
          </w:pPr>
          <w:hyperlink w:anchor="_Toc164363459" w:history="1">
            <w:r w:rsidR="00456A6D" w:rsidRPr="001C799C">
              <w:rPr>
                <w:rStyle w:val="Hyperlink"/>
                <w:b/>
                <w:noProof/>
              </w:rPr>
              <w:t>6.1</w:t>
            </w:r>
            <w:r w:rsidR="00456A6D">
              <w:rPr>
                <w:rFonts w:cstheme="minorBidi"/>
                <w:noProof/>
                <w:lang w:val="en-GB" w:eastAsia="en-GB"/>
              </w:rPr>
              <w:tab/>
            </w:r>
            <w:r w:rsidR="00456A6D" w:rsidRPr="001C799C">
              <w:rPr>
                <w:rStyle w:val="Hyperlink"/>
                <w:b/>
                <w:noProof/>
              </w:rPr>
              <w:t>Low Glycaemic Index Diet</w:t>
            </w:r>
            <w:r w:rsidR="00456A6D">
              <w:rPr>
                <w:noProof/>
                <w:webHidden/>
              </w:rPr>
              <w:tab/>
            </w:r>
            <w:r w:rsidR="00456A6D">
              <w:rPr>
                <w:noProof/>
                <w:webHidden/>
              </w:rPr>
              <w:fldChar w:fldCharType="begin"/>
            </w:r>
            <w:r w:rsidR="00456A6D">
              <w:rPr>
                <w:noProof/>
                <w:webHidden/>
              </w:rPr>
              <w:instrText xml:space="preserve"> PAGEREF _Toc164363459 \h </w:instrText>
            </w:r>
            <w:r w:rsidR="00456A6D">
              <w:rPr>
                <w:noProof/>
                <w:webHidden/>
              </w:rPr>
            </w:r>
            <w:r w:rsidR="00456A6D">
              <w:rPr>
                <w:noProof/>
                <w:webHidden/>
              </w:rPr>
              <w:fldChar w:fldCharType="separate"/>
            </w:r>
            <w:r w:rsidR="00456A6D">
              <w:rPr>
                <w:noProof/>
                <w:webHidden/>
              </w:rPr>
              <w:t>18</w:t>
            </w:r>
            <w:r w:rsidR="00456A6D">
              <w:rPr>
                <w:noProof/>
                <w:webHidden/>
              </w:rPr>
              <w:fldChar w:fldCharType="end"/>
            </w:r>
          </w:hyperlink>
        </w:p>
        <w:p w14:paraId="5E1D7F09" w14:textId="77777777" w:rsidR="00456A6D" w:rsidRDefault="00000000">
          <w:pPr>
            <w:pStyle w:val="TOC2"/>
            <w:tabs>
              <w:tab w:val="left" w:pos="880"/>
              <w:tab w:val="right" w:leader="dot" w:pos="9016"/>
            </w:tabs>
            <w:rPr>
              <w:rFonts w:cstheme="minorBidi"/>
              <w:noProof/>
              <w:lang w:val="en-GB" w:eastAsia="en-GB"/>
            </w:rPr>
          </w:pPr>
          <w:hyperlink w:anchor="_Toc164363460" w:history="1">
            <w:r w:rsidR="00456A6D" w:rsidRPr="001C799C">
              <w:rPr>
                <w:rStyle w:val="Hyperlink"/>
                <w:b/>
                <w:noProof/>
              </w:rPr>
              <w:t>6.2</w:t>
            </w:r>
            <w:r w:rsidR="00456A6D">
              <w:rPr>
                <w:rFonts w:cstheme="minorBidi"/>
                <w:noProof/>
                <w:lang w:val="en-GB" w:eastAsia="en-GB"/>
              </w:rPr>
              <w:tab/>
            </w:r>
            <w:r w:rsidR="00456A6D" w:rsidRPr="001C799C">
              <w:rPr>
                <w:rStyle w:val="Hyperlink"/>
                <w:b/>
                <w:noProof/>
              </w:rPr>
              <w:t>Low Carbohydrate Diet</w:t>
            </w:r>
            <w:r w:rsidR="00456A6D">
              <w:rPr>
                <w:noProof/>
                <w:webHidden/>
              </w:rPr>
              <w:tab/>
            </w:r>
            <w:r w:rsidR="00456A6D">
              <w:rPr>
                <w:noProof/>
                <w:webHidden/>
              </w:rPr>
              <w:fldChar w:fldCharType="begin"/>
            </w:r>
            <w:r w:rsidR="00456A6D">
              <w:rPr>
                <w:noProof/>
                <w:webHidden/>
              </w:rPr>
              <w:instrText xml:space="preserve"> PAGEREF _Toc164363460 \h </w:instrText>
            </w:r>
            <w:r w:rsidR="00456A6D">
              <w:rPr>
                <w:noProof/>
                <w:webHidden/>
              </w:rPr>
            </w:r>
            <w:r w:rsidR="00456A6D">
              <w:rPr>
                <w:noProof/>
                <w:webHidden/>
              </w:rPr>
              <w:fldChar w:fldCharType="separate"/>
            </w:r>
            <w:r w:rsidR="00456A6D">
              <w:rPr>
                <w:noProof/>
                <w:webHidden/>
              </w:rPr>
              <w:t>21</w:t>
            </w:r>
            <w:r w:rsidR="00456A6D">
              <w:rPr>
                <w:noProof/>
                <w:webHidden/>
              </w:rPr>
              <w:fldChar w:fldCharType="end"/>
            </w:r>
          </w:hyperlink>
        </w:p>
        <w:p w14:paraId="2C9F51EA" w14:textId="77777777" w:rsidR="00456A6D" w:rsidRDefault="00000000">
          <w:pPr>
            <w:pStyle w:val="TOC2"/>
            <w:tabs>
              <w:tab w:val="left" w:pos="880"/>
              <w:tab w:val="right" w:leader="dot" w:pos="9016"/>
            </w:tabs>
            <w:rPr>
              <w:rFonts w:cstheme="minorBidi"/>
              <w:noProof/>
              <w:lang w:val="en-GB" w:eastAsia="en-GB"/>
            </w:rPr>
          </w:pPr>
          <w:hyperlink w:anchor="_Toc164363461" w:history="1">
            <w:r w:rsidR="00456A6D" w:rsidRPr="001C799C">
              <w:rPr>
                <w:rStyle w:val="Hyperlink"/>
                <w:b/>
                <w:noProof/>
              </w:rPr>
              <w:t>6.3</w:t>
            </w:r>
            <w:r w:rsidR="00456A6D">
              <w:rPr>
                <w:rFonts w:cstheme="minorBidi"/>
                <w:noProof/>
                <w:lang w:val="en-GB" w:eastAsia="en-GB"/>
              </w:rPr>
              <w:tab/>
            </w:r>
            <w:r w:rsidR="00456A6D" w:rsidRPr="001C799C">
              <w:rPr>
                <w:rStyle w:val="Hyperlink"/>
                <w:b/>
                <w:noProof/>
              </w:rPr>
              <w:t>Vegetarian/ Vegan diet</w:t>
            </w:r>
            <w:r w:rsidR="00456A6D">
              <w:rPr>
                <w:noProof/>
                <w:webHidden/>
              </w:rPr>
              <w:tab/>
            </w:r>
            <w:r w:rsidR="00456A6D">
              <w:rPr>
                <w:noProof/>
                <w:webHidden/>
              </w:rPr>
              <w:fldChar w:fldCharType="begin"/>
            </w:r>
            <w:r w:rsidR="00456A6D">
              <w:rPr>
                <w:noProof/>
                <w:webHidden/>
              </w:rPr>
              <w:instrText xml:space="preserve"> PAGEREF _Toc164363461 \h </w:instrText>
            </w:r>
            <w:r w:rsidR="00456A6D">
              <w:rPr>
                <w:noProof/>
                <w:webHidden/>
              </w:rPr>
            </w:r>
            <w:r w:rsidR="00456A6D">
              <w:rPr>
                <w:noProof/>
                <w:webHidden/>
              </w:rPr>
              <w:fldChar w:fldCharType="separate"/>
            </w:r>
            <w:r w:rsidR="00456A6D">
              <w:rPr>
                <w:noProof/>
                <w:webHidden/>
              </w:rPr>
              <w:t>25</w:t>
            </w:r>
            <w:r w:rsidR="00456A6D">
              <w:rPr>
                <w:noProof/>
                <w:webHidden/>
              </w:rPr>
              <w:fldChar w:fldCharType="end"/>
            </w:r>
          </w:hyperlink>
        </w:p>
        <w:p w14:paraId="77164915" w14:textId="77777777" w:rsidR="00456A6D" w:rsidRDefault="00000000">
          <w:pPr>
            <w:pStyle w:val="TOC2"/>
            <w:tabs>
              <w:tab w:val="left" w:pos="880"/>
              <w:tab w:val="right" w:leader="dot" w:pos="9016"/>
            </w:tabs>
            <w:rPr>
              <w:rFonts w:cstheme="minorBidi"/>
              <w:noProof/>
              <w:lang w:val="en-GB" w:eastAsia="en-GB"/>
            </w:rPr>
          </w:pPr>
          <w:hyperlink w:anchor="_Toc164363462" w:history="1">
            <w:r w:rsidR="00456A6D" w:rsidRPr="001C799C">
              <w:rPr>
                <w:rStyle w:val="Hyperlink"/>
                <w:b/>
                <w:noProof/>
              </w:rPr>
              <w:t>6.4</w:t>
            </w:r>
            <w:r w:rsidR="00456A6D">
              <w:rPr>
                <w:rFonts w:cstheme="minorBidi"/>
                <w:noProof/>
                <w:lang w:val="en-GB" w:eastAsia="en-GB"/>
              </w:rPr>
              <w:tab/>
            </w:r>
            <w:r w:rsidR="00456A6D" w:rsidRPr="001C799C">
              <w:rPr>
                <w:rStyle w:val="Hyperlink"/>
                <w:b/>
                <w:noProof/>
              </w:rPr>
              <w:t>Mediterranean Diet</w:t>
            </w:r>
            <w:r w:rsidR="00456A6D">
              <w:rPr>
                <w:noProof/>
                <w:webHidden/>
              </w:rPr>
              <w:tab/>
            </w:r>
            <w:r w:rsidR="00456A6D">
              <w:rPr>
                <w:noProof/>
                <w:webHidden/>
              </w:rPr>
              <w:fldChar w:fldCharType="begin"/>
            </w:r>
            <w:r w:rsidR="00456A6D">
              <w:rPr>
                <w:noProof/>
                <w:webHidden/>
              </w:rPr>
              <w:instrText xml:space="preserve"> PAGEREF _Toc164363462 \h </w:instrText>
            </w:r>
            <w:r w:rsidR="00456A6D">
              <w:rPr>
                <w:noProof/>
                <w:webHidden/>
              </w:rPr>
            </w:r>
            <w:r w:rsidR="00456A6D">
              <w:rPr>
                <w:noProof/>
                <w:webHidden/>
              </w:rPr>
              <w:fldChar w:fldCharType="separate"/>
            </w:r>
            <w:r w:rsidR="00456A6D">
              <w:rPr>
                <w:noProof/>
                <w:webHidden/>
              </w:rPr>
              <w:t>29</w:t>
            </w:r>
            <w:r w:rsidR="00456A6D">
              <w:rPr>
                <w:noProof/>
                <w:webHidden/>
              </w:rPr>
              <w:fldChar w:fldCharType="end"/>
            </w:r>
          </w:hyperlink>
        </w:p>
        <w:p w14:paraId="2CFEAAFC" w14:textId="77777777" w:rsidR="00456A6D" w:rsidRDefault="00000000">
          <w:pPr>
            <w:pStyle w:val="TOC1"/>
            <w:tabs>
              <w:tab w:val="left" w:pos="440"/>
              <w:tab w:val="right" w:leader="dot" w:pos="9016"/>
            </w:tabs>
            <w:rPr>
              <w:rFonts w:cstheme="minorBidi"/>
              <w:noProof/>
              <w:lang w:val="en-GB" w:eastAsia="en-GB"/>
            </w:rPr>
          </w:pPr>
          <w:hyperlink w:anchor="_Toc164363463" w:history="1">
            <w:r w:rsidR="00456A6D" w:rsidRPr="001C799C">
              <w:rPr>
                <w:rStyle w:val="Hyperlink"/>
                <w:b/>
                <w:noProof/>
              </w:rPr>
              <w:t>7.</w:t>
            </w:r>
            <w:r w:rsidR="00456A6D">
              <w:rPr>
                <w:rFonts w:cstheme="minorBidi"/>
                <w:noProof/>
                <w:lang w:val="en-GB" w:eastAsia="en-GB"/>
              </w:rPr>
              <w:tab/>
            </w:r>
            <w:r w:rsidR="00456A6D" w:rsidRPr="001C799C">
              <w:rPr>
                <w:rStyle w:val="Hyperlink"/>
                <w:b/>
                <w:noProof/>
              </w:rPr>
              <w:t>Conclusion/ Recommendations</w:t>
            </w:r>
            <w:r w:rsidR="00456A6D">
              <w:rPr>
                <w:noProof/>
                <w:webHidden/>
              </w:rPr>
              <w:tab/>
            </w:r>
            <w:r w:rsidR="00456A6D">
              <w:rPr>
                <w:noProof/>
                <w:webHidden/>
              </w:rPr>
              <w:fldChar w:fldCharType="begin"/>
            </w:r>
            <w:r w:rsidR="00456A6D">
              <w:rPr>
                <w:noProof/>
                <w:webHidden/>
              </w:rPr>
              <w:instrText xml:space="preserve"> PAGEREF _Toc164363463 \h </w:instrText>
            </w:r>
            <w:r w:rsidR="00456A6D">
              <w:rPr>
                <w:noProof/>
                <w:webHidden/>
              </w:rPr>
            </w:r>
            <w:r w:rsidR="00456A6D">
              <w:rPr>
                <w:noProof/>
                <w:webHidden/>
              </w:rPr>
              <w:fldChar w:fldCharType="separate"/>
            </w:r>
            <w:r w:rsidR="00456A6D">
              <w:rPr>
                <w:noProof/>
                <w:webHidden/>
              </w:rPr>
              <w:t>33</w:t>
            </w:r>
            <w:r w:rsidR="00456A6D">
              <w:rPr>
                <w:noProof/>
                <w:webHidden/>
              </w:rPr>
              <w:fldChar w:fldCharType="end"/>
            </w:r>
          </w:hyperlink>
        </w:p>
        <w:p w14:paraId="40F23EDE" w14:textId="77777777" w:rsidR="00456A6D" w:rsidRDefault="00000000">
          <w:pPr>
            <w:pStyle w:val="TOC2"/>
            <w:tabs>
              <w:tab w:val="left" w:pos="880"/>
              <w:tab w:val="right" w:leader="dot" w:pos="9016"/>
            </w:tabs>
            <w:rPr>
              <w:rFonts w:cstheme="minorBidi"/>
              <w:noProof/>
              <w:lang w:val="en-GB" w:eastAsia="en-GB"/>
            </w:rPr>
          </w:pPr>
          <w:hyperlink w:anchor="_Toc164363464" w:history="1">
            <w:r w:rsidR="00456A6D" w:rsidRPr="001C799C">
              <w:rPr>
                <w:rStyle w:val="Hyperlink"/>
                <w:b/>
                <w:noProof/>
              </w:rPr>
              <w:t>7.1</w:t>
            </w:r>
            <w:r w:rsidR="00456A6D">
              <w:rPr>
                <w:rFonts w:cstheme="minorBidi"/>
                <w:noProof/>
                <w:lang w:val="en-GB" w:eastAsia="en-GB"/>
              </w:rPr>
              <w:tab/>
            </w:r>
            <w:r w:rsidR="00456A6D" w:rsidRPr="001C799C">
              <w:rPr>
                <w:rStyle w:val="Hyperlink"/>
                <w:b/>
                <w:noProof/>
              </w:rPr>
              <w:t>Strengths</w:t>
            </w:r>
            <w:r w:rsidR="00456A6D">
              <w:rPr>
                <w:noProof/>
                <w:webHidden/>
              </w:rPr>
              <w:tab/>
            </w:r>
            <w:r w:rsidR="00456A6D">
              <w:rPr>
                <w:noProof/>
                <w:webHidden/>
              </w:rPr>
              <w:fldChar w:fldCharType="begin"/>
            </w:r>
            <w:r w:rsidR="00456A6D">
              <w:rPr>
                <w:noProof/>
                <w:webHidden/>
              </w:rPr>
              <w:instrText xml:space="preserve"> PAGEREF _Toc164363464 \h </w:instrText>
            </w:r>
            <w:r w:rsidR="00456A6D">
              <w:rPr>
                <w:noProof/>
                <w:webHidden/>
              </w:rPr>
            </w:r>
            <w:r w:rsidR="00456A6D">
              <w:rPr>
                <w:noProof/>
                <w:webHidden/>
              </w:rPr>
              <w:fldChar w:fldCharType="separate"/>
            </w:r>
            <w:r w:rsidR="00456A6D">
              <w:rPr>
                <w:noProof/>
                <w:webHidden/>
              </w:rPr>
              <w:t>33</w:t>
            </w:r>
            <w:r w:rsidR="00456A6D">
              <w:rPr>
                <w:noProof/>
                <w:webHidden/>
              </w:rPr>
              <w:fldChar w:fldCharType="end"/>
            </w:r>
          </w:hyperlink>
        </w:p>
        <w:p w14:paraId="2862A2C4" w14:textId="77777777" w:rsidR="00456A6D" w:rsidRDefault="00000000">
          <w:pPr>
            <w:pStyle w:val="TOC2"/>
            <w:tabs>
              <w:tab w:val="left" w:pos="880"/>
              <w:tab w:val="right" w:leader="dot" w:pos="9016"/>
            </w:tabs>
            <w:rPr>
              <w:rFonts w:cstheme="minorBidi"/>
              <w:noProof/>
              <w:lang w:val="en-GB" w:eastAsia="en-GB"/>
            </w:rPr>
          </w:pPr>
          <w:hyperlink w:anchor="_Toc164363465" w:history="1">
            <w:r w:rsidR="00456A6D" w:rsidRPr="001C799C">
              <w:rPr>
                <w:rStyle w:val="Hyperlink"/>
                <w:b/>
                <w:noProof/>
              </w:rPr>
              <w:t>7.2</w:t>
            </w:r>
            <w:r w:rsidR="00456A6D">
              <w:rPr>
                <w:rFonts w:cstheme="minorBidi"/>
                <w:noProof/>
                <w:lang w:val="en-GB" w:eastAsia="en-GB"/>
              </w:rPr>
              <w:tab/>
            </w:r>
            <w:r w:rsidR="00456A6D" w:rsidRPr="001C799C">
              <w:rPr>
                <w:rStyle w:val="Hyperlink"/>
                <w:b/>
                <w:noProof/>
              </w:rPr>
              <w:t>Limitations</w:t>
            </w:r>
            <w:r w:rsidR="00456A6D">
              <w:rPr>
                <w:noProof/>
                <w:webHidden/>
              </w:rPr>
              <w:tab/>
            </w:r>
            <w:r w:rsidR="00456A6D">
              <w:rPr>
                <w:noProof/>
                <w:webHidden/>
              </w:rPr>
              <w:fldChar w:fldCharType="begin"/>
            </w:r>
            <w:r w:rsidR="00456A6D">
              <w:rPr>
                <w:noProof/>
                <w:webHidden/>
              </w:rPr>
              <w:instrText xml:space="preserve"> PAGEREF _Toc164363465 \h </w:instrText>
            </w:r>
            <w:r w:rsidR="00456A6D">
              <w:rPr>
                <w:noProof/>
                <w:webHidden/>
              </w:rPr>
            </w:r>
            <w:r w:rsidR="00456A6D">
              <w:rPr>
                <w:noProof/>
                <w:webHidden/>
              </w:rPr>
              <w:fldChar w:fldCharType="separate"/>
            </w:r>
            <w:r w:rsidR="00456A6D">
              <w:rPr>
                <w:noProof/>
                <w:webHidden/>
              </w:rPr>
              <w:t>34</w:t>
            </w:r>
            <w:r w:rsidR="00456A6D">
              <w:rPr>
                <w:noProof/>
                <w:webHidden/>
              </w:rPr>
              <w:fldChar w:fldCharType="end"/>
            </w:r>
          </w:hyperlink>
        </w:p>
        <w:p w14:paraId="6B0B040E" w14:textId="77777777" w:rsidR="00456A6D" w:rsidRDefault="00000000">
          <w:pPr>
            <w:pStyle w:val="TOC2"/>
            <w:tabs>
              <w:tab w:val="left" w:pos="880"/>
              <w:tab w:val="right" w:leader="dot" w:pos="9016"/>
            </w:tabs>
            <w:rPr>
              <w:rFonts w:cstheme="minorBidi"/>
              <w:noProof/>
              <w:lang w:val="en-GB" w:eastAsia="en-GB"/>
            </w:rPr>
          </w:pPr>
          <w:hyperlink w:anchor="_Toc164363466" w:history="1">
            <w:r w:rsidR="00456A6D" w:rsidRPr="001C799C">
              <w:rPr>
                <w:rStyle w:val="Hyperlink"/>
                <w:b/>
                <w:noProof/>
              </w:rPr>
              <w:t>7.3</w:t>
            </w:r>
            <w:r w:rsidR="00456A6D">
              <w:rPr>
                <w:rFonts w:cstheme="minorBidi"/>
                <w:noProof/>
                <w:lang w:val="en-GB" w:eastAsia="en-GB"/>
              </w:rPr>
              <w:tab/>
            </w:r>
            <w:r w:rsidR="00456A6D" w:rsidRPr="001C799C">
              <w:rPr>
                <w:rStyle w:val="Hyperlink"/>
                <w:b/>
                <w:noProof/>
              </w:rPr>
              <w:t>Gaps</w:t>
            </w:r>
            <w:r w:rsidR="00456A6D">
              <w:rPr>
                <w:noProof/>
                <w:webHidden/>
              </w:rPr>
              <w:tab/>
            </w:r>
            <w:r w:rsidR="00456A6D">
              <w:rPr>
                <w:noProof/>
                <w:webHidden/>
              </w:rPr>
              <w:fldChar w:fldCharType="begin"/>
            </w:r>
            <w:r w:rsidR="00456A6D">
              <w:rPr>
                <w:noProof/>
                <w:webHidden/>
              </w:rPr>
              <w:instrText xml:space="preserve"> PAGEREF _Toc164363466 \h </w:instrText>
            </w:r>
            <w:r w:rsidR="00456A6D">
              <w:rPr>
                <w:noProof/>
                <w:webHidden/>
              </w:rPr>
            </w:r>
            <w:r w:rsidR="00456A6D">
              <w:rPr>
                <w:noProof/>
                <w:webHidden/>
              </w:rPr>
              <w:fldChar w:fldCharType="separate"/>
            </w:r>
            <w:r w:rsidR="00456A6D">
              <w:rPr>
                <w:noProof/>
                <w:webHidden/>
              </w:rPr>
              <w:t>34</w:t>
            </w:r>
            <w:r w:rsidR="00456A6D">
              <w:rPr>
                <w:noProof/>
                <w:webHidden/>
              </w:rPr>
              <w:fldChar w:fldCharType="end"/>
            </w:r>
          </w:hyperlink>
        </w:p>
        <w:p w14:paraId="20A77889" w14:textId="77777777" w:rsidR="00456A6D" w:rsidRDefault="00000000">
          <w:pPr>
            <w:pStyle w:val="TOC2"/>
            <w:tabs>
              <w:tab w:val="left" w:pos="880"/>
              <w:tab w:val="right" w:leader="dot" w:pos="9016"/>
            </w:tabs>
            <w:rPr>
              <w:rFonts w:cstheme="minorBidi"/>
              <w:noProof/>
              <w:lang w:val="en-GB" w:eastAsia="en-GB"/>
            </w:rPr>
          </w:pPr>
          <w:hyperlink w:anchor="_Toc164363467" w:history="1">
            <w:r w:rsidR="00456A6D" w:rsidRPr="001C799C">
              <w:rPr>
                <w:rStyle w:val="Hyperlink"/>
                <w:b/>
                <w:noProof/>
              </w:rPr>
              <w:t>7.4</w:t>
            </w:r>
            <w:r w:rsidR="00456A6D">
              <w:rPr>
                <w:rFonts w:cstheme="minorBidi"/>
                <w:noProof/>
                <w:lang w:val="en-GB" w:eastAsia="en-GB"/>
              </w:rPr>
              <w:tab/>
            </w:r>
            <w:r w:rsidR="00456A6D" w:rsidRPr="001C799C">
              <w:rPr>
                <w:rStyle w:val="Hyperlink"/>
                <w:b/>
                <w:noProof/>
              </w:rPr>
              <w:t>Practical Implications</w:t>
            </w:r>
            <w:r w:rsidR="00456A6D">
              <w:rPr>
                <w:noProof/>
                <w:webHidden/>
              </w:rPr>
              <w:tab/>
            </w:r>
            <w:r w:rsidR="00456A6D">
              <w:rPr>
                <w:noProof/>
                <w:webHidden/>
              </w:rPr>
              <w:fldChar w:fldCharType="begin"/>
            </w:r>
            <w:r w:rsidR="00456A6D">
              <w:rPr>
                <w:noProof/>
                <w:webHidden/>
              </w:rPr>
              <w:instrText xml:space="preserve"> PAGEREF _Toc164363467 \h </w:instrText>
            </w:r>
            <w:r w:rsidR="00456A6D">
              <w:rPr>
                <w:noProof/>
                <w:webHidden/>
              </w:rPr>
            </w:r>
            <w:r w:rsidR="00456A6D">
              <w:rPr>
                <w:noProof/>
                <w:webHidden/>
              </w:rPr>
              <w:fldChar w:fldCharType="separate"/>
            </w:r>
            <w:r w:rsidR="00456A6D">
              <w:rPr>
                <w:noProof/>
                <w:webHidden/>
              </w:rPr>
              <w:t>34</w:t>
            </w:r>
            <w:r w:rsidR="00456A6D">
              <w:rPr>
                <w:noProof/>
                <w:webHidden/>
              </w:rPr>
              <w:fldChar w:fldCharType="end"/>
            </w:r>
          </w:hyperlink>
        </w:p>
        <w:p w14:paraId="53C7E587" w14:textId="77777777" w:rsidR="00456A6D" w:rsidRDefault="00000000">
          <w:pPr>
            <w:pStyle w:val="TOC2"/>
            <w:tabs>
              <w:tab w:val="left" w:pos="880"/>
              <w:tab w:val="right" w:leader="dot" w:pos="9016"/>
            </w:tabs>
            <w:rPr>
              <w:rFonts w:cstheme="minorBidi"/>
              <w:noProof/>
              <w:lang w:val="en-GB" w:eastAsia="en-GB"/>
            </w:rPr>
          </w:pPr>
          <w:hyperlink w:anchor="_Toc164363468" w:history="1">
            <w:r w:rsidR="00456A6D" w:rsidRPr="001C799C">
              <w:rPr>
                <w:rStyle w:val="Hyperlink"/>
                <w:b/>
                <w:noProof/>
              </w:rPr>
              <w:t>7.5</w:t>
            </w:r>
            <w:r w:rsidR="00456A6D">
              <w:rPr>
                <w:rFonts w:cstheme="minorBidi"/>
                <w:noProof/>
                <w:lang w:val="en-GB" w:eastAsia="en-GB"/>
              </w:rPr>
              <w:tab/>
            </w:r>
            <w:r w:rsidR="00456A6D" w:rsidRPr="001C799C">
              <w:rPr>
                <w:rStyle w:val="Hyperlink"/>
                <w:b/>
                <w:noProof/>
              </w:rPr>
              <w:t>Future Research</w:t>
            </w:r>
            <w:r w:rsidR="00456A6D">
              <w:rPr>
                <w:noProof/>
                <w:webHidden/>
              </w:rPr>
              <w:tab/>
            </w:r>
            <w:r w:rsidR="00456A6D">
              <w:rPr>
                <w:noProof/>
                <w:webHidden/>
              </w:rPr>
              <w:fldChar w:fldCharType="begin"/>
            </w:r>
            <w:r w:rsidR="00456A6D">
              <w:rPr>
                <w:noProof/>
                <w:webHidden/>
              </w:rPr>
              <w:instrText xml:space="preserve"> PAGEREF _Toc164363468 \h </w:instrText>
            </w:r>
            <w:r w:rsidR="00456A6D">
              <w:rPr>
                <w:noProof/>
                <w:webHidden/>
              </w:rPr>
            </w:r>
            <w:r w:rsidR="00456A6D">
              <w:rPr>
                <w:noProof/>
                <w:webHidden/>
              </w:rPr>
              <w:fldChar w:fldCharType="separate"/>
            </w:r>
            <w:r w:rsidR="00456A6D">
              <w:rPr>
                <w:noProof/>
                <w:webHidden/>
              </w:rPr>
              <w:t>34</w:t>
            </w:r>
            <w:r w:rsidR="00456A6D">
              <w:rPr>
                <w:noProof/>
                <w:webHidden/>
              </w:rPr>
              <w:fldChar w:fldCharType="end"/>
            </w:r>
          </w:hyperlink>
        </w:p>
        <w:p w14:paraId="36BD4A01" w14:textId="77777777" w:rsidR="00456A6D" w:rsidRDefault="00000000">
          <w:pPr>
            <w:pStyle w:val="TOC1"/>
            <w:tabs>
              <w:tab w:val="left" w:pos="440"/>
              <w:tab w:val="right" w:leader="dot" w:pos="9016"/>
            </w:tabs>
            <w:rPr>
              <w:rFonts w:cstheme="minorBidi"/>
              <w:noProof/>
              <w:lang w:val="en-GB" w:eastAsia="en-GB"/>
            </w:rPr>
          </w:pPr>
          <w:hyperlink w:anchor="_Toc164363469" w:history="1">
            <w:r w:rsidR="00456A6D" w:rsidRPr="001C799C">
              <w:rPr>
                <w:rStyle w:val="Hyperlink"/>
                <w:b/>
                <w:noProof/>
              </w:rPr>
              <w:t>8.</w:t>
            </w:r>
            <w:r w:rsidR="00456A6D">
              <w:rPr>
                <w:rFonts w:cstheme="minorBidi"/>
                <w:noProof/>
                <w:lang w:val="en-GB" w:eastAsia="en-GB"/>
              </w:rPr>
              <w:tab/>
            </w:r>
            <w:r w:rsidR="00456A6D" w:rsidRPr="001C799C">
              <w:rPr>
                <w:rStyle w:val="Hyperlink"/>
                <w:b/>
                <w:noProof/>
              </w:rPr>
              <w:t>References</w:t>
            </w:r>
            <w:r w:rsidR="00456A6D">
              <w:rPr>
                <w:noProof/>
                <w:webHidden/>
              </w:rPr>
              <w:tab/>
            </w:r>
            <w:r w:rsidR="00456A6D">
              <w:rPr>
                <w:noProof/>
                <w:webHidden/>
              </w:rPr>
              <w:fldChar w:fldCharType="begin"/>
            </w:r>
            <w:r w:rsidR="00456A6D">
              <w:rPr>
                <w:noProof/>
                <w:webHidden/>
              </w:rPr>
              <w:instrText xml:space="preserve"> PAGEREF _Toc164363469 \h </w:instrText>
            </w:r>
            <w:r w:rsidR="00456A6D">
              <w:rPr>
                <w:noProof/>
                <w:webHidden/>
              </w:rPr>
            </w:r>
            <w:r w:rsidR="00456A6D">
              <w:rPr>
                <w:noProof/>
                <w:webHidden/>
              </w:rPr>
              <w:fldChar w:fldCharType="separate"/>
            </w:r>
            <w:r w:rsidR="00456A6D">
              <w:rPr>
                <w:noProof/>
                <w:webHidden/>
              </w:rPr>
              <w:t>36</w:t>
            </w:r>
            <w:r w:rsidR="00456A6D">
              <w:rPr>
                <w:noProof/>
                <w:webHidden/>
              </w:rPr>
              <w:fldChar w:fldCharType="end"/>
            </w:r>
          </w:hyperlink>
        </w:p>
        <w:p w14:paraId="17DD8FD1" w14:textId="57ADD7C1" w:rsidR="000E0207" w:rsidRPr="00AD5DAD" w:rsidRDefault="00C67910" w:rsidP="00AD5DAD">
          <w:r w:rsidRPr="000F7066">
            <w:rPr>
              <w:bCs/>
              <w:noProof/>
            </w:rPr>
            <w:fldChar w:fldCharType="end"/>
          </w:r>
        </w:p>
      </w:sdtContent>
    </w:sdt>
    <w:p w14:paraId="7FB27D04" w14:textId="3DA0F15D" w:rsidR="0016109B" w:rsidRDefault="00C67910" w:rsidP="00C67910">
      <w:pPr>
        <w:rPr>
          <w:rFonts w:ascii="Times New Roman" w:eastAsia="DengXian" w:hAnsi="Times New Roman" w:cs="Times New Roman"/>
          <w:b/>
          <w:bCs/>
          <w:color w:val="000000"/>
          <w:sz w:val="24"/>
          <w:szCs w:val="24"/>
        </w:rPr>
      </w:pPr>
      <w:r>
        <w:rPr>
          <w:rFonts w:ascii="Times New Roman" w:eastAsia="DengXian" w:hAnsi="Times New Roman" w:cs="Times New Roman"/>
          <w:b/>
          <w:bCs/>
          <w:color w:val="000000"/>
          <w:sz w:val="24"/>
          <w:szCs w:val="24"/>
        </w:rPr>
        <w:br w:type="page"/>
      </w:r>
    </w:p>
    <w:p w14:paraId="7C4F9BD0" w14:textId="644B4370" w:rsidR="0016109B" w:rsidRDefault="0016109B" w:rsidP="00C67910">
      <w:pPr>
        <w:pStyle w:val="Heading1"/>
        <w:numPr>
          <w:ilvl w:val="0"/>
          <w:numId w:val="1"/>
        </w:numPr>
        <w:rPr>
          <w:b/>
        </w:rPr>
      </w:pPr>
      <w:bookmarkStart w:id="0" w:name="_Toc164363452"/>
      <w:r w:rsidRPr="00C67910">
        <w:rPr>
          <w:b/>
        </w:rPr>
        <w:lastRenderedPageBreak/>
        <w:t>Abstract</w:t>
      </w:r>
      <w:bookmarkEnd w:id="0"/>
    </w:p>
    <w:p w14:paraId="411BB34F" w14:textId="77777777" w:rsidR="00991265" w:rsidRPr="00991265" w:rsidRDefault="00991265" w:rsidP="00991265"/>
    <w:p w14:paraId="1519840F" w14:textId="71AC7E55" w:rsidR="0016109B" w:rsidRPr="005717A1" w:rsidRDefault="000208A3" w:rsidP="00E84CF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Diabetes mellitus t</w:t>
      </w:r>
      <w:r w:rsidR="0016109B" w:rsidRPr="005717A1">
        <w:rPr>
          <w:rFonts w:ascii="Times New Roman" w:hAnsi="Times New Roman" w:cs="Times New Roman"/>
          <w:color w:val="000000" w:themeColor="text1"/>
          <w:sz w:val="24"/>
          <w:szCs w:val="24"/>
        </w:rPr>
        <w:t>ype 2</w:t>
      </w:r>
      <w:r>
        <w:rPr>
          <w:rFonts w:ascii="Times New Roman" w:hAnsi="Times New Roman" w:cs="Times New Roman"/>
          <w:color w:val="000000" w:themeColor="text1"/>
          <w:sz w:val="24"/>
          <w:szCs w:val="24"/>
        </w:rPr>
        <w:t xml:space="preserve"> (T2DM)</w:t>
      </w:r>
      <w:r w:rsidR="0016109B" w:rsidRPr="005717A1">
        <w:rPr>
          <w:rFonts w:ascii="Times New Roman" w:hAnsi="Times New Roman" w:cs="Times New Roman"/>
          <w:color w:val="000000" w:themeColor="text1"/>
          <w:sz w:val="24"/>
          <w:szCs w:val="24"/>
        </w:rPr>
        <w:t xml:space="preserve"> presents a significant global health concern, stemming from pancreatic beta cell dysfunction, leading to impaired insulin secretion and disrupted glucose homeostasis. Clinical manifestations include polyuria, polyphagia, polydipsia, blurred vision, fatigue, delayed wound healing and neuropathic symptoms. It is a major contributor </w:t>
      </w:r>
      <w:r w:rsidR="002F5F18">
        <w:rPr>
          <w:rFonts w:ascii="Times New Roman" w:hAnsi="Times New Roman" w:cs="Times New Roman"/>
          <w:color w:val="000000" w:themeColor="text1"/>
          <w:sz w:val="24"/>
          <w:szCs w:val="24"/>
        </w:rPr>
        <w:t>for</w:t>
      </w:r>
      <w:r w:rsidR="0016109B" w:rsidRPr="005717A1">
        <w:rPr>
          <w:rFonts w:ascii="Times New Roman" w:hAnsi="Times New Roman" w:cs="Times New Roman"/>
          <w:color w:val="000000" w:themeColor="text1"/>
          <w:sz w:val="24"/>
          <w:szCs w:val="24"/>
        </w:rPr>
        <w:t xml:space="preserve"> myocardial infarction, cardiovascular accident, vision loss, renal failure and lower limb amputations due to vascular complications. The prevalence has soared from 108 million in 1980 to 462 million in 2017, resulting in over 1 million annual fatalities, making it the ninth leading cause of mortality. Diet is pivotal in mitigating mortality and disability risks </w:t>
      </w:r>
      <w:r>
        <w:rPr>
          <w:rFonts w:ascii="Times New Roman" w:hAnsi="Times New Roman" w:cs="Times New Roman"/>
          <w:color w:val="000000" w:themeColor="text1"/>
          <w:sz w:val="24"/>
          <w:szCs w:val="24"/>
        </w:rPr>
        <w:t>associated with diabetes. This review</w:t>
      </w:r>
      <w:r w:rsidR="0016109B" w:rsidRPr="005717A1">
        <w:rPr>
          <w:rFonts w:ascii="Times New Roman" w:hAnsi="Times New Roman" w:cs="Times New Roman"/>
          <w:color w:val="000000" w:themeColor="text1"/>
          <w:sz w:val="24"/>
          <w:szCs w:val="24"/>
        </w:rPr>
        <w:t xml:space="preserve"> </w:t>
      </w:r>
      <w:r w:rsidR="00991265" w:rsidRPr="004C7669">
        <w:rPr>
          <w:rFonts w:ascii="Times New Roman" w:hAnsi="Times New Roman" w:cs="Times New Roman"/>
          <w:color w:val="000000" w:themeColor="text1"/>
          <w:sz w:val="24"/>
          <w:szCs w:val="24"/>
        </w:rPr>
        <w:t>synthesises</w:t>
      </w:r>
      <w:r w:rsidR="0016109B" w:rsidRPr="005717A1">
        <w:rPr>
          <w:rFonts w:ascii="Times New Roman" w:hAnsi="Times New Roman" w:cs="Times New Roman"/>
          <w:color w:val="000000" w:themeColor="text1"/>
          <w:sz w:val="24"/>
          <w:szCs w:val="24"/>
        </w:rPr>
        <w:t xml:space="preserve"> evidence from systematic reviews, meta-analyses and randomized controlled trials</w:t>
      </w:r>
      <w:r w:rsidR="00AB66FC">
        <w:rPr>
          <w:rFonts w:ascii="Times New Roman" w:hAnsi="Times New Roman" w:cs="Times New Roman"/>
          <w:color w:val="000000" w:themeColor="text1"/>
          <w:sz w:val="24"/>
          <w:szCs w:val="24"/>
        </w:rPr>
        <w:t xml:space="preserve"> between January 2014 and </w:t>
      </w:r>
      <w:r w:rsidR="00BA0403">
        <w:rPr>
          <w:rFonts w:ascii="Times New Roman" w:hAnsi="Times New Roman" w:cs="Times New Roman"/>
          <w:color w:val="000000" w:themeColor="text1"/>
          <w:sz w:val="24"/>
          <w:szCs w:val="24"/>
        </w:rPr>
        <w:t>March</w:t>
      </w:r>
      <w:r w:rsidR="00AB66FC">
        <w:rPr>
          <w:rFonts w:ascii="Times New Roman" w:hAnsi="Times New Roman" w:cs="Times New Roman"/>
          <w:color w:val="000000" w:themeColor="text1"/>
          <w:sz w:val="24"/>
          <w:szCs w:val="24"/>
        </w:rPr>
        <w:t xml:space="preserve"> 2024</w:t>
      </w:r>
      <w:r w:rsidR="00991265">
        <w:rPr>
          <w:rFonts w:ascii="Times New Roman" w:hAnsi="Times New Roman" w:cs="Times New Roman"/>
          <w:color w:val="000000" w:themeColor="text1"/>
          <w:sz w:val="24"/>
          <w:szCs w:val="24"/>
        </w:rPr>
        <w:t>. Furthermore,</w:t>
      </w:r>
      <w:r w:rsidR="0016109B" w:rsidRPr="005717A1">
        <w:rPr>
          <w:rFonts w:ascii="Times New Roman" w:hAnsi="Times New Roman" w:cs="Times New Roman"/>
          <w:color w:val="000000" w:themeColor="text1"/>
          <w:sz w:val="24"/>
          <w:szCs w:val="24"/>
        </w:rPr>
        <w:t xml:space="preserve"> low-carb</w:t>
      </w:r>
      <w:r w:rsidR="003502D6">
        <w:rPr>
          <w:rFonts w:ascii="Times New Roman" w:hAnsi="Times New Roman" w:cs="Times New Roman"/>
          <w:color w:val="000000" w:themeColor="text1"/>
          <w:sz w:val="24"/>
          <w:szCs w:val="24"/>
        </w:rPr>
        <w:t>ohydrate, low-glycaemic index, M</w:t>
      </w:r>
      <w:r w:rsidR="0016109B" w:rsidRPr="005717A1">
        <w:rPr>
          <w:rFonts w:ascii="Times New Roman" w:hAnsi="Times New Roman" w:cs="Times New Roman"/>
          <w:color w:val="000000" w:themeColor="text1"/>
          <w:sz w:val="24"/>
          <w:szCs w:val="24"/>
        </w:rPr>
        <w:t xml:space="preserve">editerranean and </w:t>
      </w:r>
      <w:r w:rsidR="003502D6">
        <w:rPr>
          <w:rFonts w:ascii="Times New Roman" w:hAnsi="Times New Roman" w:cs="Times New Roman"/>
          <w:color w:val="000000" w:themeColor="text1"/>
          <w:sz w:val="24"/>
          <w:szCs w:val="24"/>
        </w:rPr>
        <w:t>vegetarian/ vegan</w:t>
      </w:r>
      <w:r w:rsidR="003502D6" w:rsidRPr="005717A1">
        <w:rPr>
          <w:rFonts w:ascii="Times New Roman" w:hAnsi="Times New Roman" w:cs="Times New Roman"/>
          <w:color w:val="000000" w:themeColor="text1"/>
          <w:sz w:val="24"/>
          <w:szCs w:val="24"/>
        </w:rPr>
        <w:t xml:space="preserve"> </w:t>
      </w:r>
      <w:r w:rsidR="0016109B" w:rsidRPr="005717A1">
        <w:rPr>
          <w:rFonts w:ascii="Times New Roman" w:hAnsi="Times New Roman" w:cs="Times New Roman"/>
          <w:color w:val="000000" w:themeColor="text1"/>
          <w:sz w:val="24"/>
          <w:szCs w:val="24"/>
        </w:rPr>
        <w:t>dietary regimens</w:t>
      </w:r>
      <w:r w:rsidR="00991265">
        <w:rPr>
          <w:rFonts w:ascii="Times New Roman" w:hAnsi="Times New Roman" w:cs="Times New Roman"/>
          <w:color w:val="000000" w:themeColor="text1"/>
          <w:sz w:val="24"/>
          <w:szCs w:val="24"/>
        </w:rPr>
        <w:t xml:space="preserve"> </w:t>
      </w:r>
      <w:r w:rsidR="004C7669" w:rsidRPr="004C7669">
        <w:rPr>
          <w:rFonts w:ascii="Times New Roman" w:hAnsi="Times New Roman" w:cs="Times New Roman"/>
          <w:color w:val="000000" w:themeColor="text1"/>
          <w:sz w:val="24"/>
          <w:szCs w:val="24"/>
        </w:rPr>
        <w:t>were</w:t>
      </w:r>
      <w:r w:rsidR="00991265" w:rsidRPr="004C7669">
        <w:rPr>
          <w:rFonts w:ascii="Times New Roman" w:hAnsi="Times New Roman" w:cs="Times New Roman"/>
          <w:color w:val="000000" w:themeColor="text1"/>
          <w:sz w:val="24"/>
          <w:szCs w:val="24"/>
        </w:rPr>
        <w:t xml:space="preserve"> evaluated</w:t>
      </w:r>
      <w:r w:rsidR="00AB66FC">
        <w:rPr>
          <w:rFonts w:ascii="Times New Roman" w:hAnsi="Times New Roman" w:cs="Times New Roman"/>
          <w:color w:val="000000" w:themeColor="text1"/>
          <w:sz w:val="24"/>
          <w:szCs w:val="24"/>
        </w:rPr>
        <w:t xml:space="preserve"> for improving glycated haemoglobin (HbA1c) regarding the treatment and management of T2DM</w:t>
      </w:r>
      <w:r w:rsidR="0016109B">
        <w:rPr>
          <w:rFonts w:ascii="Times New Roman" w:hAnsi="Times New Roman" w:cs="Times New Roman"/>
          <w:color w:val="000000" w:themeColor="text1"/>
          <w:sz w:val="24"/>
          <w:szCs w:val="24"/>
        </w:rPr>
        <w:t>.</w:t>
      </w:r>
      <w:r w:rsidR="00991265">
        <w:rPr>
          <w:rFonts w:ascii="Times New Roman" w:hAnsi="Times New Roman" w:cs="Times New Roman"/>
          <w:color w:val="000000" w:themeColor="text1"/>
          <w:sz w:val="24"/>
          <w:szCs w:val="24"/>
        </w:rPr>
        <w:t xml:space="preserve"> Findings indicates</w:t>
      </w:r>
      <w:r w:rsidR="0016109B" w:rsidRPr="005717A1">
        <w:rPr>
          <w:rFonts w:ascii="Times New Roman" w:hAnsi="Times New Roman" w:cs="Times New Roman"/>
          <w:color w:val="000000" w:themeColor="text1"/>
          <w:sz w:val="24"/>
          <w:szCs w:val="24"/>
        </w:rPr>
        <w:t xml:space="preserve"> </w:t>
      </w:r>
      <w:r w:rsidR="0016109B" w:rsidRPr="00DD2D69">
        <w:rPr>
          <w:rFonts w:ascii="Times New Roman" w:hAnsi="Times New Roman" w:cs="Times New Roman"/>
          <w:color w:val="000000" w:themeColor="text1"/>
          <w:sz w:val="24"/>
          <w:szCs w:val="24"/>
        </w:rPr>
        <w:t xml:space="preserve">all </w:t>
      </w:r>
      <w:r w:rsidR="0016109B">
        <w:rPr>
          <w:rFonts w:ascii="Times New Roman" w:hAnsi="Times New Roman" w:cs="Times New Roman"/>
          <w:color w:val="000000" w:themeColor="text1"/>
          <w:sz w:val="24"/>
          <w:szCs w:val="24"/>
        </w:rPr>
        <w:t>the aforementioned dietary regimens</w:t>
      </w:r>
      <w:r w:rsidR="0016109B" w:rsidRPr="00DD2D69">
        <w:rPr>
          <w:rFonts w:ascii="Times New Roman" w:hAnsi="Times New Roman" w:cs="Times New Roman"/>
          <w:color w:val="000000" w:themeColor="text1"/>
          <w:sz w:val="24"/>
          <w:szCs w:val="24"/>
        </w:rPr>
        <w:t xml:space="preserve"> have demonstrated efficacy in enhancing </w:t>
      </w:r>
      <w:r w:rsidR="0016109B">
        <w:rPr>
          <w:rFonts w:ascii="Times New Roman" w:hAnsi="Times New Roman" w:cs="Times New Roman"/>
          <w:color w:val="000000" w:themeColor="text1"/>
          <w:sz w:val="24"/>
          <w:szCs w:val="24"/>
        </w:rPr>
        <w:t>HbA1c levels</w:t>
      </w:r>
      <w:r w:rsidR="0016109B" w:rsidRPr="00DD2D69">
        <w:rPr>
          <w:rFonts w:ascii="Times New Roman" w:hAnsi="Times New Roman" w:cs="Times New Roman"/>
          <w:color w:val="000000" w:themeColor="text1"/>
          <w:sz w:val="24"/>
          <w:szCs w:val="24"/>
        </w:rPr>
        <w:t xml:space="preserve"> for treating and managing </w:t>
      </w:r>
      <w:r w:rsidR="0016109B">
        <w:rPr>
          <w:rFonts w:ascii="Times New Roman" w:hAnsi="Times New Roman" w:cs="Times New Roman"/>
          <w:color w:val="000000" w:themeColor="text1"/>
          <w:sz w:val="24"/>
          <w:szCs w:val="24"/>
        </w:rPr>
        <w:t>T2DM</w:t>
      </w:r>
      <w:r w:rsidR="0016109B" w:rsidRPr="00DD2D69">
        <w:rPr>
          <w:rFonts w:ascii="Times New Roman" w:hAnsi="Times New Roman" w:cs="Times New Roman"/>
          <w:color w:val="000000" w:themeColor="text1"/>
          <w:sz w:val="24"/>
          <w:szCs w:val="24"/>
        </w:rPr>
        <w:t xml:space="preserve"> in adults over 18 years old.</w:t>
      </w:r>
      <w:r w:rsidR="00865582">
        <w:rPr>
          <w:rFonts w:ascii="Times New Roman" w:hAnsi="Times New Roman" w:cs="Times New Roman"/>
          <w:color w:val="000000" w:themeColor="text1"/>
          <w:sz w:val="24"/>
          <w:szCs w:val="24"/>
        </w:rPr>
        <w:t xml:space="preserve"> The review indicates that </w:t>
      </w:r>
      <w:r w:rsidR="003502D6">
        <w:rPr>
          <w:rFonts w:ascii="Times New Roman" w:hAnsi="Times New Roman" w:cs="Times New Roman"/>
          <w:color w:val="000000" w:themeColor="text1"/>
          <w:sz w:val="24"/>
          <w:szCs w:val="24"/>
        </w:rPr>
        <w:t>vegetarian/ vegan</w:t>
      </w:r>
      <w:r w:rsidR="0016109B" w:rsidRPr="00DD2D69">
        <w:rPr>
          <w:rFonts w:ascii="Times New Roman" w:hAnsi="Times New Roman" w:cs="Times New Roman"/>
          <w:color w:val="000000" w:themeColor="text1"/>
          <w:sz w:val="24"/>
          <w:szCs w:val="24"/>
        </w:rPr>
        <w:t xml:space="preserve"> are equally effective as omnivorous</w:t>
      </w:r>
      <w:r w:rsidR="0016109B">
        <w:rPr>
          <w:rFonts w:ascii="Times New Roman" w:hAnsi="Times New Roman" w:cs="Times New Roman"/>
          <w:color w:val="000000" w:themeColor="text1"/>
          <w:sz w:val="24"/>
          <w:szCs w:val="24"/>
        </w:rPr>
        <w:t xml:space="preserve"> diets</w:t>
      </w:r>
      <w:r w:rsidR="0016109B" w:rsidRPr="00DD2D69">
        <w:rPr>
          <w:rFonts w:ascii="Times New Roman" w:hAnsi="Times New Roman" w:cs="Times New Roman"/>
          <w:color w:val="000000" w:themeColor="text1"/>
          <w:sz w:val="24"/>
          <w:szCs w:val="24"/>
        </w:rPr>
        <w:t>, showing significant improvements in glycaemic control (measured by HbA1c) among</w:t>
      </w:r>
      <w:r w:rsidR="0016109B">
        <w:rPr>
          <w:rFonts w:ascii="Times New Roman" w:hAnsi="Times New Roman" w:cs="Times New Roman"/>
          <w:color w:val="000000" w:themeColor="text1"/>
          <w:sz w:val="24"/>
          <w:szCs w:val="24"/>
        </w:rPr>
        <w:t>st</w:t>
      </w:r>
      <w:r w:rsidR="0016109B" w:rsidRPr="00DD2D69">
        <w:rPr>
          <w:rFonts w:ascii="Times New Roman" w:hAnsi="Times New Roman" w:cs="Times New Roman"/>
          <w:color w:val="000000" w:themeColor="text1"/>
          <w:sz w:val="24"/>
          <w:szCs w:val="24"/>
        </w:rPr>
        <w:t xml:space="preserve"> individuals with </w:t>
      </w:r>
      <w:r w:rsidR="0016109B">
        <w:rPr>
          <w:rFonts w:ascii="Times New Roman" w:hAnsi="Times New Roman" w:cs="Times New Roman"/>
          <w:color w:val="000000" w:themeColor="text1"/>
          <w:sz w:val="24"/>
          <w:szCs w:val="24"/>
        </w:rPr>
        <w:t>T2DM.</w:t>
      </w:r>
      <w:r w:rsidR="003A4D34" w:rsidRPr="003A4D34">
        <w:t xml:space="preserve"> </w:t>
      </w:r>
      <w:r w:rsidR="003A4D34" w:rsidRPr="003A4D34">
        <w:rPr>
          <w:rFonts w:ascii="Times New Roman" w:hAnsi="Times New Roman" w:cs="Times New Roman"/>
          <w:color w:val="000000" w:themeColor="text1"/>
          <w:sz w:val="24"/>
          <w:szCs w:val="24"/>
        </w:rPr>
        <w:t xml:space="preserve">Compliance with dietary regimens hinges on personal factors such as preferences, accessibility, lifestyle, religion, culture and financial means. Therefore, tailoring </w:t>
      </w:r>
      <w:r w:rsidR="00261D30">
        <w:rPr>
          <w:rFonts w:ascii="Times New Roman" w:hAnsi="Times New Roman" w:cs="Times New Roman"/>
          <w:color w:val="000000" w:themeColor="text1"/>
          <w:sz w:val="24"/>
          <w:szCs w:val="24"/>
        </w:rPr>
        <w:t xml:space="preserve">dietary </w:t>
      </w:r>
      <w:r w:rsidR="003A4D34" w:rsidRPr="003A4D34">
        <w:rPr>
          <w:rFonts w:ascii="Times New Roman" w:hAnsi="Times New Roman" w:cs="Times New Roman"/>
          <w:color w:val="000000" w:themeColor="text1"/>
          <w:sz w:val="24"/>
          <w:szCs w:val="24"/>
        </w:rPr>
        <w:t>recommendations to individual needs is crucial</w:t>
      </w:r>
      <w:r w:rsidR="00991265">
        <w:rPr>
          <w:rFonts w:ascii="Times New Roman" w:hAnsi="Times New Roman" w:cs="Times New Roman"/>
          <w:color w:val="000000" w:themeColor="text1"/>
          <w:sz w:val="24"/>
          <w:szCs w:val="24"/>
        </w:rPr>
        <w:t xml:space="preserve"> in treating and managing T2DM</w:t>
      </w:r>
      <w:r w:rsidR="003A4D34" w:rsidRPr="003A4D34">
        <w:rPr>
          <w:rFonts w:ascii="Times New Roman" w:hAnsi="Times New Roman" w:cs="Times New Roman"/>
          <w:color w:val="000000" w:themeColor="text1"/>
          <w:sz w:val="24"/>
          <w:szCs w:val="24"/>
        </w:rPr>
        <w:t>.</w:t>
      </w:r>
    </w:p>
    <w:p w14:paraId="71733022" w14:textId="73772BE2" w:rsidR="00281C76" w:rsidRPr="00C67910" w:rsidRDefault="0016109B" w:rsidP="00C67910">
      <w:pPr>
        <w:rPr>
          <w:rFonts w:ascii="Times New Roman" w:eastAsia="DengXian" w:hAnsi="Times New Roman" w:cs="Times New Roman"/>
          <w:b/>
          <w:bCs/>
          <w:color w:val="000000"/>
          <w:sz w:val="24"/>
          <w:szCs w:val="24"/>
        </w:rPr>
      </w:pPr>
      <w:r>
        <w:rPr>
          <w:rFonts w:ascii="Times New Roman" w:eastAsia="DengXian" w:hAnsi="Times New Roman" w:cs="Times New Roman"/>
          <w:b/>
          <w:bCs/>
          <w:color w:val="000000"/>
          <w:sz w:val="24"/>
          <w:szCs w:val="24"/>
        </w:rPr>
        <w:br w:type="page"/>
      </w:r>
    </w:p>
    <w:p w14:paraId="74B8861B" w14:textId="77777777" w:rsidR="00C67910" w:rsidRDefault="00C67910" w:rsidP="00C67910">
      <w:pPr>
        <w:pStyle w:val="Heading1"/>
        <w:numPr>
          <w:ilvl w:val="0"/>
          <w:numId w:val="1"/>
        </w:numPr>
        <w:rPr>
          <w:b/>
        </w:rPr>
      </w:pPr>
      <w:bookmarkStart w:id="1" w:name="_Toc164363453"/>
      <w:r w:rsidRPr="00C67910">
        <w:rPr>
          <w:b/>
        </w:rPr>
        <w:lastRenderedPageBreak/>
        <w:t>Introduction</w:t>
      </w:r>
      <w:bookmarkEnd w:id="1"/>
    </w:p>
    <w:p w14:paraId="5EBABF67" w14:textId="77777777" w:rsidR="00991265" w:rsidRPr="00991265" w:rsidRDefault="00991265" w:rsidP="00991265"/>
    <w:p w14:paraId="080ECBB0" w14:textId="0B643284" w:rsidR="000B07FF" w:rsidRPr="005717A1" w:rsidRDefault="000B07FF" w:rsidP="00E84CF8">
      <w:pPr>
        <w:suppressAutoHyphens/>
        <w:autoSpaceDN w:val="0"/>
        <w:spacing w:line="360" w:lineRule="auto"/>
        <w:rPr>
          <w:rFonts w:ascii="Times New Roman" w:eastAsia="DengXian" w:hAnsi="Times New Roman" w:cs="Times New Roman"/>
          <w:color w:val="000000"/>
          <w:sz w:val="24"/>
          <w:szCs w:val="24"/>
        </w:rPr>
      </w:pPr>
      <w:r w:rsidRPr="005717A1">
        <w:rPr>
          <w:rFonts w:ascii="Times New Roman" w:eastAsia="DengXian" w:hAnsi="Times New Roman" w:cs="Times New Roman"/>
          <w:color w:val="000000"/>
          <w:sz w:val="24"/>
          <w:szCs w:val="24"/>
        </w:rPr>
        <w:t>Scholarly exploration by Sapra et al. (2021) stated the following s</w:t>
      </w:r>
      <w:r w:rsidR="00F462C6">
        <w:rPr>
          <w:rFonts w:ascii="Times New Roman" w:eastAsia="DengXian" w:hAnsi="Times New Roman" w:cs="Times New Roman"/>
          <w:color w:val="000000"/>
          <w:sz w:val="24"/>
          <w:szCs w:val="24"/>
        </w:rPr>
        <w:t xml:space="preserve">ix </w:t>
      </w:r>
      <w:r w:rsidRPr="005717A1">
        <w:rPr>
          <w:rFonts w:ascii="Times New Roman" w:eastAsia="DengXian" w:hAnsi="Times New Roman" w:cs="Times New Roman"/>
          <w:color w:val="000000"/>
          <w:sz w:val="24"/>
          <w:szCs w:val="24"/>
        </w:rPr>
        <w:t>lines of evidence, diabetes mellitus is etymologically derived from the Greek term “ diabetes”, connoting a siphon or passage through, whilst the Latin word “mellitus” denoting sweetness. Coined by Apollonius of Memphis circa 250</w:t>
      </w:r>
      <w:r w:rsidR="00AB47B4">
        <w:rPr>
          <w:rFonts w:ascii="Times New Roman" w:eastAsia="DengXian" w:hAnsi="Times New Roman" w:cs="Times New Roman"/>
          <w:color w:val="000000"/>
          <w:sz w:val="24"/>
          <w:szCs w:val="24"/>
        </w:rPr>
        <w:t xml:space="preserve"> </w:t>
      </w:r>
      <w:r w:rsidR="00AE3550">
        <w:rPr>
          <w:rFonts w:ascii="Times New Roman" w:eastAsia="DengXian" w:hAnsi="Times New Roman" w:cs="Times New Roman"/>
          <w:color w:val="000000"/>
          <w:sz w:val="24"/>
          <w:szCs w:val="24"/>
        </w:rPr>
        <w:t xml:space="preserve">– </w:t>
      </w:r>
      <w:r w:rsidRPr="005717A1">
        <w:rPr>
          <w:rFonts w:ascii="Times New Roman" w:eastAsia="DengXian" w:hAnsi="Times New Roman" w:cs="Times New Roman"/>
          <w:color w:val="000000"/>
          <w:sz w:val="24"/>
          <w:szCs w:val="24"/>
        </w:rPr>
        <w:t xml:space="preserve">300BC, the term reflects ancient observations by Greek, Egyptian and Indian civilizations. Hence, the propagation of the word diabetes mellitus gained prominence in linguistic discourse. Currently, </w:t>
      </w:r>
      <w:r w:rsidR="00AE3550">
        <w:rPr>
          <w:rFonts w:ascii="Times New Roman" w:hAnsi="Times New Roman" w:cs="Times New Roman"/>
          <w:color w:val="000000" w:themeColor="text1"/>
          <w:sz w:val="24"/>
          <w:szCs w:val="24"/>
        </w:rPr>
        <w:t>T2DM</w:t>
      </w:r>
      <w:r w:rsidR="00AE3550" w:rsidRPr="005717A1">
        <w:rPr>
          <w:rFonts w:ascii="Times New Roman" w:eastAsia="DengXian" w:hAnsi="Times New Roman" w:cs="Times New Roman"/>
          <w:color w:val="000000"/>
          <w:sz w:val="24"/>
          <w:szCs w:val="24"/>
        </w:rPr>
        <w:t xml:space="preserve"> </w:t>
      </w:r>
      <w:r w:rsidRPr="005717A1">
        <w:rPr>
          <w:rFonts w:ascii="Times New Roman" w:eastAsia="DengXian" w:hAnsi="Times New Roman" w:cs="Times New Roman"/>
          <w:color w:val="000000"/>
          <w:sz w:val="24"/>
          <w:szCs w:val="24"/>
        </w:rPr>
        <w:t xml:space="preserve">is a major clinical and public health issue globally </w:t>
      </w:r>
      <w:r w:rsidRPr="00C839DE">
        <w:rPr>
          <w:rFonts w:ascii="Times New Roman" w:eastAsia="DengXian" w:hAnsi="Times New Roman" w:cs="Times New Roman"/>
          <w:color w:val="000000"/>
          <w:sz w:val="24"/>
          <w:szCs w:val="24"/>
        </w:rPr>
        <w:t>(Wareham and Herman, 2016)</w:t>
      </w:r>
      <w:r w:rsidRPr="005717A1">
        <w:rPr>
          <w:rFonts w:ascii="Times New Roman" w:eastAsia="DengXian" w:hAnsi="Times New Roman" w:cs="Times New Roman"/>
          <w:color w:val="000000"/>
          <w:sz w:val="24"/>
          <w:szCs w:val="24"/>
        </w:rPr>
        <w:t xml:space="preserve"> and is considered the most prevalent metabolic disorder with its main aetiology being a defect in the pancreatic beta cell which incapacitates insulin secreting structures for maintaining glucose homeostasis (Galicia-Garcia et al., 2020).</w:t>
      </w:r>
      <w:r w:rsidR="00573457">
        <w:rPr>
          <w:rFonts w:ascii="Times New Roman" w:eastAsia="DengXian" w:hAnsi="Times New Roman" w:cs="Times New Roman"/>
          <w:color w:val="000000"/>
          <w:sz w:val="24"/>
          <w:szCs w:val="24"/>
        </w:rPr>
        <w:t xml:space="preserve"> </w:t>
      </w:r>
      <w:r w:rsidR="00573457" w:rsidRPr="004C7669">
        <w:rPr>
          <w:rFonts w:ascii="Times New Roman" w:eastAsia="DengXian" w:hAnsi="Times New Roman" w:cs="Times New Roman"/>
          <w:color w:val="000000"/>
          <w:sz w:val="24"/>
          <w:szCs w:val="24"/>
        </w:rPr>
        <w:t xml:space="preserve">Refer to Chapter 2 </w:t>
      </w:r>
      <w:r w:rsidR="004C7669" w:rsidRPr="004C7669">
        <w:rPr>
          <w:rFonts w:ascii="Times New Roman" w:eastAsia="DengXian" w:hAnsi="Times New Roman" w:cs="Times New Roman"/>
          <w:color w:val="000000"/>
          <w:sz w:val="24"/>
          <w:szCs w:val="24"/>
        </w:rPr>
        <w:t>regarding</w:t>
      </w:r>
      <w:r w:rsidR="001D2B48">
        <w:rPr>
          <w:rFonts w:ascii="Times New Roman" w:eastAsia="DengXian" w:hAnsi="Times New Roman" w:cs="Times New Roman"/>
          <w:color w:val="000000"/>
          <w:sz w:val="24"/>
          <w:szCs w:val="24"/>
        </w:rPr>
        <w:t xml:space="preserve"> the pancreas and</w:t>
      </w:r>
      <w:r w:rsidR="004C7669" w:rsidRPr="004C7669">
        <w:rPr>
          <w:rFonts w:ascii="Times New Roman" w:eastAsia="DengXian" w:hAnsi="Times New Roman" w:cs="Times New Roman"/>
          <w:color w:val="000000"/>
          <w:sz w:val="24"/>
          <w:szCs w:val="24"/>
        </w:rPr>
        <w:t xml:space="preserve"> glucose homeostasis</w:t>
      </w:r>
      <w:r w:rsidR="00573457" w:rsidRPr="004C7669">
        <w:rPr>
          <w:rFonts w:ascii="Times New Roman" w:eastAsia="DengXian" w:hAnsi="Times New Roman" w:cs="Times New Roman"/>
          <w:color w:val="000000"/>
          <w:sz w:val="24"/>
          <w:szCs w:val="24"/>
        </w:rPr>
        <w:t>.</w:t>
      </w:r>
    </w:p>
    <w:p w14:paraId="3AA8E48C" w14:textId="453C87D5" w:rsidR="000B07FF" w:rsidRPr="005717A1" w:rsidRDefault="000B07FF" w:rsidP="00E84CF8">
      <w:pPr>
        <w:spacing w:line="360" w:lineRule="auto"/>
        <w:rPr>
          <w:rFonts w:ascii="Times New Roman" w:eastAsia="Times New Roman" w:hAnsi="Times New Roman" w:cs="Times New Roman"/>
          <w:sz w:val="24"/>
          <w:szCs w:val="24"/>
        </w:rPr>
      </w:pPr>
      <w:r w:rsidRPr="005717A1">
        <w:rPr>
          <w:rFonts w:ascii="Times New Roman" w:eastAsia="DengXian" w:hAnsi="Times New Roman" w:cs="Times New Roman"/>
          <w:color w:val="000000"/>
          <w:sz w:val="24"/>
          <w:szCs w:val="24"/>
        </w:rPr>
        <w:t>T2DM is characterised by abnormally increased blood glucose levels and there are various forms of diabetes such as type 1 (T1DM), type 2 (T2DM), gestational, neonatal, maturity onset of the young (MODY) in addition to the use of steroids and other endocrinopathies (Sapra and Bhandar, 2023). T1DM is most prevalent in young people, accounting for approximately 85% of all diabetes cases worldwide in those under the age of 20 (Ang, 2020). Moreover,</w:t>
      </w:r>
      <w:r w:rsidR="00826A5C" w:rsidRPr="005717A1">
        <w:rPr>
          <w:rFonts w:ascii="Times New Roman" w:eastAsia="Times New Roman" w:hAnsi="Times New Roman" w:cs="Times New Roman"/>
          <w:sz w:val="24"/>
          <w:szCs w:val="24"/>
        </w:rPr>
        <w:t xml:space="preserve"> </w:t>
      </w:r>
      <w:r w:rsidRPr="005717A1">
        <w:rPr>
          <w:rFonts w:ascii="Times New Roman" w:eastAsia="DengXian" w:hAnsi="Times New Roman" w:cs="Times New Roman"/>
          <w:color w:val="000000"/>
          <w:sz w:val="24"/>
          <w:szCs w:val="24"/>
        </w:rPr>
        <w:t>children are increasingly affected by T2DM which was previously diagnosed in adults</w:t>
      </w:r>
      <w:r w:rsidR="00F05F87" w:rsidRPr="005717A1">
        <w:rPr>
          <w:rFonts w:ascii="Times New Roman" w:eastAsia="Times New Roman" w:hAnsi="Times New Roman" w:cs="Times New Roman"/>
          <w:sz w:val="24"/>
          <w:szCs w:val="24"/>
        </w:rPr>
        <w:t xml:space="preserve"> (Tillotson et al., 2020)</w:t>
      </w:r>
      <w:r w:rsidRPr="005717A1">
        <w:rPr>
          <w:rFonts w:ascii="Times New Roman" w:eastAsia="DengXian" w:hAnsi="Times New Roman" w:cs="Times New Roman"/>
          <w:color w:val="000000"/>
          <w:sz w:val="24"/>
          <w:szCs w:val="24"/>
        </w:rPr>
        <w:t>. Typically, T2DM pathology can be asymptomatic and misdiagnosed for a long duration. However, symptomatic individuals can exhibit polyuria, polyphagia, polydipsia, blurred vision, fatigue, delayed wound healing, discomfort/ tingling sensation / numbness in the upper and lower extremities (Artasensi et al., 2020). Furthermore, it is the major causative factor for myocardial infarction, cardiovascular accident, vision loss, renal failure and amputation of the lower extremities due to micro and macro vascular abnormalities (Farmaki et al., 2021).</w:t>
      </w:r>
    </w:p>
    <w:p w14:paraId="7C549EE1" w14:textId="4C50725C" w:rsidR="000B07FF" w:rsidRPr="005717A1" w:rsidRDefault="000B07FF" w:rsidP="00E84CF8">
      <w:pPr>
        <w:suppressAutoHyphens/>
        <w:autoSpaceDN w:val="0"/>
        <w:spacing w:line="360" w:lineRule="auto"/>
        <w:rPr>
          <w:rFonts w:ascii="Times New Roman" w:eastAsia="DengXian" w:hAnsi="Times New Roman" w:cs="Times New Roman"/>
          <w:color w:val="000000"/>
          <w:sz w:val="24"/>
          <w:szCs w:val="24"/>
        </w:rPr>
      </w:pPr>
      <w:r w:rsidRPr="005717A1">
        <w:rPr>
          <w:rFonts w:ascii="Times New Roman" w:eastAsia="DengXian" w:hAnsi="Times New Roman" w:cs="Times New Roman"/>
          <w:color w:val="000000"/>
          <w:sz w:val="24"/>
          <w:szCs w:val="24"/>
        </w:rPr>
        <w:t xml:space="preserve">According to statistics obtained from World Health Organization, (2023) diabetes </w:t>
      </w:r>
      <w:r w:rsidR="00BA543B" w:rsidRPr="005717A1">
        <w:rPr>
          <w:rFonts w:ascii="Times New Roman" w:eastAsia="DengXian" w:hAnsi="Times New Roman" w:cs="Times New Roman"/>
          <w:color w:val="000000"/>
          <w:sz w:val="24"/>
          <w:szCs w:val="24"/>
        </w:rPr>
        <w:t>mellitus affected</w:t>
      </w:r>
      <w:r w:rsidRPr="005717A1">
        <w:rPr>
          <w:rFonts w:ascii="Times New Roman" w:eastAsia="DengXian" w:hAnsi="Times New Roman" w:cs="Times New Roman"/>
          <w:color w:val="000000"/>
          <w:sz w:val="24"/>
          <w:szCs w:val="24"/>
        </w:rPr>
        <w:t xml:space="preserve"> 422 million people in 2014, compared to 108 million in 1980. When compared to high-income countries, the prevalence has been increasing rapidly in low- and middle-income nations.</w:t>
      </w:r>
      <w:r w:rsidR="00F05F87" w:rsidRPr="005717A1">
        <w:rPr>
          <w:rFonts w:ascii="Times New Roman" w:eastAsia="DengXian" w:hAnsi="Times New Roman" w:cs="Times New Roman"/>
          <w:color w:val="000000"/>
          <w:sz w:val="24"/>
          <w:szCs w:val="24"/>
        </w:rPr>
        <w:t xml:space="preserve"> In</w:t>
      </w:r>
      <w:r w:rsidRPr="005717A1">
        <w:rPr>
          <w:rFonts w:ascii="Times New Roman" w:eastAsia="DengXian" w:hAnsi="Times New Roman" w:cs="Times New Roman"/>
          <w:color w:val="000000"/>
          <w:sz w:val="24"/>
          <w:szCs w:val="24"/>
        </w:rPr>
        <w:t xml:space="preserve"> 2017</w:t>
      </w:r>
      <w:r w:rsidR="007563E7">
        <w:rPr>
          <w:rFonts w:ascii="Times New Roman" w:eastAsia="DengXian" w:hAnsi="Times New Roman" w:cs="Times New Roman"/>
          <w:color w:val="000000"/>
          <w:sz w:val="24"/>
          <w:szCs w:val="24"/>
        </w:rPr>
        <w:t>,</w:t>
      </w:r>
      <w:r w:rsidRPr="005717A1">
        <w:rPr>
          <w:rFonts w:ascii="Times New Roman" w:eastAsia="DengXian" w:hAnsi="Times New Roman" w:cs="Times New Roman"/>
          <w:color w:val="000000"/>
          <w:sz w:val="24"/>
          <w:szCs w:val="24"/>
        </w:rPr>
        <w:t xml:space="preserve"> T2DM impacted a</w:t>
      </w:r>
      <w:r w:rsidR="007563E7">
        <w:rPr>
          <w:rFonts w:ascii="Times New Roman" w:eastAsia="DengXian" w:hAnsi="Times New Roman" w:cs="Times New Roman"/>
          <w:color w:val="000000"/>
          <w:sz w:val="24"/>
          <w:szCs w:val="24"/>
        </w:rPr>
        <w:t>pproximately 462 million people</w:t>
      </w:r>
      <w:r w:rsidRPr="005717A1">
        <w:rPr>
          <w:rFonts w:ascii="Times New Roman" w:eastAsia="DengXian" w:hAnsi="Times New Roman" w:cs="Times New Roman"/>
          <w:color w:val="000000"/>
          <w:sz w:val="24"/>
          <w:szCs w:val="24"/>
        </w:rPr>
        <w:t xml:space="preserve"> accounting for 6.28% of the global population (4.4% of those aged 15-49 years, 15% of those aged 50-69 years and 22% of those aged 70 years and beyond), or a prevalence rate of 6059 cases per 100,000</w:t>
      </w:r>
      <w:r w:rsidR="00F05F87" w:rsidRPr="005717A1">
        <w:rPr>
          <w:rFonts w:ascii="Times New Roman" w:eastAsia="DengXian" w:hAnsi="Times New Roman" w:cs="Times New Roman"/>
          <w:color w:val="000000"/>
          <w:sz w:val="24"/>
          <w:szCs w:val="24"/>
        </w:rPr>
        <w:t xml:space="preserve"> (Khan et al., 2020)</w:t>
      </w:r>
      <w:r w:rsidRPr="005717A1">
        <w:rPr>
          <w:rFonts w:ascii="Times New Roman" w:eastAsia="DengXian" w:hAnsi="Times New Roman" w:cs="Times New Roman"/>
          <w:color w:val="000000"/>
          <w:sz w:val="24"/>
          <w:szCs w:val="24"/>
        </w:rPr>
        <w:t xml:space="preserve">. Additionally, diabetes is considered the ninth major aetiology of mortality exceeding more than one million fatalities annually. Nonetheless, the growth in the </w:t>
      </w:r>
      <w:r w:rsidRPr="005717A1">
        <w:rPr>
          <w:rFonts w:ascii="Times New Roman" w:eastAsia="DengXian" w:hAnsi="Times New Roman" w:cs="Times New Roman"/>
          <w:color w:val="000000"/>
          <w:sz w:val="24"/>
          <w:szCs w:val="24"/>
        </w:rPr>
        <w:lastRenderedPageBreak/>
        <w:t xml:space="preserve">incidences of T2DM has been mainly attributed to changes in living environments and lifestyles, which have resulted in lower nutritional quality and increased sedentary practices (Tinajero and Malik, 2021). Thus, resulting as overweight and obesity in </w:t>
      </w:r>
      <w:r w:rsidR="007563E7">
        <w:rPr>
          <w:rFonts w:ascii="Times New Roman" w:eastAsia="DengXian" w:hAnsi="Times New Roman" w:cs="Times New Roman"/>
          <w:color w:val="000000"/>
          <w:sz w:val="24"/>
          <w:szCs w:val="24"/>
        </w:rPr>
        <w:t>deprived</w:t>
      </w:r>
      <w:r w:rsidRPr="005717A1">
        <w:rPr>
          <w:rFonts w:ascii="Times New Roman" w:eastAsia="DengXian" w:hAnsi="Times New Roman" w:cs="Times New Roman"/>
          <w:color w:val="000000"/>
          <w:sz w:val="24"/>
          <w:szCs w:val="24"/>
        </w:rPr>
        <w:t xml:space="preserve"> areas.</w:t>
      </w:r>
    </w:p>
    <w:p w14:paraId="55601DA4" w14:textId="5450B765" w:rsidR="000B07FF" w:rsidRDefault="000B07FF" w:rsidP="00E84CF8">
      <w:pPr>
        <w:suppressAutoHyphens/>
        <w:autoSpaceDN w:val="0"/>
        <w:spacing w:line="360" w:lineRule="auto"/>
        <w:rPr>
          <w:rFonts w:ascii="Times New Roman" w:eastAsia="DengXian" w:hAnsi="Times New Roman" w:cs="Times New Roman"/>
          <w:color w:val="000000"/>
          <w:sz w:val="24"/>
          <w:szCs w:val="24"/>
        </w:rPr>
      </w:pPr>
      <w:r w:rsidRPr="005717A1">
        <w:rPr>
          <w:rFonts w:ascii="Times New Roman" w:eastAsia="DengXian" w:hAnsi="Times New Roman" w:cs="Times New Roman"/>
          <w:color w:val="000000"/>
          <w:sz w:val="24"/>
          <w:szCs w:val="24"/>
        </w:rPr>
        <w:t>Diabetes impairs people's functional capacity and quality of life, hence the economic implications are due to the treatment and complications that are associated with premature mortality and morbidity</w:t>
      </w:r>
      <w:r w:rsidR="002A6500">
        <w:rPr>
          <w:rFonts w:ascii="Times New Roman" w:eastAsia="DengXian" w:hAnsi="Times New Roman" w:cs="Times New Roman"/>
          <w:color w:val="000000"/>
          <w:sz w:val="24"/>
          <w:szCs w:val="24"/>
        </w:rPr>
        <w:t xml:space="preserve"> i</w:t>
      </w:r>
      <w:r w:rsidRPr="005717A1">
        <w:rPr>
          <w:rFonts w:ascii="Times New Roman" w:eastAsia="DengXian" w:hAnsi="Times New Roman" w:cs="Times New Roman"/>
          <w:color w:val="000000"/>
          <w:sz w:val="24"/>
          <w:szCs w:val="24"/>
        </w:rPr>
        <w:t xml:space="preserve">n addition to the intangible cost of poor quality of life. Annually, USD $237 billion is spent on direct medical expenditures and USD $90 billion on lost productivity in the United States of America (CDC, 2020). </w:t>
      </w:r>
      <w:r w:rsidR="002A6500">
        <w:rPr>
          <w:rFonts w:ascii="Times New Roman" w:eastAsia="DengXian" w:hAnsi="Times New Roman" w:cs="Times New Roman"/>
          <w:color w:val="000000"/>
          <w:sz w:val="24"/>
          <w:szCs w:val="24"/>
        </w:rPr>
        <w:t>Comparatively</w:t>
      </w:r>
      <w:r w:rsidRPr="005717A1">
        <w:rPr>
          <w:rFonts w:ascii="Times New Roman" w:eastAsia="DengXian" w:hAnsi="Times New Roman" w:cs="Times New Roman"/>
          <w:color w:val="000000"/>
          <w:sz w:val="24"/>
          <w:szCs w:val="24"/>
        </w:rPr>
        <w:t xml:space="preserve">, in the United Kingdom the cost incurred by the NHS for treating diabetes is approximately £14 billion yearly (Kayyali et al., 2019). </w:t>
      </w:r>
      <w:r w:rsidR="00164132" w:rsidRPr="005717A1">
        <w:rPr>
          <w:rFonts w:ascii="Times New Roman" w:eastAsia="DengXian" w:hAnsi="Times New Roman" w:cs="Times New Roman"/>
          <w:color w:val="000000"/>
          <w:sz w:val="24"/>
          <w:szCs w:val="24"/>
        </w:rPr>
        <w:t>D</w:t>
      </w:r>
      <w:r w:rsidRPr="005717A1">
        <w:rPr>
          <w:rFonts w:ascii="Times New Roman" w:eastAsia="DengXian" w:hAnsi="Times New Roman" w:cs="Times New Roman"/>
          <w:color w:val="000000"/>
          <w:sz w:val="24"/>
          <w:szCs w:val="24"/>
        </w:rPr>
        <w:t>iabetes is one of the world's most serious public health issues, with the prevalence expected to rise from 425 million in 2017 to 629 million by the year 2045, with association in health, social and economic implications</w:t>
      </w:r>
      <w:r w:rsidR="00164132" w:rsidRPr="005717A1">
        <w:rPr>
          <w:rFonts w:ascii="Times New Roman" w:eastAsia="DengXian" w:hAnsi="Times New Roman" w:cs="Times New Roman"/>
          <w:color w:val="000000"/>
          <w:sz w:val="24"/>
          <w:szCs w:val="24"/>
        </w:rPr>
        <w:t xml:space="preserve"> (Forouhi et al., 2018).</w:t>
      </w:r>
    </w:p>
    <w:p w14:paraId="51FF2C2A" w14:textId="77777777" w:rsidR="007B7D4B" w:rsidRPr="005717A1" w:rsidRDefault="007B7D4B" w:rsidP="007B7D4B">
      <w:pPr>
        <w:suppressAutoHyphens/>
        <w:autoSpaceDN w:val="0"/>
        <w:spacing w:line="360" w:lineRule="auto"/>
        <w:rPr>
          <w:rFonts w:ascii="Times New Roman" w:eastAsia="DengXian" w:hAnsi="Times New Roman" w:cs="Times New Roman"/>
          <w:color w:val="000000"/>
          <w:sz w:val="24"/>
          <w:szCs w:val="24"/>
        </w:rPr>
      </w:pPr>
      <w:r w:rsidRPr="005717A1">
        <w:rPr>
          <w:rFonts w:ascii="Times New Roman" w:eastAsia="DengXian" w:hAnsi="Times New Roman" w:cs="Times New Roman"/>
          <w:color w:val="000000"/>
          <w:sz w:val="24"/>
          <w:szCs w:val="24"/>
        </w:rPr>
        <w:t xml:space="preserve">According to Locke et al. (2018) diet plays an essential role in reducing the likelihood of premature mortality and disability. Whereas, the Global Burden of Disease Study, which was conducted in 188 countries, advised that diet is a major contributor for morbidity and mortality globally in people living with diabetes mellitus. In nations characterized by low and middle income, carbohydrates constitute as the primary source of energy, comprising 70- 80% of the daily caloric intake. Diets exhibiting a higher starch-to -cereal- fibre ratio and diminished fibre consumption correlate with an elevated risk for T2DM incidences as indicated by a relative risk of 1.23 (Mohan et al., 2018). </w:t>
      </w:r>
    </w:p>
    <w:p w14:paraId="454E3255" w14:textId="77777777" w:rsidR="007B7D4B" w:rsidRPr="005717A1" w:rsidRDefault="007B7D4B" w:rsidP="007B7D4B">
      <w:pPr>
        <w:suppressAutoHyphens/>
        <w:autoSpaceDN w:val="0"/>
        <w:spacing w:line="360" w:lineRule="auto"/>
        <w:rPr>
          <w:rFonts w:ascii="Times New Roman" w:eastAsia="DengXian" w:hAnsi="Times New Roman" w:cs="Times New Roman"/>
          <w:sz w:val="24"/>
          <w:szCs w:val="24"/>
        </w:rPr>
      </w:pPr>
      <w:r w:rsidRPr="005717A1">
        <w:rPr>
          <w:rFonts w:ascii="Times New Roman" w:eastAsia="DengXian" w:hAnsi="Times New Roman" w:cs="Times New Roman"/>
          <w:color w:val="000000"/>
          <w:sz w:val="24"/>
          <w:szCs w:val="24"/>
        </w:rPr>
        <w:t>Moreover, Veit et al.</w:t>
      </w:r>
      <w:r w:rsidRPr="00F462C6">
        <w:rPr>
          <w:rFonts w:ascii="Times New Roman" w:eastAsia="DengXian" w:hAnsi="Times New Roman" w:cs="Times New Roman"/>
          <w:color w:val="FFFFFF" w:themeColor="background1"/>
          <w:sz w:val="24"/>
          <w:szCs w:val="24"/>
        </w:rPr>
        <w:t>-</w:t>
      </w:r>
      <w:r w:rsidRPr="005717A1">
        <w:rPr>
          <w:rFonts w:ascii="Times New Roman" w:eastAsia="DengXian" w:hAnsi="Times New Roman" w:cs="Times New Roman"/>
          <w:color w:val="000000"/>
          <w:sz w:val="24"/>
          <w:szCs w:val="24"/>
        </w:rPr>
        <w:t xml:space="preserve">(2022) emphasised a hypercaloric diet, arising from overconsumption of any macronutrient, induces weight gain. This surplus of energy intake, identified as a risk factor for the development of T2DM, which stems from a positive energy balance linked to increased intake and decreased physical activity, leading to overweight or obesity. </w:t>
      </w:r>
      <w:r>
        <w:rPr>
          <w:rFonts w:ascii="Times New Roman" w:eastAsia="DengXian" w:hAnsi="Times New Roman" w:cs="Times New Roman"/>
          <w:color w:val="000000"/>
          <w:sz w:val="24"/>
          <w:szCs w:val="24"/>
        </w:rPr>
        <w:t>Conversely</w:t>
      </w:r>
      <w:r w:rsidRPr="005717A1">
        <w:rPr>
          <w:rFonts w:ascii="Times New Roman" w:eastAsia="DengXian" w:hAnsi="Times New Roman" w:cs="Times New Roman"/>
          <w:color w:val="000000"/>
          <w:sz w:val="24"/>
          <w:szCs w:val="24"/>
        </w:rPr>
        <w:t>, evidence by Duan et al.</w:t>
      </w:r>
      <w:r w:rsidRPr="00F462C6">
        <w:rPr>
          <w:rFonts w:ascii="Times New Roman" w:eastAsia="DengXian" w:hAnsi="Times New Roman" w:cs="Times New Roman"/>
          <w:color w:val="FFFFFF" w:themeColor="background1"/>
          <w:sz w:val="24"/>
          <w:szCs w:val="24"/>
        </w:rPr>
        <w:t>-</w:t>
      </w:r>
      <w:r w:rsidRPr="005717A1">
        <w:rPr>
          <w:rFonts w:ascii="Times New Roman" w:eastAsia="DengXian" w:hAnsi="Times New Roman" w:cs="Times New Roman"/>
          <w:color w:val="000000"/>
          <w:sz w:val="24"/>
          <w:szCs w:val="24"/>
        </w:rPr>
        <w:t xml:space="preserve">(2022), implied UPFs; warm and cold savoury snacks are characterised by high salt and fat content, pose an energy- dense profile, potentially increasing diabetes risk via metabolic disturbances such as lipid abnormalities and elevated blood pressure. Correlation exists between UPF consumption and the incidence of T2DM, individuals with increased BMI are prone to higher UPF intake establishing it as an obesity risk factor thus increasing body weight, thereby exemplifying the potential mediating influence of BMI. Increased dietary fat intake exerts an impact on glucose and lipid metabolism, consequently compromising the functionality of vital metabolic organs. This </w:t>
      </w:r>
      <w:r w:rsidRPr="005717A1">
        <w:rPr>
          <w:rFonts w:ascii="Times New Roman" w:eastAsia="DengXian" w:hAnsi="Times New Roman" w:cs="Times New Roman"/>
          <w:color w:val="000000"/>
          <w:sz w:val="24"/>
          <w:szCs w:val="24"/>
        </w:rPr>
        <w:lastRenderedPageBreak/>
        <w:t xml:space="preserve">progression leads to a gradual escalation of hyperglycaemia, hyperinsulinemia and the development of progressive insulin resistance </w:t>
      </w:r>
      <w:r w:rsidRPr="005717A1">
        <w:rPr>
          <w:rFonts w:ascii="Times New Roman" w:eastAsia="DengXian" w:hAnsi="Times New Roman" w:cs="Times New Roman"/>
          <w:sz w:val="24"/>
          <w:szCs w:val="24"/>
        </w:rPr>
        <w:t>(Prasad et al., 2022)</w:t>
      </w:r>
      <w:r w:rsidRPr="005717A1">
        <w:rPr>
          <w:rFonts w:ascii="Times New Roman" w:eastAsia="DengXian" w:hAnsi="Times New Roman" w:cs="Times New Roman"/>
          <w:color w:val="000000"/>
          <w:sz w:val="24"/>
          <w:szCs w:val="24"/>
        </w:rPr>
        <w:t>.</w:t>
      </w:r>
    </w:p>
    <w:p w14:paraId="63EDB002" w14:textId="32C2C984" w:rsidR="007B7D4B" w:rsidRPr="005717A1" w:rsidRDefault="007B7D4B" w:rsidP="007B7D4B">
      <w:pPr>
        <w:suppressAutoHyphens/>
        <w:autoSpaceDN w:val="0"/>
        <w:spacing w:line="360" w:lineRule="auto"/>
        <w:rPr>
          <w:rFonts w:ascii="Times New Roman" w:eastAsia="DengXian" w:hAnsi="Times New Roman" w:cs="Times New Roman"/>
          <w:sz w:val="24"/>
          <w:szCs w:val="24"/>
        </w:rPr>
      </w:pPr>
      <w:r w:rsidRPr="005717A1">
        <w:rPr>
          <w:rFonts w:ascii="Times New Roman" w:eastAsia="DengXian" w:hAnsi="Times New Roman" w:cs="Times New Roman"/>
          <w:color w:val="000000"/>
          <w:sz w:val="24"/>
          <w:szCs w:val="24"/>
        </w:rPr>
        <w:t xml:space="preserve">Subsequently, diabetes is becoming more prevalent in the United Kingdom and around the world due to engaging </w:t>
      </w:r>
      <w:r w:rsidR="00573457" w:rsidRPr="005717A1">
        <w:rPr>
          <w:rFonts w:ascii="Times New Roman" w:eastAsia="DengXian" w:hAnsi="Times New Roman" w:cs="Times New Roman"/>
          <w:color w:val="000000"/>
          <w:sz w:val="24"/>
          <w:szCs w:val="24"/>
        </w:rPr>
        <w:t>in unhealthy</w:t>
      </w:r>
      <w:r w:rsidRPr="005717A1">
        <w:rPr>
          <w:rFonts w:ascii="Times New Roman" w:eastAsia="DengXian" w:hAnsi="Times New Roman" w:cs="Times New Roman"/>
          <w:color w:val="000000"/>
          <w:sz w:val="24"/>
          <w:szCs w:val="24"/>
        </w:rPr>
        <w:t xml:space="preserve"> lifestyle choices such as poor dietary habits (Ojo et al., 2019). Similarly, Petroni et al</w:t>
      </w:r>
      <w:r>
        <w:rPr>
          <w:rFonts w:ascii="Times New Roman" w:eastAsia="DengXian" w:hAnsi="Times New Roman" w:cs="Times New Roman"/>
          <w:color w:val="000000"/>
          <w:sz w:val="24"/>
          <w:szCs w:val="24"/>
        </w:rPr>
        <w:t>.</w:t>
      </w:r>
      <w:r w:rsidRPr="00F462C6">
        <w:rPr>
          <w:rFonts w:ascii="Times New Roman" w:eastAsia="DengXian" w:hAnsi="Times New Roman" w:cs="Times New Roman"/>
          <w:color w:val="FFFFFF" w:themeColor="background1"/>
          <w:sz w:val="24"/>
          <w:szCs w:val="24"/>
        </w:rPr>
        <w:t>-</w:t>
      </w:r>
      <w:r w:rsidRPr="005717A1">
        <w:rPr>
          <w:rFonts w:ascii="Times New Roman" w:eastAsia="DengXian" w:hAnsi="Times New Roman" w:cs="Times New Roman"/>
          <w:color w:val="000000"/>
          <w:sz w:val="24"/>
          <w:szCs w:val="24"/>
        </w:rPr>
        <w:t xml:space="preserve">(2021) emphasized unhealthy lifestyle choices, such as overeating and or insufficient physical activity, contribute to the disorder’s aetiology by exacerbating genetic flaws. </w:t>
      </w:r>
      <w:r w:rsidRPr="005717A1">
        <w:rPr>
          <w:rFonts w:ascii="Times New Roman" w:eastAsia="DengXian" w:hAnsi="Times New Roman" w:cs="Times New Roman"/>
          <w:sz w:val="24"/>
          <w:szCs w:val="24"/>
        </w:rPr>
        <w:t xml:space="preserve">Prasad et al. (2022) proposed increase intake </w:t>
      </w:r>
      <w:r w:rsidR="009B2A76">
        <w:rPr>
          <w:rFonts w:ascii="Times New Roman" w:eastAsia="DengXian" w:hAnsi="Times New Roman" w:cs="Times New Roman"/>
          <w:sz w:val="24"/>
          <w:szCs w:val="24"/>
        </w:rPr>
        <w:t>of</w:t>
      </w:r>
      <w:r w:rsidRPr="005717A1">
        <w:rPr>
          <w:rFonts w:ascii="Times New Roman" w:eastAsia="DengXian" w:hAnsi="Times New Roman" w:cs="Times New Roman"/>
          <w:sz w:val="24"/>
          <w:szCs w:val="24"/>
        </w:rPr>
        <w:t xml:space="preserve"> fructose and glucose are associated with an increased risk of T2DM in adults, glucose contributes to T2DM development via its high glycaemic index, interrupting insulin secretion meanwhile, fructose is linked to weight gain, influencing insulin sensitivity and fatty acid synthesis. For instance, sugar sweetened beverages made with high fructose corn syrup can elevate the risk of T2DM by affecting blood sugar metabolism.</w:t>
      </w:r>
    </w:p>
    <w:p w14:paraId="3086215B" w14:textId="0F81A9B7" w:rsidR="007B7D4B" w:rsidRPr="005717A1" w:rsidRDefault="007B7D4B" w:rsidP="007B7D4B">
      <w:pPr>
        <w:suppressAutoHyphens/>
        <w:autoSpaceDN w:val="0"/>
        <w:spacing w:line="360" w:lineRule="auto"/>
        <w:rPr>
          <w:rFonts w:ascii="Times New Roman" w:eastAsia="DengXian" w:hAnsi="Times New Roman" w:cs="Times New Roman"/>
          <w:sz w:val="24"/>
          <w:szCs w:val="24"/>
        </w:rPr>
      </w:pPr>
      <w:r w:rsidRPr="005717A1">
        <w:rPr>
          <w:rFonts w:ascii="Times New Roman" w:eastAsia="DengXian" w:hAnsi="Times New Roman" w:cs="Times New Roman"/>
          <w:color w:val="000000"/>
          <w:sz w:val="24"/>
          <w:szCs w:val="24"/>
        </w:rPr>
        <w:t xml:space="preserve">According to Al-Adwi et al. (2023) a caloric restricted diet has the potential to reverse diabetes, for instance, both vegetarian/ plant based and </w:t>
      </w:r>
      <w:r w:rsidR="002A6500" w:rsidRPr="005717A1">
        <w:rPr>
          <w:rFonts w:ascii="Times New Roman" w:eastAsia="DengXian" w:hAnsi="Times New Roman" w:cs="Times New Roman"/>
          <w:color w:val="000000"/>
          <w:sz w:val="24"/>
          <w:szCs w:val="24"/>
        </w:rPr>
        <w:t>Mediterranean</w:t>
      </w:r>
      <w:r w:rsidRPr="005717A1">
        <w:rPr>
          <w:rFonts w:ascii="Times New Roman" w:eastAsia="DengXian" w:hAnsi="Times New Roman" w:cs="Times New Roman"/>
          <w:color w:val="000000"/>
          <w:sz w:val="24"/>
          <w:szCs w:val="24"/>
        </w:rPr>
        <w:t xml:space="preserve"> diets reduce body weight. Additionally, a high protein diet and low carbohydrate diet (&lt; 26% of total energy) influence anthropometric measures and enhance cardio</w:t>
      </w:r>
      <w:r w:rsidR="002A6500">
        <w:rPr>
          <w:rFonts w:ascii="Times New Roman" w:eastAsia="DengXian" w:hAnsi="Times New Roman" w:cs="Times New Roman"/>
          <w:color w:val="000000"/>
          <w:sz w:val="24"/>
          <w:szCs w:val="24"/>
        </w:rPr>
        <w:t>-</w:t>
      </w:r>
      <w:r w:rsidRPr="005717A1">
        <w:rPr>
          <w:rFonts w:ascii="Times New Roman" w:eastAsia="DengXian" w:hAnsi="Times New Roman" w:cs="Times New Roman"/>
          <w:color w:val="000000"/>
          <w:sz w:val="24"/>
          <w:szCs w:val="24"/>
        </w:rPr>
        <w:t>metabolic health. Whilst, research by Jardine et al. (2021) proposed vegan diets exhibit positive effects on glycaemic control, body weight and cardiovascular risk factors amongst individuals with T2DM. A metanalysis of 6 randomised clinical trials involving 255 participants showed a 0.4% greater reduction in glycated haemoglobin compared to other prescribed dietary patterns for diabetes mellitus. As a result, treatment regimens for diabetes typically include lifestyle changes such as increased physical activity and dietary adjustments. Therefore, this review is imperative as it will address the public health issue and curb the increased prevalence of premature morbidity and mortality with the implementation of dietary interventions to manage and treat T2DM.</w:t>
      </w:r>
      <w:r w:rsidRPr="005717A1">
        <w:rPr>
          <w:rFonts w:ascii="Times New Roman" w:eastAsia="DengXian" w:hAnsi="Times New Roman" w:cs="Times New Roman"/>
          <w:sz w:val="24"/>
          <w:szCs w:val="24"/>
        </w:rPr>
        <w:t xml:space="preserve"> </w:t>
      </w:r>
    </w:p>
    <w:p w14:paraId="2324F7C6" w14:textId="0EF6CCD6" w:rsidR="007B7D4B" w:rsidRDefault="007B7D4B" w:rsidP="007B7D4B">
      <w:pPr>
        <w:suppressAutoHyphens/>
        <w:autoSpaceDN w:val="0"/>
        <w:spacing w:line="360" w:lineRule="auto"/>
        <w:rPr>
          <w:rFonts w:ascii="Times New Roman" w:eastAsia="DengXian" w:hAnsi="Times New Roman" w:cs="Times New Roman"/>
          <w:color w:val="000000"/>
          <w:sz w:val="24"/>
          <w:szCs w:val="24"/>
        </w:rPr>
      </w:pPr>
      <w:r w:rsidRPr="005717A1">
        <w:rPr>
          <w:rFonts w:ascii="Times New Roman" w:eastAsia="DengXian" w:hAnsi="Times New Roman" w:cs="Times New Roman"/>
          <w:color w:val="000000"/>
          <w:sz w:val="24"/>
          <w:szCs w:val="24"/>
        </w:rPr>
        <w:t>Syed and Khan, (2011) defined glycated haemoglobin (HbA1c) as the basic chemical interaction that occurs between blood glucose and haemoglobin as it displays a trustworthy and dynamic blood glucose average over the previous three months.</w:t>
      </w:r>
      <w:r>
        <w:rPr>
          <w:rFonts w:ascii="Times New Roman" w:eastAsia="DengXian" w:hAnsi="Times New Roman" w:cs="Times New Roman"/>
          <w:color w:val="000000"/>
          <w:sz w:val="24"/>
          <w:szCs w:val="24"/>
        </w:rPr>
        <w:t xml:space="preserve"> </w:t>
      </w:r>
      <w:r w:rsidRPr="005717A1">
        <w:rPr>
          <w:rFonts w:ascii="Times New Roman" w:eastAsia="DengXian" w:hAnsi="Times New Roman" w:cs="Times New Roman"/>
          <w:sz w:val="24"/>
          <w:szCs w:val="24"/>
        </w:rPr>
        <w:t xml:space="preserve">Florkowski, (2013) emphasized </w:t>
      </w:r>
      <w:r w:rsidRPr="005717A1">
        <w:rPr>
          <w:rFonts w:ascii="Times New Roman" w:eastAsia="DengXian" w:hAnsi="Times New Roman" w:cs="Times New Roman"/>
          <w:color w:val="000000"/>
          <w:sz w:val="24"/>
          <w:szCs w:val="24"/>
        </w:rPr>
        <w:t>HbA1c, as opposed to oral glucose tolerance test, remains unaffected by prandial status and lacks diurnal rhythm, enabling measurement at any time. While exhibiting minimal pre</w:t>
      </w:r>
      <w:r w:rsidR="002A6500">
        <w:rPr>
          <w:rFonts w:ascii="Times New Roman" w:eastAsia="DengXian" w:hAnsi="Times New Roman" w:cs="Times New Roman"/>
          <w:color w:val="000000"/>
          <w:sz w:val="24"/>
          <w:szCs w:val="24"/>
        </w:rPr>
        <w:t>-</w:t>
      </w:r>
      <w:r w:rsidRPr="005717A1">
        <w:rPr>
          <w:rFonts w:ascii="Times New Roman" w:eastAsia="DengXian" w:hAnsi="Times New Roman" w:cs="Times New Roman"/>
          <w:color w:val="000000"/>
          <w:sz w:val="24"/>
          <w:szCs w:val="24"/>
        </w:rPr>
        <w:t xml:space="preserve">analytical variability, pathologies such as haemolytic anaemia, B12 and folate deficiencies impact red blood cell survival / non enzymatic haemoglobin inducing false negative laboratory result. Whereas, </w:t>
      </w:r>
      <w:r w:rsidRPr="005717A1">
        <w:rPr>
          <w:rFonts w:ascii="Times New Roman" w:eastAsia="DengXian" w:hAnsi="Times New Roman" w:cs="Times New Roman"/>
          <w:sz w:val="24"/>
          <w:szCs w:val="24"/>
        </w:rPr>
        <w:t>Pohanka, (2021)</w:t>
      </w:r>
      <w:r w:rsidRPr="005717A1">
        <w:rPr>
          <w:rFonts w:ascii="Times New Roman" w:eastAsia="DengXian" w:hAnsi="Times New Roman" w:cs="Times New Roman"/>
          <w:color w:val="000000"/>
          <w:sz w:val="24"/>
          <w:szCs w:val="24"/>
        </w:rPr>
        <w:t xml:space="preserve"> stressed, beyond conventional glucose </w:t>
      </w:r>
      <w:r w:rsidRPr="005717A1">
        <w:rPr>
          <w:rFonts w:ascii="Times New Roman" w:eastAsia="DengXian" w:hAnsi="Times New Roman" w:cs="Times New Roman"/>
          <w:color w:val="000000"/>
          <w:sz w:val="24"/>
          <w:szCs w:val="24"/>
        </w:rPr>
        <w:lastRenderedPageBreak/>
        <w:t xml:space="preserve">and </w:t>
      </w:r>
      <w:r w:rsidR="00BA543B" w:rsidRPr="005717A1">
        <w:rPr>
          <w:rFonts w:ascii="Times New Roman" w:eastAsia="DengXian" w:hAnsi="Times New Roman" w:cs="Times New Roman"/>
          <w:color w:val="000000"/>
          <w:sz w:val="24"/>
          <w:szCs w:val="24"/>
        </w:rPr>
        <w:t>glycaemia</w:t>
      </w:r>
      <w:r w:rsidRPr="005717A1">
        <w:rPr>
          <w:rFonts w:ascii="Times New Roman" w:eastAsia="DengXian" w:hAnsi="Times New Roman" w:cs="Times New Roman"/>
          <w:color w:val="000000"/>
          <w:sz w:val="24"/>
          <w:szCs w:val="24"/>
        </w:rPr>
        <w:t xml:space="preserve"> assays, HbA1c has emerged as a pivotal marker in innovative analytical methodologies, as its evaluation holds significance for diabetes diagnosis, offering substantial insights compared to standard glycaemic measurements</w:t>
      </w:r>
      <w:r>
        <w:rPr>
          <w:rFonts w:ascii="Times New Roman" w:eastAsia="DengXian" w:hAnsi="Times New Roman" w:cs="Times New Roman"/>
          <w:color w:val="000000"/>
          <w:sz w:val="24"/>
          <w:szCs w:val="24"/>
        </w:rPr>
        <w:t xml:space="preserve"> (See Table 1)</w:t>
      </w:r>
      <w:r w:rsidRPr="005717A1">
        <w:rPr>
          <w:rFonts w:ascii="Times New Roman" w:eastAsia="DengXian" w:hAnsi="Times New Roman" w:cs="Times New Roman"/>
          <w:color w:val="000000"/>
          <w:sz w:val="24"/>
          <w:szCs w:val="24"/>
        </w:rPr>
        <w:t xml:space="preserve">. </w:t>
      </w:r>
    </w:p>
    <w:p w14:paraId="5C4222A5" w14:textId="29A5E509" w:rsidR="007B7D4B" w:rsidRPr="00BC1886" w:rsidRDefault="007B7D4B" w:rsidP="007B7D4B">
      <w:pPr>
        <w:pStyle w:val="Caption"/>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Table 1</w:t>
      </w:r>
      <w:r w:rsidRPr="00BC1886">
        <w:rPr>
          <w:rFonts w:ascii="Times New Roman" w:hAnsi="Times New Roman" w:cs="Times New Roman"/>
          <w:color w:val="000000" w:themeColor="text1"/>
          <w:sz w:val="24"/>
          <w:szCs w:val="24"/>
        </w:rPr>
        <w:t>: Depicting HbA1c as a measure of diabetes management (Sherwani et al., 2019).</w:t>
      </w:r>
    </w:p>
    <w:p w14:paraId="4E44DC29" w14:textId="24E91F4A" w:rsidR="00573457" w:rsidRDefault="006A7B13" w:rsidP="00E84CF8">
      <w:pPr>
        <w:suppressAutoHyphens/>
        <w:autoSpaceDN w:val="0"/>
        <w:spacing w:line="360" w:lineRule="auto"/>
        <w:rPr>
          <w:rFonts w:ascii="Times New Roman" w:eastAsia="DengXian" w:hAnsi="Times New Roman" w:cs="Times New Roman"/>
          <w:color w:val="000000"/>
          <w:sz w:val="24"/>
          <w:szCs w:val="24"/>
        </w:rPr>
      </w:pPr>
      <w:r>
        <w:rPr>
          <w:rFonts w:ascii="Times New Roman" w:eastAsia="DengXian" w:hAnsi="Times New Roman" w:cs="Times New Roman"/>
          <w:noProof/>
          <w:color w:val="000000"/>
          <w:sz w:val="24"/>
          <w:szCs w:val="24"/>
          <w:lang w:eastAsia="en-GB"/>
        </w:rPr>
        <w:drawing>
          <wp:inline distT="0" distB="0" distL="0" distR="0" wp14:anchorId="6D48A2B5" wp14:editId="1CD127B7">
            <wp:extent cx="5687069" cy="3316406"/>
            <wp:effectExtent l="0" t="0" r="0" b="0"/>
            <wp:docPr id="16716090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88180" cy="3317054"/>
                    </a:xfrm>
                    <a:prstGeom prst="rect">
                      <a:avLst/>
                    </a:prstGeom>
                    <a:noFill/>
                    <a:ln>
                      <a:noFill/>
                    </a:ln>
                  </pic:spPr>
                </pic:pic>
              </a:graphicData>
            </a:graphic>
          </wp:inline>
        </w:drawing>
      </w:r>
    </w:p>
    <w:p w14:paraId="007C7797" w14:textId="0347EA4F" w:rsidR="008B261E" w:rsidRDefault="007B7D4B" w:rsidP="00E84CF8">
      <w:pPr>
        <w:suppressAutoHyphens/>
        <w:autoSpaceDN w:val="0"/>
        <w:spacing w:line="360" w:lineRule="auto"/>
        <w:rPr>
          <w:rFonts w:ascii="Times New Roman" w:eastAsia="DengXian" w:hAnsi="Times New Roman" w:cs="Times New Roman"/>
          <w:color w:val="000000"/>
          <w:sz w:val="24"/>
          <w:szCs w:val="24"/>
        </w:rPr>
      </w:pPr>
      <w:r w:rsidRPr="005717A1">
        <w:rPr>
          <w:rFonts w:ascii="Times New Roman" w:eastAsia="DengXian" w:hAnsi="Times New Roman" w:cs="Times New Roman"/>
          <w:color w:val="000000"/>
          <w:sz w:val="24"/>
          <w:szCs w:val="24"/>
        </w:rPr>
        <w:t xml:space="preserve">Having a comprehensive grasp of </w:t>
      </w:r>
      <w:r w:rsidR="00E26BE8">
        <w:rPr>
          <w:rFonts w:ascii="Times New Roman" w:eastAsia="DengXian" w:hAnsi="Times New Roman" w:cs="Times New Roman"/>
          <w:color w:val="000000"/>
          <w:sz w:val="24"/>
          <w:szCs w:val="24"/>
        </w:rPr>
        <w:t>various</w:t>
      </w:r>
      <w:r w:rsidRPr="005717A1">
        <w:rPr>
          <w:rFonts w:ascii="Times New Roman" w:eastAsia="DengXian" w:hAnsi="Times New Roman" w:cs="Times New Roman"/>
          <w:color w:val="000000"/>
          <w:sz w:val="24"/>
          <w:szCs w:val="24"/>
        </w:rPr>
        <w:t xml:space="preserve"> dietary interventions will aid with the optimization of future plans to mitigate the complications, economic burden and improve the overall health outcome/ quality of life for patients, clients and other people in similar circumstances. Fundamentally, data from this study will be relevant to public health policy makers as well as members of the healthcare multidisciplinary team, which includes doctors, nurses and </w:t>
      </w:r>
      <w:r w:rsidR="008B261E" w:rsidRPr="005717A1">
        <w:rPr>
          <w:rFonts w:ascii="Times New Roman" w:eastAsia="DengXian" w:hAnsi="Times New Roman" w:cs="Times New Roman"/>
          <w:color w:val="000000"/>
          <w:sz w:val="24"/>
          <w:szCs w:val="24"/>
        </w:rPr>
        <w:t>dieticians</w:t>
      </w:r>
      <w:r w:rsidRPr="005717A1">
        <w:rPr>
          <w:rFonts w:ascii="Times New Roman" w:eastAsia="DengXian" w:hAnsi="Times New Roman" w:cs="Times New Roman"/>
          <w:color w:val="000000"/>
          <w:sz w:val="24"/>
          <w:szCs w:val="24"/>
        </w:rPr>
        <w:t>, in order to optimise dietary approaches as the primary means of treating and managing T2DM, thus improving clinical outcomes. Patients/ clients receiving care can reap advantages by acquiring compreh</w:t>
      </w:r>
      <w:r w:rsidR="008B261E">
        <w:rPr>
          <w:rFonts w:ascii="Times New Roman" w:eastAsia="DengXian" w:hAnsi="Times New Roman" w:cs="Times New Roman"/>
          <w:color w:val="000000"/>
          <w:sz w:val="24"/>
          <w:szCs w:val="24"/>
        </w:rPr>
        <w:t>ensive knowledge regarding the alternative</w:t>
      </w:r>
      <w:r w:rsidRPr="005717A1">
        <w:rPr>
          <w:rFonts w:ascii="Times New Roman" w:eastAsia="DengXian" w:hAnsi="Times New Roman" w:cs="Times New Roman"/>
          <w:color w:val="000000"/>
          <w:sz w:val="24"/>
          <w:szCs w:val="24"/>
        </w:rPr>
        <w:t xml:space="preserve"> dietary strategies for glycaemic management and making well-informed choices regarding lifestyle modifications. Educational establishments can utilise data from this review within their curriculum by incorporating current knowledge on dietary strategies that </w:t>
      </w:r>
      <w:r w:rsidR="00C840AD" w:rsidRPr="005717A1">
        <w:rPr>
          <w:rFonts w:ascii="Times New Roman" w:eastAsia="DengXian" w:hAnsi="Times New Roman" w:cs="Times New Roman"/>
          <w:color w:val="000000"/>
          <w:sz w:val="24"/>
          <w:szCs w:val="24"/>
        </w:rPr>
        <w:t>can improve</w:t>
      </w:r>
      <w:r w:rsidRPr="005717A1">
        <w:rPr>
          <w:rFonts w:ascii="Times New Roman" w:eastAsia="DengXian" w:hAnsi="Times New Roman" w:cs="Times New Roman"/>
          <w:color w:val="000000"/>
          <w:sz w:val="24"/>
          <w:szCs w:val="24"/>
        </w:rPr>
        <w:t xml:space="preserve"> </w:t>
      </w:r>
      <w:r w:rsidR="008B261E" w:rsidRPr="005717A1">
        <w:rPr>
          <w:rFonts w:ascii="Times New Roman" w:eastAsia="DengXian" w:hAnsi="Times New Roman" w:cs="Times New Roman"/>
          <w:color w:val="000000"/>
          <w:sz w:val="24"/>
          <w:szCs w:val="24"/>
        </w:rPr>
        <w:t xml:space="preserve">HbA1c </w:t>
      </w:r>
      <w:r w:rsidRPr="005717A1">
        <w:rPr>
          <w:rFonts w:ascii="Times New Roman" w:eastAsia="DengXian" w:hAnsi="Times New Roman" w:cs="Times New Roman"/>
          <w:color w:val="000000"/>
          <w:sz w:val="24"/>
          <w:szCs w:val="24"/>
        </w:rPr>
        <w:t xml:space="preserve">levels thus enhancing nutrition literacy. </w:t>
      </w:r>
    </w:p>
    <w:p w14:paraId="43D5B355" w14:textId="11B8254D" w:rsidR="007B7D4B" w:rsidRDefault="007B7D4B" w:rsidP="00E84CF8">
      <w:pPr>
        <w:suppressAutoHyphens/>
        <w:autoSpaceDN w:val="0"/>
        <w:spacing w:line="360" w:lineRule="auto"/>
        <w:rPr>
          <w:rFonts w:ascii="Times New Roman" w:eastAsia="DengXian" w:hAnsi="Times New Roman" w:cs="Times New Roman"/>
          <w:color w:val="000000"/>
          <w:sz w:val="24"/>
          <w:szCs w:val="24"/>
        </w:rPr>
      </w:pPr>
      <w:r w:rsidRPr="005717A1">
        <w:rPr>
          <w:rFonts w:ascii="Times New Roman" w:eastAsia="DengXian" w:hAnsi="Times New Roman" w:cs="Times New Roman"/>
          <w:color w:val="000000"/>
          <w:sz w:val="24"/>
          <w:szCs w:val="24"/>
        </w:rPr>
        <w:t xml:space="preserve">Three family members who were not adhering to their dietary and medication regimens succumbed from the complications associated with T2DM served as inspiration for researching this topic. I aim to delve into </w:t>
      </w:r>
      <w:r w:rsidR="008B261E">
        <w:rPr>
          <w:rFonts w:ascii="Times New Roman" w:eastAsia="DengXian" w:hAnsi="Times New Roman" w:cs="Times New Roman"/>
          <w:color w:val="000000"/>
          <w:sz w:val="24"/>
          <w:szCs w:val="24"/>
        </w:rPr>
        <w:t>vegan/vegetarian diet</w:t>
      </w:r>
      <w:r w:rsidRPr="005717A1">
        <w:rPr>
          <w:rFonts w:ascii="Times New Roman" w:eastAsia="DengXian" w:hAnsi="Times New Roman" w:cs="Times New Roman"/>
          <w:color w:val="000000"/>
          <w:sz w:val="24"/>
          <w:szCs w:val="24"/>
        </w:rPr>
        <w:t xml:space="preserve">, </w:t>
      </w:r>
      <w:r w:rsidR="008B261E">
        <w:rPr>
          <w:rFonts w:ascii="Times New Roman" w:eastAsia="DengXian" w:hAnsi="Times New Roman" w:cs="Times New Roman"/>
          <w:color w:val="000000"/>
          <w:sz w:val="24"/>
          <w:szCs w:val="24"/>
        </w:rPr>
        <w:t>low carbohydrate diet (</w:t>
      </w:r>
      <w:r w:rsidRPr="005717A1">
        <w:rPr>
          <w:rFonts w:ascii="Times New Roman" w:eastAsia="DengXian" w:hAnsi="Times New Roman" w:cs="Times New Roman"/>
          <w:color w:val="000000"/>
          <w:sz w:val="24"/>
          <w:szCs w:val="24"/>
        </w:rPr>
        <w:t>LCD</w:t>
      </w:r>
      <w:r w:rsidR="008B261E">
        <w:rPr>
          <w:rFonts w:ascii="Times New Roman" w:eastAsia="DengXian" w:hAnsi="Times New Roman" w:cs="Times New Roman"/>
          <w:color w:val="000000"/>
          <w:sz w:val="24"/>
          <w:szCs w:val="24"/>
        </w:rPr>
        <w:t>)</w:t>
      </w:r>
      <w:r w:rsidRPr="005717A1">
        <w:rPr>
          <w:rFonts w:ascii="Times New Roman" w:eastAsia="DengXian" w:hAnsi="Times New Roman" w:cs="Times New Roman"/>
          <w:color w:val="000000"/>
          <w:sz w:val="24"/>
          <w:szCs w:val="24"/>
        </w:rPr>
        <w:t>,</w:t>
      </w:r>
      <w:r w:rsidR="008B261E">
        <w:rPr>
          <w:rFonts w:ascii="Times New Roman" w:eastAsia="DengXian" w:hAnsi="Times New Roman" w:cs="Times New Roman"/>
          <w:color w:val="000000"/>
          <w:sz w:val="24"/>
          <w:szCs w:val="24"/>
        </w:rPr>
        <w:t xml:space="preserve"> </w:t>
      </w:r>
      <w:r w:rsidR="008B261E">
        <w:rPr>
          <w:rFonts w:ascii="Times New Roman" w:eastAsia="DengXian" w:hAnsi="Times New Roman" w:cs="Times New Roman"/>
          <w:color w:val="000000"/>
          <w:sz w:val="24"/>
          <w:szCs w:val="24"/>
        </w:rPr>
        <w:lastRenderedPageBreak/>
        <w:t>low glycaemic index (</w:t>
      </w:r>
      <w:r w:rsidRPr="005717A1">
        <w:rPr>
          <w:rFonts w:ascii="Times New Roman" w:eastAsia="DengXian" w:hAnsi="Times New Roman" w:cs="Times New Roman"/>
          <w:color w:val="000000"/>
          <w:sz w:val="24"/>
          <w:szCs w:val="24"/>
        </w:rPr>
        <w:t>LGI</w:t>
      </w:r>
      <w:r w:rsidR="008B261E">
        <w:rPr>
          <w:rFonts w:ascii="Times New Roman" w:eastAsia="DengXian" w:hAnsi="Times New Roman" w:cs="Times New Roman"/>
          <w:color w:val="000000"/>
          <w:sz w:val="24"/>
          <w:szCs w:val="24"/>
        </w:rPr>
        <w:t xml:space="preserve">) </w:t>
      </w:r>
      <w:r w:rsidRPr="005717A1">
        <w:rPr>
          <w:rFonts w:ascii="Times New Roman" w:eastAsia="DengXian" w:hAnsi="Times New Roman" w:cs="Times New Roman"/>
          <w:color w:val="000000"/>
          <w:sz w:val="24"/>
          <w:szCs w:val="24"/>
        </w:rPr>
        <w:t>and Mediterranean dietary regimens for treat</w:t>
      </w:r>
      <w:r>
        <w:rPr>
          <w:rFonts w:ascii="Times New Roman" w:eastAsia="DengXian" w:hAnsi="Times New Roman" w:cs="Times New Roman"/>
          <w:color w:val="000000"/>
          <w:sz w:val="24"/>
          <w:szCs w:val="24"/>
        </w:rPr>
        <w:t>ing</w:t>
      </w:r>
      <w:r w:rsidRPr="005717A1">
        <w:rPr>
          <w:rFonts w:ascii="Times New Roman" w:eastAsia="DengXian" w:hAnsi="Times New Roman" w:cs="Times New Roman"/>
          <w:color w:val="000000"/>
          <w:sz w:val="24"/>
          <w:szCs w:val="24"/>
        </w:rPr>
        <w:t xml:space="preserve"> and manag</w:t>
      </w:r>
      <w:r>
        <w:rPr>
          <w:rFonts w:ascii="Times New Roman" w:eastAsia="DengXian" w:hAnsi="Times New Roman" w:cs="Times New Roman"/>
          <w:color w:val="000000"/>
          <w:sz w:val="24"/>
          <w:szCs w:val="24"/>
        </w:rPr>
        <w:t>ing</w:t>
      </w:r>
      <w:r w:rsidRPr="005717A1">
        <w:rPr>
          <w:rFonts w:ascii="Times New Roman" w:eastAsia="DengXian" w:hAnsi="Times New Roman" w:cs="Times New Roman"/>
          <w:color w:val="000000"/>
          <w:sz w:val="24"/>
          <w:szCs w:val="24"/>
        </w:rPr>
        <w:t xml:space="preserve"> T2DM, inspired by Whiteley et al.'s (2023) findings regarding g</w:t>
      </w:r>
      <w:r w:rsidR="008B261E">
        <w:rPr>
          <w:rFonts w:ascii="Times New Roman" w:eastAsia="DengXian" w:hAnsi="Times New Roman" w:cs="Times New Roman"/>
          <w:color w:val="000000"/>
          <w:sz w:val="24"/>
          <w:szCs w:val="24"/>
        </w:rPr>
        <w:t>lycaemic control.</w:t>
      </w:r>
    </w:p>
    <w:p w14:paraId="6AB28423" w14:textId="77777777" w:rsidR="000E4615" w:rsidRDefault="000E4615" w:rsidP="00E84CF8">
      <w:pPr>
        <w:suppressAutoHyphens/>
        <w:autoSpaceDN w:val="0"/>
        <w:spacing w:line="360" w:lineRule="auto"/>
        <w:rPr>
          <w:rFonts w:ascii="Times New Roman" w:eastAsia="DengXian" w:hAnsi="Times New Roman" w:cs="Times New Roman"/>
          <w:sz w:val="24"/>
          <w:szCs w:val="24"/>
        </w:rPr>
      </w:pPr>
    </w:p>
    <w:p w14:paraId="2FAFA7F9" w14:textId="5B949A28" w:rsidR="002553B1" w:rsidRDefault="002553B1">
      <w:pPr>
        <w:rPr>
          <w:rFonts w:asciiTheme="majorHAnsi" w:eastAsiaTheme="majorEastAsia" w:hAnsiTheme="majorHAnsi" w:cstheme="majorBidi"/>
          <w:b/>
          <w:color w:val="2F5496" w:themeColor="accent1" w:themeShade="BF"/>
          <w:sz w:val="26"/>
          <w:szCs w:val="26"/>
        </w:rPr>
      </w:pPr>
      <w:r>
        <w:rPr>
          <w:b/>
        </w:rPr>
        <w:br w:type="page"/>
      </w:r>
    </w:p>
    <w:p w14:paraId="567B1219" w14:textId="3E0D11C0" w:rsidR="000E4615" w:rsidRDefault="004C7669" w:rsidP="00991265">
      <w:pPr>
        <w:pStyle w:val="Heading2"/>
        <w:numPr>
          <w:ilvl w:val="1"/>
          <w:numId w:val="1"/>
        </w:numPr>
        <w:rPr>
          <w:b/>
        </w:rPr>
      </w:pPr>
      <w:r>
        <w:rPr>
          <w:b/>
        </w:rPr>
        <w:lastRenderedPageBreak/>
        <w:t xml:space="preserve"> </w:t>
      </w:r>
      <w:bookmarkStart w:id="2" w:name="_Toc164363454"/>
      <w:r w:rsidR="000E4615" w:rsidRPr="000E4615">
        <w:rPr>
          <w:b/>
        </w:rPr>
        <w:t>Pancreas</w:t>
      </w:r>
      <w:bookmarkEnd w:id="2"/>
      <w:r w:rsidR="000E4615" w:rsidRPr="000E4615">
        <w:rPr>
          <w:b/>
        </w:rPr>
        <w:t xml:space="preserve"> </w:t>
      </w:r>
    </w:p>
    <w:p w14:paraId="3D4DCD3A" w14:textId="77777777" w:rsidR="00991265" w:rsidRPr="00991265" w:rsidRDefault="00991265" w:rsidP="00991265">
      <w:pPr>
        <w:pStyle w:val="ListParagraph"/>
        <w:ind w:left="1155"/>
      </w:pPr>
    </w:p>
    <w:p w14:paraId="7BD34075" w14:textId="5D86BB70" w:rsidR="00C21FD4" w:rsidRPr="00573457" w:rsidRDefault="00C21FD4" w:rsidP="00E84CF8">
      <w:pPr>
        <w:suppressAutoHyphens/>
        <w:autoSpaceDN w:val="0"/>
        <w:spacing w:line="360" w:lineRule="auto"/>
        <w:rPr>
          <w:rFonts w:ascii="Calibri" w:eastAsia="DengXian" w:hAnsi="Calibri" w:cs="Times New Roman"/>
        </w:rPr>
      </w:pPr>
      <w:r w:rsidRPr="005717A1">
        <w:rPr>
          <w:rFonts w:ascii="Times New Roman" w:eastAsia="DengXian" w:hAnsi="Times New Roman" w:cs="Times New Roman"/>
          <w:sz w:val="24"/>
          <w:szCs w:val="24"/>
        </w:rPr>
        <w:t>Talathi and Young, (2019)</w:t>
      </w:r>
      <w:r w:rsidR="00573457">
        <w:rPr>
          <w:rFonts w:ascii="Times New Roman" w:eastAsia="DengXian" w:hAnsi="Times New Roman" w:cs="Times New Roman"/>
          <w:sz w:val="24"/>
          <w:szCs w:val="24"/>
        </w:rPr>
        <w:t xml:space="preserve"> stated that </w:t>
      </w:r>
      <w:r w:rsidRPr="005717A1">
        <w:rPr>
          <w:rFonts w:ascii="Times New Roman" w:eastAsia="DengXian" w:hAnsi="Times New Roman" w:cs="Times New Roman"/>
          <w:sz w:val="24"/>
          <w:szCs w:val="24"/>
        </w:rPr>
        <w:t xml:space="preserve">the pancreas is an elongated accessory digestive </w:t>
      </w:r>
      <w:r w:rsidRPr="005717A1">
        <w:rPr>
          <w:rFonts w:ascii="Times New Roman" w:eastAsia="DengXian" w:hAnsi="Times New Roman" w:cs="Times New Roman"/>
          <w:color w:val="000000"/>
          <w:sz w:val="24"/>
          <w:szCs w:val="24"/>
        </w:rPr>
        <w:t xml:space="preserve">gland, which is situated retroperitoneally, traversing from L1 and L2 vertebrae along the posterior abdominal wall. </w:t>
      </w:r>
      <w:r w:rsidRPr="005717A1">
        <w:rPr>
          <w:rFonts w:ascii="Times New Roman" w:eastAsia="Times New Roman" w:hAnsi="Times New Roman" w:cs="Times New Roman"/>
          <w:sz w:val="24"/>
          <w:szCs w:val="24"/>
        </w:rPr>
        <w:t xml:space="preserve">Henry et al. (2019) highlighted </w:t>
      </w:r>
      <w:r w:rsidR="00573457">
        <w:rPr>
          <w:rFonts w:ascii="Times New Roman" w:eastAsia="Times New Roman" w:hAnsi="Times New Roman" w:cs="Times New Roman"/>
          <w:sz w:val="24"/>
          <w:szCs w:val="24"/>
        </w:rPr>
        <w:t xml:space="preserve">that </w:t>
      </w:r>
      <w:r w:rsidRPr="005717A1">
        <w:rPr>
          <w:rFonts w:ascii="Times New Roman" w:eastAsia="Times New Roman" w:hAnsi="Times New Roman" w:cs="Times New Roman"/>
          <w:sz w:val="24"/>
          <w:szCs w:val="24"/>
        </w:rPr>
        <w:t>the pancreas has both en</w:t>
      </w:r>
      <w:r w:rsidR="00573457">
        <w:rPr>
          <w:rFonts w:ascii="Times New Roman" w:eastAsia="Times New Roman" w:hAnsi="Times New Roman" w:cs="Times New Roman"/>
          <w:sz w:val="24"/>
          <w:szCs w:val="24"/>
        </w:rPr>
        <w:t>docrine and exocrine components</w:t>
      </w:r>
      <w:r w:rsidRPr="005717A1">
        <w:rPr>
          <w:rFonts w:ascii="Times New Roman" w:eastAsia="Times New Roman" w:hAnsi="Times New Roman" w:cs="Times New Roman"/>
          <w:sz w:val="24"/>
          <w:szCs w:val="24"/>
        </w:rPr>
        <w:t>. Whilst, Karpi</w:t>
      </w:r>
      <w:r w:rsidR="001D2B48">
        <w:rPr>
          <w:rFonts w:ascii="Times New Roman" w:eastAsia="Times New Roman" w:hAnsi="Times New Roman" w:cs="Times New Roman"/>
          <w:sz w:val="24"/>
          <w:szCs w:val="24"/>
        </w:rPr>
        <w:t>n</w:t>
      </w:r>
      <w:r w:rsidRPr="005717A1">
        <w:rPr>
          <w:rFonts w:ascii="Times New Roman" w:eastAsia="Times New Roman" w:hAnsi="Times New Roman" w:cs="Times New Roman"/>
          <w:sz w:val="24"/>
          <w:szCs w:val="24"/>
        </w:rPr>
        <w:t>ska and Czauderna, (2022)</w:t>
      </w:r>
      <w:r w:rsidRPr="005717A1">
        <w:rPr>
          <w:rFonts w:ascii="Times New Roman" w:eastAsia="DengXian" w:hAnsi="Times New Roman" w:cs="Times New Roman"/>
          <w:sz w:val="24"/>
          <w:szCs w:val="24"/>
        </w:rPr>
        <w:t xml:space="preserve"> inferred the </w:t>
      </w:r>
      <w:r w:rsidRPr="005717A1">
        <w:rPr>
          <w:rFonts w:ascii="Times New Roman" w:eastAsia="Times New Roman" w:hAnsi="Times New Roman" w:cs="Times New Roman"/>
          <w:sz w:val="24"/>
          <w:szCs w:val="24"/>
        </w:rPr>
        <w:t>pancreatic exocrine function entails synthesizing enzymes within intravesicular cells to form iso-osmotic, alkaline pancreatic juice aiding intestinal digestion. Goblet cells secrete mucus into pancreatic ducts. This juice comprises</w:t>
      </w:r>
      <w:r w:rsidR="004B154A">
        <w:rPr>
          <w:rFonts w:ascii="Times New Roman" w:eastAsia="Times New Roman" w:hAnsi="Times New Roman" w:cs="Times New Roman"/>
          <w:sz w:val="24"/>
          <w:szCs w:val="24"/>
        </w:rPr>
        <w:t xml:space="preserve"> of</w:t>
      </w:r>
      <w:r w:rsidRPr="005717A1">
        <w:rPr>
          <w:rFonts w:ascii="Times New Roman" w:eastAsia="Times New Roman" w:hAnsi="Times New Roman" w:cs="Times New Roman"/>
          <w:sz w:val="24"/>
          <w:szCs w:val="24"/>
        </w:rPr>
        <w:t xml:space="preserve"> enzymes digesting proteins, fats, carbohydrates</w:t>
      </w:r>
      <w:r w:rsidR="00AA34BF">
        <w:rPr>
          <w:rFonts w:ascii="Times New Roman" w:eastAsia="Times New Roman" w:hAnsi="Times New Roman" w:cs="Times New Roman"/>
          <w:sz w:val="24"/>
          <w:szCs w:val="24"/>
        </w:rPr>
        <w:t>,</w:t>
      </w:r>
      <w:r w:rsidRPr="005717A1">
        <w:rPr>
          <w:rFonts w:ascii="Times New Roman" w:eastAsia="Times New Roman" w:hAnsi="Times New Roman" w:cs="Times New Roman"/>
          <w:sz w:val="24"/>
          <w:szCs w:val="24"/>
        </w:rPr>
        <w:t xml:space="preserve"> nucleic acids, electrolytes and a minor mucus component.</w:t>
      </w:r>
      <w:r w:rsidRPr="005717A1">
        <w:rPr>
          <w:rFonts w:ascii="Times New Roman" w:eastAsia="DengXian" w:hAnsi="Times New Roman" w:cs="Times New Roman"/>
          <w:sz w:val="24"/>
          <w:szCs w:val="24"/>
        </w:rPr>
        <w:t xml:space="preserve"> </w:t>
      </w:r>
      <w:r w:rsidR="009B3DAA">
        <w:rPr>
          <w:rFonts w:ascii="Times New Roman" w:eastAsia="DengXian" w:hAnsi="Times New Roman" w:cs="Times New Roman"/>
          <w:sz w:val="24"/>
          <w:szCs w:val="24"/>
        </w:rPr>
        <w:t>Conversely</w:t>
      </w:r>
      <w:r w:rsidRPr="005717A1">
        <w:rPr>
          <w:rFonts w:ascii="Times New Roman" w:eastAsia="DengXian" w:hAnsi="Times New Roman" w:cs="Times New Roman"/>
          <w:sz w:val="24"/>
          <w:szCs w:val="24"/>
        </w:rPr>
        <w:t xml:space="preserve">, </w:t>
      </w:r>
      <w:r w:rsidRPr="005717A1">
        <w:rPr>
          <w:rFonts w:ascii="Times New Roman" w:eastAsia="Times New Roman" w:hAnsi="Times New Roman" w:cs="Times New Roman"/>
          <w:sz w:val="24"/>
          <w:szCs w:val="24"/>
        </w:rPr>
        <w:t>Cottet-Dumoulin et al. (2023)</w:t>
      </w:r>
      <w:r w:rsidRPr="005717A1">
        <w:rPr>
          <w:rFonts w:ascii="Times New Roman" w:eastAsia="DengXian" w:hAnsi="Times New Roman" w:cs="Times New Roman"/>
          <w:sz w:val="24"/>
          <w:szCs w:val="24"/>
        </w:rPr>
        <w:t xml:space="preserve"> stated the endocrine segment exhibits a distinct organizational pattern characterized by discrete clusters known as islets of Langerhans. Whereas, </w:t>
      </w:r>
      <w:bookmarkStart w:id="3" w:name="_Hlk163403402"/>
      <w:r w:rsidRPr="005717A1">
        <w:rPr>
          <w:rFonts w:ascii="Times New Roman" w:eastAsia="DengXian" w:hAnsi="Times New Roman" w:cs="Times New Roman"/>
          <w:sz w:val="24"/>
          <w:szCs w:val="24"/>
        </w:rPr>
        <w:t>ElSayed and Sandeep Mukherjee, (2019)</w:t>
      </w:r>
      <w:r w:rsidRPr="005717A1">
        <w:rPr>
          <w:rFonts w:ascii="Times New Roman" w:eastAsia="Times New Roman" w:hAnsi="Times New Roman" w:cs="Times New Roman"/>
          <w:sz w:val="24"/>
          <w:szCs w:val="24"/>
        </w:rPr>
        <w:t xml:space="preserve"> </w:t>
      </w:r>
      <w:bookmarkEnd w:id="3"/>
      <w:r w:rsidRPr="005717A1">
        <w:rPr>
          <w:rFonts w:ascii="Times New Roman" w:eastAsia="Times New Roman" w:hAnsi="Times New Roman" w:cs="Times New Roman"/>
          <w:sz w:val="24"/>
          <w:szCs w:val="24"/>
        </w:rPr>
        <w:t xml:space="preserve">indicated </w:t>
      </w:r>
      <w:r w:rsidRPr="005717A1">
        <w:rPr>
          <w:rFonts w:ascii="Times New Roman" w:eastAsia="DengXian" w:hAnsi="Times New Roman" w:cs="Times New Roman"/>
          <w:sz w:val="24"/>
          <w:szCs w:val="24"/>
        </w:rPr>
        <w:t>these islets harbour a diverse array of 5 distinct endocrine cell types</w:t>
      </w:r>
      <w:r w:rsidR="008850F2">
        <w:rPr>
          <w:rFonts w:ascii="Times New Roman" w:eastAsia="DengXian" w:hAnsi="Times New Roman" w:cs="Times New Roman"/>
          <w:sz w:val="24"/>
          <w:szCs w:val="24"/>
        </w:rPr>
        <w:t xml:space="preserve"> each </w:t>
      </w:r>
      <w:r w:rsidRPr="005717A1">
        <w:rPr>
          <w:rFonts w:ascii="Times New Roman" w:eastAsia="DengXian" w:hAnsi="Times New Roman" w:cs="Times New Roman"/>
          <w:sz w:val="24"/>
          <w:szCs w:val="24"/>
        </w:rPr>
        <w:t xml:space="preserve">responsible for the secretion of at least </w:t>
      </w:r>
      <w:r w:rsidR="00006D74">
        <w:rPr>
          <w:rFonts w:ascii="Times New Roman" w:eastAsia="DengXian" w:hAnsi="Times New Roman" w:cs="Times New Roman"/>
          <w:sz w:val="24"/>
          <w:szCs w:val="24"/>
        </w:rPr>
        <w:t>5</w:t>
      </w:r>
      <w:r w:rsidRPr="005717A1">
        <w:rPr>
          <w:rFonts w:ascii="Times New Roman" w:eastAsia="DengXian" w:hAnsi="Times New Roman" w:cs="Times New Roman"/>
          <w:sz w:val="24"/>
          <w:szCs w:val="24"/>
        </w:rPr>
        <w:t xml:space="preserve"> hormones </w:t>
      </w:r>
      <w:r w:rsidR="00374D94">
        <w:rPr>
          <w:rFonts w:ascii="Times New Roman" w:eastAsia="DengXian" w:hAnsi="Times New Roman" w:cs="Times New Roman"/>
          <w:sz w:val="24"/>
          <w:szCs w:val="24"/>
        </w:rPr>
        <w:t>(See</w:t>
      </w:r>
      <w:r w:rsidR="007B7D4B">
        <w:rPr>
          <w:rFonts w:ascii="Times New Roman" w:eastAsia="DengXian" w:hAnsi="Times New Roman" w:cs="Times New Roman"/>
          <w:sz w:val="24"/>
          <w:szCs w:val="24"/>
        </w:rPr>
        <w:t xml:space="preserve"> Table 2</w:t>
      </w:r>
      <w:r w:rsidR="00374D94">
        <w:rPr>
          <w:rFonts w:ascii="Times New Roman" w:eastAsia="DengXian" w:hAnsi="Times New Roman" w:cs="Times New Roman"/>
          <w:sz w:val="24"/>
          <w:szCs w:val="24"/>
        </w:rPr>
        <w:t>)</w:t>
      </w:r>
      <w:r w:rsidR="000534C9">
        <w:rPr>
          <w:rFonts w:ascii="Times New Roman" w:eastAsia="DengXian" w:hAnsi="Times New Roman" w:cs="Times New Roman"/>
          <w:sz w:val="24"/>
          <w:szCs w:val="24"/>
        </w:rPr>
        <w:t>.</w:t>
      </w:r>
    </w:p>
    <w:p w14:paraId="2CAA5D06" w14:textId="06186C6A" w:rsidR="00374D94" w:rsidRPr="004C7669" w:rsidRDefault="007B7D4B" w:rsidP="004C7669">
      <w:pPr>
        <w:pStyle w:val="Caption"/>
        <w:rPr>
          <w:rFonts w:ascii="Times New Roman" w:hAnsi="Times New Roman" w:cs="Times New Roman"/>
          <w:color w:val="000000" w:themeColor="text1"/>
          <w:sz w:val="24"/>
          <w:szCs w:val="24"/>
        </w:rPr>
      </w:pPr>
      <w:r>
        <w:rPr>
          <w:rStyle w:val="SubtleEmphasis"/>
          <w:rFonts w:ascii="Times New Roman" w:hAnsi="Times New Roman" w:cs="Times New Roman"/>
          <w:i/>
          <w:iCs/>
          <w:color w:val="000000" w:themeColor="text1"/>
          <w:sz w:val="24"/>
          <w:szCs w:val="24"/>
        </w:rPr>
        <w:t>Table 2</w:t>
      </w:r>
      <w:r w:rsidR="009540D3" w:rsidRPr="00BC1886">
        <w:rPr>
          <w:rStyle w:val="SubtleEmphasis"/>
          <w:rFonts w:ascii="Times New Roman" w:hAnsi="Times New Roman" w:cs="Times New Roman"/>
          <w:i/>
          <w:iCs/>
          <w:color w:val="000000" w:themeColor="text1"/>
          <w:sz w:val="24"/>
          <w:szCs w:val="24"/>
        </w:rPr>
        <w:t>: A</w:t>
      </w:r>
      <w:r w:rsidR="009540D3">
        <w:rPr>
          <w:rStyle w:val="SubtleEmphasis"/>
          <w:rFonts w:ascii="Times New Roman" w:hAnsi="Times New Roman" w:cs="Times New Roman"/>
          <w:i/>
          <w:iCs/>
          <w:color w:val="000000" w:themeColor="text1"/>
          <w:sz w:val="24"/>
          <w:szCs w:val="24"/>
        </w:rPr>
        <w:t xml:space="preserve"> </w:t>
      </w:r>
      <w:r w:rsidR="009540D3" w:rsidRPr="00BC1886">
        <w:rPr>
          <w:rStyle w:val="SubtleEmphasis"/>
          <w:rFonts w:ascii="Times New Roman" w:hAnsi="Times New Roman" w:cs="Times New Roman"/>
          <w:i/>
          <w:iCs/>
          <w:color w:val="000000" w:themeColor="text1"/>
          <w:sz w:val="24"/>
          <w:szCs w:val="24"/>
        </w:rPr>
        <w:t>schema delineating cellular constituents, secretory hormones and physiological functions within the pancreatic islets (ElSayed and Sandeep Mukherjee, 2019).</w:t>
      </w:r>
    </w:p>
    <w:p w14:paraId="7F64FF25" w14:textId="25C15CF8" w:rsidR="009540D3" w:rsidRDefault="004C7669" w:rsidP="00E84CF8">
      <w:pPr>
        <w:suppressAutoHyphens/>
        <w:autoSpaceDN w:val="0"/>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GB"/>
        </w:rPr>
        <w:drawing>
          <wp:inline distT="0" distB="0" distL="0" distR="0" wp14:anchorId="141380B6" wp14:editId="05C3A7E8">
            <wp:extent cx="5873750" cy="3842032"/>
            <wp:effectExtent l="0" t="0" r="0" b="6350"/>
            <wp:docPr id="7870914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81344" cy="3846999"/>
                    </a:xfrm>
                    <a:prstGeom prst="rect">
                      <a:avLst/>
                    </a:prstGeom>
                    <a:noFill/>
                    <a:ln>
                      <a:noFill/>
                    </a:ln>
                  </pic:spPr>
                </pic:pic>
              </a:graphicData>
            </a:graphic>
          </wp:inline>
        </w:drawing>
      </w:r>
    </w:p>
    <w:p w14:paraId="725CC4A8" w14:textId="6C8A3815" w:rsidR="00C21FD4" w:rsidRPr="00281C76" w:rsidRDefault="00C21FD4" w:rsidP="00E84CF8">
      <w:pPr>
        <w:suppressAutoHyphens/>
        <w:autoSpaceDN w:val="0"/>
        <w:spacing w:line="360" w:lineRule="auto"/>
        <w:rPr>
          <w:rFonts w:ascii="Calibri" w:eastAsia="DengXian" w:hAnsi="Calibri" w:cs="Times New Roman"/>
        </w:rPr>
      </w:pPr>
      <w:r w:rsidRPr="005717A1">
        <w:rPr>
          <w:rFonts w:ascii="Times New Roman" w:eastAsia="Times New Roman" w:hAnsi="Times New Roman" w:cs="Times New Roman"/>
          <w:sz w:val="24"/>
          <w:szCs w:val="24"/>
        </w:rPr>
        <w:t xml:space="preserve">Roder et al. (2016) </w:t>
      </w:r>
      <w:r w:rsidR="00A96E16">
        <w:rPr>
          <w:rFonts w:ascii="Times New Roman" w:eastAsia="Times New Roman" w:hAnsi="Times New Roman" w:cs="Times New Roman"/>
          <w:sz w:val="24"/>
          <w:szCs w:val="24"/>
        </w:rPr>
        <w:t>emphasised</w:t>
      </w:r>
      <w:r w:rsidRPr="005717A1">
        <w:rPr>
          <w:rFonts w:ascii="Times New Roman" w:eastAsia="Times New Roman" w:hAnsi="Times New Roman" w:cs="Times New Roman"/>
          <w:sz w:val="24"/>
          <w:szCs w:val="24"/>
        </w:rPr>
        <w:t xml:space="preserve"> the pancreas meticulously regulates blood glucose levels, typically maintaining them between 4 - 6 m</w:t>
      </w:r>
      <w:r w:rsidR="008B2297">
        <w:rPr>
          <w:rFonts w:ascii="Times New Roman" w:eastAsia="Times New Roman" w:hAnsi="Times New Roman" w:cs="Times New Roman"/>
          <w:sz w:val="24"/>
          <w:szCs w:val="24"/>
        </w:rPr>
        <w:t>M</w:t>
      </w:r>
      <w:r w:rsidRPr="005717A1">
        <w:rPr>
          <w:rFonts w:ascii="Times New Roman" w:eastAsia="Times New Roman" w:hAnsi="Times New Roman" w:cs="Times New Roman"/>
          <w:sz w:val="24"/>
          <w:szCs w:val="24"/>
        </w:rPr>
        <w:t xml:space="preserve">, through the coordinated action of glucagon </w:t>
      </w:r>
      <w:r w:rsidRPr="005717A1">
        <w:rPr>
          <w:rFonts w:ascii="Times New Roman" w:eastAsia="Times New Roman" w:hAnsi="Times New Roman" w:cs="Times New Roman"/>
          <w:sz w:val="24"/>
          <w:szCs w:val="24"/>
        </w:rPr>
        <w:lastRenderedPageBreak/>
        <w:t>and insulin, known as glucose homeostasis. During periods of hypoglycaemia, sleep or intermeal intervals, α-cells secrete glucagon, instigating hepatic glycogenolysis and gluconeogenesis to elevate levels. Conversely, hyperglycaemia prompts β-cells to secrete insulin, which fosters glucose absorption by muscle and adipose tissues, thereby diminishing blood glucose levels</w:t>
      </w:r>
      <w:r w:rsidR="0026057F">
        <w:rPr>
          <w:rFonts w:ascii="Times New Roman" w:eastAsia="Times New Roman" w:hAnsi="Times New Roman" w:cs="Times New Roman"/>
          <w:sz w:val="24"/>
          <w:szCs w:val="24"/>
        </w:rPr>
        <w:t xml:space="preserve"> (See</w:t>
      </w:r>
      <w:r w:rsidR="00CE69DE">
        <w:rPr>
          <w:rFonts w:ascii="Times New Roman" w:eastAsia="Times New Roman" w:hAnsi="Times New Roman" w:cs="Times New Roman"/>
          <w:sz w:val="24"/>
          <w:szCs w:val="24"/>
        </w:rPr>
        <w:t xml:space="preserve"> Figure</w:t>
      </w:r>
      <w:r w:rsidR="0026057F">
        <w:rPr>
          <w:rFonts w:ascii="Times New Roman" w:eastAsia="Times New Roman" w:hAnsi="Times New Roman" w:cs="Times New Roman"/>
          <w:sz w:val="24"/>
          <w:szCs w:val="24"/>
        </w:rPr>
        <w:t xml:space="preserve"> </w:t>
      </w:r>
      <w:r w:rsidR="00CE69DE">
        <w:rPr>
          <w:rFonts w:ascii="Times New Roman" w:eastAsia="Times New Roman" w:hAnsi="Times New Roman" w:cs="Times New Roman"/>
          <w:sz w:val="24"/>
          <w:szCs w:val="24"/>
        </w:rPr>
        <w:t>1</w:t>
      </w:r>
      <w:r w:rsidR="0026057F">
        <w:rPr>
          <w:rFonts w:ascii="Times New Roman" w:eastAsia="Times New Roman" w:hAnsi="Times New Roman" w:cs="Times New Roman"/>
          <w:sz w:val="24"/>
          <w:szCs w:val="24"/>
        </w:rPr>
        <w:t>)</w:t>
      </w:r>
      <w:r w:rsidRPr="005717A1">
        <w:rPr>
          <w:rFonts w:ascii="Times New Roman" w:eastAsia="Times New Roman" w:hAnsi="Times New Roman" w:cs="Times New Roman"/>
          <w:sz w:val="24"/>
          <w:szCs w:val="24"/>
        </w:rPr>
        <w:t>.</w:t>
      </w:r>
      <w:r w:rsidR="0026057F">
        <w:rPr>
          <w:rFonts w:ascii="Times New Roman" w:eastAsia="Times New Roman" w:hAnsi="Times New Roman" w:cs="Times New Roman"/>
          <w:sz w:val="24"/>
          <w:szCs w:val="24"/>
        </w:rPr>
        <w:t xml:space="preserve"> </w:t>
      </w:r>
      <w:r w:rsidRPr="005717A1">
        <w:rPr>
          <w:rFonts w:ascii="Times New Roman" w:eastAsia="Times New Roman" w:hAnsi="Times New Roman" w:cs="Times New Roman"/>
          <w:sz w:val="24"/>
          <w:szCs w:val="24"/>
        </w:rPr>
        <w:t xml:space="preserve"> Moreover, insulin fosters glycogenesis, lipogenesis and protein synthesis, imparting its character as an anabolic hormone in contrast to glucagon's catabolic nature. Whilst, Bano, (2013) concluded</w:t>
      </w:r>
      <w:r w:rsidRPr="005717A1">
        <w:rPr>
          <w:rFonts w:ascii="Times New Roman" w:eastAsia="Times New Roman" w:hAnsi="Times New Roman" w:cs="Times New Roman"/>
          <w:color w:val="FFFFFF" w:themeColor="background1"/>
          <w:sz w:val="24"/>
          <w:szCs w:val="24"/>
        </w:rPr>
        <w:t>-</w:t>
      </w:r>
      <w:r w:rsidRPr="005717A1">
        <w:rPr>
          <w:rFonts w:ascii="Times New Roman" w:eastAsia="DengXian" w:hAnsi="Times New Roman" w:cs="Times New Roman"/>
          <w:sz w:val="24"/>
          <w:szCs w:val="24"/>
        </w:rPr>
        <w:t>normoglycemia is</w:t>
      </w:r>
      <w:r w:rsidRPr="005717A1">
        <w:rPr>
          <w:rFonts w:ascii="Times New Roman" w:eastAsia="DengXian" w:hAnsi="Times New Roman" w:cs="Times New Roman"/>
          <w:color w:val="FFFFFF" w:themeColor="background1"/>
          <w:sz w:val="24"/>
          <w:szCs w:val="24"/>
        </w:rPr>
        <w:t xml:space="preserve"> </w:t>
      </w:r>
      <w:r w:rsidRPr="005717A1">
        <w:rPr>
          <w:rFonts w:ascii="Times New Roman" w:eastAsia="DengXian" w:hAnsi="Times New Roman" w:cs="Times New Roman"/>
          <w:sz w:val="24"/>
          <w:szCs w:val="24"/>
        </w:rPr>
        <w:t>regulated by a complex neuro-hormonal system involving insulin dependent and independent processes. Hence, obesity and T2DM are linked through insulin resistance and altered glucose homeostasis, exacerbated by factors like proinflammatory cytokines and deranged fatty acid metabolism, particularly in visceral adipose tissue.</w:t>
      </w:r>
    </w:p>
    <w:p w14:paraId="3C40106E" w14:textId="77777777" w:rsidR="00AF291F" w:rsidRDefault="00AF291F" w:rsidP="00AF291F">
      <w:pPr>
        <w:spacing w:line="360" w:lineRule="auto"/>
        <w:rPr>
          <w:rFonts w:ascii="Times New Roman" w:hAnsi="Times New Roman" w:cs="Times New Roman"/>
          <w:color w:val="000000" w:themeColor="text1"/>
          <w:sz w:val="24"/>
          <w:szCs w:val="24"/>
        </w:rPr>
      </w:pPr>
      <w:r w:rsidRPr="00803E48">
        <w:rPr>
          <w:rFonts w:ascii="Times New Roman" w:hAnsi="Times New Roman" w:cs="Times New Roman"/>
          <w:noProof/>
          <w:color w:val="000000" w:themeColor="text1"/>
          <w:sz w:val="24"/>
          <w:szCs w:val="24"/>
          <w:lang w:eastAsia="en-GB"/>
        </w:rPr>
        <w:drawing>
          <wp:inline distT="0" distB="0" distL="0" distR="0" wp14:anchorId="57D34F0F" wp14:editId="60C2893F">
            <wp:extent cx="4698124" cy="4542923"/>
            <wp:effectExtent l="0" t="0" r="7620" b="0"/>
            <wp:docPr id="3" name="Picture 1" descr="A diagram of glucose lev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008776" name="Picture 1" descr="A diagram of glucose level&#10;&#10;Description automatically generated"/>
                    <pic:cNvPicPr/>
                  </pic:nvPicPr>
                  <pic:blipFill rotWithShape="1">
                    <a:blip r:embed="rId15"/>
                    <a:srcRect l="12245" r="14850"/>
                    <a:stretch/>
                  </pic:blipFill>
                  <pic:spPr bwMode="auto">
                    <a:xfrm>
                      <a:off x="0" y="0"/>
                      <a:ext cx="4701360" cy="4546052"/>
                    </a:xfrm>
                    <a:prstGeom prst="rect">
                      <a:avLst/>
                    </a:prstGeom>
                    <a:ln>
                      <a:noFill/>
                    </a:ln>
                    <a:extLst>
                      <a:ext uri="{53640926-AAD7-44D8-BBD7-CCE9431645EC}">
                        <a14:shadowObscured xmlns:a14="http://schemas.microsoft.com/office/drawing/2010/main"/>
                      </a:ext>
                    </a:extLst>
                  </pic:spPr>
                </pic:pic>
              </a:graphicData>
            </a:graphic>
          </wp:inline>
        </w:drawing>
      </w:r>
    </w:p>
    <w:p w14:paraId="00C31A44" w14:textId="77777777" w:rsidR="00AF291F" w:rsidRPr="00803E48" w:rsidRDefault="00AF291F" w:rsidP="00AF291F">
      <w:pPr>
        <w:pStyle w:val="Caption"/>
        <w:rPr>
          <w:rFonts w:ascii="Times New Roman" w:eastAsia="Times New Roman" w:hAnsi="Times New Roman" w:cs="Times New Roman"/>
          <w:color w:val="000000" w:themeColor="text1"/>
          <w:sz w:val="24"/>
          <w:szCs w:val="24"/>
        </w:rPr>
      </w:pPr>
      <w:r w:rsidRPr="00803E48">
        <w:rPr>
          <w:rFonts w:ascii="Times New Roman" w:hAnsi="Times New Roman" w:cs="Times New Roman"/>
          <w:color w:val="000000" w:themeColor="text1"/>
          <w:sz w:val="24"/>
          <w:szCs w:val="24"/>
        </w:rPr>
        <w:t>Figure</w:t>
      </w:r>
      <w:r>
        <w:rPr>
          <w:rFonts w:ascii="Times New Roman" w:hAnsi="Times New Roman" w:cs="Times New Roman"/>
          <w:color w:val="000000" w:themeColor="text1"/>
          <w:sz w:val="24"/>
          <w:szCs w:val="24"/>
        </w:rPr>
        <w:t xml:space="preserve"> 1</w:t>
      </w:r>
      <w:r w:rsidRPr="00803E48">
        <w:rPr>
          <w:rFonts w:ascii="Times New Roman" w:hAnsi="Times New Roman" w:cs="Times New Roman"/>
          <w:color w:val="000000" w:themeColor="text1"/>
          <w:sz w:val="24"/>
          <w:szCs w:val="24"/>
        </w:rPr>
        <w:t xml:space="preserve">: An illustration depicting the regulatory process of glucose homeostasis </w:t>
      </w:r>
      <w:r w:rsidRPr="00803E48">
        <w:rPr>
          <w:rFonts w:ascii="Times New Roman" w:eastAsia="Times New Roman" w:hAnsi="Times New Roman" w:cs="Times New Roman"/>
          <w:color w:val="000000" w:themeColor="text1"/>
          <w:sz w:val="24"/>
          <w:szCs w:val="24"/>
        </w:rPr>
        <w:t>(Röder et al., 2016).</w:t>
      </w:r>
    </w:p>
    <w:p w14:paraId="737787FA" w14:textId="7423715B" w:rsidR="00C67910" w:rsidRDefault="00C67910">
      <w:pPr>
        <w:rPr>
          <w:rFonts w:ascii="Times New Roman" w:eastAsia="DengXian" w:hAnsi="Times New Roman" w:cs="Times New Roman"/>
          <w:color w:val="000000"/>
          <w:sz w:val="24"/>
          <w:szCs w:val="24"/>
        </w:rPr>
      </w:pPr>
    </w:p>
    <w:p w14:paraId="37EE5750" w14:textId="77777777" w:rsidR="006A7B13" w:rsidRDefault="006A7B13">
      <w:pPr>
        <w:rPr>
          <w:rFonts w:ascii="Times New Roman" w:eastAsia="DengXian" w:hAnsi="Times New Roman" w:cs="Times New Roman"/>
          <w:color w:val="000000"/>
          <w:sz w:val="24"/>
          <w:szCs w:val="24"/>
        </w:rPr>
      </w:pPr>
    </w:p>
    <w:p w14:paraId="4C7013C8" w14:textId="575DA158" w:rsidR="004F3E98" w:rsidRDefault="000B07FF" w:rsidP="00C67910">
      <w:pPr>
        <w:pStyle w:val="Heading1"/>
        <w:numPr>
          <w:ilvl w:val="0"/>
          <w:numId w:val="1"/>
        </w:numPr>
        <w:rPr>
          <w:b/>
        </w:rPr>
      </w:pPr>
      <w:bookmarkStart w:id="4" w:name="_Toc164363455"/>
      <w:r w:rsidRPr="00C67910">
        <w:rPr>
          <w:b/>
        </w:rPr>
        <w:lastRenderedPageBreak/>
        <w:t>Aims</w:t>
      </w:r>
      <w:bookmarkEnd w:id="4"/>
      <w:r w:rsidRPr="00C67910">
        <w:rPr>
          <w:b/>
        </w:rPr>
        <w:t xml:space="preserve">  </w:t>
      </w:r>
      <w:r w:rsidR="004F3E98" w:rsidRPr="00C67910">
        <w:rPr>
          <w:b/>
        </w:rPr>
        <w:t xml:space="preserve">  </w:t>
      </w:r>
    </w:p>
    <w:p w14:paraId="51E8B3F2" w14:textId="77777777" w:rsidR="00876300" w:rsidRPr="00876300" w:rsidRDefault="00876300" w:rsidP="00876300"/>
    <w:p w14:paraId="457663F7" w14:textId="77777777" w:rsidR="00404E8B" w:rsidRDefault="00876300" w:rsidP="00404E8B">
      <w:pPr>
        <w:spacing w:line="360" w:lineRule="auto"/>
        <w:rPr>
          <w:rFonts w:ascii="Times New Roman" w:eastAsia="DengXian" w:hAnsi="Times New Roman" w:cs="Times New Roman"/>
          <w:color w:val="000000"/>
          <w:sz w:val="24"/>
          <w:szCs w:val="24"/>
        </w:rPr>
      </w:pPr>
      <w:r w:rsidRPr="00876300">
        <w:rPr>
          <w:rFonts w:ascii="Times New Roman" w:eastAsia="DengXian" w:hAnsi="Times New Roman" w:cs="Times New Roman"/>
          <w:color w:val="000000"/>
          <w:sz w:val="24"/>
          <w:szCs w:val="24"/>
        </w:rPr>
        <w:t>The key aims of this review is to</w:t>
      </w:r>
      <w:r w:rsidR="00404E8B">
        <w:rPr>
          <w:rFonts w:ascii="Times New Roman" w:eastAsia="DengXian" w:hAnsi="Times New Roman" w:cs="Times New Roman"/>
          <w:color w:val="000000"/>
          <w:sz w:val="24"/>
          <w:szCs w:val="24"/>
        </w:rPr>
        <w:t>:</w:t>
      </w:r>
    </w:p>
    <w:p w14:paraId="02B3C736" w14:textId="26EB5D06" w:rsidR="004F3E98" w:rsidRPr="005717A1" w:rsidRDefault="00404E8B" w:rsidP="00404E8B">
      <w:pPr>
        <w:spacing w:line="360" w:lineRule="auto"/>
        <w:rPr>
          <w:rFonts w:ascii="Times New Roman" w:eastAsia="DengXian" w:hAnsi="Times New Roman" w:cs="Times New Roman"/>
          <w:color w:val="000000"/>
          <w:sz w:val="24"/>
          <w:szCs w:val="24"/>
        </w:rPr>
      </w:pPr>
      <w:r>
        <w:rPr>
          <w:rFonts w:ascii="Times New Roman" w:eastAsia="DengXian" w:hAnsi="Times New Roman" w:cs="Times New Roman"/>
          <w:color w:val="000000"/>
          <w:sz w:val="24"/>
          <w:szCs w:val="24"/>
        </w:rPr>
        <w:t xml:space="preserve">1.  </w:t>
      </w:r>
      <w:r w:rsidR="004F3E98" w:rsidRPr="005717A1">
        <w:rPr>
          <w:rFonts w:ascii="Times New Roman" w:eastAsia="DengXian" w:hAnsi="Times New Roman" w:cs="Times New Roman"/>
          <w:color w:val="000000"/>
          <w:sz w:val="24"/>
          <w:szCs w:val="24"/>
        </w:rPr>
        <w:t>Investigate, analyse and discuss evidence accumulated from previous</w:t>
      </w:r>
      <w:r w:rsidRPr="005717A1">
        <w:rPr>
          <w:rFonts w:ascii="Times New Roman" w:eastAsia="DengXian" w:hAnsi="Times New Roman" w:cs="Times New Roman"/>
          <w:color w:val="000000"/>
          <w:sz w:val="24"/>
          <w:szCs w:val="24"/>
        </w:rPr>
        <w:t xml:space="preserve"> published</w:t>
      </w:r>
      <w:r w:rsidR="004F3E98" w:rsidRPr="005717A1">
        <w:rPr>
          <w:rFonts w:ascii="Times New Roman" w:eastAsia="DengXian" w:hAnsi="Times New Roman" w:cs="Times New Roman"/>
          <w:color w:val="000000"/>
          <w:sz w:val="24"/>
          <w:szCs w:val="24"/>
        </w:rPr>
        <w:t xml:space="preserve"> studies on the effects of diet to improve HbA1c </w:t>
      </w:r>
      <w:r>
        <w:rPr>
          <w:rFonts w:ascii="Times New Roman" w:eastAsia="DengXian" w:hAnsi="Times New Roman" w:cs="Times New Roman"/>
          <w:color w:val="000000"/>
          <w:sz w:val="24"/>
          <w:szCs w:val="24"/>
        </w:rPr>
        <w:t xml:space="preserve">by </w:t>
      </w:r>
      <w:r w:rsidR="003502D6">
        <w:rPr>
          <w:rFonts w:ascii="Times New Roman" w:eastAsia="DengXian" w:hAnsi="Times New Roman" w:cs="Times New Roman"/>
          <w:color w:val="000000"/>
          <w:sz w:val="24"/>
          <w:szCs w:val="24"/>
        </w:rPr>
        <w:t>consumin</w:t>
      </w:r>
      <w:r>
        <w:rPr>
          <w:rFonts w:ascii="Times New Roman" w:eastAsia="DengXian" w:hAnsi="Times New Roman" w:cs="Times New Roman"/>
          <w:color w:val="000000"/>
          <w:sz w:val="24"/>
          <w:szCs w:val="24"/>
        </w:rPr>
        <w:t xml:space="preserve">g </w:t>
      </w:r>
      <w:r w:rsidRPr="004C7669">
        <w:rPr>
          <w:rFonts w:ascii="Times New Roman" w:eastAsia="DengXian" w:hAnsi="Times New Roman" w:cs="Times New Roman"/>
          <w:color w:val="000000"/>
          <w:sz w:val="24"/>
          <w:szCs w:val="24"/>
        </w:rPr>
        <w:t>a</w:t>
      </w:r>
      <w:r w:rsidR="004F3E98" w:rsidRPr="004C7669">
        <w:rPr>
          <w:rFonts w:ascii="Times New Roman" w:eastAsia="DengXian" w:hAnsi="Times New Roman" w:cs="Times New Roman"/>
          <w:color w:val="000000"/>
          <w:sz w:val="24"/>
          <w:szCs w:val="24"/>
        </w:rPr>
        <w:t xml:space="preserve"> low glycaemic</w:t>
      </w:r>
      <w:r w:rsidRPr="004C7669">
        <w:rPr>
          <w:rFonts w:ascii="Times New Roman" w:eastAsia="DengXian" w:hAnsi="Times New Roman" w:cs="Times New Roman"/>
          <w:color w:val="000000"/>
          <w:sz w:val="24"/>
          <w:szCs w:val="24"/>
        </w:rPr>
        <w:t xml:space="preserve"> index</w:t>
      </w:r>
      <w:r w:rsidR="004F3E98" w:rsidRPr="004C7669">
        <w:rPr>
          <w:rFonts w:ascii="Times New Roman" w:eastAsia="DengXian" w:hAnsi="Times New Roman" w:cs="Times New Roman"/>
          <w:color w:val="000000"/>
          <w:sz w:val="24"/>
          <w:szCs w:val="24"/>
        </w:rPr>
        <w:t xml:space="preserve">, low carbohydrate, </w:t>
      </w:r>
      <w:r w:rsidR="00876300" w:rsidRPr="004C7669">
        <w:rPr>
          <w:rFonts w:ascii="Times New Roman" w:eastAsia="DengXian" w:hAnsi="Times New Roman" w:cs="Times New Roman"/>
          <w:color w:val="000000"/>
          <w:sz w:val="24"/>
          <w:szCs w:val="24"/>
        </w:rPr>
        <w:t>Mediterranean</w:t>
      </w:r>
      <w:r w:rsidR="004F3E98" w:rsidRPr="004C7669">
        <w:rPr>
          <w:rFonts w:ascii="Times New Roman" w:eastAsia="DengXian" w:hAnsi="Times New Roman" w:cs="Times New Roman"/>
          <w:color w:val="000000"/>
          <w:sz w:val="24"/>
          <w:szCs w:val="24"/>
        </w:rPr>
        <w:t xml:space="preserve"> and vegan / vegetarian diet for the treatment and management of T2DM in adults </w:t>
      </w:r>
      <w:r w:rsidR="003502D6" w:rsidRPr="004C7669">
        <w:rPr>
          <w:rFonts w:ascii="Times New Roman" w:eastAsia="DengXian" w:hAnsi="Times New Roman" w:cs="Times New Roman"/>
          <w:color w:val="000000"/>
          <w:sz w:val="24"/>
          <w:szCs w:val="24"/>
        </w:rPr>
        <w:t>over</w:t>
      </w:r>
      <w:r w:rsidR="004F3E98" w:rsidRPr="004C7669">
        <w:rPr>
          <w:rFonts w:ascii="Times New Roman" w:eastAsia="DengXian" w:hAnsi="Times New Roman" w:cs="Times New Roman"/>
          <w:color w:val="000000"/>
          <w:sz w:val="24"/>
          <w:szCs w:val="24"/>
        </w:rPr>
        <w:t xml:space="preserve"> 18 years.</w:t>
      </w:r>
      <w:r w:rsidR="004F3E98" w:rsidRPr="005717A1">
        <w:rPr>
          <w:rFonts w:ascii="Times New Roman" w:eastAsia="DengXian" w:hAnsi="Times New Roman" w:cs="Times New Roman"/>
          <w:color w:val="000000"/>
          <w:sz w:val="24"/>
          <w:szCs w:val="24"/>
        </w:rPr>
        <w:t xml:space="preserve"> </w:t>
      </w:r>
    </w:p>
    <w:p w14:paraId="45EE1724" w14:textId="0C9E9C13" w:rsidR="004F3E98" w:rsidRPr="005717A1" w:rsidRDefault="00404E8B" w:rsidP="00E84CF8">
      <w:pPr>
        <w:suppressAutoHyphens/>
        <w:autoSpaceDN w:val="0"/>
        <w:spacing w:line="360" w:lineRule="auto"/>
        <w:rPr>
          <w:rFonts w:ascii="Times New Roman" w:eastAsia="DengXian" w:hAnsi="Times New Roman" w:cs="Times New Roman"/>
          <w:color w:val="000000"/>
          <w:sz w:val="24"/>
          <w:szCs w:val="24"/>
        </w:rPr>
      </w:pPr>
      <w:r>
        <w:rPr>
          <w:rFonts w:ascii="Times New Roman" w:eastAsia="DengXian" w:hAnsi="Times New Roman" w:cs="Times New Roman"/>
          <w:color w:val="000000"/>
          <w:sz w:val="24"/>
          <w:szCs w:val="24"/>
        </w:rPr>
        <w:t xml:space="preserve">2. </w:t>
      </w:r>
      <w:r w:rsidR="004F3E98" w:rsidRPr="005717A1">
        <w:rPr>
          <w:rFonts w:ascii="Times New Roman" w:eastAsia="DengXian" w:hAnsi="Times New Roman" w:cs="Times New Roman"/>
          <w:color w:val="000000"/>
          <w:sz w:val="24"/>
          <w:szCs w:val="24"/>
        </w:rPr>
        <w:t xml:space="preserve">Determine if a </w:t>
      </w:r>
      <w:r w:rsidR="00B66CDD">
        <w:rPr>
          <w:rFonts w:ascii="Times New Roman" w:hAnsi="Times New Roman" w:cs="Times New Roman"/>
          <w:color w:val="000000" w:themeColor="text1"/>
          <w:sz w:val="24"/>
          <w:szCs w:val="24"/>
        </w:rPr>
        <w:t>vegetarian/ vegan</w:t>
      </w:r>
      <w:r w:rsidR="004F3E98" w:rsidRPr="005717A1">
        <w:rPr>
          <w:rFonts w:ascii="Times New Roman" w:eastAsia="DengXian" w:hAnsi="Times New Roman" w:cs="Times New Roman"/>
          <w:color w:val="000000"/>
          <w:sz w:val="24"/>
          <w:szCs w:val="24"/>
        </w:rPr>
        <w:t xml:space="preserve"> is more efficacious than the aforementioned omnivorous diet regarding the improvement of </w:t>
      </w:r>
      <w:r w:rsidR="004F3E98">
        <w:rPr>
          <w:rFonts w:ascii="Times New Roman" w:eastAsia="DengXian" w:hAnsi="Times New Roman" w:cs="Times New Roman"/>
          <w:color w:val="000000"/>
          <w:sz w:val="24"/>
          <w:szCs w:val="24"/>
        </w:rPr>
        <w:t>HbA1c</w:t>
      </w:r>
      <w:r w:rsidR="004F3E98" w:rsidRPr="005717A1">
        <w:rPr>
          <w:rFonts w:ascii="Times New Roman" w:eastAsia="DengXian" w:hAnsi="Times New Roman" w:cs="Times New Roman"/>
          <w:color w:val="000000"/>
          <w:sz w:val="24"/>
          <w:szCs w:val="24"/>
        </w:rPr>
        <w:t xml:space="preserve">. </w:t>
      </w:r>
    </w:p>
    <w:p w14:paraId="5BF52932" w14:textId="1C61ACA9" w:rsidR="00C67910" w:rsidRDefault="00404E8B" w:rsidP="00E84CF8">
      <w:pPr>
        <w:suppressAutoHyphens/>
        <w:autoSpaceDN w:val="0"/>
        <w:spacing w:line="360" w:lineRule="auto"/>
        <w:rPr>
          <w:rFonts w:ascii="Times New Roman" w:eastAsia="DengXian" w:hAnsi="Times New Roman" w:cs="Times New Roman"/>
          <w:color w:val="000000"/>
          <w:sz w:val="24"/>
          <w:szCs w:val="24"/>
        </w:rPr>
      </w:pPr>
      <w:r>
        <w:rPr>
          <w:rFonts w:ascii="Times New Roman" w:eastAsia="DengXian" w:hAnsi="Times New Roman" w:cs="Times New Roman"/>
          <w:color w:val="000000"/>
          <w:sz w:val="24"/>
          <w:szCs w:val="24"/>
        </w:rPr>
        <w:t xml:space="preserve">3. </w:t>
      </w:r>
      <w:r w:rsidR="004F3E98" w:rsidRPr="005717A1">
        <w:rPr>
          <w:rFonts w:ascii="Times New Roman" w:eastAsia="DengXian" w:hAnsi="Times New Roman" w:cs="Times New Roman"/>
          <w:color w:val="000000"/>
          <w:sz w:val="24"/>
          <w:szCs w:val="24"/>
        </w:rPr>
        <w:t xml:space="preserve">Reveal any potential gaps or difficulties with the adoption of dietary modifications for the </w:t>
      </w:r>
      <w:r w:rsidR="00C67910">
        <w:rPr>
          <w:rFonts w:ascii="Times New Roman" w:eastAsia="DengXian" w:hAnsi="Times New Roman" w:cs="Times New Roman"/>
          <w:color w:val="000000"/>
          <w:sz w:val="24"/>
          <w:szCs w:val="24"/>
        </w:rPr>
        <w:t xml:space="preserve">efficient management of T2DM.  </w:t>
      </w:r>
    </w:p>
    <w:p w14:paraId="19B174A9" w14:textId="77777777" w:rsidR="00C67910" w:rsidRDefault="00C67910">
      <w:pPr>
        <w:rPr>
          <w:rFonts w:ascii="Times New Roman" w:eastAsia="DengXian" w:hAnsi="Times New Roman" w:cs="Times New Roman"/>
          <w:color w:val="000000"/>
          <w:sz w:val="24"/>
          <w:szCs w:val="24"/>
        </w:rPr>
      </w:pPr>
      <w:r>
        <w:rPr>
          <w:rFonts w:ascii="Times New Roman" w:eastAsia="DengXian" w:hAnsi="Times New Roman" w:cs="Times New Roman"/>
          <w:color w:val="000000"/>
          <w:sz w:val="24"/>
          <w:szCs w:val="24"/>
        </w:rPr>
        <w:br w:type="page"/>
      </w:r>
    </w:p>
    <w:p w14:paraId="52A36464" w14:textId="77777777" w:rsidR="00C24940" w:rsidRDefault="00C24940" w:rsidP="00C67910">
      <w:pPr>
        <w:pStyle w:val="Heading1"/>
        <w:numPr>
          <w:ilvl w:val="0"/>
          <w:numId w:val="1"/>
        </w:numPr>
        <w:rPr>
          <w:b/>
        </w:rPr>
      </w:pPr>
      <w:bookmarkStart w:id="5" w:name="_Toc164363456"/>
      <w:r w:rsidRPr="00C67910">
        <w:rPr>
          <w:b/>
        </w:rPr>
        <w:lastRenderedPageBreak/>
        <w:t>Methodology</w:t>
      </w:r>
      <w:bookmarkEnd w:id="5"/>
    </w:p>
    <w:p w14:paraId="0E3F03E3" w14:textId="77777777" w:rsidR="00991265" w:rsidRPr="00991265" w:rsidRDefault="00991265" w:rsidP="00991265"/>
    <w:p w14:paraId="614F2B97" w14:textId="0A5B35DD" w:rsidR="00C24940" w:rsidRPr="005717A1" w:rsidRDefault="00C24940" w:rsidP="00E84CF8">
      <w:pPr>
        <w:suppressAutoHyphens/>
        <w:autoSpaceDN w:val="0"/>
        <w:spacing w:line="360" w:lineRule="auto"/>
        <w:rPr>
          <w:rFonts w:ascii="Times New Roman" w:eastAsia="DengXian" w:hAnsi="Times New Roman" w:cs="Times New Roman"/>
          <w:color w:val="000000"/>
          <w:sz w:val="24"/>
          <w:szCs w:val="24"/>
        </w:rPr>
      </w:pPr>
      <w:r w:rsidRPr="00452322">
        <w:rPr>
          <w:rFonts w:ascii="Times New Roman" w:eastAsia="DengXian" w:hAnsi="Times New Roman" w:cs="Times New Roman"/>
          <w:b/>
          <w:color w:val="000000"/>
          <w:sz w:val="24"/>
          <w:szCs w:val="24"/>
        </w:rPr>
        <w:t xml:space="preserve">Population </w:t>
      </w:r>
      <w:r w:rsidR="00452322">
        <w:rPr>
          <w:rFonts w:ascii="Times New Roman" w:eastAsia="DengXian" w:hAnsi="Times New Roman" w:cs="Times New Roman"/>
          <w:color w:val="000000"/>
          <w:sz w:val="24"/>
          <w:szCs w:val="24"/>
        </w:rPr>
        <w:t>–</w:t>
      </w:r>
      <w:r w:rsidRPr="005717A1">
        <w:rPr>
          <w:rFonts w:ascii="Times New Roman" w:eastAsia="DengXian" w:hAnsi="Times New Roman" w:cs="Times New Roman"/>
          <w:color w:val="000000"/>
          <w:sz w:val="24"/>
          <w:szCs w:val="24"/>
        </w:rPr>
        <w:t xml:space="preserve"> adults &gt;18 years with T2DM</w:t>
      </w:r>
    </w:p>
    <w:p w14:paraId="354822D6" w14:textId="682E03B3" w:rsidR="00C24940" w:rsidRPr="005717A1" w:rsidRDefault="00C24940" w:rsidP="00E84CF8">
      <w:pPr>
        <w:suppressAutoHyphens/>
        <w:autoSpaceDN w:val="0"/>
        <w:spacing w:line="360" w:lineRule="auto"/>
        <w:rPr>
          <w:rFonts w:ascii="Times New Roman" w:eastAsia="DengXian" w:hAnsi="Times New Roman" w:cs="Times New Roman"/>
          <w:color w:val="000000"/>
          <w:sz w:val="24"/>
          <w:szCs w:val="24"/>
        </w:rPr>
      </w:pPr>
      <w:r w:rsidRPr="00452322">
        <w:rPr>
          <w:rFonts w:ascii="Times New Roman" w:eastAsia="DengXian" w:hAnsi="Times New Roman" w:cs="Times New Roman"/>
          <w:b/>
          <w:color w:val="000000"/>
          <w:sz w:val="24"/>
          <w:szCs w:val="24"/>
        </w:rPr>
        <w:t xml:space="preserve">Intervention </w:t>
      </w:r>
      <w:r w:rsidR="00452322">
        <w:rPr>
          <w:rFonts w:ascii="Times New Roman" w:eastAsia="DengXian" w:hAnsi="Times New Roman" w:cs="Times New Roman"/>
          <w:color w:val="000000"/>
          <w:sz w:val="24"/>
          <w:szCs w:val="24"/>
        </w:rPr>
        <w:t xml:space="preserve">– </w:t>
      </w:r>
      <w:r w:rsidRPr="005717A1">
        <w:rPr>
          <w:rFonts w:ascii="Times New Roman" w:eastAsia="DengXian" w:hAnsi="Times New Roman" w:cs="Times New Roman"/>
          <w:color w:val="000000"/>
          <w:sz w:val="24"/>
          <w:szCs w:val="24"/>
        </w:rPr>
        <w:t>non vegan/ vegetarian diets</w:t>
      </w:r>
    </w:p>
    <w:p w14:paraId="2B6D438F" w14:textId="47956E3E" w:rsidR="00C24940" w:rsidRPr="005717A1" w:rsidRDefault="00C24940" w:rsidP="00E84CF8">
      <w:pPr>
        <w:suppressAutoHyphens/>
        <w:autoSpaceDN w:val="0"/>
        <w:spacing w:line="360" w:lineRule="auto"/>
        <w:rPr>
          <w:rFonts w:ascii="Times New Roman" w:eastAsia="DengXian" w:hAnsi="Times New Roman" w:cs="Times New Roman"/>
          <w:color w:val="000000"/>
          <w:sz w:val="24"/>
          <w:szCs w:val="24"/>
        </w:rPr>
      </w:pPr>
      <w:r w:rsidRPr="00452322">
        <w:rPr>
          <w:rFonts w:ascii="Times New Roman" w:eastAsia="DengXian" w:hAnsi="Times New Roman" w:cs="Times New Roman"/>
          <w:b/>
          <w:color w:val="000000"/>
          <w:sz w:val="24"/>
          <w:szCs w:val="24"/>
        </w:rPr>
        <w:t>Comparison</w:t>
      </w:r>
      <w:r w:rsidR="00452322">
        <w:rPr>
          <w:rFonts w:ascii="Times New Roman" w:eastAsia="DengXian" w:hAnsi="Times New Roman" w:cs="Times New Roman"/>
          <w:color w:val="000000"/>
          <w:sz w:val="24"/>
          <w:szCs w:val="24"/>
        </w:rPr>
        <w:t xml:space="preserve"> – vegetarian</w:t>
      </w:r>
      <w:r w:rsidRPr="005717A1">
        <w:rPr>
          <w:rFonts w:ascii="Times New Roman" w:eastAsia="DengXian" w:hAnsi="Times New Roman" w:cs="Times New Roman"/>
          <w:color w:val="000000"/>
          <w:sz w:val="24"/>
          <w:szCs w:val="24"/>
        </w:rPr>
        <w:t xml:space="preserve"> /vegan diet </w:t>
      </w:r>
    </w:p>
    <w:p w14:paraId="19C59A4C" w14:textId="23EA34BF" w:rsidR="00C24940" w:rsidRPr="005717A1" w:rsidRDefault="00C24940" w:rsidP="00E84CF8">
      <w:pPr>
        <w:suppressAutoHyphens/>
        <w:autoSpaceDN w:val="0"/>
        <w:spacing w:line="360" w:lineRule="auto"/>
        <w:rPr>
          <w:rFonts w:ascii="Times New Roman" w:eastAsia="DengXian" w:hAnsi="Times New Roman" w:cs="Times New Roman"/>
          <w:color w:val="000000"/>
          <w:sz w:val="24"/>
          <w:szCs w:val="24"/>
        </w:rPr>
      </w:pPr>
      <w:r w:rsidRPr="00452322">
        <w:rPr>
          <w:rFonts w:ascii="Times New Roman" w:eastAsia="DengXian" w:hAnsi="Times New Roman" w:cs="Times New Roman"/>
          <w:b/>
          <w:color w:val="000000"/>
          <w:sz w:val="24"/>
          <w:szCs w:val="24"/>
        </w:rPr>
        <w:t>Outcome</w:t>
      </w:r>
      <w:r w:rsidRPr="005717A1">
        <w:rPr>
          <w:rFonts w:ascii="Times New Roman" w:eastAsia="DengXian" w:hAnsi="Times New Roman" w:cs="Times New Roman"/>
          <w:color w:val="000000"/>
          <w:sz w:val="24"/>
          <w:szCs w:val="24"/>
        </w:rPr>
        <w:t xml:space="preserve"> </w:t>
      </w:r>
      <w:r w:rsidR="00452322">
        <w:rPr>
          <w:rFonts w:ascii="Times New Roman" w:eastAsia="DengXian" w:hAnsi="Times New Roman" w:cs="Times New Roman"/>
          <w:color w:val="000000"/>
          <w:sz w:val="24"/>
          <w:szCs w:val="24"/>
        </w:rPr>
        <w:t>–</w:t>
      </w:r>
      <w:r w:rsidRPr="005717A1">
        <w:rPr>
          <w:rFonts w:ascii="Times New Roman" w:eastAsia="DengXian" w:hAnsi="Times New Roman" w:cs="Times New Roman"/>
          <w:color w:val="000000"/>
          <w:sz w:val="24"/>
          <w:szCs w:val="24"/>
        </w:rPr>
        <w:t xml:space="preserve"> improved </w:t>
      </w:r>
      <w:r w:rsidR="00364B31">
        <w:rPr>
          <w:rFonts w:ascii="Times New Roman" w:eastAsia="DengXian" w:hAnsi="Times New Roman" w:cs="Times New Roman"/>
          <w:color w:val="000000"/>
          <w:sz w:val="24"/>
          <w:szCs w:val="24"/>
        </w:rPr>
        <w:t>HbA1c</w:t>
      </w:r>
    </w:p>
    <w:p w14:paraId="4CBD04D0" w14:textId="645C13C3" w:rsidR="00C24940" w:rsidRPr="005717A1" w:rsidRDefault="00C24940" w:rsidP="00E84CF8">
      <w:pPr>
        <w:spacing w:line="360" w:lineRule="auto"/>
        <w:rPr>
          <w:rFonts w:ascii="Times New Roman" w:eastAsia="Times New Roman" w:hAnsi="Times New Roman" w:cs="Times New Roman"/>
          <w:sz w:val="24"/>
          <w:szCs w:val="24"/>
        </w:rPr>
      </w:pPr>
      <w:r w:rsidRPr="000C1A6A">
        <w:rPr>
          <w:rFonts w:ascii="Times New Roman" w:eastAsia="DengXian" w:hAnsi="Times New Roman" w:cs="Times New Roman"/>
          <w:color w:val="000000"/>
          <w:sz w:val="24"/>
          <w:szCs w:val="24"/>
        </w:rPr>
        <w:t xml:space="preserve">A narrative </w:t>
      </w:r>
      <w:r w:rsidR="000C1A6A">
        <w:rPr>
          <w:rFonts w:ascii="Times New Roman" w:eastAsia="DengXian" w:hAnsi="Times New Roman" w:cs="Times New Roman"/>
          <w:color w:val="000000"/>
          <w:sz w:val="24"/>
          <w:szCs w:val="24"/>
        </w:rPr>
        <w:t>approach</w:t>
      </w:r>
      <w:r w:rsidRPr="000C1A6A">
        <w:rPr>
          <w:rFonts w:ascii="Times New Roman" w:eastAsia="DengXian" w:hAnsi="Times New Roman" w:cs="Times New Roman"/>
          <w:color w:val="000000"/>
          <w:sz w:val="24"/>
          <w:szCs w:val="24"/>
        </w:rPr>
        <w:t xml:space="preserve"> has been </w:t>
      </w:r>
      <w:r w:rsidR="000C1A6A">
        <w:rPr>
          <w:rFonts w:ascii="Times New Roman" w:eastAsia="DengXian" w:hAnsi="Times New Roman" w:cs="Times New Roman"/>
          <w:color w:val="000000"/>
          <w:sz w:val="24"/>
          <w:szCs w:val="24"/>
        </w:rPr>
        <w:t>selected to conduct this review. I</w:t>
      </w:r>
      <w:r w:rsidRPr="000C1A6A">
        <w:rPr>
          <w:rFonts w:ascii="Times New Roman" w:eastAsia="DengXian" w:hAnsi="Times New Roman" w:cs="Times New Roman"/>
          <w:color w:val="000000"/>
          <w:sz w:val="24"/>
          <w:szCs w:val="24"/>
        </w:rPr>
        <w:t>t is deemed as a</w:t>
      </w:r>
      <w:r w:rsidRPr="000C1A6A">
        <w:rPr>
          <w:rFonts w:ascii="Times New Roman" w:eastAsia="DengXian" w:hAnsi="Times New Roman" w:cs="Times New Roman"/>
          <w:sz w:val="24"/>
          <w:szCs w:val="24"/>
        </w:rPr>
        <w:t xml:space="preserve"> </w:t>
      </w:r>
      <w:r w:rsidRPr="000C1A6A">
        <w:rPr>
          <w:rFonts w:ascii="Times New Roman" w:eastAsia="DengXian" w:hAnsi="Times New Roman" w:cs="Times New Roman"/>
          <w:color w:val="000000"/>
          <w:sz w:val="24"/>
          <w:szCs w:val="24"/>
        </w:rPr>
        <w:t>publication that examines and summarises the status of science on a particular subject or theme from a theoretical and contextual point of view with minimal explicit framework for assembling and presenting evidence</w:t>
      </w:r>
      <w:r w:rsidRPr="000C1A6A">
        <w:rPr>
          <w:rFonts w:ascii="Times New Roman" w:eastAsia="DengXian" w:hAnsi="Times New Roman" w:cs="Times New Roman"/>
          <w:sz w:val="24"/>
          <w:szCs w:val="24"/>
        </w:rPr>
        <w:t xml:space="preserve"> </w:t>
      </w:r>
      <w:r w:rsidRPr="000C1A6A">
        <w:rPr>
          <w:rFonts w:ascii="Times New Roman" w:eastAsia="DengXian" w:hAnsi="Times New Roman" w:cs="Times New Roman"/>
          <w:color w:val="000000"/>
          <w:sz w:val="24"/>
          <w:szCs w:val="24"/>
        </w:rPr>
        <w:t xml:space="preserve">(Henry et al., 2018). Moreover, </w:t>
      </w:r>
      <w:r w:rsidR="000C1A6A">
        <w:rPr>
          <w:rFonts w:ascii="Times New Roman" w:eastAsia="DengXian" w:hAnsi="Times New Roman" w:cs="Times New Roman"/>
          <w:color w:val="000000"/>
          <w:sz w:val="24"/>
          <w:szCs w:val="24"/>
        </w:rPr>
        <w:t xml:space="preserve">it </w:t>
      </w:r>
      <w:r w:rsidRPr="000C1A6A">
        <w:rPr>
          <w:rFonts w:ascii="Times New Roman" w:eastAsia="DengXian" w:hAnsi="Times New Roman" w:cs="Times New Roman"/>
          <w:color w:val="000000"/>
          <w:sz w:val="24"/>
          <w:szCs w:val="24"/>
        </w:rPr>
        <w:t>enables the coverage of topics that are excessively broad for targeted, methodical literature searches</w:t>
      </w:r>
      <w:r w:rsidR="008B3792" w:rsidRPr="000C1A6A">
        <w:rPr>
          <w:rFonts w:ascii="Times New Roman" w:eastAsia="DengXian" w:hAnsi="Times New Roman" w:cs="Times New Roman"/>
          <w:color w:val="000000"/>
          <w:sz w:val="24"/>
          <w:szCs w:val="24"/>
        </w:rPr>
        <w:t xml:space="preserve"> thus, serving as valuable educational resources in medical training</w:t>
      </w:r>
      <w:r w:rsidRPr="000C1A6A">
        <w:rPr>
          <w:rFonts w:ascii="Times New Roman" w:eastAsia="DengXian" w:hAnsi="Times New Roman" w:cs="Times New Roman"/>
          <w:color w:val="000000"/>
          <w:sz w:val="24"/>
          <w:szCs w:val="24"/>
        </w:rPr>
        <w:t>. Narrative reviews, in contrast to systematic reviews</w:t>
      </w:r>
      <w:r w:rsidR="008B3792" w:rsidRPr="000C1A6A">
        <w:rPr>
          <w:rFonts w:ascii="Times New Roman" w:eastAsia="DengXian" w:hAnsi="Times New Roman" w:cs="Times New Roman"/>
          <w:color w:val="000000"/>
          <w:sz w:val="24"/>
          <w:szCs w:val="24"/>
        </w:rPr>
        <w:t xml:space="preserve"> ad</w:t>
      </w:r>
      <w:r w:rsidR="002A2345">
        <w:rPr>
          <w:rFonts w:ascii="Times New Roman" w:eastAsia="DengXian" w:hAnsi="Times New Roman" w:cs="Times New Roman"/>
          <w:color w:val="000000"/>
          <w:sz w:val="24"/>
          <w:szCs w:val="24"/>
        </w:rPr>
        <w:t>opt a less structured approach</w:t>
      </w:r>
      <w:r w:rsidR="008B3792" w:rsidRPr="000C1A6A">
        <w:rPr>
          <w:rFonts w:ascii="Times New Roman" w:eastAsia="DengXian" w:hAnsi="Times New Roman" w:cs="Times New Roman"/>
          <w:color w:val="000000"/>
          <w:sz w:val="24"/>
          <w:szCs w:val="24"/>
        </w:rPr>
        <w:t>, search terms, databases a</w:t>
      </w:r>
      <w:r w:rsidR="000C1A6A">
        <w:rPr>
          <w:rFonts w:ascii="Times New Roman" w:eastAsia="DengXian" w:hAnsi="Times New Roman" w:cs="Times New Roman"/>
          <w:color w:val="000000"/>
          <w:sz w:val="24"/>
          <w:szCs w:val="24"/>
        </w:rPr>
        <w:t xml:space="preserve">nd inclusion/exclusion criteria. It also </w:t>
      </w:r>
      <w:r w:rsidRPr="000C1A6A">
        <w:rPr>
          <w:rFonts w:ascii="Times New Roman" w:eastAsia="DengXian" w:hAnsi="Times New Roman" w:cs="Times New Roman"/>
          <w:color w:val="000000"/>
          <w:sz w:val="24"/>
          <w:szCs w:val="24"/>
        </w:rPr>
        <w:t>provide</w:t>
      </w:r>
      <w:r w:rsidR="000C1A6A">
        <w:rPr>
          <w:rFonts w:ascii="Times New Roman" w:eastAsia="DengXian" w:hAnsi="Times New Roman" w:cs="Times New Roman"/>
          <w:color w:val="000000"/>
          <w:sz w:val="24"/>
          <w:szCs w:val="24"/>
        </w:rPr>
        <w:t>s</w:t>
      </w:r>
      <w:r w:rsidRPr="000C1A6A">
        <w:rPr>
          <w:rFonts w:ascii="Times New Roman" w:eastAsia="DengXian" w:hAnsi="Times New Roman" w:cs="Times New Roman"/>
          <w:color w:val="000000"/>
          <w:sz w:val="24"/>
          <w:szCs w:val="24"/>
        </w:rPr>
        <w:t xml:space="preserve"> researchers with the opportunity to combine various viewpoints and use distinc</w:t>
      </w:r>
      <w:r w:rsidR="002A2345">
        <w:rPr>
          <w:rFonts w:ascii="Times New Roman" w:eastAsia="DengXian" w:hAnsi="Times New Roman" w:cs="Times New Roman"/>
          <w:color w:val="000000"/>
          <w:sz w:val="24"/>
          <w:szCs w:val="24"/>
        </w:rPr>
        <w:t>t review perspectives</w:t>
      </w:r>
      <w:r w:rsidRPr="000C1A6A">
        <w:rPr>
          <w:rFonts w:ascii="Times New Roman" w:eastAsia="DengXian" w:hAnsi="Times New Roman" w:cs="Times New Roman"/>
          <w:color w:val="000000"/>
          <w:sz w:val="24"/>
          <w:szCs w:val="24"/>
        </w:rPr>
        <w:t xml:space="preserve"> influencing the analysis</w:t>
      </w:r>
      <w:r w:rsidR="008B3792" w:rsidRPr="000C1A6A">
        <w:rPr>
          <w:rFonts w:ascii="Times New Roman" w:eastAsia="DengXian" w:hAnsi="Times New Roman" w:cs="Times New Roman"/>
          <w:color w:val="000000"/>
          <w:sz w:val="24"/>
          <w:szCs w:val="24"/>
        </w:rPr>
        <w:t xml:space="preserve"> </w:t>
      </w:r>
      <w:r w:rsidR="008B3792" w:rsidRPr="000C1A6A">
        <w:rPr>
          <w:rFonts w:ascii="Times New Roman" w:eastAsia="Times New Roman" w:hAnsi="Times New Roman" w:cs="Times New Roman"/>
          <w:sz w:val="24"/>
          <w:szCs w:val="24"/>
        </w:rPr>
        <w:t>(Jahan et al., 2016)</w:t>
      </w:r>
      <w:r w:rsidRPr="000C1A6A">
        <w:rPr>
          <w:rFonts w:ascii="Times New Roman" w:eastAsia="DengXian" w:hAnsi="Times New Roman" w:cs="Times New Roman"/>
          <w:color w:val="000000"/>
          <w:sz w:val="24"/>
          <w:szCs w:val="24"/>
        </w:rPr>
        <w:t>.</w:t>
      </w:r>
      <w:r w:rsidR="008B3792" w:rsidRPr="000C1A6A">
        <w:rPr>
          <w:rFonts w:ascii="Times New Roman" w:eastAsia="Times New Roman" w:hAnsi="Times New Roman" w:cs="Times New Roman"/>
          <w:sz w:val="24"/>
          <w:szCs w:val="24"/>
        </w:rPr>
        <w:t xml:space="preserve"> </w:t>
      </w:r>
      <w:r w:rsidRPr="000C1A6A">
        <w:rPr>
          <w:rFonts w:ascii="Times New Roman" w:eastAsia="DengXian" w:hAnsi="Times New Roman" w:cs="Times New Roman"/>
          <w:color w:val="000000"/>
          <w:sz w:val="24"/>
          <w:szCs w:val="24"/>
        </w:rPr>
        <w:t xml:space="preserve">As such, the insights obtained from a narrative review would differ based on the historical, organisational and individual circumstances in which </w:t>
      </w:r>
      <w:r w:rsidR="002A2345">
        <w:rPr>
          <w:rFonts w:ascii="Times New Roman" w:eastAsia="DengXian" w:hAnsi="Times New Roman" w:cs="Times New Roman"/>
          <w:color w:val="000000"/>
          <w:sz w:val="24"/>
          <w:szCs w:val="24"/>
        </w:rPr>
        <w:t>it</w:t>
      </w:r>
      <w:r w:rsidRPr="000C1A6A">
        <w:rPr>
          <w:rFonts w:ascii="Times New Roman" w:eastAsia="DengXian" w:hAnsi="Times New Roman" w:cs="Times New Roman"/>
          <w:color w:val="000000"/>
          <w:sz w:val="24"/>
          <w:szCs w:val="24"/>
        </w:rPr>
        <w:t xml:space="preserve"> was carried out</w:t>
      </w:r>
      <w:r w:rsidRPr="000C1A6A">
        <w:rPr>
          <w:rFonts w:ascii="Times New Roman" w:eastAsia="DengXian" w:hAnsi="Times New Roman" w:cs="Times New Roman"/>
          <w:sz w:val="24"/>
          <w:szCs w:val="24"/>
        </w:rPr>
        <w:t xml:space="preserve"> </w:t>
      </w:r>
      <w:r w:rsidRPr="000C1A6A">
        <w:rPr>
          <w:rFonts w:ascii="Times New Roman" w:eastAsia="DengXian" w:hAnsi="Times New Roman" w:cs="Times New Roman"/>
          <w:color w:val="000000"/>
          <w:sz w:val="24"/>
          <w:szCs w:val="24"/>
        </w:rPr>
        <w:t>(Sukhera, 2022).</w:t>
      </w:r>
    </w:p>
    <w:p w14:paraId="624F17F7" w14:textId="28693FF8" w:rsidR="00452322" w:rsidRDefault="00C24940" w:rsidP="00E84CF8">
      <w:pPr>
        <w:spacing w:line="360" w:lineRule="auto"/>
        <w:rPr>
          <w:rFonts w:ascii="Times New Roman" w:eastAsia="DengXian" w:hAnsi="Times New Roman" w:cs="Times New Roman"/>
          <w:color w:val="000000"/>
          <w:sz w:val="24"/>
          <w:szCs w:val="24"/>
        </w:rPr>
      </w:pPr>
      <w:r w:rsidRPr="00452322">
        <w:rPr>
          <w:rFonts w:ascii="Times New Roman" w:eastAsia="DengXian" w:hAnsi="Times New Roman" w:cs="Times New Roman"/>
          <w:b/>
          <w:color w:val="000000"/>
          <w:sz w:val="24"/>
          <w:szCs w:val="24"/>
        </w:rPr>
        <w:t>Inclusion criteria</w:t>
      </w:r>
      <w:r w:rsidRPr="005717A1">
        <w:rPr>
          <w:rFonts w:ascii="Times New Roman" w:eastAsia="DengXian" w:hAnsi="Times New Roman" w:cs="Times New Roman"/>
          <w:color w:val="000000"/>
          <w:sz w:val="24"/>
          <w:szCs w:val="24"/>
        </w:rPr>
        <w:t xml:space="preserve"> – An automated, methodical search w</w:t>
      </w:r>
      <w:r w:rsidR="00A11878" w:rsidRPr="005717A1">
        <w:rPr>
          <w:rFonts w:ascii="Times New Roman" w:eastAsia="DengXian" w:hAnsi="Times New Roman" w:cs="Times New Roman"/>
          <w:color w:val="000000"/>
          <w:sz w:val="24"/>
          <w:szCs w:val="24"/>
        </w:rPr>
        <w:t>as</w:t>
      </w:r>
      <w:r w:rsidRPr="005717A1">
        <w:rPr>
          <w:rFonts w:ascii="Times New Roman" w:eastAsia="DengXian" w:hAnsi="Times New Roman" w:cs="Times New Roman"/>
          <w:color w:val="000000"/>
          <w:sz w:val="24"/>
          <w:szCs w:val="24"/>
        </w:rPr>
        <w:t xml:space="preserve"> performed, focusing only on research published (</w:t>
      </w:r>
      <w:r w:rsidR="008B3792" w:rsidRPr="005717A1">
        <w:rPr>
          <w:rFonts w:ascii="Times New Roman" w:eastAsia="DengXian" w:hAnsi="Times New Roman" w:cs="Times New Roman"/>
          <w:color w:val="000000"/>
          <w:sz w:val="24"/>
          <w:szCs w:val="24"/>
        </w:rPr>
        <w:t>peer review</w:t>
      </w:r>
      <w:r w:rsidR="00EC6C2A" w:rsidRPr="005717A1">
        <w:rPr>
          <w:rFonts w:ascii="Times New Roman" w:eastAsia="DengXian" w:hAnsi="Times New Roman" w:cs="Times New Roman"/>
          <w:color w:val="000000"/>
          <w:sz w:val="24"/>
          <w:szCs w:val="24"/>
        </w:rPr>
        <w:t>s</w:t>
      </w:r>
      <w:r w:rsidRPr="005717A1">
        <w:rPr>
          <w:rFonts w:ascii="Times New Roman" w:eastAsia="DengXian" w:hAnsi="Times New Roman" w:cs="Times New Roman"/>
          <w:color w:val="000000"/>
          <w:sz w:val="24"/>
          <w:szCs w:val="24"/>
        </w:rPr>
        <w:t xml:space="preserve">) </w:t>
      </w:r>
      <w:r w:rsidR="00EC6C2A" w:rsidRPr="005717A1">
        <w:rPr>
          <w:rFonts w:ascii="Times New Roman" w:eastAsia="DengXian" w:hAnsi="Times New Roman" w:cs="Times New Roman"/>
          <w:color w:val="000000"/>
          <w:sz w:val="24"/>
          <w:szCs w:val="24"/>
        </w:rPr>
        <w:t>as peer review ensures tr</w:t>
      </w:r>
      <w:r w:rsidR="00452322">
        <w:rPr>
          <w:rFonts w:ascii="Times New Roman" w:eastAsia="DengXian" w:hAnsi="Times New Roman" w:cs="Times New Roman"/>
          <w:color w:val="000000"/>
          <w:sz w:val="24"/>
          <w:szCs w:val="24"/>
        </w:rPr>
        <w:t xml:space="preserve">usted scientific communication </w:t>
      </w:r>
      <w:r w:rsidR="00EC6C2A" w:rsidRPr="005717A1">
        <w:rPr>
          <w:rFonts w:ascii="Times New Roman" w:eastAsia="DengXian" w:hAnsi="Times New Roman" w:cs="Times New Roman"/>
          <w:color w:val="000000"/>
          <w:sz w:val="24"/>
          <w:szCs w:val="24"/>
        </w:rPr>
        <w:t xml:space="preserve">crucial for building cumulative knowledge </w:t>
      </w:r>
      <w:r w:rsidR="00EC6C2A" w:rsidRPr="005717A1">
        <w:rPr>
          <w:rFonts w:ascii="Times New Roman" w:eastAsia="Times New Roman" w:hAnsi="Times New Roman" w:cs="Times New Roman"/>
          <w:sz w:val="24"/>
          <w:szCs w:val="24"/>
        </w:rPr>
        <w:t xml:space="preserve">(Kelly et al., 2014). </w:t>
      </w:r>
      <w:r w:rsidR="00EC6C2A" w:rsidRPr="005717A1">
        <w:rPr>
          <w:rFonts w:ascii="Times New Roman" w:eastAsia="DengXian" w:hAnsi="Times New Roman" w:cs="Times New Roman"/>
          <w:color w:val="000000"/>
          <w:sz w:val="24"/>
          <w:szCs w:val="24"/>
        </w:rPr>
        <w:t xml:space="preserve">In the context </w:t>
      </w:r>
      <w:r w:rsidR="0034728D" w:rsidRPr="005717A1">
        <w:rPr>
          <w:rFonts w:ascii="Times New Roman" w:eastAsia="DengXian" w:hAnsi="Times New Roman" w:cs="Times New Roman"/>
          <w:color w:val="000000"/>
          <w:sz w:val="24"/>
          <w:szCs w:val="24"/>
        </w:rPr>
        <w:t>of humans</w:t>
      </w:r>
      <w:r w:rsidRPr="005717A1">
        <w:rPr>
          <w:rFonts w:ascii="Times New Roman" w:eastAsia="DengXian" w:hAnsi="Times New Roman" w:cs="Times New Roman"/>
          <w:color w:val="000000"/>
          <w:sz w:val="24"/>
          <w:szCs w:val="24"/>
        </w:rPr>
        <w:t xml:space="preserve"> in the English language between</w:t>
      </w:r>
      <w:r w:rsidR="00BA0403">
        <w:rPr>
          <w:rFonts w:ascii="Times New Roman" w:eastAsia="DengXian" w:hAnsi="Times New Roman" w:cs="Times New Roman"/>
          <w:color w:val="000000"/>
          <w:sz w:val="24"/>
          <w:szCs w:val="24"/>
        </w:rPr>
        <w:t xml:space="preserve"> </w:t>
      </w:r>
      <w:r w:rsidR="00FE14C2">
        <w:rPr>
          <w:rFonts w:ascii="Times New Roman" w:eastAsia="DengXian" w:hAnsi="Times New Roman" w:cs="Times New Roman"/>
          <w:color w:val="000000"/>
          <w:sz w:val="24"/>
          <w:szCs w:val="24"/>
        </w:rPr>
        <w:t>January</w:t>
      </w:r>
      <w:r w:rsidRPr="005717A1">
        <w:rPr>
          <w:rFonts w:ascii="Times New Roman" w:eastAsia="DengXian" w:hAnsi="Times New Roman" w:cs="Times New Roman"/>
          <w:color w:val="000000"/>
          <w:sz w:val="24"/>
          <w:szCs w:val="24"/>
        </w:rPr>
        <w:t xml:space="preserve"> 20</w:t>
      </w:r>
      <w:r w:rsidR="008B3792" w:rsidRPr="005717A1">
        <w:rPr>
          <w:rFonts w:ascii="Times New Roman" w:eastAsia="DengXian" w:hAnsi="Times New Roman" w:cs="Times New Roman"/>
          <w:color w:val="000000"/>
          <w:sz w:val="24"/>
          <w:szCs w:val="24"/>
        </w:rPr>
        <w:t>14</w:t>
      </w:r>
      <w:r w:rsidRPr="005717A1">
        <w:rPr>
          <w:rFonts w:ascii="Times New Roman" w:eastAsia="DengXian" w:hAnsi="Times New Roman" w:cs="Times New Roman"/>
          <w:color w:val="000000"/>
          <w:sz w:val="24"/>
          <w:szCs w:val="24"/>
        </w:rPr>
        <w:t xml:space="preserve"> and </w:t>
      </w:r>
      <w:r w:rsidR="00BA0403">
        <w:rPr>
          <w:rFonts w:ascii="Times New Roman" w:eastAsia="DengXian" w:hAnsi="Times New Roman" w:cs="Times New Roman"/>
          <w:color w:val="000000"/>
          <w:sz w:val="24"/>
          <w:szCs w:val="24"/>
        </w:rPr>
        <w:t xml:space="preserve">March </w:t>
      </w:r>
      <w:r w:rsidRPr="005717A1">
        <w:rPr>
          <w:rFonts w:ascii="Times New Roman" w:eastAsia="DengXian" w:hAnsi="Times New Roman" w:cs="Times New Roman"/>
          <w:color w:val="000000"/>
          <w:sz w:val="24"/>
          <w:szCs w:val="24"/>
        </w:rPr>
        <w:t>202</w:t>
      </w:r>
      <w:r w:rsidR="008B3792" w:rsidRPr="005717A1">
        <w:rPr>
          <w:rFonts w:ascii="Times New Roman" w:eastAsia="DengXian" w:hAnsi="Times New Roman" w:cs="Times New Roman"/>
          <w:color w:val="000000"/>
          <w:sz w:val="24"/>
          <w:szCs w:val="24"/>
        </w:rPr>
        <w:t>4</w:t>
      </w:r>
      <w:r w:rsidRPr="005717A1">
        <w:rPr>
          <w:rFonts w:ascii="Times New Roman" w:eastAsia="DengXian" w:hAnsi="Times New Roman" w:cs="Times New Roman"/>
          <w:color w:val="000000"/>
          <w:sz w:val="24"/>
          <w:szCs w:val="24"/>
        </w:rPr>
        <w:t>, in the following databases:</w:t>
      </w:r>
    </w:p>
    <w:p w14:paraId="44965E61" w14:textId="69769DB2" w:rsidR="00452322" w:rsidRPr="00452322" w:rsidRDefault="006A7B13" w:rsidP="00452322">
      <w:pPr>
        <w:pStyle w:val="ListParagraph"/>
        <w:numPr>
          <w:ilvl w:val="0"/>
          <w:numId w:val="2"/>
        </w:numPr>
        <w:spacing w:line="360" w:lineRule="auto"/>
        <w:rPr>
          <w:rFonts w:ascii="Times New Roman" w:eastAsia="DengXian" w:hAnsi="Times New Roman" w:cs="Times New Roman"/>
          <w:color w:val="000000"/>
          <w:sz w:val="24"/>
          <w:szCs w:val="24"/>
        </w:rPr>
      </w:pPr>
      <w:r>
        <w:rPr>
          <w:rFonts w:ascii="Times New Roman" w:eastAsia="DengXian" w:hAnsi="Times New Roman" w:cs="Times New Roman"/>
          <w:color w:val="000000"/>
          <w:sz w:val="24"/>
          <w:szCs w:val="24"/>
        </w:rPr>
        <w:t>PubMed</w:t>
      </w:r>
    </w:p>
    <w:p w14:paraId="3FF8296C" w14:textId="6757B790" w:rsidR="00452322" w:rsidRPr="00452322" w:rsidRDefault="00C24940" w:rsidP="00452322">
      <w:pPr>
        <w:pStyle w:val="ListParagraph"/>
        <w:numPr>
          <w:ilvl w:val="0"/>
          <w:numId w:val="2"/>
        </w:numPr>
        <w:spacing w:line="360" w:lineRule="auto"/>
        <w:rPr>
          <w:rFonts w:ascii="Times New Roman" w:eastAsia="Times New Roman" w:hAnsi="Times New Roman" w:cs="Times New Roman"/>
          <w:sz w:val="24"/>
          <w:szCs w:val="24"/>
        </w:rPr>
      </w:pPr>
      <w:r w:rsidRPr="00452322">
        <w:rPr>
          <w:rFonts w:ascii="Times New Roman" w:eastAsia="DengXian" w:hAnsi="Times New Roman" w:cs="Times New Roman"/>
          <w:color w:val="000000"/>
          <w:sz w:val="24"/>
          <w:szCs w:val="24"/>
        </w:rPr>
        <w:t>Science D</w:t>
      </w:r>
      <w:r w:rsidR="00452322">
        <w:rPr>
          <w:rFonts w:ascii="Times New Roman" w:eastAsia="DengXian" w:hAnsi="Times New Roman" w:cs="Times New Roman"/>
          <w:color w:val="000000"/>
          <w:sz w:val="24"/>
          <w:szCs w:val="24"/>
        </w:rPr>
        <w:t>irect</w:t>
      </w:r>
    </w:p>
    <w:p w14:paraId="2B662D84" w14:textId="1D4A45AE" w:rsidR="00452322" w:rsidRPr="00452322" w:rsidRDefault="00452322" w:rsidP="00452322">
      <w:pPr>
        <w:pStyle w:val="ListParagraph"/>
        <w:numPr>
          <w:ilvl w:val="0"/>
          <w:numId w:val="2"/>
        </w:numPr>
        <w:spacing w:line="360" w:lineRule="auto"/>
        <w:rPr>
          <w:rFonts w:ascii="Times New Roman" w:eastAsia="Times New Roman" w:hAnsi="Times New Roman" w:cs="Times New Roman"/>
          <w:sz w:val="24"/>
          <w:szCs w:val="24"/>
        </w:rPr>
      </w:pPr>
      <w:r>
        <w:rPr>
          <w:rFonts w:ascii="Times New Roman" w:eastAsia="DengXian" w:hAnsi="Times New Roman" w:cs="Times New Roman"/>
          <w:color w:val="000000"/>
          <w:sz w:val="24"/>
          <w:szCs w:val="24"/>
        </w:rPr>
        <w:t>Google Scholar</w:t>
      </w:r>
    </w:p>
    <w:p w14:paraId="51BB25DF" w14:textId="567D8FFC" w:rsidR="00452322" w:rsidRPr="00452322" w:rsidRDefault="00452322" w:rsidP="00452322">
      <w:pPr>
        <w:pStyle w:val="ListParagraph"/>
        <w:numPr>
          <w:ilvl w:val="0"/>
          <w:numId w:val="2"/>
        </w:numPr>
        <w:spacing w:line="360" w:lineRule="auto"/>
        <w:rPr>
          <w:rFonts w:ascii="Times New Roman" w:eastAsia="Times New Roman" w:hAnsi="Times New Roman" w:cs="Times New Roman"/>
          <w:sz w:val="24"/>
          <w:szCs w:val="24"/>
        </w:rPr>
      </w:pPr>
      <w:r>
        <w:rPr>
          <w:rFonts w:ascii="Times New Roman" w:eastAsia="DengXian" w:hAnsi="Times New Roman" w:cs="Times New Roman"/>
          <w:color w:val="000000"/>
          <w:sz w:val="24"/>
          <w:szCs w:val="24"/>
        </w:rPr>
        <w:t xml:space="preserve">American and </w:t>
      </w:r>
      <w:r w:rsidR="00C24940" w:rsidRPr="00452322">
        <w:rPr>
          <w:rFonts w:ascii="Times New Roman" w:eastAsia="DengXian" w:hAnsi="Times New Roman" w:cs="Times New Roman"/>
          <w:color w:val="000000"/>
          <w:sz w:val="24"/>
          <w:szCs w:val="24"/>
        </w:rPr>
        <w:t>British Medical Journal</w:t>
      </w:r>
      <w:r>
        <w:rPr>
          <w:rFonts w:ascii="Times New Roman" w:eastAsia="DengXian" w:hAnsi="Times New Roman" w:cs="Times New Roman"/>
          <w:color w:val="000000"/>
          <w:sz w:val="24"/>
          <w:szCs w:val="24"/>
        </w:rPr>
        <w:t>s.</w:t>
      </w:r>
    </w:p>
    <w:p w14:paraId="0A6E8A0A" w14:textId="0D967AD6" w:rsidR="00C24940" w:rsidRPr="00452322" w:rsidRDefault="0034728D" w:rsidP="00452322">
      <w:pPr>
        <w:spacing w:line="360" w:lineRule="auto"/>
        <w:rPr>
          <w:rFonts w:ascii="Times New Roman" w:eastAsia="Times New Roman" w:hAnsi="Times New Roman" w:cs="Times New Roman"/>
          <w:sz w:val="24"/>
          <w:szCs w:val="24"/>
        </w:rPr>
      </w:pPr>
      <w:r>
        <w:rPr>
          <w:rFonts w:ascii="Times New Roman" w:eastAsia="DengXian" w:hAnsi="Times New Roman" w:cs="Times New Roman"/>
          <w:color w:val="000000"/>
          <w:sz w:val="24"/>
          <w:szCs w:val="24"/>
        </w:rPr>
        <w:t>Randomised control trials (</w:t>
      </w:r>
      <w:r w:rsidR="00C24940" w:rsidRPr="00452322">
        <w:rPr>
          <w:rFonts w:ascii="Times New Roman" w:eastAsia="DengXian" w:hAnsi="Times New Roman" w:cs="Times New Roman"/>
          <w:color w:val="000000"/>
          <w:sz w:val="24"/>
          <w:szCs w:val="24"/>
        </w:rPr>
        <w:t>R</w:t>
      </w:r>
      <w:r w:rsidR="00A521E7" w:rsidRPr="00452322">
        <w:rPr>
          <w:rFonts w:ascii="Times New Roman" w:eastAsia="DengXian" w:hAnsi="Times New Roman" w:cs="Times New Roman"/>
          <w:color w:val="000000"/>
          <w:sz w:val="24"/>
          <w:szCs w:val="24"/>
        </w:rPr>
        <w:t>CTs</w:t>
      </w:r>
      <w:r>
        <w:rPr>
          <w:rFonts w:ascii="Times New Roman" w:eastAsia="DengXian" w:hAnsi="Times New Roman" w:cs="Times New Roman"/>
          <w:color w:val="000000"/>
          <w:sz w:val="24"/>
          <w:szCs w:val="24"/>
        </w:rPr>
        <w:t>)</w:t>
      </w:r>
      <w:r w:rsidR="00A521E7" w:rsidRPr="00452322">
        <w:rPr>
          <w:rFonts w:ascii="Times New Roman" w:eastAsia="DengXian" w:hAnsi="Times New Roman" w:cs="Times New Roman"/>
          <w:color w:val="000000"/>
          <w:sz w:val="24"/>
          <w:szCs w:val="24"/>
        </w:rPr>
        <w:t xml:space="preserve"> </w:t>
      </w:r>
      <w:r w:rsidR="00C24940" w:rsidRPr="00452322">
        <w:rPr>
          <w:rFonts w:ascii="Times New Roman" w:eastAsia="DengXian" w:hAnsi="Times New Roman" w:cs="Times New Roman"/>
          <w:color w:val="000000"/>
          <w:sz w:val="24"/>
          <w:szCs w:val="24"/>
        </w:rPr>
        <w:t xml:space="preserve">with a duration exceeding more than </w:t>
      </w:r>
      <w:r w:rsidR="00A11878" w:rsidRPr="00452322">
        <w:rPr>
          <w:rFonts w:ascii="Times New Roman" w:eastAsia="DengXian" w:hAnsi="Times New Roman" w:cs="Times New Roman"/>
          <w:color w:val="000000"/>
          <w:sz w:val="24"/>
          <w:szCs w:val="24"/>
        </w:rPr>
        <w:t>5 days</w:t>
      </w:r>
      <w:r w:rsidR="00C24940" w:rsidRPr="00452322">
        <w:rPr>
          <w:rFonts w:ascii="Times New Roman" w:eastAsia="DengXian" w:hAnsi="Times New Roman" w:cs="Times New Roman"/>
          <w:color w:val="000000"/>
          <w:sz w:val="24"/>
          <w:szCs w:val="24"/>
        </w:rPr>
        <w:t xml:space="preserve"> </w:t>
      </w:r>
      <w:r w:rsidR="00A11878" w:rsidRPr="00452322">
        <w:rPr>
          <w:rFonts w:ascii="Times New Roman" w:eastAsia="DengXian" w:hAnsi="Times New Roman" w:cs="Times New Roman"/>
          <w:color w:val="000000"/>
          <w:sz w:val="24"/>
          <w:szCs w:val="24"/>
        </w:rPr>
        <w:t>wer</w:t>
      </w:r>
      <w:r w:rsidR="00C24940" w:rsidRPr="00452322">
        <w:rPr>
          <w:rFonts w:ascii="Times New Roman" w:eastAsia="DengXian" w:hAnsi="Times New Roman" w:cs="Times New Roman"/>
          <w:color w:val="000000"/>
          <w:sz w:val="24"/>
          <w:szCs w:val="24"/>
        </w:rPr>
        <w:t>e selected regarding the various dietary approaches consumed amongst people with</w:t>
      </w:r>
      <w:r w:rsidR="00A11878" w:rsidRPr="00452322">
        <w:rPr>
          <w:rFonts w:ascii="Times New Roman" w:eastAsia="DengXian" w:hAnsi="Times New Roman" w:cs="Times New Roman"/>
          <w:color w:val="000000"/>
          <w:sz w:val="24"/>
          <w:szCs w:val="24"/>
        </w:rPr>
        <w:t xml:space="preserve"> prediabetes &amp;</w:t>
      </w:r>
      <w:r w:rsidR="00C24940" w:rsidRPr="00452322">
        <w:rPr>
          <w:rFonts w:ascii="Times New Roman" w:eastAsia="DengXian" w:hAnsi="Times New Roman" w:cs="Times New Roman"/>
          <w:color w:val="000000"/>
          <w:sz w:val="24"/>
          <w:szCs w:val="24"/>
        </w:rPr>
        <w:t xml:space="preserve"> </w:t>
      </w:r>
      <w:r w:rsidR="00A11878" w:rsidRPr="00452322">
        <w:rPr>
          <w:rFonts w:ascii="Times New Roman" w:eastAsia="DengXian" w:hAnsi="Times New Roman" w:cs="Times New Roman"/>
          <w:color w:val="000000"/>
          <w:sz w:val="24"/>
          <w:szCs w:val="24"/>
        </w:rPr>
        <w:t>T2DM</w:t>
      </w:r>
      <w:r w:rsidR="00C24940" w:rsidRPr="00452322">
        <w:rPr>
          <w:rFonts w:ascii="Times New Roman" w:eastAsia="DengXian" w:hAnsi="Times New Roman" w:cs="Times New Roman"/>
          <w:color w:val="000000"/>
          <w:sz w:val="24"/>
          <w:szCs w:val="24"/>
        </w:rPr>
        <w:t xml:space="preserve"> </w:t>
      </w:r>
      <w:r>
        <w:rPr>
          <w:rFonts w:ascii="Times New Roman" w:eastAsia="DengXian" w:hAnsi="Times New Roman" w:cs="Times New Roman"/>
          <w:color w:val="000000"/>
          <w:sz w:val="24"/>
          <w:szCs w:val="24"/>
        </w:rPr>
        <w:t xml:space="preserve">over </w:t>
      </w:r>
      <w:r w:rsidR="00C24940" w:rsidRPr="00452322">
        <w:rPr>
          <w:rFonts w:ascii="Times New Roman" w:eastAsia="DengXian" w:hAnsi="Times New Roman" w:cs="Times New Roman"/>
          <w:color w:val="000000"/>
          <w:sz w:val="24"/>
          <w:szCs w:val="24"/>
        </w:rPr>
        <w:t>18 years</w:t>
      </w:r>
      <w:r w:rsidR="00E87403">
        <w:rPr>
          <w:rFonts w:ascii="Times New Roman" w:eastAsia="DengXian" w:hAnsi="Times New Roman" w:cs="Times New Roman"/>
          <w:color w:val="000000"/>
          <w:sz w:val="24"/>
          <w:szCs w:val="24"/>
        </w:rPr>
        <w:t>,</w:t>
      </w:r>
      <w:r w:rsidR="00C24940" w:rsidRPr="00452322">
        <w:rPr>
          <w:rFonts w:ascii="Times New Roman" w:eastAsia="DengXian" w:hAnsi="Times New Roman" w:cs="Times New Roman"/>
          <w:color w:val="000000"/>
          <w:sz w:val="24"/>
          <w:szCs w:val="24"/>
        </w:rPr>
        <w:t xml:space="preserve"> old</w:t>
      </w:r>
      <w:r w:rsidR="00742C51" w:rsidRPr="00452322">
        <w:rPr>
          <w:rFonts w:ascii="Times New Roman" w:eastAsia="Times New Roman" w:hAnsi="Times New Roman" w:cs="Times New Roman"/>
          <w:sz w:val="24"/>
          <w:szCs w:val="24"/>
        </w:rPr>
        <w:t xml:space="preserve"> as T2DM can be diagnosed in individuals aged between 18 -74 years (Barker et al., 2022).</w:t>
      </w:r>
      <w:r w:rsidR="006135D9" w:rsidRPr="00452322">
        <w:rPr>
          <w:rFonts w:ascii="Times New Roman" w:eastAsia="Times New Roman" w:hAnsi="Times New Roman" w:cs="Times New Roman"/>
          <w:sz w:val="24"/>
          <w:szCs w:val="24"/>
        </w:rPr>
        <w:t xml:space="preserve"> </w:t>
      </w:r>
      <w:r w:rsidR="00C24940" w:rsidRPr="004C7669">
        <w:rPr>
          <w:rFonts w:ascii="Times New Roman" w:eastAsia="DengXian" w:hAnsi="Times New Roman" w:cs="Times New Roman"/>
          <w:color w:val="000000"/>
          <w:sz w:val="24"/>
          <w:szCs w:val="24"/>
        </w:rPr>
        <w:t>R</w:t>
      </w:r>
      <w:r w:rsidR="00A11878" w:rsidRPr="004C7669">
        <w:rPr>
          <w:rFonts w:ascii="Times New Roman" w:eastAsia="DengXian" w:hAnsi="Times New Roman" w:cs="Times New Roman"/>
          <w:color w:val="000000"/>
          <w:sz w:val="24"/>
          <w:szCs w:val="24"/>
        </w:rPr>
        <w:t>CTs</w:t>
      </w:r>
      <w:r w:rsidR="00C24940" w:rsidRPr="004C7669">
        <w:rPr>
          <w:rFonts w:ascii="Times New Roman" w:eastAsia="DengXian" w:hAnsi="Times New Roman" w:cs="Times New Roman"/>
          <w:color w:val="000000"/>
          <w:sz w:val="24"/>
          <w:szCs w:val="24"/>
        </w:rPr>
        <w:t xml:space="preserve"> measure the efficacy of newly impleme</w:t>
      </w:r>
      <w:r w:rsidRPr="004C7669">
        <w:rPr>
          <w:rFonts w:ascii="Times New Roman" w:eastAsia="DengXian" w:hAnsi="Times New Roman" w:cs="Times New Roman"/>
          <w:color w:val="000000"/>
          <w:sz w:val="24"/>
          <w:szCs w:val="24"/>
        </w:rPr>
        <w:t>nted interventions or treatment and</w:t>
      </w:r>
      <w:r w:rsidR="007538FE" w:rsidRPr="004C7669">
        <w:rPr>
          <w:rFonts w:ascii="Times New Roman" w:eastAsia="DengXian" w:hAnsi="Times New Roman" w:cs="Times New Roman"/>
          <w:color w:val="000000"/>
          <w:sz w:val="24"/>
          <w:szCs w:val="24"/>
        </w:rPr>
        <w:t xml:space="preserve"> is considered</w:t>
      </w:r>
      <w:r w:rsidR="00C24940" w:rsidRPr="004C7669">
        <w:rPr>
          <w:rFonts w:ascii="Times New Roman" w:eastAsia="DengXian" w:hAnsi="Times New Roman" w:cs="Times New Roman"/>
          <w:color w:val="000000"/>
          <w:sz w:val="24"/>
          <w:szCs w:val="24"/>
        </w:rPr>
        <w:t xml:space="preserve"> a m</w:t>
      </w:r>
      <w:r w:rsidR="007538FE" w:rsidRPr="004C7669">
        <w:rPr>
          <w:rFonts w:ascii="Times New Roman" w:eastAsia="DengXian" w:hAnsi="Times New Roman" w:cs="Times New Roman"/>
          <w:color w:val="000000"/>
          <w:sz w:val="24"/>
          <w:szCs w:val="24"/>
        </w:rPr>
        <w:t xml:space="preserve">eticulous tool that reduces the </w:t>
      </w:r>
      <w:r w:rsidR="00C24940" w:rsidRPr="004C7669">
        <w:rPr>
          <w:rFonts w:ascii="Times New Roman" w:eastAsia="DengXian" w:hAnsi="Times New Roman" w:cs="Times New Roman"/>
          <w:color w:val="000000"/>
          <w:sz w:val="24"/>
          <w:szCs w:val="24"/>
        </w:rPr>
        <w:t>po</w:t>
      </w:r>
      <w:r w:rsidR="007538FE" w:rsidRPr="004C7669">
        <w:rPr>
          <w:rFonts w:ascii="Times New Roman" w:eastAsia="DengXian" w:hAnsi="Times New Roman" w:cs="Times New Roman"/>
          <w:color w:val="000000"/>
          <w:sz w:val="24"/>
          <w:szCs w:val="24"/>
        </w:rPr>
        <w:t>tential bias which evaluates</w:t>
      </w:r>
      <w:r w:rsidR="00C24940" w:rsidRPr="004C7669">
        <w:rPr>
          <w:rFonts w:ascii="Times New Roman" w:eastAsia="DengXian" w:hAnsi="Times New Roman" w:cs="Times New Roman"/>
          <w:color w:val="000000"/>
          <w:sz w:val="24"/>
          <w:szCs w:val="24"/>
        </w:rPr>
        <w:t xml:space="preserve"> cause and effect regarding the outcome and intervention (Hariton and Locascio, 2018).</w:t>
      </w:r>
      <w:r w:rsidR="00C24940" w:rsidRPr="00452322">
        <w:rPr>
          <w:rFonts w:ascii="Times New Roman" w:eastAsia="DengXian" w:hAnsi="Times New Roman" w:cs="Times New Roman"/>
          <w:color w:val="000000"/>
          <w:sz w:val="24"/>
          <w:szCs w:val="24"/>
        </w:rPr>
        <w:t xml:space="preserve"> </w:t>
      </w:r>
    </w:p>
    <w:p w14:paraId="4DB25961" w14:textId="31C55784" w:rsidR="00C24940" w:rsidRPr="007538FE" w:rsidRDefault="00C24940" w:rsidP="00E84CF8">
      <w:pPr>
        <w:suppressAutoHyphens/>
        <w:autoSpaceDN w:val="0"/>
        <w:spacing w:line="360" w:lineRule="auto"/>
        <w:rPr>
          <w:rFonts w:ascii="Times New Roman" w:eastAsia="DengXian" w:hAnsi="Times New Roman" w:cs="Times New Roman"/>
          <w:color w:val="000000"/>
          <w:sz w:val="24"/>
          <w:szCs w:val="24"/>
        </w:rPr>
      </w:pPr>
      <w:r w:rsidRPr="007538FE">
        <w:rPr>
          <w:rFonts w:ascii="Times New Roman" w:eastAsia="DengXian" w:hAnsi="Times New Roman" w:cs="Times New Roman"/>
          <w:b/>
          <w:color w:val="000000"/>
          <w:sz w:val="24"/>
          <w:szCs w:val="24"/>
        </w:rPr>
        <w:lastRenderedPageBreak/>
        <w:t>Use of keywords</w:t>
      </w:r>
      <w:r w:rsidR="007538FE" w:rsidRPr="007538FE">
        <w:rPr>
          <w:rFonts w:ascii="Times New Roman" w:eastAsia="DengXian" w:hAnsi="Times New Roman" w:cs="Times New Roman"/>
          <w:color w:val="000000"/>
          <w:sz w:val="24"/>
          <w:szCs w:val="24"/>
        </w:rPr>
        <w:t xml:space="preserve"> </w:t>
      </w:r>
      <w:r w:rsidR="007538FE">
        <w:rPr>
          <w:rFonts w:ascii="Times New Roman" w:eastAsia="DengXian" w:hAnsi="Times New Roman" w:cs="Times New Roman"/>
          <w:color w:val="000000"/>
          <w:sz w:val="24"/>
          <w:szCs w:val="24"/>
        </w:rPr>
        <w:t>–</w:t>
      </w:r>
      <w:r w:rsidRPr="007538FE">
        <w:rPr>
          <w:rFonts w:ascii="Times New Roman" w:eastAsia="DengXian" w:hAnsi="Times New Roman" w:cs="Times New Roman"/>
          <w:color w:val="000000"/>
          <w:sz w:val="24"/>
          <w:szCs w:val="24"/>
        </w:rPr>
        <w:t xml:space="preserve"> </w:t>
      </w:r>
      <w:r w:rsidR="00F903E6" w:rsidRPr="007538FE">
        <w:rPr>
          <w:rFonts w:ascii="Times New Roman" w:eastAsia="DengXian" w:hAnsi="Times New Roman" w:cs="Times New Roman"/>
          <w:color w:val="000000"/>
          <w:sz w:val="24"/>
          <w:szCs w:val="24"/>
        </w:rPr>
        <w:t>plant-based</w:t>
      </w:r>
      <w:r w:rsidRPr="007538FE">
        <w:rPr>
          <w:rFonts w:ascii="Times New Roman" w:eastAsia="DengXian" w:hAnsi="Times New Roman" w:cs="Times New Roman"/>
          <w:color w:val="000000"/>
          <w:sz w:val="24"/>
          <w:szCs w:val="24"/>
        </w:rPr>
        <w:t xml:space="preserve"> diet</w:t>
      </w:r>
      <w:r w:rsidR="00D5544A">
        <w:rPr>
          <w:rFonts w:ascii="Times New Roman" w:eastAsia="DengXian" w:hAnsi="Times New Roman" w:cs="Times New Roman"/>
          <w:color w:val="000000"/>
          <w:sz w:val="24"/>
          <w:szCs w:val="24"/>
        </w:rPr>
        <w:t>, vegan diet, vegetarian diet, M</w:t>
      </w:r>
      <w:r w:rsidRPr="007538FE">
        <w:rPr>
          <w:rFonts w:ascii="Times New Roman" w:eastAsia="DengXian" w:hAnsi="Times New Roman" w:cs="Times New Roman"/>
          <w:color w:val="000000"/>
          <w:sz w:val="24"/>
          <w:szCs w:val="24"/>
        </w:rPr>
        <w:t xml:space="preserve">editerranean diet, </w:t>
      </w:r>
      <w:r w:rsidR="00A11878" w:rsidRPr="007538FE">
        <w:rPr>
          <w:rFonts w:ascii="Times New Roman" w:eastAsia="DengXian" w:hAnsi="Times New Roman" w:cs="Times New Roman"/>
          <w:color w:val="000000"/>
          <w:sz w:val="24"/>
          <w:szCs w:val="24"/>
        </w:rPr>
        <w:t>low carbohydrate diet</w:t>
      </w:r>
      <w:r w:rsidR="00D5544A">
        <w:rPr>
          <w:rFonts w:ascii="Times New Roman" w:eastAsia="DengXian" w:hAnsi="Times New Roman" w:cs="Times New Roman"/>
          <w:color w:val="000000"/>
          <w:sz w:val="24"/>
          <w:szCs w:val="24"/>
        </w:rPr>
        <w:t>, low GI</w:t>
      </w:r>
      <w:r w:rsidRPr="007538FE">
        <w:rPr>
          <w:rFonts w:ascii="Times New Roman" w:eastAsia="DengXian" w:hAnsi="Times New Roman" w:cs="Times New Roman"/>
          <w:color w:val="000000"/>
          <w:sz w:val="24"/>
          <w:szCs w:val="24"/>
        </w:rPr>
        <w:t xml:space="preserve"> diet or low glycaemic index diet, glycated haemoglobin or</w:t>
      </w:r>
      <w:r w:rsidR="00A11878" w:rsidRPr="007538FE">
        <w:rPr>
          <w:rFonts w:ascii="Times New Roman" w:eastAsia="DengXian" w:hAnsi="Times New Roman" w:cs="Times New Roman"/>
          <w:color w:val="000000"/>
          <w:sz w:val="24"/>
          <w:szCs w:val="24"/>
        </w:rPr>
        <w:t xml:space="preserve"> </w:t>
      </w:r>
      <w:r w:rsidRPr="007538FE">
        <w:rPr>
          <w:rFonts w:ascii="Times New Roman" w:eastAsia="DengXian" w:hAnsi="Times New Roman" w:cs="Times New Roman"/>
          <w:color w:val="000000"/>
          <w:sz w:val="24"/>
          <w:szCs w:val="24"/>
        </w:rPr>
        <w:t>HbA1c or glycaemic control, type two diabetes mellitus or T2DM</w:t>
      </w:r>
      <w:r w:rsidR="007538FE">
        <w:rPr>
          <w:rFonts w:ascii="Times New Roman" w:eastAsia="DengXian" w:hAnsi="Times New Roman" w:cs="Times New Roman"/>
          <w:color w:val="000000"/>
          <w:sz w:val="24"/>
          <w:szCs w:val="24"/>
        </w:rPr>
        <w:t>.</w:t>
      </w:r>
    </w:p>
    <w:p w14:paraId="4E1BBD79" w14:textId="71DECCC9" w:rsidR="002553B1" w:rsidRPr="007538FE" w:rsidRDefault="00C24940" w:rsidP="00E84CF8">
      <w:pPr>
        <w:suppressAutoHyphens/>
        <w:autoSpaceDN w:val="0"/>
        <w:spacing w:line="360" w:lineRule="auto"/>
        <w:rPr>
          <w:rFonts w:ascii="Times New Roman" w:eastAsia="DengXian" w:hAnsi="Times New Roman" w:cs="Times New Roman"/>
          <w:color w:val="000000"/>
          <w:sz w:val="24"/>
          <w:szCs w:val="24"/>
        </w:rPr>
      </w:pPr>
      <w:r w:rsidRPr="007538FE">
        <w:rPr>
          <w:rFonts w:ascii="Times New Roman" w:eastAsia="DengXian" w:hAnsi="Times New Roman" w:cs="Times New Roman"/>
          <w:b/>
          <w:color w:val="000000"/>
          <w:sz w:val="24"/>
          <w:szCs w:val="24"/>
        </w:rPr>
        <w:t>Exclusion criteria</w:t>
      </w:r>
      <w:r w:rsidRPr="007538FE">
        <w:rPr>
          <w:rFonts w:ascii="Times New Roman" w:eastAsia="DengXian" w:hAnsi="Times New Roman" w:cs="Times New Roman"/>
          <w:color w:val="000000"/>
          <w:sz w:val="24"/>
          <w:szCs w:val="24"/>
        </w:rPr>
        <w:t xml:space="preserve"> </w:t>
      </w:r>
      <w:r w:rsidR="007538FE">
        <w:rPr>
          <w:rFonts w:ascii="Times New Roman" w:eastAsia="DengXian" w:hAnsi="Times New Roman" w:cs="Times New Roman"/>
          <w:color w:val="000000"/>
          <w:sz w:val="24"/>
          <w:szCs w:val="24"/>
        </w:rPr>
        <w:t>–</w:t>
      </w:r>
      <w:r w:rsidRPr="007538FE">
        <w:rPr>
          <w:rFonts w:ascii="Times New Roman" w:eastAsia="DengXian" w:hAnsi="Times New Roman" w:cs="Times New Roman"/>
          <w:color w:val="000000"/>
          <w:sz w:val="24"/>
          <w:szCs w:val="24"/>
        </w:rPr>
        <w:t xml:space="preserve"> Studie</w:t>
      </w:r>
      <w:r w:rsidR="007538FE">
        <w:rPr>
          <w:rFonts w:ascii="Times New Roman" w:eastAsia="DengXian" w:hAnsi="Times New Roman" w:cs="Times New Roman"/>
          <w:color w:val="000000"/>
          <w:sz w:val="24"/>
          <w:szCs w:val="24"/>
        </w:rPr>
        <w:t>s</w:t>
      </w:r>
      <w:r w:rsidRPr="007538FE">
        <w:rPr>
          <w:rFonts w:ascii="Times New Roman" w:eastAsia="DengXian" w:hAnsi="Times New Roman" w:cs="Times New Roman"/>
          <w:color w:val="000000"/>
          <w:sz w:val="24"/>
          <w:szCs w:val="24"/>
        </w:rPr>
        <w:t xml:space="preserve"> on diabetes types that were clearly distinct from </w:t>
      </w:r>
      <w:r w:rsidR="00280B5C" w:rsidRPr="007538FE">
        <w:rPr>
          <w:rFonts w:ascii="Times New Roman" w:eastAsia="DengXian" w:hAnsi="Times New Roman" w:cs="Times New Roman"/>
          <w:color w:val="000000"/>
          <w:sz w:val="24"/>
          <w:szCs w:val="24"/>
        </w:rPr>
        <w:t>T2DM &amp; prediabetes</w:t>
      </w:r>
      <w:r w:rsidRPr="007538FE">
        <w:rPr>
          <w:rFonts w:ascii="Times New Roman" w:eastAsia="DengXian" w:hAnsi="Times New Roman" w:cs="Times New Roman"/>
          <w:color w:val="000000"/>
          <w:sz w:val="24"/>
          <w:szCs w:val="24"/>
        </w:rPr>
        <w:t xml:space="preserve"> would be eliminated. Additionally, excluded from this investigation would be </w:t>
      </w:r>
      <w:r w:rsidR="00280B5C" w:rsidRPr="007538FE">
        <w:rPr>
          <w:rFonts w:ascii="Times New Roman" w:eastAsia="DengXian" w:hAnsi="Times New Roman" w:cs="Times New Roman"/>
          <w:color w:val="000000"/>
          <w:sz w:val="24"/>
          <w:szCs w:val="24"/>
        </w:rPr>
        <w:t>RCTs</w:t>
      </w:r>
      <w:r w:rsidRPr="007538FE">
        <w:rPr>
          <w:rFonts w:ascii="Times New Roman" w:eastAsia="DengXian" w:hAnsi="Times New Roman" w:cs="Times New Roman"/>
          <w:color w:val="000000"/>
          <w:sz w:val="24"/>
          <w:szCs w:val="24"/>
        </w:rPr>
        <w:t xml:space="preserve"> with a duration of less </w:t>
      </w:r>
      <w:r w:rsidR="00280B5C" w:rsidRPr="007538FE">
        <w:rPr>
          <w:rFonts w:ascii="Times New Roman" w:eastAsia="DengXian" w:hAnsi="Times New Roman" w:cs="Times New Roman"/>
          <w:color w:val="000000"/>
          <w:sz w:val="24"/>
          <w:szCs w:val="24"/>
        </w:rPr>
        <w:t>5 days</w:t>
      </w:r>
      <w:r w:rsidRPr="007538FE">
        <w:rPr>
          <w:rFonts w:ascii="Times New Roman" w:eastAsia="DengXian" w:hAnsi="Times New Roman" w:cs="Times New Roman"/>
          <w:color w:val="000000"/>
          <w:sz w:val="24"/>
          <w:szCs w:val="24"/>
        </w:rPr>
        <w:t xml:space="preserve"> and participants under the age of 18. </w:t>
      </w:r>
    </w:p>
    <w:p w14:paraId="14F1E99B" w14:textId="77777777" w:rsidR="002553B1" w:rsidRDefault="002553B1">
      <w:pPr>
        <w:rPr>
          <w:rFonts w:ascii="Times New Roman" w:eastAsia="DengXian" w:hAnsi="Times New Roman" w:cs="Times New Roman"/>
          <w:color w:val="000000"/>
          <w:sz w:val="24"/>
          <w:szCs w:val="24"/>
        </w:rPr>
      </w:pPr>
      <w:r>
        <w:rPr>
          <w:rFonts w:ascii="Times New Roman" w:eastAsia="DengXian" w:hAnsi="Times New Roman" w:cs="Times New Roman"/>
          <w:color w:val="000000"/>
          <w:sz w:val="24"/>
          <w:szCs w:val="24"/>
        </w:rPr>
        <w:br w:type="page"/>
      </w:r>
    </w:p>
    <w:p w14:paraId="6BC3BD22" w14:textId="138D5EFF" w:rsidR="00991265" w:rsidRDefault="00C24940" w:rsidP="00991265">
      <w:pPr>
        <w:pStyle w:val="Heading1"/>
        <w:numPr>
          <w:ilvl w:val="0"/>
          <w:numId w:val="1"/>
        </w:numPr>
        <w:rPr>
          <w:b/>
        </w:rPr>
      </w:pPr>
      <w:bookmarkStart w:id="6" w:name="_Toc164363457"/>
      <w:r w:rsidRPr="00C67910">
        <w:rPr>
          <w:b/>
        </w:rPr>
        <w:lastRenderedPageBreak/>
        <w:t>Ethical Considerations</w:t>
      </w:r>
      <w:bookmarkStart w:id="7" w:name="_Hlk163421695"/>
      <w:bookmarkEnd w:id="6"/>
    </w:p>
    <w:p w14:paraId="31820B05" w14:textId="77777777" w:rsidR="00991265" w:rsidRPr="00991265" w:rsidRDefault="00991265" w:rsidP="00991265"/>
    <w:p w14:paraId="4C32B16D" w14:textId="3726C25C" w:rsidR="002553B1" w:rsidRDefault="00C24940" w:rsidP="00C67910">
      <w:pPr>
        <w:suppressAutoHyphens/>
        <w:autoSpaceDN w:val="0"/>
        <w:spacing w:line="360" w:lineRule="auto"/>
        <w:rPr>
          <w:rFonts w:ascii="Times New Roman" w:eastAsia="DengXian" w:hAnsi="Times New Roman" w:cs="Times New Roman"/>
          <w:color w:val="000000"/>
          <w:sz w:val="24"/>
          <w:szCs w:val="24"/>
        </w:rPr>
      </w:pPr>
      <w:r w:rsidRPr="005717A1">
        <w:rPr>
          <w:rFonts w:ascii="Times New Roman" w:eastAsia="DengXian" w:hAnsi="Times New Roman" w:cs="Times New Roman"/>
          <w:color w:val="000000"/>
          <w:sz w:val="24"/>
          <w:szCs w:val="24"/>
        </w:rPr>
        <w:t>No ethical approval required as a literature review w</w:t>
      </w:r>
      <w:r w:rsidR="00950DA1">
        <w:rPr>
          <w:rFonts w:ascii="Times New Roman" w:eastAsia="DengXian" w:hAnsi="Times New Roman" w:cs="Times New Roman"/>
          <w:color w:val="000000"/>
          <w:sz w:val="24"/>
          <w:szCs w:val="24"/>
        </w:rPr>
        <w:t>as</w:t>
      </w:r>
      <w:r w:rsidRPr="005717A1">
        <w:rPr>
          <w:rFonts w:ascii="Times New Roman" w:eastAsia="DengXian" w:hAnsi="Times New Roman" w:cs="Times New Roman"/>
          <w:color w:val="000000"/>
          <w:sz w:val="24"/>
          <w:szCs w:val="24"/>
        </w:rPr>
        <w:t xml:space="preserve"> conducted. </w:t>
      </w:r>
      <w:bookmarkEnd w:id="7"/>
    </w:p>
    <w:p w14:paraId="1324A33A" w14:textId="77777777" w:rsidR="002553B1" w:rsidRDefault="002553B1">
      <w:pPr>
        <w:rPr>
          <w:rFonts w:ascii="Times New Roman" w:eastAsia="DengXian" w:hAnsi="Times New Roman" w:cs="Times New Roman"/>
          <w:color w:val="000000"/>
          <w:sz w:val="24"/>
          <w:szCs w:val="24"/>
        </w:rPr>
      </w:pPr>
      <w:r>
        <w:rPr>
          <w:rFonts w:ascii="Times New Roman" w:eastAsia="DengXian" w:hAnsi="Times New Roman" w:cs="Times New Roman"/>
          <w:color w:val="000000"/>
          <w:sz w:val="24"/>
          <w:szCs w:val="24"/>
        </w:rPr>
        <w:br w:type="page"/>
      </w:r>
    </w:p>
    <w:p w14:paraId="2284D23D" w14:textId="64E5997D" w:rsidR="00991265" w:rsidRDefault="00EC6C2A" w:rsidP="00991265">
      <w:pPr>
        <w:pStyle w:val="Heading1"/>
        <w:numPr>
          <w:ilvl w:val="0"/>
          <w:numId w:val="1"/>
        </w:numPr>
        <w:rPr>
          <w:b/>
        </w:rPr>
      </w:pPr>
      <w:bookmarkStart w:id="8" w:name="_Toc164363458"/>
      <w:r w:rsidRPr="00C67910">
        <w:rPr>
          <w:b/>
        </w:rPr>
        <w:lastRenderedPageBreak/>
        <w:t>Discussion</w:t>
      </w:r>
      <w:bookmarkEnd w:id="8"/>
    </w:p>
    <w:p w14:paraId="6B8FEE2F" w14:textId="77777777" w:rsidR="00991265" w:rsidRPr="00991265" w:rsidRDefault="00991265" w:rsidP="00991265"/>
    <w:p w14:paraId="3363D3F8" w14:textId="783F15B2" w:rsidR="0060772B" w:rsidRDefault="003177F6" w:rsidP="00991265">
      <w:pPr>
        <w:pStyle w:val="Heading2"/>
        <w:numPr>
          <w:ilvl w:val="1"/>
          <w:numId w:val="1"/>
        </w:numPr>
        <w:rPr>
          <w:b/>
        </w:rPr>
      </w:pPr>
      <w:r>
        <w:rPr>
          <w:b/>
        </w:rPr>
        <w:t xml:space="preserve"> </w:t>
      </w:r>
      <w:bookmarkStart w:id="9" w:name="_Toc164363459"/>
      <w:r w:rsidR="0060772B" w:rsidRPr="00C67910">
        <w:rPr>
          <w:b/>
        </w:rPr>
        <w:t>Low Glycaemic Index Diet</w:t>
      </w:r>
      <w:bookmarkEnd w:id="9"/>
    </w:p>
    <w:p w14:paraId="50493CB0" w14:textId="77777777" w:rsidR="00991265" w:rsidRPr="00991265" w:rsidRDefault="00991265" w:rsidP="00991265">
      <w:pPr>
        <w:pStyle w:val="ListParagraph"/>
        <w:ind w:left="1155"/>
      </w:pPr>
    </w:p>
    <w:p w14:paraId="471E615C" w14:textId="7B8DB35B" w:rsidR="00C74EFF" w:rsidRPr="002F0602" w:rsidRDefault="0060772B" w:rsidP="002F0602">
      <w:pPr>
        <w:suppressAutoHyphens/>
        <w:autoSpaceDN w:val="0"/>
        <w:spacing w:after="0" w:line="360" w:lineRule="auto"/>
        <w:rPr>
          <w:rFonts w:ascii="Times New Roman" w:eastAsia="Times New Roman" w:hAnsi="Times New Roman" w:cs="Times New Roman"/>
          <w:sz w:val="24"/>
          <w:szCs w:val="24"/>
        </w:rPr>
      </w:pPr>
      <w:r w:rsidRPr="005717A1">
        <w:rPr>
          <w:rFonts w:ascii="Times New Roman" w:eastAsia="Times New Roman" w:hAnsi="Times New Roman" w:cs="Times New Roman"/>
          <w:sz w:val="24"/>
          <w:szCs w:val="24"/>
        </w:rPr>
        <w:t xml:space="preserve">According to Ni et al. (2022) Jenkins introduced the glycaemic index (GI) concept in the early 1980s to measure the impact of carbohydrate-containing foods on post-meal glucose levels. It is determined by comparing the area under the glucose curve (AUC) post consumption 2 hours 50 grams of carbohydrates from a test food to that of a standard food, usually glucose or white bread. Foods are classified based on their GI values into high-GI (GI ≥ 70), medium-GI (55 ≤ GI &lt; 70) and low-GI (GI &lt; 55) categories. Goff et al. (2013) indicated that the GI classifies carbohydrate foods by their impact on blood sugar levels, crucial for preventing and managing diabetes. LGI foods trigger lower insulin and incretin levels compared to </w:t>
      </w:r>
      <w:r w:rsidR="00596296" w:rsidRPr="005717A1">
        <w:rPr>
          <w:rFonts w:ascii="Times New Roman" w:eastAsia="Times New Roman" w:hAnsi="Times New Roman" w:cs="Times New Roman"/>
          <w:sz w:val="24"/>
          <w:szCs w:val="24"/>
        </w:rPr>
        <w:t>H</w:t>
      </w:r>
      <w:r w:rsidRPr="005717A1">
        <w:rPr>
          <w:rFonts w:ascii="Times New Roman" w:eastAsia="Times New Roman" w:hAnsi="Times New Roman" w:cs="Times New Roman"/>
          <w:sz w:val="24"/>
          <w:szCs w:val="24"/>
        </w:rPr>
        <w:t>GI foods, potentially preserving insulin sensitivity.</w:t>
      </w:r>
      <w:r w:rsidRPr="005717A1">
        <w:rPr>
          <w:rFonts w:ascii="Times New Roman" w:eastAsia="DengXian" w:hAnsi="Times New Roman" w:cs="Times New Roman"/>
          <w:sz w:val="24"/>
          <w:szCs w:val="24"/>
        </w:rPr>
        <w:t xml:space="preserve"> Similarly,</w:t>
      </w:r>
      <w:r w:rsidR="00596296" w:rsidRPr="005717A1">
        <w:rPr>
          <w:rFonts w:ascii="Times New Roman" w:eastAsia="DengXian" w:hAnsi="Times New Roman" w:cs="Times New Roman"/>
          <w:sz w:val="24"/>
          <w:szCs w:val="24"/>
        </w:rPr>
        <w:t xml:space="preserve"> </w:t>
      </w:r>
      <w:r w:rsidRPr="005717A1">
        <w:rPr>
          <w:rFonts w:ascii="Times New Roman" w:eastAsia="Times New Roman" w:hAnsi="Times New Roman" w:cs="Times New Roman"/>
          <w:sz w:val="24"/>
          <w:szCs w:val="24"/>
        </w:rPr>
        <w:t xml:space="preserve">Vlachos et al. (2020) </w:t>
      </w:r>
      <w:r w:rsidR="00D934EB">
        <w:rPr>
          <w:rFonts w:ascii="Times New Roman" w:eastAsia="Times New Roman" w:hAnsi="Times New Roman" w:cs="Times New Roman"/>
          <w:sz w:val="24"/>
          <w:szCs w:val="24"/>
        </w:rPr>
        <w:t>suggested</w:t>
      </w:r>
      <w:r w:rsidRPr="005717A1">
        <w:rPr>
          <w:rFonts w:ascii="Times New Roman" w:eastAsia="Times New Roman" w:hAnsi="Times New Roman" w:cs="Times New Roman"/>
          <w:sz w:val="24"/>
          <w:szCs w:val="24"/>
        </w:rPr>
        <w:t xml:space="preserve"> </w:t>
      </w:r>
      <w:r w:rsidRPr="005717A1">
        <w:rPr>
          <w:rFonts w:ascii="Times New Roman" w:eastAsia="DengXian" w:hAnsi="Times New Roman" w:cs="Times New Roman"/>
          <w:sz w:val="24"/>
          <w:szCs w:val="24"/>
        </w:rPr>
        <w:t xml:space="preserve">GI assesses carbohydrate digestion speed and blood sugar response. </w:t>
      </w:r>
      <w:r w:rsidRPr="005717A1">
        <w:rPr>
          <w:rFonts w:ascii="Times New Roman" w:eastAsia="Times New Roman" w:hAnsi="Times New Roman" w:cs="Times New Roman"/>
          <w:sz w:val="24"/>
          <w:szCs w:val="24"/>
        </w:rPr>
        <w:t xml:space="preserve">Campbell et al. (2017) emphasised </w:t>
      </w:r>
      <w:r w:rsidRPr="005717A1">
        <w:rPr>
          <w:rFonts w:ascii="Times New Roman" w:eastAsia="DengXian" w:hAnsi="Times New Roman" w:cs="Times New Roman"/>
          <w:sz w:val="24"/>
          <w:szCs w:val="24"/>
        </w:rPr>
        <w:t xml:space="preserve">HGI carbohydrates prompt rapid blood glucose spikes, while LGI carbohydrates lead to a slower, steadier increase. HGI carbs are predominantly rapidly digested starches (RDS), whereas LGI ones are less so. Some critique the health benefits of LGI, attributing them to </w:t>
      </w:r>
      <w:r w:rsidR="00D934EB">
        <w:rPr>
          <w:rFonts w:ascii="Times New Roman" w:eastAsia="DengXian" w:hAnsi="Times New Roman" w:cs="Times New Roman"/>
          <w:sz w:val="24"/>
          <w:szCs w:val="24"/>
        </w:rPr>
        <w:t xml:space="preserve">other </w:t>
      </w:r>
      <w:r w:rsidRPr="005717A1">
        <w:rPr>
          <w:rFonts w:ascii="Times New Roman" w:eastAsia="DengXian" w:hAnsi="Times New Roman" w:cs="Times New Roman"/>
          <w:sz w:val="24"/>
          <w:szCs w:val="24"/>
        </w:rPr>
        <w:t xml:space="preserve">factors beyond GI, such as increased fat, protein and fibre. However, fibre, particularly resistant starch (RS), can independently </w:t>
      </w:r>
      <w:r w:rsidR="00596296" w:rsidRPr="005717A1">
        <w:rPr>
          <w:rFonts w:ascii="Times New Roman" w:eastAsia="DengXian" w:hAnsi="Times New Roman" w:cs="Times New Roman"/>
          <w:sz w:val="24"/>
          <w:szCs w:val="24"/>
        </w:rPr>
        <w:t>L</w:t>
      </w:r>
      <w:r w:rsidRPr="005717A1">
        <w:rPr>
          <w:rFonts w:ascii="Times New Roman" w:eastAsia="DengXian" w:hAnsi="Times New Roman" w:cs="Times New Roman"/>
          <w:sz w:val="24"/>
          <w:szCs w:val="24"/>
        </w:rPr>
        <w:t>GI and enhance glucose control. LGI foods may offer superior blood glucose management, particularly for T2DM, due to their gradual impact on blood sugar levels.</w:t>
      </w:r>
    </w:p>
    <w:p w14:paraId="366064FF" w14:textId="4D4F5C97" w:rsidR="0060772B" w:rsidRPr="005717A1" w:rsidRDefault="0060772B" w:rsidP="00E84CF8">
      <w:pPr>
        <w:suppressAutoHyphens/>
        <w:autoSpaceDN w:val="0"/>
        <w:spacing w:before="240" w:line="360" w:lineRule="auto"/>
        <w:rPr>
          <w:rFonts w:ascii="Times New Roman" w:eastAsia="DengXian" w:hAnsi="Times New Roman" w:cs="Times New Roman"/>
          <w:sz w:val="24"/>
          <w:szCs w:val="24"/>
        </w:rPr>
      </w:pPr>
      <w:r w:rsidRPr="005717A1">
        <w:rPr>
          <w:rFonts w:ascii="Times New Roman" w:eastAsia="DengXian" w:hAnsi="Times New Roman" w:cs="Times New Roman"/>
          <w:sz w:val="24"/>
          <w:szCs w:val="24"/>
        </w:rPr>
        <w:t xml:space="preserve">In their 24-week </w:t>
      </w:r>
      <w:r w:rsidR="00626482" w:rsidRPr="005717A1">
        <w:rPr>
          <w:rFonts w:ascii="Times New Roman" w:eastAsia="DengXian" w:hAnsi="Times New Roman" w:cs="Times New Roman"/>
          <w:sz w:val="24"/>
          <w:szCs w:val="24"/>
        </w:rPr>
        <w:t>RCT</w:t>
      </w:r>
      <w:r w:rsidR="0090415A">
        <w:rPr>
          <w:rFonts w:ascii="Times New Roman" w:eastAsia="DengXian" w:hAnsi="Times New Roman" w:cs="Times New Roman"/>
          <w:sz w:val="24"/>
          <w:szCs w:val="24"/>
        </w:rPr>
        <w:t>s</w:t>
      </w:r>
      <w:r w:rsidRPr="005717A1">
        <w:rPr>
          <w:rFonts w:ascii="Times New Roman" w:eastAsia="DengXian" w:hAnsi="Times New Roman" w:cs="Times New Roman"/>
          <w:sz w:val="24"/>
          <w:szCs w:val="24"/>
        </w:rPr>
        <w:t>, Pavithran et al. (2020) undertook a meticulous investigation involving 80 participants to evaluate the efficacy of incorporating LGI recipes from Kerala cuisine in ameliorating cardiovascular health and regulating blood sugar levels amongst individuals with T2DM. Their findings unveiled a noteworthy decrease of 0.93% in HbA1c levels within the LGI diet cohort, accompanied by notable enhancements in weight, BMI, waist circumference and blood glucose metrics. In contrast, Vlachos et al. (2020) conducted a comprehensive review encompassing 10 RCTs, each spanning diverse durations ranging from 5 days to 22 months.</w:t>
      </w:r>
      <w:r w:rsidR="005B64D2" w:rsidRPr="005717A1">
        <w:rPr>
          <w:rFonts w:ascii="Times New Roman" w:eastAsia="DengXian" w:hAnsi="Times New Roman" w:cs="Times New Roman"/>
          <w:sz w:val="24"/>
          <w:szCs w:val="24"/>
        </w:rPr>
        <w:t xml:space="preserve"> </w:t>
      </w:r>
      <w:r w:rsidRPr="005717A1">
        <w:rPr>
          <w:rFonts w:ascii="Times New Roman" w:eastAsia="DengXian" w:hAnsi="Times New Roman" w:cs="Times New Roman"/>
          <w:sz w:val="24"/>
          <w:szCs w:val="24"/>
        </w:rPr>
        <w:t xml:space="preserve">Their synthesis probed the impact of nutritional interventions amalgamating glycaemic index and glycaemic load on mitigating postprandial hyperglycaemia in individuals afflicted with T2DM. Their analysis revealed consistent and statistically significant ameliorations in postprandial hyperglycaemia (p &lt; 0.05) across the scrutinized studies, with particular emphasis on LGI diets precipitating reductions in HbA1c </w:t>
      </w:r>
      <w:r w:rsidRPr="005717A1">
        <w:rPr>
          <w:rFonts w:ascii="Times New Roman" w:eastAsia="DengXian" w:hAnsi="Times New Roman" w:cs="Times New Roman"/>
          <w:sz w:val="24"/>
          <w:szCs w:val="24"/>
        </w:rPr>
        <w:lastRenderedPageBreak/>
        <w:t>levels amongst T2DM patients. Both studies underscore</w:t>
      </w:r>
      <w:r w:rsidR="00596296" w:rsidRPr="005717A1">
        <w:rPr>
          <w:rFonts w:ascii="Times New Roman" w:eastAsia="DengXian" w:hAnsi="Times New Roman" w:cs="Times New Roman"/>
          <w:sz w:val="24"/>
          <w:szCs w:val="24"/>
        </w:rPr>
        <w:t>d</w:t>
      </w:r>
      <w:r w:rsidRPr="005717A1">
        <w:rPr>
          <w:rFonts w:ascii="Times New Roman" w:eastAsia="DengXian" w:hAnsi="Times New Roman" w:cs="Times New Roman"/>
          <w:sz w:val="24"/>
          <w:szCs w:val="24"/>
        </w:rPr>
        <w:t xml:space="preserve"> the pivotal role of LGI dietary regimens </w:t>
      </w:r>
      <w:r w:rsidR="00596296" w:rsidRPr="005717A1">
        <w:rPr>
          <w:rFonts w:ascii="Times New Roman" w:eastAsia="DengXian" w:hAnsi="Times New Roman" w:cs="Times New Roman"/>
          <w:sz w:val="24"/>
          <w:szCs w:val="24"/>
        </w:rPr>
        <w:t>for</w:t>
      </w:r>
      <w:r w:rsidRPr="005717A1">
        <w:rPr>
          <w:rFonts w:ascii="Times New Roman" w:eastAsia="DengXian" w:hAnsi="Times New Roman" w:cs="Times New Roman"/>
          <w:sz w:val="24"/>
          <w:szCs w:val="24"/>
        </w:rPr>
        <w:t xml:space="preserve"> managing blood glucose levels and curtailing cardiovascular risks in the populace with T2DM. Nonetheless, disparities in study duration, methodological approaches and specific statistical outcomes underscore the nuanced complexities inherent in this domain of research.</w:t>
      </w:r>
    </w:p>
    <w:p w14:paraId="1FEEE1E5" w14:textId="23EB11FA" w:rsidR="00F26EBD" w:rsidRDefault="0060772B" w:rsidP="00E84CF8">
      <w:pPr>
        <w:suppressAutoHyphens/>
        <w:autoSpaceDN w:val="0"/>
        <w:spacing w:line="360" w:lineRule="auto"/>
        <w:rPr>
          <w:rFonts w:ascii="Times New Roman" w:eastAsia="DengXian" w:hAnsi="Times New Roman" w:cs="Times New Roman"/>
          <w:sz w:val="24"/>
          <w:szCs w:val="24"/>
        </w:rPr>
      </w:pPr>
      <w:r w:rsidRPr="005717A1">
        <w:rPr>
          <w:rFonts w:ascii="Times New Roman" w:eastAsia="DengXian" w:hAnsi="Times New Roman" w:cs="Times New Roman"/>
          <w:sz w:val="24"/>
          <w:szCs w:val="24"/>
        </w:rPr>
        <w:t xml:space="preserve">Ojo et al. (2018) conducted a comprehensive review and meta-analysis that spanned a wide range of study durations, from 2 weeks to 22 months, to evaluate the efficacy of LGI diets in managing T2DM. Their analysis, which included 9 articles for systematic review and 6 for meta-analysis, aimed to assess LGI diets compared to HGI or control diets in terms of regulating blood sugar levels and other relevant markers. The findings from the meta-analysis revealed consistent and significant reductions in HbA1c and fasting blood glucose levels favouring LGI diets. However, the outcomes varied across studies, with some demonstrating more pronounced improvements in glycaemic control with LGI diets compared to others. Notably, </w:t>
      </w:r>
      <w:r w:rsidRPr="005C61CA">
        <w:rPr>
          <w:rFonts w:ascii="Times New Roman" w:eastAsia="DengXian" w:hAnsi="Times New Roman" w:cs="Times New Roman"/>
          <w:sz w:val="24"/>
          <w:szCs w:val="24"/>
        </w:rPr>
        <w:t>LGI diets achieved comparable HbA1c (</w:t>
      </w:r>
      <w:r w:rsidRPr="005C61CA">
        <w:rPr>
          <w:rFonts w:ascii="Times New Roman" w:eastAsia="Times New Roman" w:hAnsi="Times New Roman" w:cs="Times New Roman"/>
          <w:color w:val="000000"/>
          <w:sz w:val="24"/>
          <w:szCs w:val="24"/>
        </w:rPr>
        <w:t>p &lt; 0.05)</w:t>
      </w:r>
      <w:r w:rsidR="005C61CA" w:rsidRPr="005C61CA">
        <w:rPr>
          <w:rFonts w:ascii="Times New Roman" w:eastAsia="Times New Roman" w:hAnsi="Times New Roman" w:cs="Times New Roman"/>
          <w:color w:val="000000"/>
          <w:sz w:val="24"/>
          <w:szCs w:val="24"/>
        </w:rPr>
        <w:t xml:space="preserve"> possibly by enhancing insulin sensitivity</w:t>
      </w:r>
      <w:r w:rsidRPr="005C61CA">
        <w:rPr>
          <w:rFonts w:ascii="Times New Roman" w:eastAsia="Times New Roman" w:hAnsi="Times New Roman" w:cs="Times New Roman"/>
          <w:color w:val="000000"/>
          <w:sz w:val="24"/>
          <w:szCs w:val="24"/>
        </w:rPr>
        <w:t xml:space="preserve"> </w:t>
      </w:r>
      <w:r w:rsidR="005C61CA" w:rsidRPr="005C61CA">
        <w:rPr>
          <w:rFonts w:ascii="Times New Roman" w:eastAsia="DengXian" w:hAnsi="Times New Roman" w:cs="Times New Roman"/>
          <w:sz w:val="24"/>
          <w:szCs w:val="24"/>
        </w:rPr>
        <w:t>versus</w:t>
      </w:r>
      <w:r w:rsidRPr="005C61CA">
        <w:rPr>
          <w:rFonts w:ascii="Times New Roman" w:eastAsia="DengXian" w:hAnsi="Times New Roman" w:cs="Times New Roman"/>
          <w:sz w:val="24"/>
          <w:szCs w:val="24"/>
        </w:rPr>
        <w:t xml:space="preserve"> the </w:t>
      </w:r>
      <w:r w:rsidR="0090415A" w:rsidRPr="005C61CA">
        <w:rPr>
          <w:rFonts w:ascii="Times New Roman" w:eastAsia="DengXian" w:hAnsi="Times New Roman" w:cs="Times New Roman"/>
          <w:sz w:val="24"/>
          <w:szCs w:val="24"/>
        </w:rPr>
        <w:t>American Diabetes Association (</w:t>
      </w:r>
      <w:r w:rsidRPr="005C61CA">
        <w:rPr>
          <w:rFonts w:ascii="Times New Roman" w:eastAsia="DengXian" w:hAnsi="Times New Roman" w:cs="Times New Roman"/>
          <w:sz w:val="24"/>
          <w:szCs w:val="24"/>
        </w:rPr>
        <w:t>ADA</w:t>
      </w:r>
      <w:r w:rsidR="0090415A" w:rsidRPr="005C61CA">
        <w:rPr>
          <w:rFonts w:ascii="Times New Roman" w:eastAsia="DengXian" w:hAnsi="Times New Roman" w:cs="Times New Roman"/>
          <w:sz w:val="24"/>
          <w:szCs w:val="24"/>
        </w:rPr>
        <w:t>)</w:t>
      </w:r>
      <w:r w:rsidRPr="005C61CA">
        <w:rPr>
          <w:rFonts w:ascii="Times New Roman" w:eastAsia="DengXian" w:hAnsi="Times New Roman" w:cs="Times New Roman"/>
          <w:sz w:val="24"/>
          <w:szCs w:val="24"/>
        </w:rPr>
        <w:t xml:space="preserve"> diet but with less medication dependency, suggesting potential benefits for diabetes management</w:t>
      </w:r>
      <w:r w:rsidRPr="005717A1">
        <w:rPr>
          <w:rFonts w:ascii="Times New Roman" w:eastAsia="DengXian" w:hAnsi="Times New Roman" w:cs="Times New Roman"/>
          <w:sz w:val="24"/>
          <w:szCs w:val="24"/>
        </w:rPr>
        <w:t>. Furthermore, the study highlighted the long-term stability in HbA1c levels among</w:t>
      </w:r>
      <w:r w:rsidR="0080152D" w:rsidRPr="005717A1">
        <w:rPr>
          <w:rFonts w:ascii="Times New Roman" w:eastAsia="DengXian" w:hAnsi="Times New Roman" w:cs="Times New Roman"/>
          <w:sz w:val="24"/>
          <w:szCs w:val="24"/>
        </w:rPr>
        <w:t>st</w:t>
      </w:r>
      <w:r w:rsidRPr="005717A1">
        <w:rPr>
          <w:rFonts w:ascii="Times New Roman" w:eastAsia="DengXian" w:hAnsi="Times New Roman" w:cs="Times New Roman"/>
          <w:sz w:val="24"/>
          <w:szCs w:val="24"/>
        </w:rPr>
        <w:t xml:space="preserve"> patients solely managing their diabetes through diet </w:t>
      </w:r>
      <w:r w:rsidR="00596296" w:rsidRPr="005717A1">
        <w:rPr>
          <w:rFonts w:ascii="Times New Roman" w:eastAsia="DengXian" w:hAnsi="Times New Roman" w:cs="Times New Roman"/>
          <w:sz w:val="24"/>
          <w:szCs w:val="24"/>
        </w:rPr>
        <w:t>only</w:t>
      </w:r>
      <w:r w:rsidRPr="005717A1">
        <w:rPr>
          <w:rFonts w:ascii="Times New Roman" w:eastAsia="DengXian" w:hAnsi="Times New Roman" w:cs="Times New Roman"/>
          <w:sz w:val="24"/>
          <w:szCs w:val="24"/>
        </w:rPr>
        <w:t>, indica</w:t>
      </w:r>
      <w:r w:rsidR="00F26EBD">
        <w:rPr>
          <w:rFonts w:ascii="Times New Roman" w:eastAsia="DengXian" w:hAnsi="Times New Roman" w:cs="Times New Roman"/>
          <w:sz w:val="24"/>
          <w:szCs w:val="24"/>
        </w:rPr>
        <w:t xml:space="preserve">ting the sustained efficacy of </w:t>
      </w:r>
      <w:r w:rsidRPr="005717A1">
        <w:rPr>
          <w:rFonts w:ascii="Times New Roman" w:eastAsia="DengXian" w:hAnsi="Times New Roman" w:cs="Times New Roman"/>
          <w:sz w:val="24"/>
          <w:szCs w:val="24"/>
        </w:rPr>
        <w:t>LGI diets over time.</w:t>
      </w:r>
    </w:p>
    <w:p w14:paraId="2B0F5A83" w14:textId="0B5F7885" w:rsidR="0060772B" w:rsidRDefault="0060772B" w:rsidP="00E84CF8">
      <w:pPr>
        <w:suppressAutoHyphens/>
        <w:autoSpaceDN w:val="0"/>
        <w:spacing w:line="360" w:lineRule="auto"/>
        <w:rPr>
          <w:rFonts w:ascii="Times New Roman" w:eastAsia="DengXian" w:hAnsi="Times New Roman" w:cs="Times New Roman"/>
          <w:sz w:val="24"/>
          <w:szCs w:val="24"/>
        </w:rPr>
      </w:pPr>
      <w:r w:rsidRPr="005717A1">
        <w:rPr>
          <w:rFonts w:ascii="Times New Roman" w:eastAsia="DengXian" w:hAnsi="Times New Roman" w:cs="Times New Roman"/>
          <w:sz w:val="24"/>
          <w:szCs w:val="24"/>
        </w:rPr>
        <w:t>In contrast, Zafar et al. (2019) explored the impact of LGI diets across various durations ranging from shorter-term interventions of 1 week to 12 months. Their analysis revealed consistent reductions in BMI, HbA1c (</w:t>
      </w:r>
      <w:r w:rsidRPr="005717A1">
        <w:rPr>
          <w:rFonts w:ascii="Times New Roman" w:eastAsia="Times New Roman" w:hAnsi="Times New Roman" w:cs="Times New Roman"/>
          <w:sz w:val="24"/>
          <w:szCs w:val="24"/>
        </w:rPr>
        <w:t xml:space="preserve">0.15 points) </w:t>
      </w:r>
      <w:r w:rsidRPr="005717A1">
        <w:rPr>
          <w:rFonts w:ascii="Times New Roman" w:eastAsia="DengXian" w:hAnsi="Times New Roman" w:cs="Times New Roman"/>
          <w:sz w:val="24"/>
          <w:szCs w:val="24"/>
        </w:rPr>
        <w:t>and fasting blood glucose levels with LGI diets (</w:t>
      </w:r>
      <w:r w:rsidRPr="005717A1">
        <w:rPr>
          <w:rFonts w:ascii="Times New Roman" w:eastAsia="Times New Roman" w:hAnsi="Times New Roman" w:cs="Times New Roman"/>
          <w:sz w:val="24"/>
          <w:szCs w:val="24"/>
        </w:rPr>
        <w:t>1.67 mg/d) compared to controls</w:t>
      </w:r>
      <w:r w:rsidRPr="005717A1">
        <w:rPr>
          <w:rFonts w:ascii="Times New Roman" w:eastAsia="DengXian" w:hAnsi="Times New Roman" w:cs="Times New Roman"/>
          <w:sz w:val="24"/>
          <w:szCs w:val="24"/>
        </w:rPr>
        <w:t>, providing further evidence of their effectiveness in managing T2DM. Additionally, they observed significant reductions in LDL</w:t>
      </w:r>
      <w:r w:rsidR="00A40CC8" w:rsidRPr="005717A1">
        <w:rPr>
          <w:rFonts w:ascii="Times New Roman" w:eastAsia="DengXian" w:hAnsi="Times New Roman" w:cs="Times New Roman"/>
          <w:sz w:val="24"/>
          <w:szCs w:val="24"/>
        </w:rPr>
        <w:t xml:space="preserve"> </w:t>
      </w:r>
      <w:r w:rsidRPr="005717A1">
        <w:rPr>
          <w:rFonts w:ascii="Times New Roman" w:eastAsia="DengXian" w:hAnsi="Times New Roman" w:cs="Times New Roman"/>
          <w:sz w:val="24"/>
          <w:szCs w:val="24"/>
        </w:rPr>
        <w:t xml:space="preserve">cholesterol levels, indicating potential benefits for cardiovascular health. However, no significant changes were noted in </w:t>
      </w:r>
      <w:r w:rsidR="00F26EBD">
        <w:rPr>
          <w:rFonts w:ascii="Times New Roman" w:eastAsia="DengXian" w:hAnsi="Times New Roman" w:cs="Times New Roman"/>
          <w:sz w:val="24"/>
          <w:szCs w:val="24"/>
        </w:rPr>
        <w:t>high density lipoprotein (</w:t>
      </w:r>
      <w:r w:rsidRPr="005717A1">
        <w:rPr>
          <w:rFonts w:ascii="Times New Roman" w:eastAsia="DengXian" w:hAnsi="Times New Roman" w:cs="Times New Roman"/>
          <w:sz w:val="24"/>
          <w:szCs w:val="24"/>
        </w:rPr>
        <w:t>HDL</w:t>
      </w:r>
      <w:r w:rsidR="00F26EBD">
        <w:rPr>
          <w:rFonts w:ascii="Times New Roman" w:eastAsia="DengXian" w:hAnsi="Times New Roman" w:cs="Times New Roman"/>
          <w:sz w:val="24"/>
          <w:szCs w:val="24"/>
        </w:rPr>
        <w:t>)</w:t>
      </w:r>
      <w:r w:rsidRPr="005717A1">
        <w:rPr>
          <w:rFonts w:ascii="Times New Roman" w:eastAsia="DengXian" w:hAnsi="Times New Roman" w:cs="Times New Roman"/>
          <w:sz w:val="24"/>
          <w:szCs w:val="24"/>
        </w:rPr>
        <w:t xml:space="preserve"> cholesterol or triglyceride levels. Despite this, the overall impact on blood sugar and lipid profiles suggested the promising potential of LGI diets in comprehensive diabetes care. Both studies underscored the importance of LGI diets</w:t>
      </w:r>
      <w:r w:rsidR="0084603C">
        <w:rPr>
          <w:rFonts w:ascii="Times New Roman" w:eastAsia="DengXian" w:hAnsi="Times New Roman" w:cs="Times New Roman"/>
          <w:sz w:val="24"/>
          <w:szCs w:val="24"/>
        </w:rPr>
        <w:t>,</w:t>
      </w:r>
      <w:r w:rsidRPr="005717A1">
        <w:rPr>
          <w:rFonts w:ascii="Times New Roman" w:eastAsia="DengXian" w:hAnsi="Times New Roman" w:cs="Times New Roman"/>
          <w:sz w:val="24"/>
          <w:szCs w:val="24"/>
        </w:rPr>
        <w:t xml:space="preserve"> emphasizing the effectiveness in improving glycaemic control and potentially reducing the risk of cardiovascular complications. However, they differed in their approach to study duration, methodology and specific statistical findings, providing complementary insights into the role of low-GI diets in diabetes management across varying timeframes.</w:t>
      </w:r>
    </w:p>
    <w:p w14:paraId="02D340EF" w14:textId="346A9986" w:rsidR="00991265" w:rsidRDefault="00F610CB" w:rsidP="00AD5DAD">
      <w:pPr>
        <w:spacing w:line="360" w:lineRule="auto"/>
        <w:rPr>
          <w:rFonts w:ascii="Times New Roman" w:eastAsia="DengXian" w:hAnsi="Times New Roman" w:cs="Times New Roman"/>
          <w:sz w:val="24"/>
          <w:szCs w:val="24"/>
        </w:rPr>
      </w:pPr>
      <w:r w:rsidRPr="00F610CB">
        <w:rPr>
          <w:rFonts w:ascii="Times New Roman" w:eastAsia="Times New Roman" w:hAnsi="Times New Roman" w:cs="Times New Roman"/>
          <w:sz w:val="24"/>
          <w:szCs w:val="24"/>
        </w:rPr>
        <w:lastRenderedPageBreak/>
        <w:t xml:space="preserve">Wang et al. </w:t>
      </w:r>
      <w:r w:rsidR="00653354" w:rsidRPr="00AB33DE">
        <w:rPr>
          <w:rFonts w:ascii="Times New Roman" w:eastAsia="Times New Roman" w:hAnsi="Times New Roman" w:cs="Times New Roman"/>
          <w:sz w:val="24"/>
          <w:szCs w:val="24"/>
        </w:rPr>
        <w:t>(</w:t>
      </w:r>
      <w:r w:rsidRPr="00F610CB">
        <w:rPr>
          <w:rFonts w:ascii="Times New Roman" w:eastAsia="Times New Roman" w:hAnsi="Times New Roman" w:cs="Times New Roman"/>
          <w:sz w:val="24"/>
          <w:szCs w:val="24"/>
        </w:rPr>
        <w:t>2015)</w:t>
      </w:r>
      <w:r w:rsidR="00653354" w:rsidRPr="00AB33DE">
        <w:rPr>
          <w:rFonts w:ascii="Times New Roman" w:eastAsia="DengXian" w:hAnsi="Times New Roman" w:cs="Times New Roman"/>
          <w:sz w:val="24"/>
          <w:szCs w:val="24"/>
        </w:rPr>
        <w:t xml:space="preserve"> conducted a comprehensive meta-analysis of 19 studies involving 840 patients across various countries over durations ranging from 2 to 144 weeks. These studies compared the effects of LGI versus HGI diets on HbA1c in patients with T2DM. The results consistently showed significant differences (p&lt;0.01) in HbA1c levels between the LGI and HGI groups, with the LGI group exhibiting lower levels. Specifically, in Australia (p</w:t>
      </w:r>
      <w:r w:rsidR="00AB33DE">
        <w:rPr>
          <w:rFonts w:ascii="Times New Roman" w:eastAsia="DengXian" w:hAnsi="Times New Roman" w:cs="Times New Roman"/>
          <w:sz w:val="24"/>
          <w:szCs w:val="24"/>
        </w:rPr>
        <w:t xml:space="preserve"> </w:t>
      </w:r>
      <w:r w:rsidR="00653354" w:rsidRPr="00AB33DE">
        <w:rPr>
          <w:rFonts w:ascii="Times New Roman" w:eastAsia="DengXian" w:hAnsi="Times New Roman" w:cs="Times New Roman"/>
          <w:sz w:val="24"/>
          <w:szCs w:val="24"/>
        </w:rPr>
        <w:t>=</w:t>
      </w:r>
      <w:r w:rsidR="00AB33DE">
        <w:rPr>
          <w:rFonts w:ascii="Times New Roman" w:eastAsia="DengXian" w:hAnsi="Times New Roman" w:cs="Times New Roman"/>
          <w:sz w:val="24"/>
          <w:szCs w:val="24"/>
        </w:rPr>
        <w:t xml:space="preserve"> </w:t>
      </w:r>
      <w:r w:rsidR="00653354" w:rsidRPr="00AB33DE">
        <w:rPr>
          <w:rFonts w:ascii="Times New Roman" w:eastAsia="DengXian" w:hAnsi="Times New Roman" w:cs="Times New Roman"/>
          <w:sz w:val="24"/>
          <w:szCs w:val="24"/>
        </w:rPr>
        <w:t xml:space="preserve">0.03) and </w:t>
      </w:r>
      <w:r w:rsidR="00E5505B">
        <w:rPr>
          <w:rFonts w:ascii="Times New Roman" w:eastAsia="DengXian" w:hAnsi="Times New Roman" w:cs="Times New Roman"/>
          <w:sz w:val="24"/>
          <w:szCs w:val="24"/>
        </w:rPr>
        <w:t>USA</w:t>
      </w:r>
      <w:r w:rsidR="00653354" w:rsidRPr="00AB33DE">
        <w:rPr>
          <w:rFonts w:ascii="Times New Roman" w:eastAsia="DengXian" w:hAnsi="Times New Roman" w:cs="Times New Roman"/>
          <w:sz w:val="24"/>
          <w:szCs w:val="24"/>
        </w:rPr>
        <w:t xml:space="preserve"> (p&lt;0.01), the differences were notable. The study concluded that adopting LGI foods led to a 5% reduction in HbA1c, thereby offering a clinically useful improvement in medium-term glycaemic control for T2DM patients and geographical location contributed to</w:t>
      </w:r>
      <w:r w:rsidR="0084603C">
        <w:rPr>
          <w:rFonts w:ascii="Times New Roman" w:eastAsia="DengXian" w:hAnsi="Times New Roman" w:cs="Times New Roman"/>
          <w:sz w:val="24"/>
          <w:szCs w:val="24"/>
        </w:rPr>
        <w:t xml:space="preserve"> the</w:t>
      </w:r>
      <w:r w:rsidR="00653354" w:rsidRPr="00AB33DE">
        <w:rPr>
          <w:rFonts w:ascii="Times New Roman" w:eastAsia="DengXian" w:hAnsi="Times New Roman" w:cs="Times New Roman"/>
          <w:sz w:val="24"/>
          <w:szCs w:val="24"/>
        </w:rPr>
        <w:t xml:space="preserve"> </w:t>
      </w:r>
      <w:r w:rsidR="00AB33DE" w:rsidRPr="00AB33DE">
        <w:rPr>
          <w:rFonts w:ascii="Times New Roman" w:eastAsia="DengXian" w:hAnsi="Times New Roman" w:cs="Times New Roman"/>
          <w:sz w:val="24"/>
          <w:szCs w:val="24"/>
        </w:rPr>
        <w:t>results.</w:t>
      </w:r>
      <w:r w:rsidR="00AB33DE">
        <w:rPr>
          <w:rFonts w:ascii="Times New Roman" w:eastAsia="DengXian" w:hAnsi="Times New Roman" w:cs="Times New Roman"/>
          <w:sz w:val="24"/>
          <w:szCs w:val="24"/>
        </w:rPr>
        <w:t xml:space="preserve"> Whereas</w:t>
      </w:r>
      <w:r w:rsidR="00653354">
        <w:rPr>
          <w:rFonts w:ascii="Times New Roman" w:eastAsia="DengXian" w:hAnsi="Times New Roman" w:cs="Times New Roman"/>
          <w:sz w:val="24"/>
          <w:szCs w:val="24"/>
        </w:rPr>
        <w:t>,</w:t>
      </w:r>
      <w:r w:rsidR="00AB33DE">
        <w:rPr>
          <w:rFonts w:ascii="Times New Roman" w:eastAsia="DengXian" w:hAnsi="Times New Roman" w:cs="Times New Roman"/>
          <w:sz w:val="24"/>
          <w:szCs w:val="24"/>
        </w:rPr>
        <w:t xml:space="preserve"> Li,</w:t>
      </w:r>
      <w:r w:rsidR="00653354" w:rsidRPr="00653354">
        <w:rPr>
          <w:rFonts w:ascii="Times New Roman" w:eastAsia="DengXian" w:hAnsi="Times New Roman" w:cs="Times New Roman"/>
          <w:sz w:val="24"/>
          <w:szCs w:val="24"/>
        </w:rPr>
        <w:t xml:space="preserve"> (2014) conducted a </w:t>
      </w:r>
      <w:r w:rsidR="00653354">
        <w:rPr>
          <w:rFonts w:ascii="Times New Roman" w:eastAsia="DengXian" w:hAnsi="Times New Roman" w:cs="Times New Roman"/>
          <w:sz w:val="24"/>
          <w:szCs w:val="24"/>
        </w:rPr>
        <w:t xml:space="preserve">RCT </w:t>
      </w:r>
      <w:r w:rsidR="00653354" w:rsidRPr="00653354">
        <w:rPr>
          <w:rFonts w:ascii="Times New Roman" w:eastAsia="DengXian" w:hAnsi="Times New Roman" w:cs="Times New Roman"/>
          <w:sz w:val="24"/>
          <w:szCs w:val="24"/>
        </w:rPr>
        <w:t xml:space="preserve">in Shaoguan, China, with </w:t>
      </w:r>
      <w:r w:rsidR="00AB33DE">
        <w:rPr>
          <w:rFonts w:ascii="Times New Roman" w:eastAsia="DengXian" w:hAnsi="Times New Roman" w:cs="Times New Roman"/>
          <w:sz w:val="24"/>
          <w:szCs w:val="24"/>
        </w:rPr>
        <w:t>less</w:t>
      </w:r>
      <w:r w:rsidR="00653354" w:rsidRPr="00653354">
        <w:rPr>
          <w:rFonts w:ascii="Times New Roman" w:eastAsia="DengXian" w:hAnsi="Times New Roman" w:cs="Times New Roman"/>
          <w:sz w:val="24"/>
          <w:szCs w:val="24"/>
        </w:rPr>
        <w:t xml:space="preserve"> participants</w:t>
      </w:r>
      <w:r w:rsidR="00AB33DE">
        <w:rPr>
          <w:rFonts w:ascii="Times New Roman" w:eastAsia="DengXian" w:hAnsi="Times New Roman" w:cs="Times New Roman"/>
          <w:sz w:val="24"/>
          <w:szCs w:val="24"/>
        </w:rPr>
        <w:t xml:space="preserve"> (71)</w:t>
      </w:r>
      <w:r w:rsidR="00653354" w:rsidRPr="00653354">
        <w:rPr>
          <w:rFonts w:ascii="Times New Roman" w:eastAsia="DengXian" w:hAnsi="Times New Roman" w:cs="Times New Roman"/>
          <w:sz w:val="24"/>
          <w:szCs w:val="24"/>
        </w:rPr>
        <w:t xml:space="preserve"> </w:t>
      </w:r>
      <w:r w:rsidR="00653354">
        <w:rPr>
          <w:rFonts w:ascii="Times New Roman" w:eastAsia="DengXian" w:hAnsi="Times New Roman" w:cs="Times New Roman"/>
          <w:sz w:val="24"/>
          <w:szCs w:val="24"/>
        </w:rPr>
        <w:t>with T2DM</w:t>
      </w:r>
      <w:r w:rsidR="00653354" w:rsidRPr="00653354">
        <w:rPr>
          <w:rFonts w:ascii="Times New Roman" w:eastAsia="DengXian" w:hAnsi="Times New Roman" w:cs="Times New Roman"/>
          <w:sz w:val="24"/>
          <w:szCs w:val="24"/>
        </w:rPr>
        <w:t xml:space="preserve"> for a</w:t>
      </w:r>
      <w:r w:rsidR="00653354">
        <w:rPr>
          <w:rFonts w:ascii="Times New Roman" w:eastAsia="DengXian" w:hAnsi="Times New Roman" w:cs="Times New Roman"/>
          <w:sz w:val="24"/>
          <w:szCs w:val="24"/>
        </w:rPr>
        <w:t xml:space="preserve"> shorter</w:t>
      </w:r>
      <w:r w:rsidR="00653354" w:rsidRPr="00653354">
        <w:rPr>
          <w:rFonts w:ascii="Times New Roman" w:eastAsia="DengXian" w:hAnsi="Times New Roman" w:cs="Times New Roman"/>
          <w:sz w:val="24"/>
          <w:szCs w:val="24"/>
        </w:rPr>
        <w:t xml:space="preserve"> duration</w:t>
      </w:r>
      <w:r w:rsidR="00653354">
        <w:rPr>
          <w:rFonts w:ascii="Times New Roman" w:eastAsia="DengXian" w:hAnsi="Times New Roman" w:cs="Times New Roman"/>
          <w:sz w:val="24"/>
          <w:szCs w:val="24"/>
        </w:rPr>
        <w:t xml:space="preserve"> (12 weeks)</w:t>
      </w:r>
      <w:r w:rsidR="00653354" w:rsidRPr="00653354">
        <w:rPr>
          <w:rFonts w:ascii="Times New Roman" w:eastAsia="DengXian" w:hAnsi="Times New Roman" w:cs="Times New Roman"/>
          <w:sz w:val="24"/>
          <w:szCs w:val="24"/>
        </w:rPr>
        <w:t>. Participants were divided into</w:t>
      </w:r>
      <w:r w:rsidR="00AB33DE">
        <w:rPr>
          <w:rFonts w:ascii="Times New Roman" w:eastAsia="DengXian" w:hAnsi="Times New Roman" w:cs="Times New Roman"/>
          <w:sz w:val="24"/>
          <w:szCs w:val="24"/>
        </w:rPr>
        <w:t xml:space="preserve"> 2 </w:t>
      </w:r>
      <w:r w:rsidR="00653354" w:rsidRPr="00653354">
        <w:rPr>
          <w:rFonts w:ascii="Times New Roman" w:eastAsia="DengXian" w:hAnsi="Times New Roman" w:cs="Times New Roman"/>
          <w:sz w:val="24"/>
          <w:szCs w:val="24"/>
        </w:rPr>
        <w:t xml:space="preserve">groups: </w:t>
      </w:r>
      <w:r w:rsidR="00F26EBD">
        <w:rPr>
          <w:rFonts w:ascii="Times New Roman" w:eastAsia="DengXian" w:hAnsi="Times New Roman" w:cs="Times New Roman"/>
          <w:sz w:val="24"/>
          <w:szCs w:val="24"/>
        </w:rPr>
        <w:t>group one</w:t>
      </w:r>
      <w:r w:rsidR="00653354" w:rsidRPr="00653354">
        <w:rPr>
          <w:rFonts w:ascii="Times New Roman" w:eastAsia="DengXian" w:hAnsi="Times New Roman" w:cs="Times New Roman"/>
          <w:sz w:val="24"/>
          <w:szCs w:val="24"/>
        </w:rPr>
        <w:t xml:space="preserve"> replacing breakfast with a LGI multi-nutrient supplement</w:t>
      </w:r>
      <w:r w:rsidR="00653354">
        <w:rPr>
          <w:rFonts w:ascii="Times New Roman" w:eastAsia="DengXian" w:hAnsi="Times New Roman" w:cs="Times New Roman"/>
          <w:sz w:val="24"/>
          <w:szCs w:val="24"/>
        </w:rPr>
        <w:t xml:space="preserve"> whilst t</w:t>
      </w:r>
      <w:r w:rsidR="00653354" w:rsidRPr="00653354">
        <w:rPr>
          <w:rFonts w:ascii="Times New Roman" w:eastAsia="DengXian" w:hAnsi="Times New Roman" w:cs="Times New Roman"/>
          <w:sz w:val="24"/>
          <w:szCs w:val="24"/>
        </w:rPr>
        <w:t>he other maintain</w:t>
      </w:r>
      <w:r w:rsidR="00653354">
        <w:rPr>
          <w:rFonts w:ascii="Times New Roman" w:eastAsia="DengXian" w:hAnsi="Times New Roman" w:cs="Times New Roman"/>
          <w:sz w:val="24"/>
          <w:szCs w:val="24"/>
        </w:rPr>
        <w:t>ed</w:t>
      </w:r>
      <w:r w:rsidR="00653354" w:rsidRPr="00653354">
        <w:rPr>
          <w:rFonts w:ascii="Times New Roman" w:eastAsia="DengXian" w:hAnsi="Times New Roman" w:cs="Times New Roman"/>
          <w:sz w:val="24"/>
          <w:szCs w:val="24"/>
        </w:rPr>
        <w:t xml:space="preserve"> a regular breakfast while receiving </w:t>
      </w:r>
      <w:r w:rsidR="0084603C" w:rsidRPr="0084603C">
        <w:rPr>
          <w:rFonts w:ascii="Times New Roman" w:eastAsia="DengXian" w:hAnsi="Times New Roman" w:cs="Times New Roman"/>
          <w:sz w:val="24"/>
          <w:szCs w:val="24"/>
        </w:rPr>
        <w:t>diabetes management education</w:t>
      </w:r>
      <w:r w:rsidR="003C16CC">
        <w:rPr>
          <w:rFonts w:ascii="Times New Roman" w:eastAsia="DengXian" w:hAnsi="Times New Roman" w:cs="Times New Roman"/>
          <w:sz w:val="24"/>
          <w:szCs w:val="24"/>
        </w:rPr>
        <w:t xml:space="preserve"> </w:t>
      </w:r>
      <w:r w:rsidR="00653354" w:rsidRPr="00653354">
        <w:rPr>
          <w:rFonts w:ascii="Times New Roman" w:eastAsia="DengXian" w:hAnsi="Times New Roman" w:cs="Times New Roman"/>
          <w:sz w:val="24"/>
          <w:szCs w:val="24"/>
        </w:rPr>
        <w:t>every</w:t>
      </w:r>
      <w:r w:rsidR="00653354">
        <w:rPr>
          <w:rFonts w:ascii="Times New Roman" w:eastAsia="DengXian" w:hAnsi="Times New Roman" w:cs="Times New Roman"/>
          <w:sz w:val="24"/>
          <w:szCs w:val="24"/>
        </w:rPr>
        <w:t xml:space="preserve"> 2</w:t>
      </w:r>
      <w:r w:rsidR="00653354" w:rsidRPr="00653354">
        <w:rPr>
          <w:rFonts w:ascii="Times New Roman" w:eastAsia="DengXian" w:hAnsi="Times New Roman" w:cs="Times New Roman"/>
          <w:sz w:val="24"/>
          <w:szCs w:val="24"/>
        </w:rPr>
        <w:t xml:space="preserve"> weeks</w:t>
      </w:r>
      <w:r w:rsidR="00BD5F86">
        <w:rPr>
          <w:rFonts w:ascii="Times New Roman" w:eastAsia="DengXian" w:hAnsi="Times New Roman" w:cs="Times New Roman"/>
          <w:sz w:val="24"/>
          <w:szCs w:val="24"/>
        </w:rPr>
        <w:t xml:space="preserve"> </w:t>
      </w:r>
      <w:r w:rsidR="003C16CC">
        <w:rPr>
          <w:rFonts w:ascii="Times New Roman" w:eastAsia="DengXian" w:hAnsi="Times New Roman" w:cs="Times New Roman"/>
          <w:sz w:val="24"/>
          <w:szCs w:val="24"/>
        </w:rPr>
        <w:t>unlike Wang</w:t>
      </w:r>
      <w:r w:rsidR="00BD5F86">
        <w:rPr>
          <w:rFonts w:ascii="Times New Roman" w:eastAsia="DengXian" w:hAnsi="Times New Roman" w:cs="Times New Roman"/>
          <w:sz w:val="24"/>
          <w:szCs w:val="24"/>
        </w:rPr>
        <w:t xml:space="preserve"> et al.</w:t>
      </w:r>
      <w:r w:rsidR="00E5505B">
        <w:rPr>
          <w:rFonts w:ascii="Times New Roman" w:eastAsia="DengXian" w:hAnsi="Times New Roman" w:cs="Times New Roman"/>
          <w:sz w:val="24"/>
          <w:szCs w:val="24"/>
        </w:rPr>
        <w:t xml:space="preserve"> </w:t>
      </w:r>
      <w:r w:rsidR="003C16CC">
        <w:rPr>
          <w:rFonts w:ascii="Times New Roman" w:eastAsia="DengXian" w:hAnsi="Times New Roman" w:cs="Times New Roman"/>
          <w:sz w:val="24"/>
          <w:szCs w:val="24"/>
        </w:rPr>
        <w:t>w</w:t>
      </w:r>
      <w:r w:rsidR="00E5505B">
        <w:rPr>
          <w:rFonts w:ascii="Times New Roman" w:eastAsia="DengXian" w:hAnsi="Times New Roman" w:cs="Times New Roman"/>
          <w:sz w:val="24"/>
          <w:szCs w:val="24"/>
        </w:rPr>
        <w:t>hich</w:t>
      </w:r>
      <w:r w:rsidR="00653354" w:rsidRPr="00653354">
        <w:rPr>
          <w:rFonts w:ascii="Times New Roman" w:eastAsia="DengXian" w:hAnsi="Times New Roman" w:cs="Times New Roman"/>
          <w:sz w:val="24"/>
          <w:szCs w:val="24"/>
        </w:rPr>
        <w:t xml:space="preserve"> </w:t>
      </w:r>
      <w:r w:rsidR="00E5505B">
        <w:rPr>
          <w:rFonts w:ascii="Times New Roman" w:eastAsia="DengXian" w:hAnsi="Times New Roman" w:cs="Times New Roman"/>
          <w:sz w:val="24"/>
          <w:szCs w:val="24"/>
        </w:rPr>
        <w:t>yielded</w:t>
      </w:r>
      <w:r w:rsidR="00653354" w:rsidRPr="00653354">
        <w:rPr>
          <w:rFonts w:ascii="Times New Roman" w:eastAsia="DengXian" w:hAnsi="Times New Roman" w:cs="Times New Roman"/>
          <w:sz w:val="24"/>
          <w:szCs w:val="24"/>
        </w:rPr>
        <w:t xml:space="preserve"> a decrease in HbA1c by 0.2%</w:t>
      </w:r>
      <w:r w:rsidR="00BD5F86">
        <w:rPr>
          <w:rFonts w:ascii="Times New Roman" w:eastAsia="DengXian" w:hAnsi="Times New Roman" w:cs="Times New Roman"/>
          <w:sz w:val="24"/>
          <w:szCs w:val="24"/>
        </w:rPr>
        <w:t xml:space="preserve"> and BMI</w:t>
      </w:r>
      <w:r w:rsidR="00E5505B">
        <w:rPr>
          <w:rFonts w:ascii="Times New Roman" w:eastAsia="DengXian" w:hAnsi="Times New Roman" w:cs="Times New Roman"/>
          <w:sz w:val="24"/>
          <w:szCs w:val="24"/>
        </w:rPr>
        <w:t xml:space="preserve"> in the treatment</w:t>
      </w:r>
      <w:r w:rsidR="00653354" w:rsidRPr="00653354">
        <w:rPr>
          <w:rFonts w:ascii="Times New Roman" w:eastAsia="DengXian" w:hAnsi="Times New Roman" w:cs="Times New Roman"/>
          <w:sz w:val="24"/>
          <w:szCs w:val="24"/>
        </w:rPr>
        <w:t xml:space="preserve"> compared to </w:t>
      </w:r>
      <w:r w:rsidR="00BD5F86" w:rsidRPr="00653354">
        <w:rPr>
          <w:rFonts w:ascii="Times New Roman" w:eastAsia="DengXian" w:hAnsi="Times New Roman" w:cs="Times New Roman"/>
          <w:sz w:val="24"/>
          <w:szCs w:val="24"/>
        </w:rPr>
        <w:t>increase</w:t>
      </w:r>
      <w:r w:rsidR="00BD5F86">
        <w:rPr>
          <w:rFonts w:ascii="Times New Roman" w:eastAsia="DengXian" w:hAnsi="Times New Roman" w:cs="Times New Roman"/>
          <w:sz w:val="24"/>
          <w:szCs w:val="24"/>
        </w:rPr>
        <w:t>d HbA1c</w:t>
      </w:r>
      <w:r w:rsidR="00653354" w:rsidRPr="00653354">
        <w:rPr>
          <w:rFonts w:ascii="Times New Roman" w:eastAsia="DengXian" w:hAnsi="Times New Roman" w:cs="Times New Roman"/>
          <w:sz w:val="24"/>
          <w:szCs w:val="24"/>
        </w:rPr>
        <w:t xml:space="preserve"> 0.3% </w:t>
      </w:r>
      <w:r w:rsidR="00BD5F86">
        <w:rPr>
          <w:rFonts w:ascii="Times New Roman" w:eastAsia="DengXian" w:hAnsi="Times New Roman" w:cs="Times New Roman"/>
          <w:sz w:val="24"/>
          <w:szCs w:val="24"/>
        </w:rPr>
        <w:t xml:space="preserve"> and </w:t>
      </w:r>
      <w:r w:rsidR="00BD5F86" w:rsidRPr="00653354">
        <w:rPr>
          <w:rFonts w:ascii="Times New Roman" w:eastAsia="DengXian" w:hAnsi="Times New Roman" w:cs="Times New Roman"/>
          <w:sz w:val="24"/>
          <w:szCs w:val="24"/>
        </w:rPr>
        <w:t>weight</w:t>
      </w:r>
      <w:r w:rsidR="00BD5F86">
        <w:rPr>
          <w:rFonts w:ascii="Times New Roman" w:eastAsia="DengXian" w:hAnsi="Times New Roman" w:cs="Times New Roman"/>
          <w:sz w:val="24"/>
          <w:szCs w:val="24"/>
        </w:rPr>
        <w:t xml:space="preserve"> (0.5kg) </w:t>
      </w:r>
      <w:r w:rsidR="00653354" w:rsidRPr="00653354">
        <w:rPr>
          <w:rFonts w:ascii="Times New Roman" w:eastAsia="DengXian" w:hAnsi="Times New Roman" w:cs="Times New Roman"/>
          <w:sz w:val="24"/>
          <w:szCs w:val="24"/>
        </w:rPr>
        <w:t>in the control group</w:t>
      </w:r>
      <w:r w:rsidR="00E5505B" w:rsidRPr="00E5505B">
        <w:rPr>
          <w:rFonts w:ascii="Times New Roman" w:eastAsia="DengXian" w:hAnsi="Times New Roman" w:cs="Times New Roman"/>
          <w:sz w:val="24"/>
          <w:szCs w:val="24"/>
        </w:rPr>
        <w:t>.</w:t>
      </w:r>
      <w:r w:rsidR="00BD5F86" w:rsidRPr="00BD5F86">
        <w:t xml:space="preserve"> </w:t>
      </w:r>
      <w:r w:rsidR="00BD5F86" w:rsidRPr="00BD5F86">
        <w:rPr>
          <w:rFonts w:ascii="Times New Roman" w:eastAsia="DengXian" w:hAnsi="Times New Roman" w:cs="Times New Roman"/>
          <w:sz w:val="24"/>
          <w:szCs w:val="24"/>
        </w:rPr>
        <w:t>Substituting breakfast with LGI supplement enhanced glycaemic control and weight</w:t>
      </w:r>
      <w:r w:rsidR="00BD5F86">
        <w:rPr>
          <w:rFonts w:ascii="Times New Roman" w:eastAsia="DengXian" w:hAnsi="Times New Roman" w:cs="Times New Roman"/>
          <w:sz w:val="24"/>
          <w:szCs w:val="24"/>
        </w:rPr>
        <w:t xml:space="preserve"> management</w:t>
      </w:r>
      <w:r w:rsidR="00BD5F86" w:rsidRPr="00BD5F86">
        <w:rPr>
          <w:rFonts w:ascii="Times New Roman" w:eastAsia="DengXian" w:hAnsi="Times New Roman" w:cs="Times New Roman"/>
          <w:sz w:val="24"/>
          <w:szCs w:val="24"/>
        </w:rPr>
        <w:t xml:space="preserve"> in T2DM, with</w:t>
      </w:r>
      <w:r w:rsidR="00BD5F86">
        <w:rPr>
          <w:rFonts w:ascii="Times New Roman" w:eastAsia="DengXian" w:hAnsi="Times New Roman" w:cs="Times New Roman"/>
          <w:sz w:val="24"/>
          <w:szCs w:val="24"/>
        </w:rPr>
        <w:t xml:space="preserve"> a</w:t>
      </w:r>
      <w:r w:rsidR="00BD5F86" w:rsidRPr="00BD5F86">
        <w:rPr>
          <w:rFonts w:ascii="Times New Roman" w:eastAsia="DengXian" w:hAnsi="Times New Roman" w:cs="Times New Roman"/>
          <w:sz w:val="24"/>
          <w:szCs w:val="24"/>
        </w:rPr>
        <w:t xml:space="preserve"> smaller scope than Wang's meta-analysis.</w:t>
      </w:r>
    </w:p>
    <w:p w14:paraId="7AF44A6E" w14:textId="77777777" w:rsidR="00991265" w:rsidRDefault="00991265">
      <w:pPr>
        <w:rPr>
          <w:rFonts w:ascii="Times New Roman" w:eastAsia="DengXian" w:hAnsi="Times New Roman" w:cs="Times New Roman"/>
          <w:sz w:val="24"/>
          <w:szCs w:val="24"/>
        </w:rPr>
      </w:pPr>
      <w:r>
        <w:rPr>
          <w:rFonts w:ascii="Times New Roman" w:eastAsia="DengXian" w:hAnsi="Times New Roman" w:cs="Times New Roman"/>
          <w:sz w:val="24"/>
          <w:szCs w:val="24"/>
        </w:rPr>
        <w:br w:type="page"/>
      </w:r>
    </w:p>
    <w:p w14:paraId="0EF5C4CC" w14:textId="06C77C15" w:rsidR="0060772B" w:rsidRDefault="0060772B" w:rsidP="00991265">
      <w:pPr>
        <w:pStyle w:val="Heading2"/>
        <w:numPr>
          <w:ilvl w:val="1"/>
          <w:numId w:val="1"/>
        </w:numPr>
        <w:rPr>
          <w:b/>
        </w:rPr>
      </w:pPr>
      <w:bookmarkStart w:id="10" w:name="_Toc164363460"/>
      <w:r w:rsidRPr="00AD5DAD">
        <w:rPr>
          <w:b/>
        </w:rPr>
        <w:lastRenderedPageBreak/>
        <w:t>Low Carbohydrate Diet</w:t>
      </w:r>
      <w:bookmarkEnd w:id="10"/>
    </w:p>
    <w:p w14:paraId="64ED8300" w14:textId="77777777" w:rsidR="00991265" w:rsidRPr="00991265" w:rsidRDefault="00991265" w:rsidP="00991265">
      <w:pPr>
        <w:pStyle w:val="ListParagraph"/>
        <w:ind w:left="1155"/>
      </w:pPr>
    </w:p>
    <w:p w14:paraId="7A59B22F" w14:textId="3C9257C0" w:rsidR="0080152D" w:rsidRDefault="0060772B" w:rsidP="00E84CF8">
      <w:pPr>
        <w:suppressAutoHyphens/>
        <w:autoSpaceDN w:val="0"/>
        <w:spacing w:after="0" w:line="360" w:lineRule="auto"/>
        <w:rPr>
          <w:rFonts w:ascii="Times New Roman" w:eastAsia="DengXian" w:hAnsi="Times New Roman" w:cs="Times New Roman"/>
          <w:sz w:val="24"/>
          <w:szCs w:val="24"/>
        </w:rPr>
      </w:pPr>
      <w:r w:rsidRPr="005717A1">
        <w:rPr>
          <w:rFonts w:ascii="Times New Roman" w:eastAsia="Times New Roman" w:hAnsi="Times New Roman" w:cs="Times New Roman"/>
          <w:sz w:val="24"/>
          <w:szCs w:val="24"/>
        </w:rPr>
        <w:t xml:space="preserve">According to </w:t>
      </w:r>
      <w:bookmarkStart w:id="11" w:name="_Hlk163141048"/>
      <w:r w:rsidRPr="005717A1">
        <w:rPr>
          <w:rFonts w:ascii="Times New Roman" w:eastAsia="Times New Roman" w:hAnsi="Times New Roman" w:cs="Times New Roman"/>
          <w:sz w:val="24"/>
          <w:szCs w:val="24"/>
        </w:rPr>
        <w:t>Oh et al. (2019)</w:t>
      </w:r>
      <w:r w:rsidRPr="005717A1">
        <w:rPr>
          <w:rFonts w:ascii="Times New Roman" w:eastAsia="DengXian" w:hAnsi="Times New Roman" w:cs="Times New Roman"/>
          <w:sz w:val="24"/>
          <w:szCs w:val="24"/>
        </w:rPr>
        <w:t xml:space="preserve"> </w:t>
      </w:r>
      <w:bookmarkEnd w:id="11"/>
      <w:r w:rsidRPr="005717A1">
        <w:rPr>
          <w:rFonts w:ascii="Times New Roman" w:eastAsia="Times New Roman" w:hAnsi="Times New Roman" w:cs="Times New Roman"/>
          <w:sz w:val="24"/>
          <w:szCs w:val="24"/>
        </w:rPr>
        <w:t xml:space="preserve">since </w:t>
      </w:r>
      <w:r w:rsidRPr="00080452">
        <w:rPr>
          <w:rFonts w:ascii="Times New Roman" w:eastAsia="Times New Roman" w:hAnsi="Times New Roman" w:cs="Times New Roman"/>
          <w:sz w:val="24"/>
          <w:szCs w:val="24"/>
        </w:rPr>
        <w:t>1860</w:t>
      </w:r>
      <w:r w:rsidRPr="005717A1">
        <w:rPr>
          <w:rFonts w:ascii="Times New Roman" w:eastAsia="Times New Roman" w:hAnsi="Times New Roman" w:cs="Times New Roman"/>
          <w:sz w:val="24"/>
          <w:szCs w:val="24"/>
        </w:rPr>
        <w:t xml:space="preserve"> and more prominently in 1972, LCDs have emerged as a weight loss strategy. LCDs approaches were rooted in the hypothesis that reducing insulin levels, a key hormone responsible for promoting fat storage and an anabolic state,</w:t>
      </w:r>
      <w:r w:rsidR="00C74EFF" w:rsidRPr="005717A1">
        <w:rPr>
          <w:rFonts w:ascii="Times New Roman" w:eastAsia="Times New Roman" w:hAnsi="Times New Roman" w:cs="Times New Roman"/>
          <w:sz w:val="24"/>
          <w:szCs w:val="24"/>
        </w:rPr>
        <w:t xml:space="preserve"> which</w:t>
      </w:r>
      <w:r w:rsidRPr="005717A1">
        <w:rPr>
          <w:rFonts w:ascii="Times New Roman" w:eastAsia="Times New Roman" w:hAnsi="Times New Roman" w:cs="Times New Roman"/>
          <w:sz w:val="24"/>
          <w:szCs w:val="24"/>
        </w:rPr>
        <w:t xml:space="preserve"> enhance cardiometabolic health and facilitate weight loss. Whereas, Chacón et al. (2024) indicated</w:t>
      </w:r>
      <w:r w:rsidRPr="005717A1">
        <w:rPr>
          <w:rFonts w:ascii="Times New Roman" w:eastAsia="DengXian" w:hAnsi="Times New Roman" w:cs="Times New Roman"/>
          <w:sz w:val="24"/>
          <w:szCs w:val="24"/>
        </w:rPr>
        <w:t xml:space="preserve"> LCDs were initially delineated by William Banting in 1863 as a method for weight reduction and more recently, for addressing cardiovascular diseases, exercise, inflammation, oxidative stress and other comorbidities. </w:t>
      </w:r>
      <w:r w:rsidRPr="005717A1">
        <w:rPr>
          <w:rFonts w:ascii="Times New Roman" w:eastAsia="Times New Roman" w:hAnsi="Times New Roman" w:cs="Times New Roman"/>
          <w:sz w:val="24"/>
          <w:szCs w:val="24"/>
        </w:rPr>
        <w:t>Seid and Rosenbaum, (2019) stated i</w:t>
      </w:r>
      <w:r w:rsidRPr="005717A1">
        <w:rPr>
          <w:rFonts w:ascii="Times New Roman" w:eastAsia="DengXian" w:hAnsi="Times New Roman" w:cs="Times New Roman"/>
          <w:sz w:val="24"/>
          <w:szCs w:val="24"/>
        </w:rPr>
        <w:t>n the 1940s, the diet-heart hypothesis linked high dietary fat to heart disease, prompting low-fat diet recommendations. Simultaneously, LCDs, originally devised for diabetes, gained traction for weight loss, fuelled by the idea that insulin induces weight gain thus, advocating carbohydrate reduction for effective and sustained weight loss.</w:t>
      </w:r>
      <w:r w:rsidRPr="005717A1">
        <w:rPr>
          <w:rFonts w:ascii="Times New Roman" w:eastAsia="Times New Roman" w:hAnsi="Times New Roman" w:cs="Times New Roman"/>
          <w:sz w:val="24"/>
          <w:szCs w:val="24"/>
        </w:rPr>
        <w:t xml:space="preserve"> </w:t>
      </w:r>
      <w:r w:rsidR="008D3916">
        <w:rPr>
          <w:rFonts w:ascii="Times New Roman" w:eastAsia="Times New Roman" w:hAnsi="Times New Roman" w:cs="Times New Roman"/>
          <w:sz w:val="24"/>
          <w:szCs w:val="24"/>
        </w:rPr>
        <w:t xml:space="preserve">Whereas, </w:t>
      </w:r>
      <w:r w:rsidRPr="005717A1">
        <w:rPr>
          <w:rFonts w:ascii="Times New Roman" w:eastAsia="Times New Roman" w:hAnsi="Times New Roman" w:cs="Times New Roman"/>
          <w:sz w:val="24"/>
          <w:szCs w:val="24"/>
        </w:rPr>
        <w:t>Landry et al. (2021)</w:t>
      </w:r>
      <w:r w:rsidRPr="005717A1">
        <w:rPr>
          <w:rFonts w:ascii="Times New Roman" w:eastAsia="DengXian" w:hAnsi="Times New Roman" w:cs="Times New Roman"/>
          <w:sz w:val="24"/>
          <w:szCs w:val="24"/>
        </w:rPr>
        <w:t xml:space="preserve"> emphasised the popularity of LCDs stems from influential weight loss books advocating their health benefits over traditional diets. Kazeminasab et al. (2024) outlined </w:t>
      </w:r>
      <w:r w:rsidR="00950CED">
        <w:rPr>
          <w:rFonts w:ascii="Times New Roman" w:eastAsia="DengXian" w:hAnsi="Times New Roman" w:cs="Times New Roman"/>
          <w:sz w:val="24"/>
          <w:szCs w:val="24"/>
        </w:rPr>
        <w:t xml:space="preserve">5 </w:t>
      </w:r>
      <w:r w:rsidRPr="005717A1">
        <w:rPr>
          <w:rFonts w:ascii="Times New Roman" w:eastAsia="DengXian" w:hAnsi="Times New Roman" w:cs="Times New Roman"/>
          <w:sz w:val="24"/>
          <w:szCs w:val="24"/>
        </w:rPr>
        <w:t xml:space="preserve">evidential pillars supporting LCDs efficacy in regulating inflammatory cytokines. Initially devised for epilepsy treatment in the 1970s, </w:t>
      </w:r>
      <w:r w:rsidR="00080452">
        <w:rPr>
          <w:rFonts w:ascii="Times New Roman" w:eastAsia="DengXian" w:hAnsi="Times New Roman" w:cs="Times New Roman"/>
          <w:sz w:val="24"/>
          <w:szCs w:val="24"/>
        </w:rPr>
        <w:t xml:space="preserve">very </w:t>
      </w:r>
      <w:r w:rsidRPr="005717A1">
        <w:rPr>
          <w:rFonts w:ascii="Times New Roman" w:eastAsia="DengXian" w:hAnsi="Times New Roman" w:cs="Times New Roman"/>
          <w:sz w:val="24"/>
          <w:szCs w:val="24"/>
        </w:rPr>
        <w:t>LCDs gained prominence for their ketogenesis-induced effects. LCDs later gained recognition for weight loss and blood glucose management benefits. WHO's advice to reduce</w:t>
      </w:r>
      <w:r w:rsidR="00B5277A" w:rsidRPr="005717A1">
        <w:rPr>
          <w:rFonts w:ascii="Times New Roman" w:eastAsia="DengXian" w:hAnsi="Times New Roman" w:cs="Times New Roman"/>
          <w:sz w:val="24"/>
          <w:szCs w:val="24"/>
        </w:rPr>
        <w:t>d</w:t>
      </w:r>
      <w:r w:rsidRPr="005717A1">
        <w:rPr>
          <w:rFonts w:ascii="Times New Roman" w:eastAsia="DengXian" w:hAnsi="Times New Roman" w:cs="Times New Roman"/>
          <w:sz w:val="24"/>
          <w:szCs w:val="24"/>
        </w:rPr>
        <w:t xml:space="preserve"> sugar and refined carb intake boosted LCDs' global visibility. Numerous studies reinforced LCDs' effectiveness in reducing cardiovascular risk factors.</w:t>
      </w:r>
      <w:r w:rsidR="00080452" w:rsidRPr="00080452">
        <w:rPr>
          <w:rFonts w:ascii="Times New Roman" w:hAnsi="Times New Roman" w:cs="Times New Roman"/>
          <w:color w:val="000000" w:themeColor="text1"/>
          <w:sz w:val="24"/>
          <w:szCs w:val="24"/>
        </w:rPr>
        <w:t xml:space="preserve"> </w:t>
      </w:r>
      <w:r w:rsidR="00C976E6">
        <w:rPr>
          <w:rFonts w:ascii="Times New Roman" w:hAnsi="Times New Roman" w:cs="Times New Roman"/>
          <w:color w:val="000000" w:themeColor="text1"/>
          <w:sz w:val="24"/>
          <w:szCs w:val="24"/>
        </w:rPr>
        <w:t xml:space="preserve">Table </w:t>
      </w:r>
      <w:r w:rsidR="00080452">
        <w:rPr>
          <w:rFonts w:ascii="Times New Roman" w:hAnsi="Times New Roman" w:cs="Times New Roman"/>
          <w:color w:val="000000" w:themeColor="text1"/>
          <w:sz w:val="24"/>
          <w:szCs w:val="24"/>
        </w:rPr>
        <w:t xml:space="preserve">3 illustrates </w:t>
      </w:r>
      <w:r w:rsidR="00080452" w:rsidRPr="00FC6AB1">
        <w:rPr>
          <w:rFonts w:ascii="Times New Roman" w:hAnsi="Times New Roman" w:cs="Times New Roman"/>
          <w:color w:val="000000" w:themeColor="text1"/>
          <w:sz w:val="24"/>
          <w:szCs w:val="24"/>
        </w:rPr>
        <w:t>the classification of low carbohydrate diets</w:t>
      </w:r>
      <w:r w:rsidR="00080452">
        <w:rPr>
          <w:rFonts w:ascii="Times New Roman" w:hAnsi="Times New Roman" w:cs="Times New Roman"/>
          <w:color w:val="000000" w:themeColor="text1"/>
          <w:sz w:val="24"/>
          <w:szCs w:val="24"/>
        </w:rPr>
        <w:t>.</w:t>
      </w:r>
    </w:p>
    <w:p w14:paraId="6C110C73" w14:textId="77777777" w:rsidR="00124A9A" w:rsidRPr="005717A1" w:rsidRDefault="00124A9A" w:rsidP="00E84CF8">
      <w:pPr>
        <w:suppressAutoHyphens/>
        <w:autoSpaceDN w:val="0"/>
        <w:spacing w:after="0" w:line="360" w:lineRule="auto"/>
        <w:rPr>
          <w:rFonts w:ascii="Times New Roman" w:eastAsia="DengXian" w:hAnsi="Times New Roman" w:cs="Times New Roman"/>
          <w:sz w:val="24"/>
          <w:szCs w:val="24"/>
        </w:rPr>
      </w:pPr>
    </w:p>
    <w:p w14:paraId="5290837E" w14:textId="563F86E5" w:rsidR="0060772B" w:rsidRPr="00FC6AB1" w:rsidRDefault="00C976E6" w:rsidP="00E84CF8">
      <w:pPr>
        <w:pStyle w:val="Caption"/>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Table </w:t>
      </w:r>
      <w:r w:rsidR="00124A9A" w:rsidRPr="00FC6AB1">
        <w:rPr>
          <w:rFonts w:ascii="Times New Roman" w:hAnsi="Times New Roman" w:cs="Times New Roman"/>
          <w:color w:val="000000" w:themeColor="text1"/>
          <w:sz w:val="24"/>
          <w:szCs w:val="24"/>
        </w:rPr>
        <w:t>3</w:t>
      </w:r>
      <w:r w:rsidR="0060772B" w:rsidRPr="00FC6AB1">
        <w:rPr>
          <w:rFonts w:ascii="Times New Roman" w:hAnsi="Times New Roman" w:cs="Times New Roman"/>
          <w:color w:val="000000" w:themeColor="text1"/>
          <w:sz w:val="24"/>
          <w:szCs w:val="24"/>
        </w:rPr>
        <w:t>: Depicting the classification of low carbohydrate diets (</w:t>
      </w:r>
      <w:r w:rsidR="0060772B" w:rsidRPr="00FC6AB1">
        <w:rPr>
          <w:rFonts w:ascii="Times New Roman" w:eastAsia="Times New Roman" w:hAnsi="Times New Roman" w:cs="Times New Roman"/>
          <w:color w:val="000000" w:themeColor="text1"/>
          <w:sz w:val="24"/>
          <w:szCs w:val="24"/>
        </w:rPr>
        <w:t>Oh et al</w:t>
      </w:r>
      <w:r w:rsidR="003D16F7" w:rsidRPr="00FC6AB1">
        <w:rPr>
          <w:rFonts w:ascii="Times New Roman" w:eastAsia="Times New Roman" w:hAnsi="Times New Roman" w:cs="Times New Roman"/>
          <w:color w:val="000000" w:themeColor="text1"/>
          <w:sz w:val="24"/>
          <w:szCs w:val="24"/>
        </w:rPr>
        <w:t xml:space="preserve"> </w:t>
      </w:r>
      <w:r w:rsidR="0060772B" w:rsidRPr="00FC6AB1">
        <w:rPr>
          <w:rFonts w:ascii="Times New Roman" w:eastAsia="Times New Roman" w:hAnsi="Times New Roman" w:cs="Times New Roman"/>
          <w:color w:val="000000" w:themeColor="text1"/>
          <w:sz w:val="24"/>
          <w:szCs w:val="24"/>
        </w:rPr>
        <w:t>., 2019).</w:t>
      </w:r>
    </w:p>
    <w:p w14:paraId="75781065" w14:textId="2B8FE8CF" w:rsidR="0060772B" w:rsidRPr="005717A1" w:rsidRDefault="00830941" w:rsidP="00E84CF8">
      <w:pPr>
        <w:suppressAutoHyphens/>
        <w:autoSpaceDN w:val="0"/>
        <w:spacing w:line="360" w:lineRule="auto"/>
        <w:rPr>
          <w:rFonts w:ascii="Times New Roman" w:eastAsia="DengXian" w:hAnsi="Times New Roman" w:cs="Times New Roman"/>
          <w:sz w:val="24"/>
          <w:szCs w:val="24"/>
        </w:rPr>
      </w:pPr>
      <w:r w:rsidRPr="00830941">
        <w:rPr>
          <w:noProof/>
          <w:lang w:eastAsia="en-GB"/>
        </w:rPr>
        <w:drawing>
          <wp:inline distT="0" distB="0" distL="0" distR="0" wp14:anchorId="675A8BBC" wp14:editId="26CDEBE1">
            <wp:extent cx="5731510" cy="1656715"/>
            <wp:effectExtent l="0" t="0" r="0" b="0"/>
            <wp:docPr id="18414156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1656715"/>
                    </a:xfrm>
                    <a:prstGeom prst="rect">
                      <a:avLst/>
                    </a:prstGeom>
                    <a:noFill/>
                    <a:ln>
                      <a:noFill/>
                    </a:ln>
                  </pic:spPr>
                </pic:pic>
              </a:graphicData>
            </a:graphic>
          </wp:inline>
        </w:drawing>
      </w:r>
    </w:p>
    <w:p w14:paraId="1A19EA5B" w14:textId="4C0C1016" w:rsidR="0060772B" w:rsidRPr="005717A1" w:rsidRDefault="0060772B" w:rsidP="00E84CF8">
      <w:pPr>
        <w:suppressAutoHyphens/>
        <w:autoSpaceDN w:val="0"/>
        <w:spacing w:line="360" w:lineRule="auto"/>
        <w:rPr>
          <w:rFonts w:ascii="Times New Roman" w:eastAsia="DengXian" w:hAnsi="Times New Roman" w:cs="Times New Roman"/>
          <w:sz w:val="24"/>
          <w:szCs w:val="24"/>
        </w:rPr>
      </w:pPr>
      <w:r w:rsidRPr="005717A1">
        <w:rPr>
          <w:rFonts w:ascii="Times New Roman" w:eastAsia="DengXian" w:hAnsi="Times New Roman" w:cs="Times New Roman"/>
          <w:sz w:val="24"/>
          <w:szCs w:val="24"/>
        </w:rPr>
        <w:t xml:space="preserve">Wang et al. (2018) and Tay et al. (2015) conducted RCTs to investigate the effects of LCDs on glycaemic control in patients with T2DM. Wang et al. focused on Chinese T2DM patients, while Tay et al. included obese adults with T2DM. Both studies implemented dietary </w:t>
      </w:r>
      <w:r w:rsidRPr="005717A1">
        <w:rPr>
          <w:rFonts w:ascii="Times New Roman" w:eastAsia="DengXian" w:hAnsi="Times New Roman" w:cs="Times New Roman"/>
          <w:sz w:val="24"/>
          <w:szCs w:val="24"/>
        </w:rPr>
        <w:lastRenderedPageBreak/>
        <w:t>interventions, with Wang et al. compar</w:t>
      </w:r>
      <w:r w:rsidR="008D3916">
        <w:rPr>
          <w:rFonts w:ascii="Times New Roman" w:eastAsia="DengXian" w:hAnsi="Times New Roman" w:cs="Times New Roman"/>
          <w:sz w:val="24"/>
          <w:szCs w:val="24"/>
        </w:rPr>
        <w:t>ing</w:t>
      </w:r>
      <w:r w:rsidRPr="005717A1">
        <w:rPr>
          <w:rFonts w:ascii="Times New Roman" w:eastAsia="DengXian" w:hAnsi="Times New Roman" w:cs="Times New Roman"/>
          <w:sz w:val="24"/>
          <w:szCs w:val="24"/>
        </w:rPr>
        <w:t xml:space="preserve"> LCD and LFD over 3 months </w:t>
      </w:r>
      <w:r w:rsidR="008D3916">
        <w:rPr>
          <w:rFonts w:ascii="Times New Roman" w:eastAsia="DengXian" w:hAnsi="Times New Roman" w:cs="Times New Roman"/>
          <w:sz w:val="24"/>
          <w:szCs w:val="24"/>
        </w:rPr>
        <w:t>whilst</w:t>
      </w:r>
      <w:r w:rsidRPr="005717A1">
        <w:rPr>
          <w:rFonts w:ascii="Times New Roman" w:eastAsia="DengXian" w:hAnsi="Times New Roman" w:cs="Times New Roman"/>
          <w:sz w:val="24"/>
          <w:szCs w:val="24"/>
        </w:rPr>
        <w:t xml:space="preserve"> Tay et al. compar</w:t>
      </w:r>
      <w:r w:rsidR="006F21F9">
        <w:rPr>
          <w:rFonts w:ascii="Times New Roman" w:eastAsia="DengXian" w:hAnsi="Times New Roman" w:cs="Times New Roman"/>
          <w:sz w:val="24"/>
          <w:szCs w:val="24"/>
        </w:rPr>
        <w:t>ed</w:t>
      </w:r>
      <w:r w:rsidRPr="005717A1">
        <w:rPr>
          <w:rFonts w:ascii="Times New Roman" w:eastAsia="DengXian" w:hAnsi="Times New Roman" w:cs="Times New Roman"/>
          <w:sz w:val="24"/>
          <w:szCs w:val="24"/>
        </w:rPr>
        <w:t xml:space="preserve"> VLCD and HCDs over 52 weeks. Both studies found improvements in glycaemic control, with reductions in HbA1c levels observed in the LCD/VLCD groups compared to the LFD/HCD groups. Wang et al. reported a significant decrease in HbA1c levels of 8.5% in the LCD group compared to 4% in the </w:t>
      </w:r>
      <w:r w:rsidRPr="00540E5E">
        <w:rPr>
          <w:rFonts w:ascii="Times New Roman" w:eastAsia="DengXian" w:hAnsi="Times New Roman" w:cs="Times New Roman"/>
          <w:sz w:val="24"/>
          <w:szCs w:val="24"/>
        </w:rPr>
        <w:t>LFD</w:t>
      </w:r>
      <w:r w:rsidRPr="005717A1">
        <w:rPr>
          <w:rFonts w:ascii="Times New Roman" w:eastAsia="DengXian" w:hAnsi="Times New Roman" w:cs="Times New Roman"/>
          <w:sz w:val="24"/>
          <w:szCs w:val="24"/>
        </w:rPr>
        <w:t xml:space="preserve"> group after 3 months. Tay et al. noted reductions in HbA1c with both VLCD and HCD but LCD led to greater reductions in glycaemic </w:t>
      </w:r>
      <w:r w:rsidR="008D3916" w:rsidRPr="005717A1">
        <w:rPr>
          <w:rFonts w:ascii="Times New Roman" w:eastAsia="DengXian" w:hAnsi="Times New Roman" w:cs="Times New Roman"/>
          <w:sz w:val="24"/>
          <w:szCs w:val="24"/>
        </w:rPr>
        <w:t>variability</w:t>
      </w:r>
      <w:r w:rsidR="008D3916">
        <w:rPr>
          <w:rFonts w:ascii="Times New Roman" w:eastAsia="DengXian" w:hAnsi="Times New Roman" w:cs="Times New Roman"/>
          <w:sz w:val="24"/>
          <w:szCs w:val="24"/>
        </w:rPr>
        <w:t>,</w:t>
      </w:r>
      <w:r w:rsidR="008D3916" w:rsidRPr="005717A1">
        <w:rPr>
          <w:rFonts w:ascii="Times New Roman" w:eastAsia="DengXian" w:hAnsi="Times New Roman" w:cs="Times New Roman"/>
          <w:sz w:val="24"/>
          <w:szCs w:val="24"/>
        </w:rPr>
        <w:t xml:space="preserve"> triglycerides</w:t>
      </w:r>
      <w:r w:rsidR="008D3916">
        <w:rPr>
          <w:rFonts w:ascii="Times New Roman" w:eastAsia="DengXian" w:hAnsi="Times New Roman" w:cs="Times New Roman"/>
          <w:sz w:val="24"/>
          <w:szCs w:val="24"/>
        </w:rPr>
        <w:t xml:space="preserve"> and</w:t>
      </w:r>
      <w:r w:rsidRPr="005717A1">
        <w:rPr>
          <w:rFonts w:ascii="Times New Roman" w:eastAsia="DengXian" w:hAnsi="Times New Roman" w:cs="Times New Roman"/>
          <w:sz w:val="24"/>
          <w:szCs w:val="24"/>
        </w:rPr>
        <w:t xml:space="preserve"> increased HDL cholesterol. Methodologically, both studies employed dietary interventions, but Wang et al. focused on LCD versus LFD comparison, while Tay et al. compared very-low-carb to high-carb diets. Additionally, Tay et al. provided personalized dietary guidance and supervised exercise sessions, which were not explicitly mentioned in the methodology of Wang et al. Overall, while both studies demonstrated the potential benefits of LCDs in improving glycaemic control in patients with T2DM, Tay et al. suggested that VLCD, especially those high in unsaturated fats, may offer additional </w:t>
      </w:r>
      <w:r w:rsidRPr="00B74B8D">
        <w:rPr>
          <w:rFonts w:ascii="Times New Roman" w:eastAsia="DengXian" w:hAnsi="Times New Roman" w:cs="Times New Roman"/>
          <w:sz w:val="24"/>
          <w:szCs w:val="24"/>
        </w:rPr>
        <w:t>advantages for long-term management.</w:t>
      </w:r>
    </w:p>
    <w:p w14:paraId="6F405BAE" w14:textId="4EACA8ED" w:rsidR="0060772B" w:rsidRPr="005717A1" w:rsidRDefault="0060772B" w:rsidP="00E84CF8">
      <w:pPr>
        <w:suppressAutoHyphens/>
        <w:autoSpaceDN w:val="0"/>
        <w:spacing w:line="360" w:lineRule="auto"/>
        <w:rPr>
          <w:rFonts w:ascii="Times New Roman" w:eastAsia="DengXian" w:hAnsi="Times New Roman" w:cs="Times New Roman"/>
          <w:sz w:val="24"/>
          <w:szCs w:val="24"/>
        </w:rPr>
      </w:pPr>
      <w:r w:rsidRPr="005717A1">
        <w:rPr>
          <w:rFonts w:ascii="Times New Roman" w:eastAsia="DengXian" w:hAnsi="Times New Roman" w:cs="Times New Roman"/>
          <w:sz w:val="24"/>
          <w:szCs w:val="24"/>
        </w:rPr>
        <w:t xml:space="preserve">Morris et al. (2019) conducted an individual RCT in Oxfordshire, UK, </w:t>
      </w:r>
      <w:r w:rsidR="004F4BFF">
        <w:rPr>
          <w:rFonts w:ascii="Times New Roman" w:eastAsia="DengXian" w:hAnsi="Times New Roman" w:cs="Times New Roman"/>
          <w:sz w:val="24"/>
          <w:szCs w:val="24"/>
        </w:rPr>
        <w:t>involving participants with</w:t>
      </w:r>
      <w:r w:rsidRPr="005717A1">
        <w:rPr>
          <w:rFonts w:ascii="Times New Roman" w:eastAsia="DengXian" w:hAnsi="Times New Roman" w:cs="Times New Roman"/>
          <w:sz w:val="24"/>
          <w:szCs w:val="24"/>
        </w:rPr>
        <w:t xml:space="preserve"> T2DM and a BMI of at least 30kg/m</w:t>
      </w:r>
      <w:r w:rsidRPr="005717A1">
        <w:rPr>
          <w:rFonts w:ascii="Times New Roman" w:eastAsia="DengXian" w:hAnsi="Times New Roman" w:cs="Times New Roman"/>
          <w:sz w:val="24"/>
          <w:szCs w:val="24"/>
          <w:vertAlign w:val="superscript"/>
        </w:rPr>
        <w:t>2</w:t>
      </w:r>
      <w:r w:rsidRPr="005717A1">
        <w:rPr>
          <w:rFonts w:ascii="Times New Roman" w:eastAsia="DengXian" w:hAnsi="Times New Roman" w:cs="Times New Roman"/>
          <w:sz w:val="24"/>
          <w:szCs w:val="24"/>
        </w:rPr>
        <w:t>. The study compared t</w:t>
      </w:r>
      <w:r w:rsidR="004F4BFF">
        <w:rPr>
          <w:rFonts w:ascii="Times New Roman" w:eastAsia="DengXian" w:hAnsi="Times New Roman" w:cs="Times New Roman"/>
          <w:sz w:val="24"/>
          <w:szCs w:val="24"/>
        </w:rPr>
        <w:t xml:space="preserve">he effects of a low-energy, LCD </w:t>
      </w:r>
      <w:r w:rsidRPr="005717A1">
        <w:rPr>
          <w:rFonts w:ascii="Times New Roman" w:eastAsia="DengXian" w:hAnsi="Times New Roman" w:cs="Times New Roman"/>
          <w:sz w:val="24"/>
          <w:szCs w:val="24"/>
        </w:rPr>
        <w:t xml:space="preserve">to usual care over an 8-week duration with the implementation of a </w:t>
      </w:r>
      <w:r w:rsidR="00B74B8D" w:rsidRPr="005717A1">
        <w:rPr>
          <w:rFonts w:ascii="Times New Roman" w:eastAsia="DengXian" w:hAnsi="Times New Roman" w:cs="Times New Roman"/>
          <w:sz w:val="24"/>
          <w:szCs w:val="24"/>
        </w:rPr>
        <w:t>nurse’s</w:t>
      </w:r>
      <w:r w:rsidRPr="005717A1">
        <w:rPr>
          <w:rFonts w:ascii="Times New Roman" w:eastAsia="DengXian" w:hAnsi="Times New Roman" w:cs="Times New Roman"/>
          <w:sz w:val="24"/>
          <w:szCs w:val="24"/>
        </w:rPr>
        <w:t xml:space="preserve"> support and self-help booklet. Which yielded significant weight loss (9.5 kg) intervention group and a substantial decrease in HbA1c levels (-16.3 mmol/mol) com</w:t>
      </w:r>
      <w:r w:rsidR="00B74B8D">
        <w:rPr>
          <w:rFonts w:ascii="Times New Roman" w:eastAsia="DengXian" w:hAnsi="Times New Roman" w:cs="Times New Roman"/>
          <w:sz w:val="24"/>
          <w:szCs w:val="24"/>
        </w:rPr>
        <w:t>pared to the usual care group (-</w:t>
      </w:r>
      <w:r w:rsidRPr="005717A1">
        <w:rPr>
          <w:rFonts w:ascii="Times New Roman" w:eastAsia="DengXian" w:hAnsi="Times New Roman" w:cs="Times New Roman"/>
          <w:sz w:val="24"/>
          <w:szCs w:val="24"/>
        </w:rPr>
        <w:t xml:space="preserve">0.7mmol/mol). Furthermore, the intervention group showed improvements regarding glucose regulation and cardiovascular risk reduction (-3.6%), with several participants discontinuing diabetic and hypertensive medications. The study demonstrated the feasibility of delivering the low-energy LCD in primary care settings and highlighted its efficacy in achieving short-term weight loss and improving glycaemic control. In contrast, Saslow et al. (2017) </w:t>
      </w:r>
      <w:r w:rsidR="00B74B8D" w:rsidRPr="001E34FF">
        <w:rPr>
          <w:rFonts w:ascii="Times New Roman" w:eastAsia="DengXian" w:hAnsi="Times New Roman" w:cs="Times New Roman"/>
          <w:sz w:val="24"/>
          <w:szCs w:val="24"/>
        </w:rPr>
        <w:t xml:space="preserve">undertook a </w:t>
      </w:r>
      <w:r w:rsidRPr="001E34FF">
        <w:rPr>
          <w:rFonts w:ascii="Times New Roman" w:eastAsia="DengXian" w:hAnsi="Times New Roman" w:cs="Times New Roman"/>
          <w:sz w:val="24"/>
          <w:szCs w:val="24"/>
        </w:rPr>
        <w:t xml:space="preserve">12-month trial comparing a VLCKD to a </w:t>
      </w:r>
      <w:r w:rsidR="001E34FF" w:rsidRPr="001E34FF">
        <w:rPr>
          <w:rFonts w:ascii="Times New Roman" w:eastAsia="DengXian" w:hAnsi="Times New Roman" w:cs="Times New Roman"/>
          <w:sz w:val="24"/>
          <w:szCs w:val="24"/>
        </w:rPr>
        <w:t>moderate carbohydrate calorie restricted (</w:t>
      </w:r>
      <w:r w:rsidRPr="001E34FF">
        <w:rPr>
          <w:rFonts w:ascii="Times New Roman" w:eastAsia="DengXian" w:hAnsi="Times New Roman" w:cs="Times New Roman"/>
          <w:sz w:val="24"/>
          <w:szCs w:val="24"/>
        </w:rPr>
        <w:t>MCCR</w:t>
      </w:r>
      <w:r w:rsidR="001E34FF" w:rsidRPr="001E34FF">
        <w:rPr>
          <w:rFonts w:ascii="Times New Roman" w:eastAsia="DengXian" w:hAnsi="Times New Roman" w:cs="Times New Roman"/>
          <w:sz w:val="24"/>
          <w:szCs w:val="24"/>
        </w:rPr>
        <w:t>)</w:t>
      </w:r>
      <w:r w:rsidRPr="005717A1">
        <w:rPr>
          <w:rFonts w:ascii="Times New Roman" w:eastAsia="DengXian" w:hAnsi="Times New Roman" w:cs="Times New Roman"/>
          <w:sz w:val="24"/>
          <w:szCs w:val="24"/>
        </w:rPr>
        <w:t xml:space="preserve"> diet in overweight adults with T2DM or prediabetes. </w:t>
      </w:r>
      <w:r w:rsidRPr="005717A1">
        <w:rPr>
          <w:rFonts w:ascii="Times New Roman" w:eastAsia="Times New Roman" w:hAnsi="Times New Roman" w:cs="Times New Roman"/>
          <w:sz w:val="24"/>
          <w:szCs w:val="24"/>
        </w:rPr>
        <w:t>Participants were encouraged to be physically active, get sufficient sleep and practice behavioural adherence strategies focusing on positive affect and mindful eating</w:t>
      </w:r>
      <w:r w:rsidRPr="005717A1">
        <w:rPr>
          <w:rFonts w:ascii="Times New Roman" w:eastAsia="DengXian" w:hAnsi="Times New Roman" w:cs="Times New Roman"/>
          <w:sz w:val="24"/>
          <w:szCs w:val="24"/>
        </w:rPr>
        <w:t xml:space="preserve"> which resulted in greater reductions in HbA1c levels (6.6 to 6.1%) and BMI (8.3%) in the VLCKD compared to those on the </w:t>
      </w:r>
      <w:r w:rsidRPr="001E34FF">
        <w:rPr>
          <w:rFonts w:ascii="Times New Roman" w:eastAsia="DengXian" w:hAnsi="Times New Roman" w:cs="Times New Roman"/>
          <w:sz w:val="24"/>
          <w:szCs w:val="24"/>
        </w:rPr>
        <w:t>MCCR</w:t>
      </w:r>
      <w:r w:rsidRPr="005717A1">
        <w:rPr>
          <w:rFonts w:ascii="Times New Roman" w:eastAsia="DengXian" w:hAnsi="Times New Roman" w:cs="Times New Roman"/>
          <w:sz w:val="24"/>
          <w:szCs w:val="24"/>
        </w:rPr>
        <w:t xml:space="preserve"> diet HbA1c (6.9 to 6.7%) and BMI (3.8%). Additionally, the </w:t>
      </w:r>
      <w:r w:rsidRPr="001E34FF">
        <w:rPr>
          <w:rFonts w:ascii="Times New Roman" w:eastAsia="DengXian" w:hAnsi="Times New Roman" w:cs="Times New Roman"/>
          <w:sz w:val="24"/>
          <w:szCs w:val="24"/>
        </w:rPr>
        <w:t>LCK</w:t>
      </w:r>
      <w:r w:rsidRPr="005717A1">
        <w:rPr>
          <w:rFonts w:ascii="Times New Roman" w:eastAsia="DengXian" w:hAnsi="Times New Roman" w:cs="Times New Roman"/>
          <w:sz w:val="24"/>
          <w:szCs w:val="24"/>
        </w:rPr>
        <w:t xml:space="preserve"> diet group achieved significant weight loss and reduced diabetes medication use, particularly sulfonylureas and dipeptidyl peptidase-4 inhibitors, compared to the MCCR group. Although LDL cholesterol increased more in the LCK group at 6 months, the difference was not </w:t>
      </w:r>
      <w:r w:rsidRPr="005717A1">
        <w:rPr>
          <w:rFonts w:ascii="Times New Roman" w:eastAsia="DengXian" w:hAnsi="Times New Roman" w:cs="Times New Roman"/>
          <w:sz w:val="24"/>
          <w:szCs w:val="24"/>
        </w:rPr>
        <w:lastRenderedPageBreak/>
        <w:t xml:space="preserve">significant at 12 months. These findings suggest the advantages of the </w:t>
      </w:r>
      <w:r w:rsidRPr="00B74B8D">
        <w:rPr>
          <w:rFonts w:ascii="Times New Roman" w:eastAsia="DengXian" w:hAnsi="Times New Roman" w:cs="Times New Roman"/>
          <w:sz w:val="24"/>
          <w:szCs w:val="24"/>
        </w:rPr>
        <w:t xml:space="preserve">LCK diet for glycaemic control and medication reduction in individuals with prediabetes or T2DM compared to the MCCR diet. Overall, both studies demonstrated the potential benefits of LCD </w:t>
      </w:r>
      <w:r w:rsidR="0060778D" w:rsidRPr="00B74B8D">
        <w:rPr>
          <w:rFonts w:ascii="Times New Roman" w:eastAsia="DengXian" w:hAnsi="Times New Roman" w:cs="Times New Roman"/>
          <w:sz w:val="24"/>
          <w:szCs w:val="24"/>
        </w:rPr>
        <w:t>regarding</w:t>
      </w:r>
      <w:r w:rsidRPr="00B74B8D">
        <w:rPr>
          <w:rFonts w:ascii="Times New Roman" w:eastAsia="DengXian" w:hAnsi="Times New Roman" w:cs="Times New Roman"/>
          <w:sz w:val="24"/>
          <w:szCs w:val="24"/>
        </w:rPr>
        <w:t xml:space="preserve"> improving glycaemic control and weight loss in individuals with T2DM, they varied in terms of duration, methodology and specific outcomes measured.</w:t>
      </w:r>
    </w:p>
    <w:p w14:paraId="130A0C03" w14:textId="27844E46" w:rsidR="0060772B" w:rsidRPr="005717A1" w:rsidRDefault="0060772B" w:rsidP="00E84CF8">
      <w:pPr>
        <w:suppressAutoHyphens/>
        <w:autoSpaceDN w:val="0"/>
        <w:spacing w:line="360" w:lineRule="auto"/>
        <w:rPr>
          <w:rFonts w:ascii="Times New Roman" w:eastAsia="DengXian" w:hAnsi="Times New Roman" w:cs="Times New Roman"/>
          <w:sz w:val="24"/>
          <w:szCs w:val="24"/>
        </w:rPr>
      </w:pPr>
      <w:r w:rsidRPr="005717A1">
        <w:rPr>
          <w:rFonts w:ascii="Times New Roman" w:eastAsia="DengXian" w:hAnsi="Times New Roman" w:cs="Times New Roman"/>
          <w:sz w:val="24"/>
          <w:szCs w:val="24"/>
        </w:rPr>
        <w:t>Goldenberg et al. (2021) and Korsmo-Haugen et al. (2018</w:t>
      </w:r>
      <w:r w:rsidR="00B74B8D" w:rsidRPr="005717A1">
        <w:rPr>
          <w:rFonts w:ascii="Times New Roman" w:eastAsia="DengXian" w:hAnsi="Times New Roman" w:cs="Times New Roman"/>
          <w:sz w:val="24"/>
          <w:szCs w:val="24"/>
        </w:rPr>
        <w:t>) investigated</w:t>
      </w:r>
      <w:r w:rsidRPr="005717A1">
        <w:rPr>
          <w:rFonts w:ascii="Times New Roman" w:eastAsia="DengXian" w:hAnsi="Times New Roman" w:cs="Times New Roman"/>
          <w:sz w:val="24"/>
          <w:szCs w:val="24"/>
        </w:rPr>
        <w:t xml:space="preserve"> the effectiveness of LCDs for individuals with</w:t>
      </w:r>
      <w:r w:rsidR="00B74B8D">
        <w:rPr>
          <w:rFonts w:ascii="Times New Roman" w:eastAsia="DengXian" w:hAnsi="Times New Roman" w:cs="Times New Roman"/>
          <w:sz w:val="24"/>
          <w:szCs w:val="24"/>
        </w:rPr>
        <w:t xml:space="preserve"> T2DM but with different emphasi</w:t>
      </w:r>
      <w:r w:rsidRPr="005717A1">
        <w:rPr>
          <w:rFonts w:ascii="Times New Roman" w:eastAsia="DengXian" w:hAnsi="Times New Roman" w:cs="Times New Roman"/>
          <w:sz w:val="24"/>
          <w:szCs w:val="24"/>
        </w:rPr>
        <w:t xml:space="preserve">s on methodology and outcomes. Goldenberg et al. conducted a comprehensive analysis of 23 studies focusing on the effectiveness and safety of LCDs and VLCDs in T2DM patients 46- 67 years with 61% utilising insulin, whilst Korsmo-Haugen et al. performed a review comparing LCDs to HCDs in adults with T2DM for a duration exceeding 3 months. Goldenberg et al. primarily analysed the impact of LCDs on metabolic health outcomes such as weight loss, HbA1c levels and fasting glucose levels over 6 to 12 months. LCDs resulted in greater weight loss (-3.46 kg), reductions in HbA1c levels (-0.47%) and fasting glucose levels (-0.73 mmol/L) compared to controls. Whereas, Korsmo-Haugen et al. focused on comparing various health markers between LCDs and HCDs, including weight loss, HbA1c, lipid profiles and blood pressure. While they found no significant differences in weight loss between LCDs and HCDs, LCDs were associated with a greater reduction in HbA1c levels </w:t>
      </w:r>
      <w:r w:rsidRPr="005717A1">
        <w:rPr>
          <w:rFonts w:ascii="Times New Roman" w:eastAsia="Times New Roman" w:hAnsi="Times New Roman" w:cs="Times New Roman"/>
          <w:sz w:val="24"/>
          <w:szCs w:val="24"/>
        </w:rPr>
        <w:t>(</w:t>
      </w:r>
      <w:r w:rsidR="00B20CBB">
        <w:rPr>
          <w:rFonts w:ascii="Times New Roman" w:eastAsia="Times New Roman" w:hAnsi="Times New Roman" w:cs="Times New Roman"/>
          <w:sz w:val="24"/>
          <w:szCs w:val="24"/>
        </w:rPr>
        <w:t>MD</w:t>
      </w:r>
      <w:r w:rsidRPr="005717A1">
        <w:rPr>
          <w:rFonts w:ascii="Times New Roman" w:eastAsia="Times New Roman" w:hAnsi="Times New Roman" w:cs="Times New Roman"/>
          <w:sz w:val="24"/>
          <w:szCs w:val="24"/>
        </w:rPr>
        <w:t>, −1.0 mmol/mol</w:t>
      </w:r>
      <w:r w:rsidR="00B20CBB">
        <w:rPr>
          <w:rFonts w:ascii="Times New Roman" w:eastAsia="Times New Roman" w:hAnsi="Times New Roman" w:cs="Times New Roman"/>
          <w:sz w:val="24"/>
          <w:szCs w:val="24"/>
        </w:rPr>
        <w:t>)</w:t>
      </w:r>
      <w:r w:rsidRPr="005717A1">
        <w:rPr>
          <w:rFonts w:ascii="Times New Roman" w:eastAsia="DengXian" w:hAnsi="Times New Roman" w:cs="Times New Roman"/>
          <w:sz w:val="24"/>
          <w:szCs w:val="24"/>
        </w:rPr>
        <w:t xml:space="preserve"> in short-term studies. Additionally, they observed a slightly greater reduction in triglycerides with LCDs but found no significant differences in lipid profiles and blood pressure between the two diet groups. Overall, both studies suggest the potential benefits of LCDs for improving metabolic health outcomes in individuals with T2DM, albeit with some variations in the magnitude and duration of effects.</w:t>
      </w:r>
    </w:p>
    <w:p w14:paraId="037B94DA" w14:textId="5A4F3F99" w:rsidR="0060772B" w:rsidRPr="005717A1" w:rsidRDefault="0060772B" w:rsidP="00CA1B2F">
      <w:pPr>
        <w:suppressAutoHyphens/>
        <w:autoSpaceDN w:val="0"/>
        <w:spacing w:line="360" w:lineRule="auto"/>
        <w:rPr>
          <w:rFonts w:ascii="Times New Roman" w:eastAsia="DengXian" w:hAnsi="Times New Roman" w:cs="Times New Roman"/>
          <w:sz w:val="24"/>
          <w:szCs w:val="24"/>
        </w:rPr>
      </w:pPr>
      <w:r w:rsidRPr="005717A1">
        <w:rPr>
          <w:rFonts w:ascii="Times New Roman" w:eastAsia="DengXian" w:hAnsi="Times New Roman" w:cs="Times New Roman"/>
          <w:sz w:val="24"/>
          <w:szCs w:val="24"/>
        </w:rPr>
        <w:t xml:space="preserve">Silverii et al. (2020) and Meng et al. (2017) both conducted meta-analyses examining the efficacy of LCDs in managing T2DM, yet they approached the analysis with some differences in methodology and emphasis. Both studies included RCTs but varied in the number of trials and participants included. Silverii et al. analysed 37 trials with a total of 3301 patients, whilst Meng et al. focused on 9 studies involving 734 participants. Silverii et al. classified diets based on carbohydrate content, distinguishing between balanced, mild and very low carbohydrate diets, whereas Meng et al. compared LCD efficacy with normal or high carbohydrate diets. Both studies examined outcomes such as HbA1c levels, weight loss and lipid profiles. Both studies found significant reductions in HbA1c levels with LCDs compared to controls, suggesting the potential effectiveness of LCDs in improving glycaemic </w:t>
      </w:r>
      <w:r w:rsidRPr="005717A1">
        <w:rPr>
          <w:rFonts w:ascii="Times New Roman" w:eastAsia="DengXian" w:hAnsi="Times New Roman" w:cs="Times New Roman"/>
          <w:sz w:val="24"/>
          <w:szCs w:val="24"/>
        </w:rPr>
        <w:lastRenderedPageBreak/>
        <w:t>control in T2DM patients. However, Silverii et al. noted that the effect was more pronounced in the short term (3 to 6 months)</w:t>
      </w:r>
      <w:r w:rsidRPr="005717A1">
        <w:rPr>
          <w:rFonts w:ascii="Times New Roman" w:eastAsia="Times New Roman" w:hAnsi="Times New Roman" w:cs="Times New Roman"/>
          <w:sz w:val="24"/>
          <w:szCs w:val="24"/>
        </w:rPr>
        <w:t xml:space="preserve"> HbA1c at 3 months </w:t>
      </w:r>
      <w:r w:rsidRPr="005717A1">
        <w:rPr>
          <w:rFonts w:ascii="Times New Roman" w:eastAsia="DengXian" w:hAnsi="Times New Roman" w:cs="Times New Roman"/>
          <w:sz w:val="24"/>
          <w:szCs w:val="24"/>
        </w:rPr>
        <w:t xml:space="preserve">(MD -0.43, 95% CI -0.60, -0.26, I2 0%), HbA1c of </w:t>
      </w:r>
      <w:r w:rsidRPr="005717A1">
        <w:rPr>
          <w:rFonts w:ascii="Times New Roman" w:eastAsia="Times New Roman" w:hAnsi="Times New Roman" w:cs="Times New Roman"/>
          <w:sz w:val="24"/>
          <w:szCs w:val="24"/>
        </w:rPr>
        <w:t xml:space="preserve"> </w:t>
      </w:r>
      <w:r w:rsidRPr="005717A1">
        <w:rPr>
          <w:rFonts w:ascii="Times New Roman" w:eastAsia="DengXian" w:hAnsi="Times New Roman" w:cs="Times New Roman"/>
          <w:sz w:val="24"/>
          <w:szCs w:val="24"/>
        </w:rPr>
        <w:t>(MD -0.40, 95% CI -0.59, -0.22, I2 0%) and reduced BMI at 6 months which diminished over longer durations (12 to 24 months)</w:t>
      </w:r>
      <w:r w:rsidR="004A0979">
        <w:rPr>
          <w:rFonts w:ascii="Times New Roman" w:eastAsia="DengXian" w:hAnsi="Times New Roman" w:cs="Times New Roman"/>
          <w:sz w:val="24"/>
          <w:szCs w:val="24"/>
        </w:rPr>
        <w:t xml:space="preserve"> </w:t>
      </w:r>
      <w:r w:rsidR="001D1EE9">
        <w:rPr>
          <w:rFonts w:ascii="Times New Roman" w:eastAsia="DengXian" w:hAnsi="Times New Roman" w:cs="Times New Roman"/>
          <w:sz w:val="24"/>
          <w:szCs w:val="24"/>
        </w:rPr>
        <w:t>p</w:t>
      </w:r>
      <w:r w:rsidR="001D1EE9" w:rsidRPr="001D1EE9">
        <w:rPr>
          <w:rFonts w:ascii="Times New Roman" w:eastAsia="DengXian" w:hAnsi="Times New Roman" w:cs="Times New Roman"/>
          <w:sz w:val="24"/>
          <w:szCs w:val="24"/>
        </w:rPr>
        <w:t>ossible diet noncompliance</w:t>
      </w:r>
      <w:r w:rsidRPr="005717A1">
        <w:rPr>
          <w:rFonts w:ascii="Times New Roman" w:eastAsia="DengXian" w:hAnsi="Times New Roman" w:cs="Times New Roman"/>
          <w:sz w:val="24"/>
          <w:szCs w:val="24"/>
        </w:rPr>
        <w:t>, while Meng et al. emphasized the consistent improvement in HbA1c levels (p=0.00) across different follow-up durations (3 to 24 months) and short term weight loss. Additionally, both studies reported improvements in lipid profiles, with reductions in triglyceride levels and increases in HDL cholesterol associated with LCDs. However, Silverii et al. expressed concerns about the impact of increased fat intake on cardiovascular health, highlighting the need for further investigation. Overall, both studies support the potential benefits of LCDs in managing T2DM, they also underscore the importance of considering the duration of intervention and potential risks associated with dietary changes.</w:t>
      </w:r>
    </w:p>
    <w:p w14:paraId="233AE5CE" w14:textId="3FDE11DF" w:rsidR="00991265" w:rsidRDefault="0060772B" w:rsidP="00AD5DAD">
      <w:pPr>
        <w:suppressAutoHyphens/>
        <w:autoSpaceDN w:val="0"/>
        <w:spacing w:line="360" w:lineRule="auto"/>
        <w:rPr>
          <w:rFonts w:ascii="Times New Roman" w:eastAsia="DengXian" w:hAnsi="Times New Roman" w:cs="Times New Roman"/>
          <w:sz w:val="24"/>
          <w:szCs w:val="24"/>
        </w:rPr>
      </w:pPr>
      <w:r w:rsidRPr="005717A1">
        <w:rPr>
          <w:rFonts w:ascii="Times New Roman" w:eastAsia="DengXian" w:hAnsi="Times New Roman" w:cs="Times New Roman"/>
          <w:sz w:val="24"/>
          <w:szCs w:val="24"/>
        </w:rPr>
        <w:t xml:space="preserve">Lastly, Huntriss et al. (2017) conducted a systematic review and meta-analysis on low-carbohydrate regimens in T2DM management, encompassing 18 studies and 2204 participants. Results showed that most studies, particularly at 3 months, indicated improvements favouring </w:t>
      </w:r>
      <w:r w:rsidR="00B5277A" w:rsidRPr="005717A1">
        <w:rPr>
          <w:rFonts w:ascii="Times New Roman" w:eastAsia="DengXian" w:hAnsi="Times New Roman" w:cs="Times New Roman"/>
          <w:sz w:val="24"/>
          <w:szCs w:val="24"/>
        </w:rPr>
        <w:t>LCD</w:t>
      </w:r>
      <w:r w:rsidRPr="005717A1">
        <w:rPr>
          <w:rFonts w:ascii="Times New Roman" w:eastAsia="DengXian" w:hAnsi="Times New Roman" w:cs="Times New Roman"/>
          <w:sz w:val="24"/>
          <w:szCs w:val="24"/>
        </w:rPr>
        <w:t xml:space="preserve">, with significant reductions in HbA1c levels. Similar trends were observed at 6 months and 1 year. Approximately, 70.6% of studies favoured </w:t>
      </w:r>
      <w:r w:rsidR="00A40CC8" w:rsidRPr="005717A1">
        <w:rPr>
          <w:rFonts w:ascii="Times New Roman" w:eastAsia="DengXian" w:hAnsi="Times New Roman" w:cs="Times New Roman"/>
          <w:sz w:val="24"/>
          <w:szCs w:val="24"/>
        </w:rPr>
        <w:t>LCD</w:t>
      </w:r>
      <w:r w:rsidRPr="005717A1">
        <w:rPr>
          <w:rFonts w:ascii="Times New Roman" w:eastAsia="DengXian" w:hAnsi="Times New Roman" w:cs="Times New Roman"/>
          <w:sz w:val="24"/>
          <w:szCs w:val="24"/>
        </w:rPr>
        <w:t xml:space="preserve">, demonstrating significant improvements in HbA1c levels. Moreover, </w:t>
      </w:r>
      <w:r w:rsidR="00DB452F" w:rsidRPr="005717A1">
        <w:rPr>
          <w:rFonts w:ascii="Times New Roman" w:eastAsia="DengXian" w:hAnsi="Times New Roman" w:cs="Times New Roman"/>
          <w:sz w:val="24"/>
          <w:szCs w:val="24"/>
        </w:rPr>
        <w:t>LCD</w:t>
      </w:r>
      <w:r w:rsidRPr="005717A1">
        <w:rPr>
          <w:rFonts w:ascii="Times New Roman" w:eastAsia="DengXian" w:hAnsi="Times New Roman" w:cs="Times New Roman"/>
          <w:sz w:val="24"/>
          <w:szCs w:val="24"/>
        </w:rPr>
        <w:t xml:space="preserve"> improved triglyceride and HDL cholesterol levels,</w:t>
      </w:r>
      <w:r w:rsidR="004D626A" w:rsidRPr="005717A1">
        <w:rPr>
          <w:rFonts w:ascii="Times New Roman" w:eastAsia="DengXian" w:hAnsi="Times New Roman" w:cs="Times New Roman"/>
          <w:sz w:val="24"/>
          <w:szCs w:val="24"/>
        </w:rPr>
        <w:t xml:space="preserve"> </w:t>
      </w:r>
      <w:r w:rsidR="000837DF" w:rsidRPr="005717A1">
        <w:rPr>
          <w:rFonts w:ascii="Times New Roman" w:eastAsia="DengXian" w:hAnsi="Times New Roman" w:cs="Times New Roman"/>
          <w:sz w:val="24"/>
          <w:szCs w:val="24"/>
        </w:rPr>
        <w:t>similar</w:t>
      </w:r>
      <w:r w:rsidR="004D626A" w:rsidRPr="005717A1">
        <w:rPr>
          <w:rFonts w:ascii="Times New Roman" w:eastAsia="DengXian" w:hAnsi="Times New Roman" w:cs="Times New Roman"/>
          <w:sz w:val="24"/>
          <w:szCs w:val="24"/>
        </w:rPr>
        <w:t xml:space="preserve"> to </w:t>
      </w:r>
      <w:r w:rsidR="004D626A" w:rsidRPr="005717A1">
        <w:rPr>
          <w:rFonts w:ascii="Times New Roman" w:hAnsi="Times New Roman" w:cs="Times New Roman"/>
          <w:color w:val="000000" w:themeColor="text1"/>
          <w:sz w:val="24"/>
          <w:szCs w:val="24"/>
        </w:rPr>
        <w:t>Milenkovic et al</w:t>
      </w:r>
      <w:r w:rsidR="000C468A">
        <w:rPr>
          <w:rFonts w:ascii="Times New Roman" w:hAnsi="Times New Roman" w:cs="Times New Roman"/>
          <w:color w:val="000000" w:themeColor="text1"/>
          <w:sz w:val="24"/>
          <w:szCs w:val="24"/>
        </w:rPr>
        <w:t xml:space="preserve">. </w:t>
      </w:r>
      <w:r w:rsidR="000837DF" w:rsidRPr="005717A1">
        <w:rPr>
          <w:rFonts w:ascii="Times New Roman" w:hAnsi="Times New Roman" w:cs="Times New Roman"/>
          <w:color w:val="000000" w:themeColor="text1"/>
          <w:sz w:val="24"/>
          <w:szCs w:val="24"/>
        </w:rPr>
        <w:t>result</w:t>
      </w:r>
      <w:r w:rsidRPr="005717A1">
        <w:rPr>
          <w:rFonts w:ascii="Times New Roman" w:eastAsia="DengXian" w:hAnsi="Times New Roman" w:cs="Times New Roman"/>
          <w:sz w:val="24"/>
          <w:szCs w:val="24"/>
        </w:rPr>
        <w:t xml:space="preserve"> suggesting improved </w:t>
      </w:r>
      <w:r w:rsidR="00B20CBB" w:rsidRPr="00645FD3">
        <w:rPr>
          <w:rFonts w:ascii="Times New Roman" w:eastAsia="DengXian" w:hAnsi="Times New Roman" w:cs="Times New Roman"/>
          <w:sz w:val="24"/>
          <w:szCs w:val="24"/>
        </w:rPr>
        <w:t>SPB</w:t>
      </w:r>
      <w:r w:rsidRPr="005717A1">
        <w:rPr>
          <w:rFonts w:ascii="Times New Roman" w:eastAsia="DengXian" w:hAnsi="Times New Roman" w:cs="Times New Roman"/>
          <w:sz w:val="24"/>
          <w:szCs w:val="24"/>
        </w:rPr>
        <w:t xml:space="preserve"> outcomes at 1 year. Challenges with dietary adherence were noted but achieving a LCD (&lt;130 g/day) appeared feasible. Notably, low-carb interventions reduced diabetes medication </w:t>
      </w:r>
      <w:r w:rsidR="00A40CC8" w:rsidRPr="005717A1">
        <w:rPr>
          <w:rFonts w:ascii="Times New Roman" w:eastAsia="DengXian" w:hAnsi="Times New Roman" w:cs="Times New Roman"/>
          <w:sz w:val="24"/>
          <w:szCs w:val="24"/>
        </w:rPr>
        <w:t>dependency</w:t>
      </w:r>
      <w:r w:rsidRPr="005717A1">
        <w:rPr>
          <w:rFonts w:ascii="Times New Roman" w:eastAsia="DengXian" w:hAnsi="Times New Roman" w:cs="Times New Roman"/>
          <w:sz w:val="24"/>
          <w:szCs w:val="24"/>
        </w:rPr>
        <w:t xml:space="preserve"> and initially outperformed control diets in weight loss. However, this advantage diminished over time and no significant differences were observed in total cholesterol, LDL cholesterol or </w:t>
      </w:r>
      <w:r w:rsidR="00B20CBB">
        <w:rPr>
          <w:rFonts w:ascii="Times New Roman" w:eastAsia="DengXian" w:hAnsi="Times New Roman" w:cs="Times New Roman"/>
          <w:sz w:val="24"/>
          <w:szCs w:val="24"/>
        </w:rPr>
        <w:t>DBP</w:t>
      </w:r>
      <w:r w:rsidRPr="005717A1">
        <w:rPr>
          <w:rFonts w:ascii="Times New Roman" w:eastAsia="DengXian" w:hAnsi="Times New Roman" w:cs="Times New Roman"/>
          <w:sz w:val="24"/>
          <w:szCs w:val="24"/>
        </w:rPr>
        <w:t xml:space="preserve"> between groups. Overall, the study highlights the potential benefits of </w:t>
      </w:r>
      <w:r w:rsidR="00C65D54" w:rsidRPr="005717A1">
        <w:rPr>
          <w:rFonts w:ascii="Times New Roman" w:eastAsia="DengXian" w:hAnsi="Times New Roman" w:cs="Times New Roman"/>
          <w:sz w:val="24"/>
          <w:szCs w:val="24"/>
        </w:rPr>
        <w:t>LCD</w:t>
      </w:r>
      <w:r w:rsidRPr="005717A1">
        <w:rPr>
          <w:rFonts w:ascii="Times New Roman" w:eastAsia="DengXian" w:hAnsi="Times New Roman" w:cs="Times New Roman"/>
          <w:sz w:val="24"/>
          <w:szCs w:val="24"/>
        </w:rPr>
        <w:t xml:space="preserve"> for improving HbA1c levels and cardiovascular r</w:t>
      </w:r>
      <w:r w:rsidR="00AD5DAD">
        <w:rPr>
          <w:rFonts w:ascii="Times New Roman" w:eastAsia="DengXian" w:hAnsi="Times New Roman" w:cs="Times New Roman"/>
          <w:sz w:val="24"/>
          <w:szCs w:val="24"/>
        </w:rPr>
        <w:t>isk factors in T2DM management.</w:t>
      </w:r>
    </w:p>
    <w:p w14:paraId="284B1265" w14:textId="77777777" w:rsidR="00991265" w:rsidRDefault="00991265">
      <w:pPr>
        <w:rPr>
          <w:rFonts w:ascii="Times New Roman" w:eastAsia="DengXian" w:hAnsi="Times New Roman" w:cs="Times New Roman"/>
          <w:sz w:val="24"/>
          <w:szCs w:val="24"/>
        </w:rPr>
      </w:pPr>
      <w:r>
        <w:rPr>
          <w:rFonts w:ascii="Times New Roman" w:eastAsia="DengXian" w:hAnsi="Times New Roman" w:cs="Times New Roman"/>
          <w:sz w:val="24"/>
          <w:szCs w:val="24"/>
        </w:rPr>
        <w:br w:type="page"/>
      </w:r>
    </w:p>
    <w:p w14:paraId="17F9054A" w14:textId="42CC7098" w:rsidR="0060772B" w:rsidRDefault="004A0979" w:rsidP="00991265">
      <w:pPr>
        <w:pStyle w:val="Heading2"/>
        <w:numPr>
          <w:ilvl w:val="1"/>
          <w:numId w:val="1"/>
        </w:numPr>
        <w:rPr>
          <w:b/>
        </w:rPr>
      </w:pPr>
      <w:r>
        <w:rPr>
          <w:b/>
        </w:rPr>
        <w:lastRenderedPageBreak/>
        <w:t xml:space="preserve"> </w:t>
      </w:r>
      <w:bookmarkStart w:id="12" w:name="_Toc164363461"/>
      <w:r w:rsidR="0060772B" w:rsidRPr="00AD5DAD">
        <w:rPr>
          <w:b/>
        </w:rPr>
        <w:t xml:space="preserve">Vegetarian/ </w:t>
      </w:r>
      <w:r w:rsidR="00830941" w:rsidRPr="00AD5DAD">
        <w:rPr>
          <w:b/>
        </w:rPr>
        <w:t>V</w:t>
      </w:r>
      <w:r w:rsidR="0060772B" w:rsidRPr="00AD5DAD">
        <w:rPr>
          <w:b/>
        </w:rPr>
        <w:t>egan diet</w:t>
      </w:r>
      <w:bookmarkEnd w:id="12"/>
    </w:p>
    <w:p w14:paraId="79D7A2B9" w14:textId="77777777" w:rsidR="00991265" w:rsidRPr="00991265" w:rsidRDefault="00991265" w:rsidP="00991265">
      <w:pPr>
        <w:pStyle w:val="ListParagraph"/>
        <w:ind w:left="1155"/>
      </w:pPr>
    </w:p>
    <w:p w14:paraId="474CB4FC" w14:textId="76CD8A5B" w:rsidR="0060772B" w:rsidRPr="005717A1" w:rsidRDefault="0060772B" w:rsidP="00E84CF8">
      <w:pPr>
        <w:autoSpaceDN w:val="0"/>
        <w:spacing w:line="360" w:lineRule="auto"/>
        <w:rPr>
          <w:rFonts w:ascii="Times New Roman" w:eastAsia="Times New Roman" w:hAnsi="Times New Roman" w:cs="Times New Roman"/>
          <w:color w:val="000000" w:themeColor="text1"/>
          <w:sz w:val="24"/>
          <w:szCs w:val="24"/>
          <w:highlight w:val="yellow"/>
        </w:rPr>
      </w:pPr>
      <w:r w:rsidRPr="005717A1">
        <w:rPr>
          <w:rFonts w:ascii="Times New Roman" w:eastAsia="DengXian" w:hAnsi="Times New Roman" w:cs="Times New Roman"/>
          <w:color w:val="000000" w:themeColor="text1"/>
          <w:sz w:val="24"/>
          <w:szCs w:val="24"/>
        </w:rPr>
        <w:t xml:space="preserve">According to </w:t>
      </w:r>
      <w:r w:rsidRPr="005717A1">
        <w:rPr>
          <w:rFonts w:ascii="Times New Roman" w:eastAsia="Times New Roman" w:hAnsi="Times New Roman" w:cs="Times New Roman"/>
          <w:color w:val="000000" w:themeColor="text1"/>
          <w:sz w:val="24"/>
          <w:szCs w:val="24"/>
        </w:rPr>
        <w:t>Hargreaves et al. (2021)</w:t>
      </w:r>
      <w:r w:rsidR="00FB75AB">
        <w:rPr>
          <w:rFonts w:ascii="Times New Roman" w:eastAsia="Times New Roman" w:hAnsi="Times New Roman" w:cs="Times New Roman"/>
          <w:color w:val="000000" w:themeColor="text1"/>
          <w:sz w:val="24"/>
          <w:szCs w:val="24"/>
        </w:rPr>
        <w:t>,</w:t>
      </w:r>
      <w:r w:rsidRPr="005717A1">
        <w:rPr>
          <w:rFonts w:ascii="Times New Roman" w:eastAsia="Times New Roman" w:hAnsi="Times New Roman" w:cs="Times New Roman"/>
          <w:color w:val="000000" w:themeColor="text1"/>
          <w:sz w:val="24"/>
          <w:szCs w:val="24"/>
        </w:rPr>
        <w:t xml:space="preserve"> </w:t>
      </w:r>
      <w:r w:rsidRPr="005717A1">
        <w:rPr>
          <w:rFonts w:ascii="Times New Roman" w:eastAsia="DengXian" w:hAnsi="Times New Roman" w:cs="Times New Roman"/>
          <w:color w:val="000000" w:themeColor="text1"/>
          <w:sz w:val="24"/>
          <w:szCs w:val="24"/>
        </w:rPr>
        <w:t>vegetarianism has deep roots, dating back to ancient Egyptian civilizations in 3200 BC, driven by beliefs in reincarnation. Over time, its expansion has been intertwined with religions advocating pacifism for animals, such as Hinduism and Buddhism. In modern times, scientific research has highlighted health benefits, fuelling its global popularity. Vegetarianism spans various diets, ranging from complete meat exclusion to less restrictive patterns, accommodating diverse preferences</w:t>
      </w:r>
      <w:r w:rsidR="00F903E6">
        <w:rPr>
          <w:rFonts w:ascii="Times New Roman" w:eastAsia="DengXian" w:hAnsi="Times New Roman" w:cs="Times New Roman"/>
          <w:color w:val="000000" w:themeColor="text1"/>
          <w:sz w:val="24"/>
          <w:szCs w:val="24"/>
        </w:rPr>
        <w:t xml:space="preserve"> (</w:t>
      </w:r>
      <w:r w:rsidR="004937BD">
        <w:rPr>
          <w:rFonts w:ascii="Times New Roman" w:eastAsia="DengXian" w:hAnsi="Times New Roman" w:cs="Times New Roman"/>
          <w:color w:val="000000" w:themeColor="text1"/>
          <w:sz w:val="24"/>
          <w:szCs w:val="24"/>
        </w:rPr>
        <w:t>See Table 4 below)</w:t>
      </w:r>
      <w:r w:rsidRPr="005717A1">
        <w:rPr>
          <w:rFonts w:ascii="Times New Roman" w:eastAsia="DengXian" w:hAnsi="Times New Roman" w:cs="Times New Roman"/>
          <w:color w:val="000000" w:themeColor="text1"/>
          <w:sz w:val="24"/>
          <w:szCs w:val="24"/>
        </w:rPr>
        <w:t xml:space="preserve">. In the realm of vegetarianism, there are various dietary choices. </w:t>
      </w:r>
      <w:r w:rsidRPr="005717A1">
        <w:rPr>
          <w:rFonts w:ascii="Times New Roman" w:eastAsia="Times New Roman" w:hAnsi="Times New Roman" w:cs="Times New Roman"/>
          <w:color w:val="000000" w:themeColor="text1"/>
          <w:sz w:val="24"/>
          <w:szCs w:val="24"/>
        </w:rPr>
        <w:t>Segovia-Siapco and Sabat</w:t>
      </w:r>
      <w:r w:rsidR="00BB6977" w:rsidRPr="005717A1">
        <w:rPr>
          <w:rFonts w:ascii="Times New Roman" w:eastAsia="Times New Roman" w:hAnsi="Times New Roman" w:cs="Times New Roman"/>
          <w:color w:val="000000" w:themeColor="text1"/>
          <w:sz w:val="24"/>
          <w:szCs w:val="24"/>
        </w:rPr>
        <w:t>e</w:t>
      </w:r>
      <w:r w:rsidRPr="005717A1">
        <w:rPr>
          <w:rFonts w:ascii="Times New Roman" w:eastAsia="Times New Roman" w:hAnsi="Times New Roman" w:cs="Times New Roman"/>
          <w:color w:val="000000" w:themeColor="text1"/>
          <w:sz w:val="24"/>
          <w:szCs w:val="24"/>
        </w:rPr>
        <w:t>, (2018)</w:t>
      </w:r>
      <w:r w:rsidRPr="005717A1">
        <w:rPr>
          <w:rFonts w:ascii="Times New Roman" w:eastAsia="DengXian" w:hAnsi="Times New Roman" w:cs="Times New Roman"/>
          <w:color w:val="000000" w:themeColor="text1"/>
          <w:sz w:val="24"/>
          <w:szCs w:val="24"/>
        </w:rPr>
        <w:t xml:space="preserve"> stated </w:t>
      </w:r>
      <w:r w:rsidRPr="005717A1">
        <w:rPr>
          <w:rFonts w:ascii="Times New Roman" w:eastAsia="Times New Roman" w:hAnsi="Times New Roman" w:cs="Times New Roman"/>
          <w:color w:val="000000" w:themeColor="text1"/>
          <w:sz w:val="24"/>
          <w:szCs w:val="24"/>
        </w:rPr>
        <w:t xml:space="preserve">a vegetarian diet comes in various forms, primarily centred around plant-based foods. While there isn't a single blueprint, vegetarians differ in their avoidance of animal products. Some adhere strictly to plants, like in vegan diets, while others incorporate limited amounts of animal-derived foods into their dietary regimen. </w:t>
      </w:r>
    </w:p>
    <w:p w14:paraId="3F806764" w14:textId="4488F627" w:rsidR="00971C47" w:rsidRPr="00971C47" w:rsidRDefault="00900100" w:rsidP="00971C47">
      <w:pPr>
        <w:pStyle w:val="Caption"/>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Table </w:t>
      </w:r>
      <w:r w:rsidR="00124A9A" w:rsidRPr="00FC6AB1">
        <w:rPr>
          <w:rFonts w:ascii="Times New Roman" w:hAnsi="Times New Roman" w:cs="Times New Roman"/>
          <w:color w:val="000000" w:themeColor="text1"/>
          <w:sz w:val="24"/>
          <w:szCs w:val="24"/>
        </w:rPr>
        <w:t>4</w:t>
      </w:r>
      <w:r w:rsidR="00D72918" w:rsidRPr="00FC6AB1">
        <w:rPr>
          <w:rFonts w:ascii="Times New Roman" w:hAnsi="Times New Roman" w:cs="Times New Roman"/>
          <w:color w:val="000000" w:themeColor="text1"/>
          <w:sz w:val="24"/>
          <w:szCs w:val="24"/>
        </w:rPr>
        <w:t xml:space="preserve">: Depicting the various vegetarian diets </w:t>
      </w:r>
      <w:r w:rsidR="001A1BF5" w:rsidRPr="00FC6AB1">
        <w:rPr>
          <w:rFonts w:ascii="Times New Roman" w:hAnsi="Times New Roman" w:cs="Times New Roman"/>
          <w:color w:val="000000" w:themeColor="text1"/>
          <w:sz w:val="24"/>
          <w:szCs w:val="24"/>
        </w:rPr>
        <w:t>(Baik and Bird, 2022</w:t>
      </w:r>
      <w:r w:rsidR="00D72918" w:rsidRPr="00FC6AB1">
        <w:rPr>
          <w:rFonts w:ascii="Times New Roman" w:hAnsi="Times New Roman" w:cs="Times New Roman"/>
          <w:color w:val="000000" w:themeColor="text1"/>
          <w:sz w:val="24"/>
          <w:szCs w:val="24"/>
        </w:rPr>
        <w:t>; Derbyshire, 2017;Wang et al., 2023).</w:t>
      </w:r>
    </w:p>
    <w:p w14:paraId="137D0694" w14:textId="48ADE5D2" w:rsidR="00971C47" w:rsidRDefault="00971C47" w:rsidP="00971C47">
      <w:r w:rsidRPr="00971C47">
        <w:rPr>
          <w:rFonts w:ascii="Times New Roman" w:eastAsia="DengXian" w:hAnsi="Times New Roman" w:cs="Times New Roman"/>
          <w:noProof/>
          <w:color w:val="000000" w:themeColor="text1"/>
          <w:sz w:val="24"/>
          <w:szCs w:val="24"/>
          <w:lang w:eastAsia="en-GB"/>
        </w:rPr>
        <w:drawing>
          <wp:inline distT="0" distB="0" distL="0" distR="0" wp14:anchorId="52568FF1" wp14:editId="5DDCE48B">
            <wp:extent cx="5727700" cy="3200400"/>
            <wp:effectExtent l="0" t="0" r="6350" b="0"/>
            <wp:docPr id="349127963" name="Picture 4" descr="A list of food ite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127963" name="Picture 4" descr="A list of food items&#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7700" cy="3200400"/>
                    </a:xfrm>
                    <a:prstGeom prst="rect">
                      <a:avLst/>
                    </a:prstGeom>
                    <a:noFill/>
                    <a:ln>
                      <a:noFill/>
                    </a:ln>
                  </pic:spPr>
                </pic:pic>
              </a:graphicData>
            </a:graphic>
          </wp:inline>
        </w:drawing>
      </w:r>
    </w:p>
    <w:p w14:paraId="37835D6C" w14:textId="77777777" w:rsidR="00971C47" w:rsidRPr="00971C47" w:rsidRDefault="00971C47" w:rsidP="00971C47"/>
    <w:p w14:paraId="64C7FDDD" w14:textId="4EF047D1" w:rsidR="0060772B" w:rsidRPr="005717A1" w:rsidRDefault="0060772B" w:rsidP="00E84CF8">
      <w:pPr>
        <w:autoSpaceDN w:val="0"/>
        <w:spacing w:line="360" w:lineRule="auto"/>
        <w:rPr>
          <w:rFonts w:ascii="Times New Roman" w:eastAsia="DengXian" w:hAnsi="Times New Roman" w:cs="Times New Roman"/>
          <w:color w:val="000000" w:themeColor="text1"/>
          <w:sz w:val="24"/>
          <w:szCs w:val="24"/>
        </w:rPr>
      </w:pPr>
      <w:r w:rsidRPr="005717A1">
        <w:rPr>
          <w:rFonts w:ascii="Times New Roman" w:eastAsia="DengXian" w:hAnsi="Times New Roman" w:cs="Times New Roman"/>
          <w:color w:val="000000" w:themeColor="text1"/>
          <w:sz w:val="24"/>
          <w:szCs w:val="24"/>
        </w:rPr>
        <w:t>Additionally, subclassifications include raw vegan, frugal and macrobiotic diets, each with unique characteristics and emphasis on natural, plant-based foods such as algae, soybeans and whole grains. Furthermore,</w:t>
      </w:r>
      <w:r w:rsidR="004A0979">
        <w:rPr>
          <w:rFonts w:ascii="Times New Roman" w:eastAsia="DengXian" w:hAnsi="Times New Roman" w:cs="Times New Roman"/>
          <w:color w:val="000000" w:themeColor="text1"/>
          <w:sz w:val="24"/>
          <w:szCs w:val="24"/>
        </w:rPr>
        <w:t xml:space="preserve"> plant-based diets (</w:t>
      </w:r>
      <w:r w:rsidRPr="004A0979">
        <w:rPr>
          <w:rFonts w:ascii="Times New Roman" w:eastAsia="DengXian" w:hAnsi="Times New Roman" w:cs="Times New Roman"/>
          <w:color w:val="000000" w:themeColor="text1"/>
          <w:sz w:val="24"/>
          <w:szCs w:val="24"/>
        </w:rPr>
        <w:t>PBD</w:t>
      </w:r>
      <w:r w:rsidR="004A0979" w:rsidRPr="004A0979">
        <w:rPr>
          <w:rFonts w:ascii="Times New Roman" w:eastAsia="DengXian" w:hAnsi="Times New Roman" w:cs="Times New Roman"/>
          <w:color w:val="000000" w:themeColor="text1"/>
          <w:sz w:val="24"/>
          <w:szCs w:val="24"/>
        </w:rPr>
        <w:t>)</w:t>
      </w:r>
      <w:r w:rsidRPr="005717A1">
        <w:rPr>
          <w:rFonts w:ascii="Times New Roman" w:eastAsia="DengXian" w:hAnsi="Times New Roman" w:cs="Times New Roman"/>
          <w:color w:val="000000" w:themeColor="text1"/>
          <w:sz w:val="24"/>
          <w:szCs w:val="24"/>
        </w:rPr>
        <w:t xml:space="preserve"> offer numerous health advantages, with vegetarian diets notably linked to lower risks of various health </w:t>
      </w:r>
      <w:r w:rsidR="00550A64" w:rsidRPr="005717A1">
        <w:rPr>
          <w:rFonts w:ascii="Times New Roman" w:eastAsia="DengXian" w:hAnsi="Times New Roman" w:cs="Times New Roman"/>
          <w:color w:val="000000" w:themeColor="text1"/>
          <w:sz w:val="24"/>
          <w:szCs w:val="24"/>
        </w:rPr>
        <w:t>issues</w:t>
      </w:r>
      <w:r w:rsidR="00BB6977" w:rsidRPr="005717A1">
        <w:rPr>
          <w:rFonts w:ascii="Times New Roman" w:eastAsia="Times New Roman" w:hAnsi="Times New Roman" w:cs="Times New Roman"/>
          <w:color w:val="000000" w:themeColor="text1"/>
          <w:sz w:val="24"/>
          <w:szCs w:val="24"/>
        </w:rPr>
        <w:t xml:space="preserve"> (Fres</w:t>
      </w:r>
      <w:r w:rsidR="00FF335A">
        <w:rPr>
          <w:rFonts w:ascii="Times New Roman" w:eastAsia="Times New Roman" w:hAnsi="Times New Roman" w:cs="Times New Roman"/>
          <w:color w:val="000000" w:themeColor="text1"/>
          <w:sz w:val="24"/>
          <w:szCs w:val="24"/>
        </w:rPr>
        <w:t>a</w:t>
      </w:r>
      <w:r w:rsidR="00BB6977" w:rsidRPr="005717A1">
        <w:rPr>
          <w:rFonts w:ascii="Times New Roman" w:eastAsia="Times New Roman" w:hAnsi="Times New Roman" w:cs="Times New Roman"/>
          <w:color w:val="000000" w:themeColor="text1"/>
          <w:sz w:val="24"/>
          <w:szCs w:val="24"/>
        </w:rPr>
        <w:t>n and Sabat</w:t>
      </w:r>
      <w:r w:rsidR="00FF335A">
        <w:rPr>
          <w:rFonts w:ascii="Times New Roman" w:eastAsia="Times New Roman" w:hAnsi="Times New Roman" w:cs="Times New Roman"/>
          <w:color w:val="000000" w:themeColor="text1"/>
          <w:sz w:val="24"/>
          <w:szCs w:val="24"/>
        </w:rPr>
        <w:t>e</w:t>
      </w:r>
      <w:r w:rsidR="00BB6977" w:rsidRPr="005717A1">
        <w:rPr>
          <w:rFonts w:ascii="Times New Roman" w:eastAsia="Times New Roman" w:hAnsi="Times New Roman" w:cs="Times New Roman"/>
          <w:color w:val="000000" w:themeColor="text1"/>
          <w:sz w:val="24"/>
          <w:szCs w:val="24"/>
        </w:rPr>
        <w:t>, 2019)</w:t>
      </w:r>
      <w:r w:rsidR="00550A64" w:rsidRPr="005717A1">
        <w:rPr>
          <w:rFonts w:ascii="Times New Roman" w:eastAsia="DengXian" w:hAnsi="Times New Roman" w:cs="Times New Roman"/>
          <w:color w:val="000000" w:themeColor="text1"/>
          <w:sz w:val="24"/>
          <w:szCs w:val="24"/>
        </w:rPr>
        <w:t>. Vegetarians</w:t>
      </w:r>
      <w:r w:rsidRPr="005717A1">
        <w:rPr>
          <w:rFonts w:ascii="Times New Roman" w:eastAsia="DengXian" w:hAnsi="Times New Roman" w:cs="Times New Roman"/>
          <w:color w:val="000000" w:themeColor="text1"/>
          <w:sz w:val="24"/>
          <w:szCs w:val="24"/>
        </w:rPr>
        <w:t xml:space="preserve"> experience reduced incidence of comorbidities such as T2DM, obesity </w:t>
      </w:r>
      <w:r w:rsidRPr="005717A1">
        <w:rPr>
          <w:rFonts w:ascii="Times New Roman" w:eastAsia="DengXian" w:hAnsi="Times New Roman" w:cs="Times New Roman"/>
          <w:color w:val="000000" w:themeColor="text1"/>
          <w:sz w:val="24"/>
          <w:szCs w:val="24"/>
        </w:rPr>
        <w:lastRenderedPageBreak/>
        <w:t>and coronary heart diseases, leading to longer life expectancy</w:t>
      </w:r>
      <w:r w:rsidRPr="005717A1">
        <w:rPr>
          <w:rFonts w:ascii="Times New Roman" w:eastAsia="Times New Roman" w:hAnsi="Times New Roman" w:cs="Times New Roman"/>
          <w:color w:val="000000" w:themeColor="text1"/>
          <w:sz w:val="24"/>
          <w:szCs w:val="24"/>
        </w:rPr>
        <w:t xml:space="preserve"> (W</w:t>
      </w:r>
      <w:r w:rsidR="00812DB2" w:rsidRPr="005717A1">
        <w:rPr>
          <w:rFonts w:ascii="Times New Roman" w:eastAsia="Times New Roman" w:hAnsi="Times New Roman" w:cs="Times New Roman"/>
          <w:color w:val="000000" w:themeColor="text1"/>
          <w:sz w:val="24"/>
          <w:szCs w:val="24"/>
        </w:rPr>
        <w:t>HO</w:t>
      </w:r>
      <w:r w:rsidRPr="005717A1">
        <w:rPr>
          <w:rFonts w:ascii="Times New Roman" w:eastAsia="Times New Roman" w:hAnsi="Times New Roman" w:cs="Times New Roman"/>
          <w:color w:val="000000" w:themeColor="text1"/>
          <w:sz w:val="24"/>
          <w:szCs w:val="24"/>
        </w:rPr>
        <w:t>, 2021)</w:t>
      </w:r>
      <w:r w:rsidRPr="005717A1">
        <w:rPr>
          <w:rFonts w:ascii="Times New Roman" w:eastAsia="DengXian" w:hAnsi="Times New Roman" w:cs="Times New Roman"/>
          <w:color w:val="000000" w:themeColor="text1"/>
          <w:sz w:val="24"/>
          <w:szCs w:val="24"/>
        </w:rPr>
        <w:t>. Studies conducted</w:t>
      </w:r>
      <w:r w:rsidRPr="005717A1">
        <w:rPr>
          <w:rFonts w:ascii="Times New Roman" w:eastAsia="Times New Roman" w:hAnsi="Times New Roman" w:cs="Times New Roman"/>
          <w:color w:val="000000" w:themeColor="text1"/>
          <w:sz w:val="24"/>
          <w:szCs w:val="24"/>
        </w:rPr>
        <w:t xml:space="preserve"> by Leitzmann, (2014) </w:t>
      </w:r>
      <w:r w:rsidRPr="005717A1">
        <w:rPr>
          <w:rFonts w:ascii="Times New Roman" w:eastAsia="DengXian" w:hAnsi="Times New Roman" w:cs="Times New Roman"/>
          <w:color w:val="000000" w:themeColor="text1"/>
          <w:sz w:val="24"/>
          <w:szCs w:val="24"/>
        </w:rPr>
        <w:t xml:space="preserve">in African, Asian and Mediterranean countries have indicated that populations adhering to traditional diets, primarily plant-based, exhibit lower rates of diet-related </w:t>
      </w:r>
      <w:r w:rsidR="00EB6E78">
        <w:rPr>
          <w:rFonts w:ascii="Times New Roman" w:eastAsia="DengXian" w:hAnsi="Times New Roman" w:cs="Times New Roman"/>
          <w:color w:val="000000" w:themeColor="text1"/>
          <w:sz w:val="24"/>
          <w:szCs w:val="24"/>
        </w:rPr>
        <w:t>non communicable diseases (NCDs)</w:t>
      </w:r>
      <w:r w:rsidRPr="005717A1">
        <w:rPr>
          <w:rFonts w:ascii="Times New Roman" w:eastAsia="DengXian" w:hAnsi="Times New Roman" w:cs="Times New Roman"/>
          <w:color w:val="000000" w:themeColor="text1"/>
          <w:sz w:val="24"/>
          <w:szCs w:val="24"/>
        </w:rPr>
        <w:t xml:space="preserve"> and longer lifespans. This suggests that PBDs offer health benefits beyond just meeting nutrient requirements. The future of vegetarian nutrition appears promising for several reasons due to ethical and spiritual concerns, advocating for humane treatment of animals and organic farming</w:t>
      </w:r>
      <w:r w:rsidRPr="005717A1">
        <w:rPr>
          <w:rFonts w:ascii="Times New Roman" w:eastAsia="Times New Roman" w:hAnsi="Times New Roman" w:cs="Times New Roman"/>
          <w:color w:val="000000" w:themeColor="text1"/>
          <w:sz w:val="24"/>
          <w:szCs w:val="24"/>
        </w:rPr>
        <w:t xml:space="preserve"> (Sabat</w:t>
      </w:r>
      <w:r w:rsidR="00FF335A">
        <w:rPr>
          <w:rFonts w:ascii="Times New Roman" w:eastAsia="Times New Roman" w:hAnsi="Times New Roman" w:cs="Times New Roman"/>
          <w:color w:val="000000" w:themeColor="text1"/>
          <w:sz w:val="24"/>
          <w:szCs w:val="24"/>
        </w:rPr>
        <w:t xml:space="preserve">e </w:t>
      </w:r>
      <w:r w:rsidRPr="005717A1">
        <w:rPr>
          <w:rFonts w:ascii="Times New Roman" w:eastAsia="Times New Roman" w:hAnsi="Times New Roman" w:cs="Times New Roman"/>
          <w:color w:val="000000" w:themeColor="text1"/>
          <w:sz w:val="24"/>
          <w:szCs w:val="24"/>
        </w:rPr>
        <w:t>and Soret, 2014)</w:t>
      </w:r>
      <w:r w:rsidRPr="005717A1">
        <w:rPr>
          <w:rFonts w:ascii="Times New Roman" w:eastAsia="DengXian" w:hAnsi="Times New Roman" w:cs="Times New Roman"/>
          <w:color w:val="000000" w:themeColor="text1"/>
          <w:sz w:val="24"/>
          <w:szCs w:val="24"/>
        </w:rPr>
        <w:t xml:space="preserve">. Environmental, economic and political factors support sustainability and climate preservation </w:t>
      </w:r>
      <w:r w:rsidRPr="005717A1">
        <w:rPr>
          <w:rFonts w:ascii="Times New Roman" w:eastAsia="Times New Roman" w:hAnsi="Times New Roman" w:cs="Times New Roman"/>
          <w:color w:val="000000" w:themeColor="text1"/>
          <w:sz w:val="24"/>
          <w:szCs w:val="24"/>
        </w:rPr>
        <w:t>(WHO, 2021)</w:t>
      </w:r>
      <w:r w:rsidRPr="005717A1">
        <w:rPr>
          <w:rFonts w:ascii="Times New Roman" w:eastAsia="DengXian" w:hAnsi="Times New Roman" w:cs="Times New Roman"/>
          <w:color w:val="000000" w:themeColor="text1"/>
          <w:sz w:val="24"/>
          <w:szCs w:val="24"/>
        </w:rPr>
        <w:t>. Health considerations drive a shift towards vegetarianism to prevent diet-related diseases. Sustainability and peace objectives emphasize mindful living for current and future well-being.</w:t>
      </w:r>
    </w:p>
    <w:p w14:paraId="6762EAB7" w14:textId="6A1BD1DD" w:rsidR="0060772B" w:rsidRDefault="0060772B" w:rsidP="00E84CF8">
      <w:pPr>
        <w:suppressAutoHyphens/>
        <w:autoSpaceDN w:val="0"/>
        <w:spacing w:line="360" w:lineRule="auto"/>
        <w:rPr>
          <w:rFonts w:ascii="Times New Roman" w:eastAsia="DengXian" w:hAnsi="Times New Roman" w:cs="Times New Roman"/>
          <w:color w:val="000000" w:themeColor="text1"/>
          <w:sz w:val="24"/>
          <w:szCs w:val="24"/>
        </w:rPr>
      </w:pPr>
      <w:r w:rsidRPr="005717A1">
        <w:rPr>
          <w:rFonts w:ascii="Times New Roman" w:eastAsia="DengXian" w:hAnsi="Times New Roman" w:cs="Times New Roman"/>
          <w:color w:val="000000" w:themeColor="text1"/>
          <w:sz w:val="24"/>
          <w:szCs w:val="24"/>
        </w:rPr>
        <w:t xml:space="preserve">Bunner et al.'s (2015) study focused on individuals aged 18-65 with T2DM and painful neuropathy in the Washington, DC area. The study employed a 20-week RCT with 35 participants, dividing them into intervention and control groups. The intervention group followed a PBD emphasizing low-fat, </w:t>
      </w:r>
      <w:r w:rsidR="00812DB2" w:rsidRPr="005717A1">
        <w:rPr>
          <w:rFonts w:ascii="Times New Roman" w:eastAsia="DengXian" w:hAnsi="Times New Roman" w:cs="Times New Roman"/>
          <w:color w:val="000000" w:themeColor="text1"/>
          <w:sz w:val="24"/>
          <w:szCs w:val="24"/>
        </w:rPr>
        <w:t>LGI</w:t>
      </w:r>
      <w:r w:rsidRPr="005717A1">
        <w:rPr>
          <w:rFonts w:ascii="Times New Roman" w:eastAsia="DengXian" w:hAnsi="Times New Roman" w:cs="Times New Roman"/>
          <w:color w:val="000000" w:themeColor="text1"/>
          <w:sz w:val="24"/>
          <w:szCs w:val="24"/>
        </w:rPr>
        <w:t xml:space="preserve"> foods, supported by weekly nutrition classes and social support. The vegan diet studied comprised a nutrient-balanced approach, with 10% of energy derived from fats, 15% from proteins and 75% from carbohydrates. In contrast, the ADA control group followed a diet with 15-20% of energy from proteins, minimal saturated fats (&lt;7%), 60-70% from carbohydrates and inclusion of monounsaturated fats. ADA participants adhered to cholesterol intake limits of under 200 mg daily and for those with BMIs &gt;25 kg/m</w:t>
      </w:r>
      <w:r w:rsidRPr="005717A1">
        <w:rPr>
          <w:rFonts w:ascii="Times New Roman" w:eastAsia="DengXian" w:hAnsi="Times New Roman" w:cs="Times New Roman"/>
          <w:color w:val="000000" w:themeColor="text1"/>
          <w:sz w:val="24"/>
          <w:szCs w:val="24"/>
          <w:vertAlign w:val="superscript"/>
        </w:rPr>
        <w:t>2</w:t>
      </w:r>
      <w:r w:rsidRPr="005717A1">
        <w:rPr>
          <w:rFonts w:ascii="Times New Roman" w:eastAsia="DengXian" w:hAnsi="Times New Roman" w:cs="Times New Roman"/>
          <w:color w:val="000000" w:themeColor="text1"/>
          <w:sz w:val="24"/>
          <w:szCs w:val="24"/>
        </w:rPr>
        <w:t>, aimed for a daily calori</w:t>
      </w:r>
      <w:r w:rsidR="00812DB2" w:rsidRPr="005717A1">
        <w:rPr>
          <w:rFonts w:ascii="Times New Roman" w:eastAsia="DengXian" w:hAnsi="Times New Roman" w:cs="Times New Roman"/>
          <w:color w:val="000000" w:themeColor="text1"/>
          <w:sz w:val="24"/>
          <w:szCs w:val="24"/>
        </w:rPr>
        <w:t>c</w:t>
      </w:r>
      <w:r w:rsidRPr="005717A1">
        <w:rPr>
          <w:rFonts w:ascii="Times New Roman" w:eastAsia="DengXian" w:hAnsi="Times New Roman" w:cs="Times New Roman"/>
          <w:color w:val="000000" w:themeColor="text1"/>
          <w:sz w:val="24"/>
          <w:szCs w:val="24"/>
        </w:rPr>
        <w:t xml:space="preserve"> deficit of 500</w:t>
      </w:r>
      <w:r w:rsidR="00550A64" w:rsidRPr="005717A1">
        <w:rPr>
          <w:rFonts w:ascii="Times New Roman" w:eastAsia="DengXian" w:hAnsi="Times New Roman" w:cs="Times New Roman"/>
          <w:color w:val="000000" w:themeColor="text1"/>
          <w:sz w:val="24"/>
          <w:szCs w:val="24"/>
        </w:rPr>
        <w:t xml:space="preserve"> -</w:t>
      </w:r>
      <w:r w:rsidRPr="005717A1">
        <w:rPr>
          <w:rFonts w:ascii="Times New Roman" w:eastAsia="DengXian" w:hAnsi="Times New Roman" w:cs="Times New Roman"/>
          <w:color w:val="000000" w:themeColor="text1"/>
          <w:sz w:val="24"/>
          <w:szCs w:val="24"/>
        </w:rPr>
        <w:t>1000 kcal. Significant improvements, including weight loss (7.0kg) and reduced HbA1c levels (0.8 percentage points), were observed in the intervention group</w:t>
      </w:r>
      <w:r w:rsidR="004A0979">
        <w:rPr>
          <w:rFonts w:ascii="Times New Roman" w:eastAsia="DengXian" w:hAnsi="Times New Roman" w:cs="Times New Roman"/>
          <w:color w:val="000000" w:themeColor="text1"/>
          <w:sz w:val="24"/>
          <w:szCs w:val="24"/>
        </w:rPr>
        <w:t xml:space="preserve"> due to adherence and increased nutritional literacy interventions thus, improving</w:t>
      </w:r>
      <w:r w:rsidRPr="005717A1">
        <w:rPr>
          <w:rFonts w:ascii="Times New Roman" w:eastAsia="DengXian" w:hAnsi="Times New Roman" w:cs="Times New Roman"/>
          <w:color w:val="000000" w:themeColor="text1"/>
          <w:sz w:val="24"/>
          <w:szCs w:val="24"/>
        </w:rPr>
        <w:t xml:space="preserve"> diabetic neuropathy symptoms. In contrast, </w:t>
      </w:r>
      <w:r w:rsidRPr="00EB6E78">
        <w:rPr>
          <w:rFonts w:ascii="Times New Roman" w:eastAsia="DengXian" w:hAnsi="Times New Roman" w:cs="Times New Roman"/>
          <w:color w:val="000000" w:themeColor="text1"/>
          <w:sz w:val="24"/>
          <w:szCs w:val="24"/>
        </w:rPr>
        <w:t>Pollakova et al.</w:t>
      </w:r>
      <w:r w:rsidRPr="005717A1">
        <w:rPr>
          <w:rFonts w:ascii="Times New Roman" w:eastAsia="DengXian" w:hAnsi="Times New Roman" w:cs="Times New Roman"/>
          <w:color w:val="000000" w:themeColor="text1"/>
          <w:sz w:val="24"/>
          <w:szCs w:val="24"/>
        </w:rPr>
        <w:t xml:space="preserve"> (2021) study encompassed a broader population across the United States and Korea, with varying intervention types and durations ranging from 6 </w:t>
      </w:r>
      <w:r w:rsidR="00550A64" w:rsidRPr="005717A1">
        <w:rPr>
          <w:rFonts w:ascii="Times New Roman" w:eastAsia="DengXian" w:hAnsi="Times New Roman" w:cs="Times New Roman"/>
          <w:color w:val="000000" w:themeColor="text1"/>
          <w:sz w:val="24"/>
          <w:szCs w:val="24"/>
        </w:rPr>
        <w:t>-</w:t>
      </w:r>
      <w:r w:rsidRPr="005717A1">
        <w:rPr>
          <w:rFonts w:ascii="Times New Roman" w:eastAsia="DengXian" w:hAnsi="Times New Roman" w:cs="Times New Roman"/>
          <w:color w:val="000000" w:themeColor="text1"/>
          <w:sz w:val="24"/>
          <w:szCs w:val="24"/>
        </w:rPr>
        <w:t>74 weeks and participant numbers from 11 to 99. Despite methodological differences, both studies reported reductions in HbA1c levels post-intervention, indicating the potential benefits of dietary modifications for T2DM management. However, significant differences between intervention and control groups were observed in only two studies, suggesting the need for further research to ascertain the effectiveness of dietary interventions in this context.</w:t>
      </w:r>
    </w:p>
    <w:p w14:paraId="173F242A" w14:textId="45E4E86C" w:rsidR="004937BD" w:rsidRDefault="004937BD" w:rsidP="004937BD">
      <w:pPr>
        <w:suppressAutoHyphens/>
        <w:autoSpaceDN w:val="0"/>
        <w:spacing w:after="0" w:line="360" w:lineRule="auto"/>
        <w:rPr>
          <w:rFonts w:ascii="Times New Roman" w:eastAsia="Times New Roman" w:hAnsi="Times New Roman" w:cs="Times New Roman"/>
          <w:sz w:val="24"/>
          <w:szCs w:val="24"/>
        </w:rPr>
      </w:pPr>
      <w:r w:rsidRPr="00FD760E">
        <w:rPr>
          <w:rFonts w:ascii="Times New Roman" w:eastAsia="Times New Roman" w:hAnsi="Times New Roman" w:cs="Times New Roman"/>
          <w:sz w:val="24"/>
          <w:szCs w:val="24"/>
        </w:rPr>
        <w:t xml:space="preserve">In Kashyap et al. (2022) comparison between vegan and VLCD, findings revealed no significant alterations in body weight, anthropometric measurements or glycaemic control </w:t>
      </w:r>
      <w:r w:rsidRPr="00FD760E">
        <w:rPr>
          <w:rFonts w:ascii="Times New Roman" w:eastAsia="Times New Roman" w:hAnsi="Times New Roman" w:cs="Times New Roman"/>
          <w:sz w:val="24"/>
          <w:szCs w:val="24"/>
        </w:rPr>
        <w:lastRenderedPageBreak/>
        <w:t>when contrasting vegan diets with conventional diabetes diets, as previous study by Snel et al. regarding the potential of VLCD only improve BMI when combined with exercise. However, a noteworthy reduction in LDL cholesterol was observed with the vegan diet, while total or LDL cholesterol levels remained unaffected with significant reduction in HbA1c and fasting glucose. Research underscores the efficacy of adopting a vegan diet which significantly lowered total and LDL cholesterol, thereby mitigating cardiovascular disease risk, possibly attributed to reduced intramyocellular lipid concentration. This holds particular importance given the prevalence of cardiovascular comorbidities in T2DM and its role as a leading cause of premature mortality among</w:t>
      </w:r>
      <w:r w:rsidRPr="00DF225B">
        <w:rPr>
          <w:rFonts w:ascii="Times New Roman" w:eastAsia="Times New Roman" w:hAnsi="Times New Roman" w:cs="Times New Roman"/>
          <w:sz w:val="24"/>
          <w:szCs w:val="24"/>
        </w:rPr>
        <w:t xml:space="preserve">st </w:t>
      </w:r>
      <w:r w:rsidRPr="00FD760E">
        <w:rPr>
          <w:rFonts w:ascii="Times New Roman" w:eastAsia="Times New Roman" w:hAnsi="Times New Roman" w:cs="Times New Roman"/>
          <w:sz w:val="24"/>
          <w:szCs w:val="24"/>
        </w:rPr>
        <w:t>diabetic populations. Whereas, Toumpanakis, et al. (2018)</w:t>
      </w:r>
      <w:r w:rsidRPr="00FD760E">
        <w:rPr>
          <w:rFonts w:ascii="Times New Roman" w:eastAsia="DengXian" w:hAnsi="Times New Roman" w:cs="Times New Roman"/>
          <w:sz w:val="24"/>
          <w:szCs w:val="24"/>
        </w:rPr>
        <w:t xml:space="preserve"> delved into the effectiveness of  PBD for managing T2DM among</w:t>
      </w:r>
      <w:r w:rsidR="000C468A">
        <w:rPr>
          <w:rFonts w:ascii="Times New Roman" w:eastAsia="DengXian" w:hAnsi="Times New Roman" w:cs="Times New Roman"/>
          <w:sz w:val="24"/>
          <w:szCs w:val="24"/>
        </w:rPr>
        <w:t>st</w:t>
      </w:r>
      <w:r w:rsidRPr="00FD760E">
        <w:rPr>
          <w:rFonts w:ascii="Times New Roman" w:eastAsia="DengXian" w:hAnsi="Times New Roman" w:cs="Times New Roman"/>
          <w:sz w:val="24"/>
          <w:szCs w:val="24"/>
        </w:rPr>
        <w:t xml:space="preserve"> adults</w:t>
      </w:r>
      <w:r w:rsidRPr="00DF225B">
        <w:rPr>
          <w:rFonts w:ascii="Times New Roman" w:eastAsia="DengXian" w:hAnsi="Times New Roman" w:cs="Times New Roman"/>
          <w:sz w:val="24"/>
          <w:szCs w:val="24"/>
        </w:rPr>
        <w:t xml:space="preserve"> o</w:t>
      </w:r>
      <w:r w:rsidRPr="00FD760E">
        <w:rPr>
          <w:rFonts w:ascii="Times New Roman" w:eastAsia="DengXian" w:hAnsi="Times New Roman" w:cs="Times New Roman"/>
          <w:sz w:val="24"/>
          <w:szCs w:val="24"/>
        </w:rPr>
        <w:t xml:space="preserve">ver </w:t>
      </w:r>
      <w:r w:rsidRPr="00DF225B">
        <w:rPr>
          <w:rFonts w:ascii="Times New Roman" w:eastAsia="DengXian" w:hAnsi="Times New Roman" w:cs="Times New Roman"/>
          <w:sz w:val="24"/>
          <w:szCs w:val="24"/>
        </w:rPr>
        <w:t xml:space="preserve"> </w:t>
      </w:r>
      <w:r w:rsidRPr="00FD760E">
        <w:rPr>
          <w:rFonts w:ascii="Times New Roman" w:eastAsia="DengXian" w:hAnsi="Times New Roman" w:cs="Times New Roman"/>
          <w:sz w:val="24"/>
          <w:szCs w:val="24"/>
        </w:rPr>
        <w:t>4 weeks</w:t>
      </w:r>
      <w:r w:rsidRPr="00DF225B">
        <w:rPr>
          <w:rFonts w:ascii="Times New Roman" w:eastAsia="DengXian" w:hAnsi="Times New Roman" w:cs="Times New Roman"/>
          <w:sz w:val="24"/>
          <w:szCs w:val="24"/>
        </w:rPr>
        <w:t>. Findings indicated</w:t>
      </w:r>
      <w:r w:rsidRPr="00FD760E">
        <w:rPr>
          <w:rFonts w:ascii="Times New Roman" w:eastAsia="DengXian" w:hAnsi="Times New Roman" w:cs="Times New Roman"/>
          <w:sz w:val="24"/>
          <w:szCs w:val="24"/>
        </w:rPr>
        <w:t xml:space="preserve"> participants following </w:t>
      </w:r>
      <w:r w:rsidRPr="00DF225B">
        <w:rPr>
          <w:rFonts w:ascii="Times New Roman" w:eastAsia="DengXian" w:hAnsi="Times New Roman" w:cs="Times New Roman"/>
          <w:sz w:val="24"/>
          <w:szCs w:val="24"/>
        </w:rPr>
        <w:t xml:space="preserve">a </w:t>
      </w:r>
      <w:r w:rsidRPr="00FD760E">
        <w:rPr>
          <w:rFonts w:ascii="Times New Roman" w:eastAsia="DengXian" w:hAnsi="Times New Roman" w:cs="Times New Roman"/>
          <w:sz w:val="24"/>
          <w:szCs w:val="24"/>
        </w:rPr>
        <w:t xml:space="preserve">PBD illustrated better control of their diabetes compared to those on other diets. </w:t>
      </w:r>
      <w:r w:rsidRPr="00FD760E">
        <w:rPr>
          <w:rFonts w:ascii="Times New Roman" w:eastAsia="Times New Roman" w:hAnsi="Times New Roman" w:cs="Times New Roman"/>
          <w:sz w:val="24"/>
          <w:szCs w:val="24"/>
        </w:rPr>
        <w:t>Further scrutiny showed even more significant decreases amongst participants with unchanged medication and high adherence to the diet, which resulted in greater reductions in HbA1c levels in the intervention group compared to those in the control groups, indicating improved diabetes control</w:t>
      </w:r>
      <w:r w:rsidRPr="00DF225B">
        <w:rPr>
          <w:rFonts w:ascii="Times New Roman" w:eastAsia="Times New Roman" w:hAnsi="Times New Roman" w:cs="Times New Roman"/>
          <w:sz w:val="24"/>
          <w:szCs w:val="24"/>
        </w:rPr>
        <w:t xml:space="preserve"> and </w:t>
      </w:r>
      <w:r w:rsidRPr="00FD760E">
        <w:rPr>
          <w:rFonts w:ascii="Times New Roman" w:eastAsia="Times New Roman" w:hAnsi="Times New Roman" w:cs="Times New Roman"/>
          <w:sz w:val="24"/>
          <w:szCs w:val="24"/>
        </w:rPr>
        <w:t xml:space="preserve">reinforcing the efficacy of </w:t>
      </w:r>
      <w:r w:rsidR="000C468A">
        <w:rPr>
          <w:rFonts w:ascii="Times New Roman" w:eastAsia="Times New Roman" w:hAnsi="Times New Roman" w:cs="Times New Roman"/>
          <w:sz w:val="24"/>
          <w:szCs w:val="24"/>
        </w:rPr>
        <w:t>PBD</w:t>
      </w:r>
      <w:r w:rsidRPr="00FD760E">
        <w:rPr>
          <w:rFonts w:ascii="Times New Roman" w:eastAsia="Times New Roman" w:hAnsi="Times New Roman" w:cs="Times New Roman"/>
          <w:sz w:val="24"/>
          <w:szCs w:val="24"/>
        </w:rPr>
        <w:t>s in managing T2DM.</w:t>
      </w:r>
    </w:p>
    <w:p w14:paraId="0F85B843" w14:textId="77777777" w:rsidR="004937BD" w:rsidRPr="004937BD" w:rsidRDefault="004937BD" w:rsidP="004937BD">
      <w:pPr>
        <w:suppressAutoHyphens/>
        <w:autoSpaceDN w:val="0"/>
        <w:spacing w:after="0" w:line="360" w:lineRule="auto"/>
        <w:rPr>
          <w:rFonts w:ascii="Times New Roman" w:eastAsia="Times New Roman" w:hAnsi="Times New Roman" w:cs="Times New Roman"/>
          <w:sz w:val="24"/>
          <w:szCs w:val="24"/>
        </w:rPr>
      </w:pPr>
    </w:p>
    <w:p w14:paraId="3CC0E101" w14:textId="6E25FF9F" w:rsidR="0060772B" w:rsidRPr="005717A1" w:rsidRDefault="0060772B" w:rsidP="00E84CF8">
      <w:pPr>
        <w:suppressAutoHyphens/>
        <w:autoSpaceDN w:val="0"/>
        <w:spacing w:line="360" w:lineRule="auto"/>
        <w:rPr>
          <w:rFonts w:ascii="Times New Roman" w:eastAsia="DengXian" w:hAnsi="Times New Roman" w:cs="Times New Roman"/>
          <w:color w:val="000000" w:themeColor="text1"/>
          <w:sz w:val="24"/>
          <w:szCs w:val="24"/>
        </w:rPr>
      </w:pPr>
      <w:r w:rsidRPr="005717A1">
        <w:rPr>
          <w:rFonts w:ascii="Times New Roman" w:eastAsia="DengXian" w:hAnsi="Times New Roman" w:cs="Times New Roman"/>
          <w:color w:val="000000" w:themeColor="text1"/>
          <w:sz w:val="24"/>
          <w:szCs w:val="24"/>
        </w:rPr>
        <w:t>Research by Rinaldi et al. (2016) employed a RCT design, where participants were randomly assigned to either a vegetarian or a traditional diabetes diet. Both diets aimed for equal caloric reduction, with the vegetarian diet emphasizing higher carbohydrate intake and limited animal product consumption compared to the control diet. The study duration was 12 weeks, during which participants received meals</w:t>
      </w:r>
      <w:r w:rsidR="004D626A" w:rsidRPr="005717A1">
        <w:rPr>
          <w:rFonts w:ascii="Times New Roman" w:eastAsia="DengXian" w:hAnsi="Times New Roman" w:cs="Times New Roman"/>
          <w:color w:val="000000" w:themeColor="text1"/>
          <w:sz w:val="24"/>
          <w:szCs w:val="24"/>
        </w:rPr>
        <w:t xml:space="preserve">, </w:t>
      </w:r>
      <w:r w:rsidRPr="005717A1">
        <w:rPr>
          <w:rFonts w:ascii="Times New Roman" w:eastAsia="DengXian" w:hAnsi="Times New Roman" w:cs="Times New Roman"/>
          <w:color w:val="000000" w:themeColor="text1"/>
          <w:sz w:val="24"/>
          <w:szCs w:val="24"/>
        </w:rPr>
        <w:t xml:space="preserve">vitamin B12 supplements and weekly educational sessions. The </w:t>
      </w:r>
      <w:r w:rsidR="004A0979">
        <w:rPr>
          <w:rFonts w:ascii="Times New Roman" w:eastAsia="DengXian" w:hAnsi="Times New Roman" w:cs="Times New Roman"/>
          <w:color w:val="000000" w:themeColor="text1"/>
          <w:sz w:val="24"/>
          <w:szCs w:val="24"/>
        </w:rPr>
        <w:t>educational</w:t>
      </w:r>
      <w:r w:rsidRPr="005717A1">
        <w:rPr>
          <w:rFonts w:ascii="Times New Roman" w:eastAsia="DengXian" w:hAnsi="Times New Roman" w:cs="Times New Roman"/>
          <w:color w:val="000000" w:themeColor="text1"/>
          <w:sz w:val="24"/>
          <w:szCs w:val="24"/>
        </w:rPr>
        <w:t xml:space="preserve"> interventions resulted in a substantial decrease in HBA1C levels in the vegetarian group, significant improvements in weight loss, waist circumference and insulin sensitivity. Although between-group differences in H</w:t>
      </w:r>
      <w:r w:rsidR="003E68AB" w:rsidRPr="005717A1">
        <w:rPr>
          <w:rFonts w:ascii="Times New Roman" w:eastAsia="DengXian" w:hAnsi="Times New Roman" w:cs="Times New Roman"/>
          <w:color w:val="000000" w:themeColor="text1"/>
          <w:sz w:val="24"/>
          <w:szCs w:val="24"/>
        </w:rPr>
        <w:t>b</w:t>
      </w:r>
      <w:r w:rsidRPr="005717A1">
        <w:rPr>
          <w:rFonts w:ascii="Times New Roman" w:eastAsia="DengXian" w:hAnsi="Times New Roman" w:cs="Times New Roman"/>
          <w:color w:val="000000" w:themeColor="text1"/>
          <w:sz w:val="24"/>
          <w:szCs w:val="24"/>
        </w:rPr>
        <w:t>A1</w:t>
      </w:r>
      <w:r w:rsidR="003E68AB" w:rsidRPr="005717A1">
        <w:rPr>
          <w:rFonts w:ascii="Times New Roman" w:eastAsia="DengXian" w:hAnsi="Times New Roman" w:cs="Times New Roman"/>
          <w:color w:val="000000" w:themeColor="text1"/>
          <w:sz w:val="24"/>
          <w:szCs w:val="24"/>
        </w:rPr>
        <w:t>c</w:t>
      </w:r>
      <w:r w:rsidRPr="005717A1">
        <w:rPr>
          <w:rFonts w:ascii="Times New Roman" w:eastAsia="DengXian" w:hAnsi="Times New Roman" w:cs="Times New Roman"/>
          <w:color w:val="000000" w:themeColor="text1"/>
          <w:sz w:val="24"/>
          <w:szCs w:val="24"/>
        </w:rPr>
        <w:t xml:space="preserve"> reduction were not statistically significant, the findings strongly advocate for the incorporation of PBDs into medical nutrition therapy for T2DM.</w:t>
      </w:r>
      <w:r w:rsidR="005E25C0" w:rsidRPr="005717A1">
        <w:rPr>
          <w:rFonts w:ascii="Times New Roman" w:eastAsia="DengXian" w:hAnsi="Times New Roman" w:cs="Times New Roman"/>
          <w:color w:val="000000" w:themeColor="text1"/>
          <w:sz w:val="24"/>
          <w:szCs w:val="24"/>
        </w:rPr>
        <w:t xml:space="preserve"> </w:t>
      </w:r>
      <w:r w:rsidRPr="005717A1">
        <w:rPr>
          <w:rFonts w:ascii="Times New Roman" w:eastAsia="DengXian" w:hAnsi="Times New Roman" w:cs="Times New Roman"/>
          <w:color w:val="000000" w:themeColor="text1"/>
          <w:sz w:val="24"/>
          <w:szCs w:val="24"/>
        </w:rPr>
        <w:t>In contrast, Lee et al. (2016) 12-week study comparing a vegan diet with a conventional diabetes diet. The experimental group followed a vegan diet rich in whole grains, vegetables, fruits</w:t>
      </w:r>
      <w:r w:rsidR="00DB1215">
        <w:rPr>
          <w:rFonts w:ascii="Times New Roman" w:eastAsia="DengXian" w:hAnsi="Times New Roman" w:cs="Times New Roman"/>
          <w:color w:val="000000" w:themeColor="text1"/>
          <w:sz w:val="24"/>
          <w:szCs w:val="24"/>
        </w:rPr>
        <w:t xml:space="preserve"> </w:t>
      </w:r>
      <w:r w:rsidRPr="005717A1">
        <w:rPr>
          <w:rFonts w:ascii="Times New Roman" w:eastAsia="DengXian" w:hAnsi="Times New Roman" w:cs="Times New Roman"/>
          <w:color w:val="000000" w:themeColor="text1"/>
          <w:sz w:val="24"/>
          <w:szCs w:val="24"/>
        </w:rPr>
        <w:t>and legumes, while the control group adhered to the conventional diabetes guidelines</w:t>
      </w:r>
      <w:r w:rsidR="00401825">
        <w:rPr>
          <w:rFonts w:ascii="Times New Roman" w:eastAsia="DengXian" w:hAnsi="Times New Roman" w:cs="Times New Roman"/>
          <w:color w:val="000000" w:themeColor="text1"/>
          <w:sz w:val="24"/>
          <w:szCs w:val="24"/>
        </w:rPr>
        <w:t xml:space="preserve"> which</w:t>
      </w:r>
      <w:r w:rsidRPr="005717A1">
        <w:rPr>
          <w:rFonts w:ascii="Times New Roman" w:eastAsia="Times New Roman" w:hAnsi="Times New Roman" w:cs="Times New Roman"/>
          <w:color w:val="000000" w:themeColor="text1"/>
          <w:sz w:val="24"/>
          <w:szCs w:val="24"/>
        </w:rPr>
        <w:t xml:space="preserve"> consisted of 50–60% carbohydrates, 15–20% protein, less than 25% fat, less than 7% saturated fat, minimal trans-fat consumption and a maximum of 200 mg/day of cholesterol</w:t>
      </w:r>
      <w:r w:rsidR="00401825">
        <w:rPr>
          <w:rFonts w:ascii="Times New Roman" w:eastAsia="Times New Roman" w:hAnsi="Times New Roman" w:cs="Times New Roman"/>
          <w:color w:val="000000" w:themeColor="text1"/>
          <w:sz w:val="24"/>
          <w:szCs w:val="24"/>
        </w:rPr>
        <w:t xml:space="preserve"> and moderate physical activity</w:t>
      </w:r>
      <w:r w:rsidRPr="005717A1">
        <w:rPr>
          <w:rFonts w:ascii="Times New Roman" w:eastAsia="Times New Roman" w:hAnsi="Times New Roman" w:cs="Times New Roman"/>
          <w:color w:val="000000" w:themeColor="text1"/>
          <w:sz w:val="24"/>
          <w:szCs w:val="24"/>
        </w:rPr>
        <w:t>.</w:t>
      </w:r>
      <w:r w:rsidRPr="005717A1">
        <w:rPr>
          <w:rFonts w:ascii="Times New Roman" w:eastAsia="DengXian" w:hAnsi="Times New Roman" w:cs="Times New Roman"/>
          <w:color w:val="000000" w:themeColor="text1"/>
          <w:sz w:val="24"/>
          <w:szCs w:val="24"/>
        </w:rPr>
        <w:t xml:space="preserve"> Both diets led to significant reductions in HbA1c levels amongst T2DM patients, with the vegan diet showing greater efficacy in glycaemic control, especially in those who strictly adhered to it</w:t>
      </w:r>
      <w:r w:rsidRPr="00401825">
        <w:rPr>
          <w:rFonts w:ascii="Times New Roman" w:eastAsia="DengXian" w:hAnsi="Times New Roman" w:cs="Times New Roman"/>
          <w:color w:val="000000" w:themeColor="text1"/>
          <w:sz w:val="24"/>
          <w:szCs w:val="24"/>
        </w:rPr>
        <w:t>.</w:t>
      </w:r>
      <w:r w:rsidR="00401825" w:rsidRPr="00401825">
        <w:t xml:space="preserve"> </w:t>
      </w:r>
      <w:r w:rsidR="00401825" w:rsidRPr="00401825">
        <w:rPr>
          <w:rFonts w:ascii="Times New Roman" w:eastAsia="DengXian" w:hAnsi="Times New Roman" w:cs="Times New Roman"/>
          <w:color w:val="000000" w:themeColor="text1"/>
          <w:sz w:val="24"/>
          <w:szCs w:val="24"/>
        </w:rPr>
        <w:t xml:space="preserve">Despite </w:t>
      </w:r>
      <w:r w:rsidR="00401825" w:rsidRPr="00401825">
        <w:rPr>
          <w:rFonts w:ascii="Times New Roman" w:eastAsia="DengXian" w:hAnsi="Times New Roman" w:cs="Times New Roman"/>
          <w:color w:val="000000" w:themeColor="text1"/>
          <w:sz w:val="24"/>
          <w:szCs w:val="24"/>
        </w:rPr>
        <w:lastRenderedPageBreak/>
        <w:t xml:space="preserve">comparable glycaemic improvements, triglyceride levels </w:t>
      </w:r>
      <w:r w:rsidR="00401825">
        <w:rPr>
          <w:rFonts w:ascii="Times New Roman" w:eastAsia="DengXian" w:hAnsi="Times New Roman" w:cs="Times New Roman"/>
          <w:color w:val="000000" w:themeColor="text1"/>
          <w:sz w:val="24"/>
          <w:szCs w:val="24"/>
        </w:rPr>
        <w:t>increased</w:t>
      </w:r>
      <w:r w:rsidR="00401825" w:rsidRPr="00401825">
        <w:rPr>
          <w:rFonts w:ascii="Times New Roman" w:eastAsia="DengXian" w:hAnsi="Times New Roman" w:cs="Times New Roman"/>
          <w:color w:val="000000" w:themeColor="text1"/>
          <w:sz w:val="24"/>
          <w:szCs w:val="24"/>
        </w:rPr>
        <w:t xml:space="preserve"> in the vegan group due to unrestricted portion sizes and lack of physical activity, contrasting with the conventional group's decrease, indicating potential lipid metabolism distinctions between the diets.</w:t>
      </w:r>
      <w:r w:rsidR="00401825">
        <w:rPr>
          <w:rFonts w:ascii="Times New Roman" w:eastAsia="DengXian" w:hAnsi="Times New Roman" w:cs="Times New Roman"/>
          <w:color w:val="000000" w:themeColor="text1"/>
          <w:sz w:val="24"/>
          <w:szCs w:val="24"/>
        </w:rPr>
        <w:t xml:space="preserve"> </w:t>
      </w:r>
      <w:r w:rsidRPr="005717A1">
        <w:rPr>
          <w:rFonts w:ascii="Times New Roman" w:eastAsia="DengXian" w:hAnsi="Times New Roman" w:cs="Times New Roman"/>
          <w:color w:val="000000" w:themeColor="text1"/>
          <w:sz w:val="24"/>
          <w:szCs w:val="24"/>
        </w:rPr>
        <w:t>The study highlights the importance of calori</w:t>
      </w:r>
      <w:r w:rsidR="009A57FA" w:rsidRPr="005717A1">
        <w:rPr>
          <w:rFonts w:ascii="Times New Roman" w:eastAsia="DengXian" w:hAnsi="Times New Roman" w:cs="Times New Roman"/>
          <w:color w:val="000000" w:themeColor="text1"/>
          <w:sz w:val="24"/>
          <w:szCs w:val="24"/>
        </w:rPr>
        <w:t>c</w:t>
      </w:r>
      <w:r w:rsidRPr="005717A1">
        <w:rPr>
          <w:rFonts w:ascii="Times New Roman" w:eastAsia="DengXian" w:hAnsi="Times New Roman" w:cs="Times New Roman"/>
          <w:color w:val="000000" w:themeColor="text1"/>
          <w:sz w:val="24"/>
          <w:szCs w:val="24"/>
        </w:rPr>
        <w:t xml:space="preserve"> intake and weight loss in achieving improved glycaemic control, regardless of the diet followed. </w:t>
      </w:r>
    </w:p>
    <w:p w14:paraId="2196B764" w14:textId="3FA645C2" w:rsidR="004937BD" w:rsidRDefault="00C301C1" w:rsidP="004937BD">
      <w:pPr>
        <w:suppressAutoHyphens/>
        <w:autoSpaceDN w:val="0"/>
        <w:spacing w:line="360" w:lineRule="auto"/>
        <w:rPr>
          <w:rFonts w:ascii="Times New Roman" w:eastAsia="DengXian" w:hAnsi="Times New Roman" w:cs="Times New Roman"/>
          <w:color w:val="000000" w:themeColor="text1"/>
          <w:sz w:val="24"/>
          <w:szCs w:val="24"/>
        </w:rPr>
      </w:pPr>
      <w:r>
        <w:rPr>
          <w:rFonts w:ascii="Times New Roman" w:eastAsia="DengXian" w:hAnsi="Times New Roman" w:cs="Times New Roman"/>
          <w:color w:val="000000" w:themeColor="text1"/>
          <w:sz w:val="24"/>
          <w:szCs w:val="24"/>
        </w:rPr>
        <w:t xml:space="preserve">Fundamentally, </w:t>
      </w:r>
      <w:r w:rsidR="004937BD" w:rsidRPr="00DF225B">
        <w:rPr>
          <w:rFonts w:ascii="Times New Roman" w:eastAsia="DengXian" w:hAnsi="Times New Roman" w:cs="Times New Roman"/>
          <w:color w:val="000000" w:themeColor="text1"/>
          <w:sz w:val="24"/>
          <w:szCs w:val="24"/>
        </w:rPr>
        <w:t xml:space="preserve">Johannesen et al. (2020) conducted a systematic review comparing the impact of PBDs on health markers in individuals with T2DM. Mishra et al. found that both low-fat vegan and conventional omnivorous diets led to reductions in HbA1c levels over 18 weeks, with the vegan diet showing a significantly greater decrease. Lee et al. and Turner-McGrievy et al. also observed positive outcomes with vegan diets, particularly in improving HbA1c levels and reducing the glycaemic index. There were occasions where no notable enhancements in HbA1c levels occurred within both the intervention and control groups. Among the plant-based intervention group, 56% illustrated enhanced glycaemic control from </w:t>
      </w:r>
      <w:r>
        <w:rPr>
          <w:rFonts w:ascii="Times New Roman" w:eastAsia="DengXian" w:hAnsi="Times New Roman" w:cs="Times New Roman"/>
          <w:color w:val="000000" w:themeColor="text1"/>
          <w:sz w:val="24"/>
          <w:szCs w:val="24"/>
        </w:rPr>
        <w:t>initial</w:t>
      </w:r>
      <w:r w:rsidR="004937BD" w:rsidRPr="00DF225B">
        <w:rPr>
          <w:rFonts w:ascii="Times New Roman" w:eastAsia="DengXian" w:hAnsi="Times New Roman" w:cs="Times New Roman"/>
          <w:color w:val="000000" w:themeColor="text1"/>
          <w:sz w:val="24"/>
          <w:szCs w:val="24"/>
        </w:rPr>
        <w:t xml:space="preserve"> to </w:t>
      </w:r>
      <w:r>
        <w:rPr>
          <w:rFonts w:ascii="Times New Roman" w:eastAsia="DengXian" w:hAnsi="Times New Roman" w:cs="Times New Roman"/>
          <w:color w:val="000000" w:themeColor="text1"/>
          <w:sz w:val="24"/>
          <w:szCs w:val="24"/>
        </w:rPr>
        <w:t>postintervention</w:t>
      </w:r>
      <w:r w:rsidR="004937BD" w:rsidRPr="00DF225B">
        <w:rPr>
          <w:rFonts w:ascii="Times New Roman" w:eastAsia="DengXian" w:hAnsi="Times New Roman" w:cs="Times New Roman"/>
          <w:color w:val="000000" w:themeColor="text1"/>
          <w:sz w:val="24"/>
          <w:szCs w:val="24"/>
        </w:rPr>
        <w:t>, with 49% reporting significant improvements. The overall outcomes appear inconclusive, possibly attributed to the participants being solely responsible for their dietary choices and meal preparations.</w:t>
      </w:r>
    </w:p>
    <w:p w14:paraId="61EB0D2B" w14:textId="77777777" w:rsidR="00F35DA5" w:rsidRDefault="00F35DA5" w:rsidP="00590BE3">
      <w:pPr>
        <w:suppressAutoHyphens/>
        <w:autoSpaceDN w:val="0"/>
        <w:spacing w:line="360" w:lineRule="auto"/>
        <w:rPr>
          <w:rFonts w:ascii="Times New Roman" w:eastAsia="DengXian" w:hAnsi="Times New Roman" w:cs="Times New Roman"/>
          <w:color w:val="000000" w:themeColor="text1"/>
          <w:sz w:val="24"/>
          <w:szCs w:val="24"/>
        </w:rPr>
      </w:pPr>
    </w:p>
    <w:p w14:paraId="31A7CA19" w14:textId="77777777" w:rsidR="00991265" w:rsidRDefault="00991265">
      <w:pPr>
        <w:rPr>
          <w:rFonts w:ascii="Times New Roman" w:eastAsia="DengXian" w:hAnsi="Times New Roman" w:cs="Times New Roman"/>
          <w:color w:val="000000" w:themeColor="text1"/>
          <w:sz w:val="24"/>
          <w:szCs w:val="24"/>
        </w:rPr>
      </w:pPr>
      <w:r>
        <w:rPr>
          <w:rFonts w:ascii="Times New Roman" w:eastAsia="DengXian" w:hAnsi="Times New Roman" w:cs="Times New Roman"/>
          <w:color w:val="000000" w:themeColor="text1"/>
          <w:sz w:val="24"/>
          <w:szCs w:val="24"/>
        </w:rPr>
        <w:br w:type="page"/>
      </w:r>
    </w:p>
    <w:p w14:paraId="37F30F8B" w14:textId="1C1E3767" w:rsidR="006135D9" w:rsidRDefault="00DB1215" w:rsidP="00991265">
      <w:pPr>
        <w:pStyle w:val="Heading2"/>
        <w:numPr>
          <w:ilvl w:val="1"/>
          <w:numId w:val="1"/>
        </w:numPr>
        <w:rPr>
          <w:b/>
        </w:rPr>
      </w:pPr>
      <w:r>
        <w:rPr>
          <w:b/>
        </w:rPr>
        <w:lastRenderedPageBreak/>
        <w:t xml:space="preserve"> </w:t>
      </w:r>
      <w:bookmarkStart w:id="13" w:name="_Toc164363462"/>
      <w:r w:rsidR="006135D9" w:rsidRPr="00AD5DAD">
        <w:rPr>
          <w:b/>
        </w:rPr>
        <w:t>Mediterranean Diet</w:t>
      </w:r>
      <w:bookmarkEnd w:id="13"/>
    </w:p>
    <w:p w14:paraId="4FC0C3FB" w14:textId="77777777" w:rsidR="00991265" w:rsidRPr="00991265" w:rsidRDefault="00991265" w:rsidP="00991265">
      <w:pPr>
        <w:pStyle w:val="ListParagraph"/>
        <w:ind w:left="1155"/>
      </w:pPr>
    </w:p>
    <w:p w14:paraId="02A809F6" w14:textId="0E3F8A4D" w:rsidR="006135D9" w:rsidRPr="005717A1" w:rsidRDefault="006135D9" w:rsidP="00E84CF8">
      <w:pPr>
        <w:suppressAutoHyphens/>
        <w:autoSpaceDN w:val="0"/>
        <w:spacing w:line="360" w:lineRule="auto"/>
        <w:rPr>
          <w:rFonts w:ascii="Times New Roman" w:eastAsia="Times New Roman" w:hAnsi="Times New Roman" w:cs="Times New Roman"/>
          <w:color w:val="000000" w:themeColor="text1"/>
          <w:sz w:val="24"/>
          <w:szCs w:val="24"/>
        </w:rPr>
      </w:pPr>
      <w:r w:rsidRPr="005717A1">
        <w:rPr>
          <w:rFonts w:ascii="Times New Roman" w:eastAsia="Times New Roman" w:hAnsi="Times New Roman" w:cs="Times New Roman"/>
          <w:color w:val="000000" w:themeColor="text1"/>
          <w:sz w:val="24"/>
          <w:szCs w:val="24"/>
        </w:rPr>
        <w:t>As per Guasch‐Ferré and Willett (2021), the Mediterranean diet, coined by Ancel Keys in 1960, stands as one of the most extensively studied and acknowledged dietary patterns worldwide. Originating from cultures bordering the Mediterranean Sea, it embodies the societal traditions and ways of life of those areas, serving as a cornerstone of their cultural heritage.</w:t>
      </w:r>
      <w:r w:rsidRPr="005717A1">
        <w:rPr>
          <w:rFonts w:ascii="Times New Roman" w:eastAsia="DengXian" w:hAnsi="Times New Roman" w:cs="Times New Roman"/>
          <w:color w:val="000000" w:themeColor="text1"/>
          <w:sz w:val="24"/>
          <w:szCs w:val="24"/>
        </w:rPr>
        <w:t xml:space="preserve"> </w:t>
      </w:r>
      <w:r w:rsidRPr="005717A1">
        <w:rPr>
          <w:rFonts w:ascii="Times New Roman" w:eastAsia="Times New Roman" w:hAnsi="Times New Roman" w:cs="Times New Roman"/>
          <w:color w:val="000000" w:themeColor="text1"/>
          <w:sz w:val="24"/>
          <w:szCs w:val="24"/>
        </w:rPr>
        <w:t xml:space="preserve">Moreover, Rishor-Olney and Hinson (2020) defined the term "Mediterranean diet" as the dietary practices observed in Mediterranean coastal areas such as Greece, Italy, </w:t>
      </w:r>
      <w:r w:rsidR="00B946FD">
        <w:rPr>
          <w:rFonts w:ascii="Times New Roman" w:eastAsia="Times New Roman" w:hAnsi="Times New Roman" w:cs="Times New Roman"/>
          <w:color w:val="000000" w:themeColor="text1"/>
          <w:sz w:val="24"/>
          <w:szCs w:val="24"/>
        </w:rPr>
        <w:t>S</w:t>
      </w:r>
      <w:r w:rsidRPr="005717A1">
        <w:rPr>
          <w:rFonts w:ascii="Times New Roman" w:eastAsia="Times New Roman" w:hAnsi="Times New Roman" w:cs="Times New Roman"/>
          <w:color w:val="000000" w:themeColor="text1"/>
          <w:sz w:val="24"/>
          <w:szCs w:val="24"/>
        </w:rPr>
        <w:t xml:space="preserve">outhern France, Crete, Spain and parts of the Middle East. Traditionally, this diet prioritizes plant-based foods, with fish and poultry serving as the main animal-based protein sources and minimal intake of dairy. Although contemporary variations may include increased consumption of red meat and processed foods, the fundamental principles of the </w:t>
      </w:r>
      <w:r w:rsidR="00D5544A" w:rsidRPr="005717A1">
        <w:rPr>
          <w:rFonts w:ascii="Times New Roman" w:eastAsia="Times New Roman" w:hAnsi="Times New Roman" w:cs="Times New Roman"/>
          <w:color w:val="000000" w:themeColor="text1"/>
          <w:sz w:val="24"/>
          <w:szCs w:val="24"/>
        </w:rPr>
        <w:t>Mediterranean</w:t>
      </w:r>
      <w:r w:rsidRPr="005717A1">
        <w:rPr>
          <w:rFonts w:ascii="Times New Roman" w:eastAsia="Times New Roman" w:hAnsi="Times New Roman" w:cs="Times New Roman"/>
          <w:color w:val="000000" w:themeColor="text1"/>
          <w:sz w:val="24"/>
          <w:szCs w:val="24"/>
        </w:rPr>
        <w:t xml:space="preserve"> diet continue to centre around plant-based foods and beneficial fats. Lacatusu et al. (2019) emphasised, Ancel Keys, famed for his research on starvation effects, observed a post-war drop in heart attacks in Europe, attributing it to decreased high-fat diets. His 7 Countries Study demonstrated diet's influence on heart health, spotlighting regions like Crete with lower heart disease rates due to their Mediterranean diet. Keys coined the term "Mediterranean diet" to describe this heart-healthy eating pattern, reshaping nutrition science by highlighting diet's role in preventing chronic diseases.</w:t>
      </w:r>
      <w:r w:rsidRPr="005717A1">
        <w:rPr>
          <w:rFonts w:ascii="Times New Roman" w:eastAsia="DengXian" w:hAnsi="Times New Roman" w:cs="Times New Roman"/>
          <w:color w:val="000000" w:themeColor="text1"/>
          <w:sz w:val="24"/>
          <w:szCs w:val="24"/>
        </w:rPr>
        <w:t xml:space="preserve"> </w:t>
      </w:r>
      <w:r w:rsidRPr="005717A1">
        <w:rPr>
          <w:rFonts w:ascii="Times New Roman" w:eastAsia="Times New Roman" w:hAnsi="Times New Roman" w:cs="Times New Roman"/>
          <w:color w:val="000000" w:themeColor="text1"/>
          <w:sz w:val="24"/>
          <w:szCs w:val="24"/>
        </w:rPr>
        <w:t>According to UNESCO</w:t>
      </w:r>
      <w:r w:rsidR="006A493C">
        <w:rPr>
          <w:rFonts w:ascii="Times New Roman" w:eastAsia="Times New Roman" w:hAnsi="Times New Roman" w:cs="Times New Roman"/>
          <w:color w:val="000000" w:themeColor="text1"/>
          <w:sz w:val="24"/>
          <w:szCs w:val="24"/>
        </w:rPr>
        <w:t>,</w:t>
      </w:r>
      <w:r w:rsidRPr="005717A1">
        <w:rPr>
          <w:rFonts w:ascii="Times New Roman" w:eastAsia="Times New Roman" w:hAnsi="Times New Roman" w:cs="Times New Roman"/>
          <w:color w:val="000000" w:themeColor="text1"/>
          <w:sz w:val="24"/>
          <w:szCs w:val="24"/>
        </w:rPr>
        <w:t xml:space="preserve"> (2013)</w:t>
      </w:r>
      <w:r w:rsidR="006A493C">
        <w:rPr>
          <w:rFonts w:ascii="Times New Roman" w:eastAsia="Times New Roman" w:hAnsi="Times New Roman" w:cs="Times New Roman"/>
          <w:color w:val="000000" w:themeColor="text1"/>
          <w:sz w:val="24"/>
          <w:szCs w:val="24"/>
        </w:rPr>
        <w:t xml:space="preserve"> </w:t>
      </w:r>
      <w:r w:rsidR="00661B7D">
        <w:rPr>
          <w:rFonts w:ascii="Times New Roman" w:eastAsia="Times New Roman" w:hAnsi="Times New Roman" w:cs="Times New Roman"/>
          <w:color w:val="000000" w:themeColor="text1"/>
          <w:sz w:val="24"/>
          <w:szCs w:val="24"/>
        </w:rPr>
        <w:t>the M</w:t>
      </w:r>
      <w:r w:rsidRPr="005717A1">
        <w:rPr>
          <w:rFonts w:ascii="Times New Roman" w:eastAsia="Times New Roman" w:hAnsi="Times New Roman" w:cs="Times New Roman"/>
          <w:color w:val="000000" w:themeColor="text1"/>
          <w:sz w:val="24"/>
          <w:szCs w:val="24"/>
        </w:rPr>
        <w:t>editerranean diet serves as a cultural bedrock, nurturing social bonds through communal dining, heritage and principles. It honours culinary expertise, seasonal cycles and generational wisdom, highlighting the significance of women and local markets. This dietary tradition reflects hospitality, innovation and appreciation for differences, influencing identities and promoting unity within the Mediterranean region.</w:t>
      </w:r>
      <w:r w:rsidRPr="005717A1">
        <w:rPr>
          <w:rFonts w:ascii="Times New Roman" w:eastAsia="DengXian" w:hAnsi="Times New Roman" w:cs="Times New Roman"/>
          <w:color w:val="000000" w:themeColor="text1"/>
          <w:sz w:val="24"/>
          <w:szCs w:val="24"/>
        </w:rPr>
        <w:t xml:space="preserve"> </w:t>
      </w:r>
      <w:r w:rsidRPr="005717A1">
        <w:rPr>
          <w:rFonts w:ascii="Times New Roman" w:eastAsia="Times New Roman" w:hAnsi="Times New Roman" w:cs="Times New Roman"/>
          <w:color w:val="000000" w:themeColor="text1"/>
          <w:sz w:val="24"/>
          <w:szCs w:val="24"/>
        </w:rPr>
        <w:t>Trichopoulou et al. (2014) delineate the traditional Mediterranean diet by its emphasis on vegetables, fruits, nuts, legumes</w:t>
      </w:r>
      <w:r w:rsidR="009F0DDB">
        <w:rPr>
          <w:rFonts w:ascii="Times New Roman" w:eastAsia="Times New Roman" w:hAnsi="Times New Roman" w:cs="Times New Roman"/>
          <w:color w:val="000000" w:themeColor="text1"/>
          <w:sz w:val="24"/>
          <w:szCs w:val="24"/>
        </w:rPr>
        <w:t xml:space="preserve"> </w:t>
      </w:r>
      <w:r w:rsidRPr="005717A1">
        <w:rPr>
          <w:rFonts w:ascii="Times New Roman" w:eastAsia="Times New Roman" w:hAnsi="Times New Roman" w:cs="Times New Roman"/>
          <w:color w:val="000000" w:themeColor="text1"/>
          <w:sz w:val="24"/>
          <w:szCs w:val="24"/>
        </w:rPr>
        <w:t>and unprocessed cereals, while limiting meat and dairy intake</w:t>
      </w:r>
      <w:r w:rsidR="00661B7D">
        <w:rPr>
          <w:rFonts w:ascii="Times New Roman" w:eastAsia="Times New Roman" w:hAnsi="Times New Roman" w:cs="Times New Roman"/>
          <w:color w:val="000000" w:themeColor="text1"/>
          <w:sz w:val="24"/>
          <w:szCs w:val="24"/>
        </w:rPr>
        <w:t xml:space="preserve"> </w:t>
      </w:r>
      <w:r w:rsidR="00661B7D" w:rsidRPr="00842ABA">
        <w:rPr>
          <w:rFonts w:ascii="Times New Roman" w:eastAsia="Times New Roman" w:hAnsi="Times New Roman" w:cs="Times New Roman"/>
          <w:color w:val="000000" w:themeColor="text1"/>
          <w:sz w:val="24"/>
          <w:szCs w:val="24"/>
        </w:rPr>
        <w:t>(</w:t>
      </w:r>
      <w:r w:rsidR="00842ABA" w:rsidRPr="00842ABA">
        <w:rPr>
          <w:rFonts w:ascii="Times New Roman" w:eastAsia="Times New Roman" w:hAnsi="Times New Roman" w:cs="Times New Roman"/>
          <w:color w:val="000000" w:themeColor="text1"/>
          <w:sz w:val="24"/>
          <w:szCs w:val="24"/>
        </w:rPr>
        <w:t>S</w:t>
      </w:r>
      <w:r w:rsidR="00661B7D" w:rsidRPr="00842ABA">
        <w:rPr>
          <w:rFonts w:ascii="Times New Roman" w:eastAsia="Times New Roman" w:hAnsi="Times New Roman" w:cs="Times New Roman"/>
          <w:color w:val="000000" w:themeColor="text1"/>
          <w:sz w:val="24"/>
          <w:szCs w:val="24"/>
        </w:rPr>
        <w:t>ee Fig</w:t>
      </w:r>
      <w:r w:rsidR="00842ABA" w:rsidRPr="00842ABA">
        <w:rPr>
          <w:rFonts w:ascii="Times New Roman" w:eastAsia="Times New Roman" w:hAnsi="Times New Roman" w:cs="Times New Roman"/>
          <w:color w:val="000000" w:themeColor="text1"/>
          <w:sz w:val="24"/>
          <w:szCs w:val="24"/>
        </w:rPr>
        <w:t>ure</w:t>
      </w:r>
      <w:r w:rsidR="00D071C2">
        <w:rPr>
          <w:rFonts w:ascii="Times New Roman" w:eastAsia="Times New Roman" w:hAnsi="Times New Roman" w:cs="Times New Roman"/>
          <w:color w:val="000000" w:themeColor="text1"/>
          <w:sz w:val="24"/>
          <w:szCs w:val="24"/>
        </w:rPr>
        <w:t xml:space="preserve"> </w:t>
      </w:r>
      <w:r w:rsidR="00661B7D" w:rsidRPr="00842ABA">
        <w:rPr>
          <w:rFonts w:ascii="Times New Roman" w:eastAsia="Times New Roman" w:hAnsi="Times New Roman" w:cs="Times New Roman"/>
          <w:color w:val="000000" w:themeColor="text1"/>
          <w:sz w:val="24"/>
          <w:szCs w:val="24"/>
        </w:rPr>
        <w:t>2)</w:t>
      </w:r>
      <w:r w:rsidRPr="00842ABA">
        <w:rPr>
          <w:rFonts w:ascii="Times New Roman" w:eastAsia="Times New Roman" w:hAnsi="Times New Roman" w:cs="Times New Roman"/>
          <w:color w:val="000000" w:themeColor="text1"/>
          <w:sz w:val="24"/>
          <w:szCs w:val="24"/>
        </w:rPr>
        <w:t>.</w:t>
      </w:r>
      <w:r w:rsidRPr="005717A1">
        <w:rPr>
          <w:rFonts w:ascii="Times New Roman" w:eastAsia="Times New Roman" w:hAnsi="Times New Roman" w:cs="Times New Roman"/>
          <w:color w:val="000000" w:themeColor="text1"/>
          <w:sz w:val="24"/>
          <w:szCs w:val="24"/>
        </w:rPr>
        <w:t xml:space="preserve"> Alcohol, particularly wine, is consumed moderately during meals, reflecting ancient Greek customs. The diet favours monounsaturated fats, primarily from olive oil and typically involves moderate fish consumption.</w:t>
      </w:r>
      <w:r w:rsidRPr="005717A1">
        <w:rPr>
          <w:rFonts w:ascii="Times New Roman" w:eastAsia="DengXian" w:hAnsi="Times New Roman" w:cs="Times New Roman"/>
          <w:color w:val="000000" w:themeColor="text1"/>
          <w:sz w:val="24"/>
          <w:szCs w:val="24"/>
        </w:rPr>
        <w:t xml:space="preserve"> </w:t>
      </w:r>
      <w:r w:rsidRPr="005717A1">
        <w:rPr>
          <w:rFonts w:ascii="Times New Roman" w:eastAsia="Times New Roman" w:hAnsi="Times New Roman" w:cs="Times New Roman"/>
          <w:color w:val="000000" w:themeColor="text1"/>
          <w:sz w:val="24"/>
          <w:szCs w:val="24"/>
        </w:rPr>
        <w:t xml:space="preserve">Adherence to the Mediterranean </w:t>
      </w:r>
      <w:r w:rsidR="003920D5">
        <w:rPr>
          <w:rFonts w:ascii="Times New Roman" w:eastAsia="Times New Roman" w:hAnsi="Times New Roman" w:cs="Times New Roman"/>
          <w:color w:val="000000" w:themeColor="text1"/>
          <w:sz w:val="24"/>
          <w:szCs w:val="24"/>
        </w:rPr>
        <w:t>d</w:t>
      </w:r>
      <w:r w:rsidRPr="005717A1">
        <w:rPr>
          <w:rFonts w:ascii="Times New Roman" w:eastAsia="Times New Roman" w:hAnsi="Times New Roman" w:cs="Times New Roman"/>
          <w:color w:val="000000" w:themeColor="text1"/>
          <w:sz w:val="24"/>
          <w:szCs w:val="24"/>
        </w:rPr>
        <w:t>iet</w:t>
      </w:r>
      <w:r w:rsidR="009F0DDB">
        <w:rPr>
          <w:rFonts w:ascii="Times New Roman" w:eastAsia="Times New Roman" w:hAnsi="Times New Roman" w:cs="Times New Roman"/>
          <w:color w:val="000000" w:themeColor="text1"/>
          <w:sz w:val="24"/>
          <w:szCs w:val="24"/>
        </w:rPr>
        <w:t xml:space="preserve"> </w:t>
      </w:r>
      <w:r w:rsidRPr="005717A1">
        <w:rPr>
          <w:rFonts w:ascii="Times New Roman" w:eastAsia="Times New Roman" w:hAnsi="Times New Roman" w:cs="Times New Roman"/>
          <w:color w:val="000000" w:themeColor="text1"/>
          <w:sz w:val="24"/>
          <w:szCs w:val="24"/>
        </w:rPr>
        <w:t xml:space="preserve">reduces risks of mortality, </w:t>
      </w:r>
      <w:r w:rsidR="006A493C" w:rsidRPr="00EB6E78">
        <w:rPr>
          <w:rFonts w:ascii="Times New Roman" w:eastAsia="Times New Roman" w:hAnsi="Times New Roman" w:cs="Times New Roman"/>
          <w:color w:val="000000" w:themeColor="text1"/>
          <w:sz w:val="24"/>
          <w:szCs w:val="24"/>
        </w:rPr>
        <w:t>NCD</w:t>
      </w:r>
      <w:r w:rsidRPr="00EB6E78">
        <w:rPr>
          <w:rFonts w:ascii="Times New Roman" w:eastAsia="Times New Roman" w:hAnsi="Times New Roman" w:cs="Times New Roman"/>
          <w:color w:val="000000" w:themeColor="text1"/>
          <w:sz w:val="24"/>
          <w:szCs w:val="24"/>
        </w:rPr>
        <w:t>s</w:t>
      </w:r>
      <w:r w:rsidRPr="005717A1">
        <w:rPr>
          <w:rFonts w:ascii="Times New Roman" w:eastAsia="Times New Roman" w:hAnsi="Times New Roman" w:cs="Times New Roman"/>
          <w:color w:val="000000" w:themeColor="text1"/>
          <w:sz w:val="24"/>
          <w:szCs w:val="24"/>
        </w:rPr>
        <w:t>, cognitive disorders (Schwingshackl et al., 2019), bolstered by physical activity and abstinence from tobacco and excessive alcohol (Martinez-Lacoba et al., 2018).</w:t>
      </w:r>
    </w:p>
    <w:p w14:paraId="262EBBA4" w14:textId="77777777" w:rsidR="00AF291F" w:rsidRDefault="002502D2" w:rsidP="00E84CF8">
      <w:pPr>
        <w:pStyle w:val="Caption"/>
        <w:rPr>
          <w:rFonts w:ascii="Times New Roman" w:hAnsi="Times New Roman" w:cs="Times New Roman"/>
          <w:color w:val="000000" w:themeColor="text1"/>
          <w:sz w:val="24"/>
          <w:szCs w:val="24"/>
        </w:rPr>
      </w:pPr>
      <w:r w:rsidRPr="005717A1">
        <w:rPr>
          <w:rFonts w:eastAsia="DengXian"/>
          <w:noProof/>
          <w:color w:val="000000" w:themeColor="text1"/>
          <w:lang w:eastAsia="en-GB"/>
        </w:rPr>
        <w:lastRenderedPageBreak/>
        <w:drawing>
          <wp:inline distT="0" distB="0" distL="0" distR="0" wp14:anchorId="637F6F6D" wp14:editId="10479BC0">
            <wp:extent cx="5954051" cy="3598224"/>
            <wp:effectExtent l="0" t="0" r="8890" b="2540"/>
            <wp:docPr id="867000662" name="Picture 1" descr="A diagram of food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000662" name="Picture 1" descr="A diagram of food pyramid&#10;&#10;Description automatically generated"/>
                    <pic:cNvPicPr/>
                  </pic:nvPicPr>
                  <pic:blipFill rotWithShape="1">
                    <a:blip r:embed="rId18"/>
                    <a:srcRect l="2020" t="839" r="2229" b="3027"/>
                    <a:stretch/>
                  </pic:blipFill>
                  <pic:spPr bwMode="auto">
                    <a:xfrm>
                      <a:off x="0" y="0"/>
                      <a:ext cx="5965115" cy="3604911"/>
                    </a:xfrm>
                    <a:prstGeom prst="rect">
                      <a:avLst/>
                    </a:prstGeom>
                    <a:ln>
                      <a:noFill/>
                    </a:ln>
                    <a:extLst>
                      <a:ext uri="{53640926-AAD7-44D8-BBD7-CCE9431645EC}">
                        <a14:shadowObscured xmlns:a14="http://schemas.microsoft.com/office/drawing/2010/main"/>
                      </a:ext>
                    </a:extLst>
                  </pic:spPr>
                </pic:pic>
              </a:graphicData>
            </a:graphic>
          </wp:inline>
        </w:drawing>
      </w:r>
    </w:p>
    <w:p w14:paraId="6ED06969" w14:textId="0598672C" w:rsidR="00656427" w:rsidRPr="00FC6AB1" w:rsidRDefault="00661B7D" w:rsidP="00E84CF8">
      <w:pPr>
        <w:pStyle w:val="Caption"/>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Figure 2</w:t>
      </w:r>
      <w:r w:rsidR="00656427" w:rsidRPr="00FC6AB1">
        <w:rPr>
          <w:rFonts w:ascii="Times New Roman" w:hAnsi="Times New Roman" w:cs="Times New Roman"/>
          <w:color w:val="000000" w:themeColor="text1"/>
          <w:sz w:val="24"/>
          <w:szCs w:val="24"/>
        </w:rPr>
        <w:t xml:space="preserve">: </w:t>
      </w:r>
      <w:r w:rsidR="00787544" w:rsidRPr="00FC6AB1">
        <w:rPr>
          <w:rFonts w:ascii="Times New Roman" w:hAnsi="Times New Roman" w:cs="Times New Roman"/>
          <w:color w:val="000000" w:themeColor="text1"/>
          <w:sz w:val="24"/>
          <w:szCs w:val="24"/>
        </w:rPr>
        <w:t>I</w:t>
      </w:r>
      <w:r w:rsidR="00656427" w:rsidRPr="00FC6AB1">
        <w:rPr>
          <w:rFonts w:ascii="Times New Roman" w:hAnsi="Times New Roman" w:cs="Times New Roman"/>
          <w:color w:val="000000" w:themeColor="text1"/>
          <w:sz w:val="24"/>
          <w:szCs w:val="24"/>
        </w:rPr>
        <w:t xml:space="preserve">llustration of the Mediterranean </w:t>
      </w:r>
      <w:r w:rsidR="00787544" w:rsidRPr="00FC6AB1">
        <w:rPr>
          <w:rFonts w:ascii="Times New Roman" w:hAnsi="Times New Roman" w:cs="Times New Roman"/>
          <w:color w:val="000000" w:themeColor="text1"/>
          <w:sz w:val="24"/>
          <w:szCs w:val="24"/>
        </w:rPr>
        <w:t xml:space="preserve">diet </w:t>
      </w:r>
      <w:r w:rsidR="00656427" w:rsidRPr="00FC6AB1">
        <w:rPr>
          <w:rFonts w:ascii="Times New Roman" w:hAnsi="Times New Roman" w:cs="Times New Roman"/>
          <w:color w:val="000000" w:themeColor="text1"/>
          <w:sz w:val="24"/>
          <w:szCs w:val="24"/>
        </w:rPr>
        <w:t>pyramid (Guasch‐Ferré and Willett, 2021)</w:t>
      </w:r>
      <w:r w:rsidR="00787544" w:rsidRPr="00FC6AB1">
        <w:rPr>
          <w:rFonts w:ascii="Times New Roman" w:hAnsi="Times New Roman" w:cs="Times New Roman"/>
          <w:color w:val="000000" w:themeColor="text1"/>
          <w:sz w:val="24"/>
          <w:szCs w:val="24"/>
        </w:rPr>
        <w:t>.</w:t>
      </w:r>
    </w:p>
    <w:p w14:paraId="0392DA45" w14:textId="0932B79E" w:rsidR="006135D9" w:rsidRPr="005717A1" w:rsidRDefault="006135D9" w:rsidP="00E84CF8">
      <w:pPr>
        <w:spacing w:before="240" w:line="360" w:lineRule="auto"/>
        <w:rPr>
          <w:rFonts w:ascii="Times New Roman" w:hAnsi="Times New Roman" w:cs="Times New Roman"/>
          <w:color w:val="000000" w:themeColor="text1"/>
          <w:sz w:val="24"/>
          <w:szCs w:val="24"/>
        </w:rPr>
      </w:pPr>
      <w:r w:rsidRPr="005717A1">
        <w:rPr>
          <w:rFonts w:ascii="Times New Roman" w:hAnsi="Times New Roman" w:cs="Times New Roman"/>
          <w:color w:val="000000" w:themeColor="text1"/>
          <w:sz w:val="24"/>
          <w:szCs w:val="24"/>
        </w:rPr>
        <w:t xml:space="preserve">Gardner et al. (2022) and Ismael et al. (2021) both investigated dietary interventions in individuals with prediabetes and T2DM, but with different methodologies and focuses. Gardner et al.'s </w:t>
      </w:r>
      <w:r w:rsidR="00462E95">
        <w:rPr>
          <w:rFonts w:ascii="Times New Roman" w:hAnsi="Times New Roman" w:cs="Times New Roman"/>
          <w:color w:val="000000" w:themeColor="text1"/>
          <w:sz w:val="24"/>
          <w:szCs w:val="24"/>
        </w:rPr>
        <w:t>RCT</w:t>
      </w:r>
      <w:r w:rsidRPr="005717A1">
        <w:rPr>
          <w:rFonts w:ascii="Times New Roman" w:hAnsi="Times New Roman" w:cs="Times New Roman"/>
          <w:color w:val="000000" w:themeColor="text1"/>
          <w:sz w:val="24"/>
          <w:szCs w:val="24"/>
        </w:rPr>
        <w:t xml:space="preserve"> involved 40 participants comparing a</w:t>
      </w:r>
      <w:r w:rsidR="00246C87">
        <w:rPr>
          <w:rFonts w:ascii="Times New Roman" w:hAnsi="Times New Roman" w:cs="Times New Roman"/>
          <w:color w:val="000000" w:themeColor="text1"/>
          <w:sz w:val="24"/>
          <w:szCs w:val="24"/>
        </w:rPr>
        <w:t xml:space="preserve"> </w:t>
      </w:r>
      <w:r w:rsidR="003920D5">
        <w:rPr>
          <w:rFonts w:ascii="Times New Roman" w:hAnsi="Times New Roman" w:cs="Times New Roman"/>
          <w:color w:val="000000" w:themeColor="text1"/>
          <w:sz w:val="24"/>
          <w:szCs w:val="24"/>
        </w:rPr>
        <w:t>whole food ketogenic diet (</w:t>
      </w:r>
      <w:r w:rsidRPr="003920D5">
        <w:rPr>
          <w:rFonts w:ascii="Times New Roman" w:hAnsi="Times New Roman" w:cs="Times New Roman"/>
          <w:color w:val="000000" w:themeColor="text1"/>
          <w:sz w:val="24"/>
          <w:szCs w:val="24"/>
        </w:rPr>
        <w:t>WFKD</w:t>
      </w:r>
      <w:r w:rsidR="003920D5">
        <w:rPr>
          <w:rFonts w:ascii="Times New Roman" w:hAnsi="Times New Roman" w:cs="Times New Roman"/>
          <w:color w:val="000000" w:themeColor="text1"/>
          <w:sz w:val="24"/>
          <w:szCs w:val="24"/>
        </w:rPr>
        <w:t>)</w:t>
      </w:r>
      <w:r w:rsidRPr="005717A1">
        <w:rPr>
          <w:rFonts w:ascii="Times New Roman" w:hAnsi="Times New Roman" w:cs="Times New Roman"/>
          <w:color w:val="000000" w:themeColor="text1"/>
          <w:sz w:val="24"/>
          <w:szCs w:val="24"/>
        </w:rPr>
        <w:t xml:space="preserve"> with a Mediterranean </w:t>
      </w:r>
      <w:r w:rsidRPr="00DB1215">
        <w:rPr>
          <w:rFonts w:ascii="Times New Roman" w:hAnsi="Times New Roman" w:cs="Times New Roman"/>
          <w:color w:val="000000" w:themeColor="text1"/>
          <w:sz w:val="24"/>
          <w:szCs w:val="24"/>
        </w:rPr>
        <w:t>plus diet, showing significant improvements in HbA1c levels in both groups, with greater</w:t>
      </w:r>
      <w:r w:rsidRPr="005717A1">
        <w:rPr>
          <w:rFonts w:ascii="Times New Roman" w:hAnsi="Times New Roman" w:cs="Times New Roman"/>
          <w:color w:val="000000" w:themeColor="text1"/>
          <w:sz w:val="24"/>
          <w:szCs w:val="24"/>
        </w:rPr>
        <w:t xml:space="preserve"> reductions in triglycerides and LDL cholesterol in the WFKD group. However, the WFKD had lower fibre intake and certain nutrient deficiencies compared to the Mediterranean plus diet, which may affect long-term sustainability. In contrast, Ismael et al.'s 12-week pilot study focused on a Mediterranean diet's effects on T2DM, observing consistent reductions in HbA1c levels below 7.00%. Adherence to the Mediterranean diet reduced insulin resistance in peripheral tissues as evidence by a decrease in </w:t>
      </w:r>
      <w:r w:rsidRPr="00AA0F02">
        <w:rPr>
          <w:rFonts w:ascii="Times New Roman" w:hAnsi="Times New Roman" w:cs="Times New Roman"/>
          <w:color w:val="000000" w:themeColor="text1"/>
          <w:sz w:val="24"/>
          <w:szCs w:val="24"/>
        </w:rPr>
        <w:t>HOMA-IR</w:t>
      </w:r>
      <w:r w:rsidRPr="005717A1">
        <w:rPr>
          <w:rFonts w:ascii="Times New Roman" w:hAnsi="Times New Roman" w:cs="Times New Roman"/>
          <w:color w:val="000000" w:themeColor="text1"/>
          <w:sz w:val="24"/>
          <w:szCs w:val="24"/>
        </w:rPr>
        <w:t>, mediated through interactions with the gut microbiota. Both studies highlight dietary interventions' potential in improving metabolic parameters, with Gardner et al. emphasizing differences between dietary approaches and Ismael et al. focusing on the Mediterranean diet's specific metabolic impacts, particularly insulin resistance reduction and gut microbiota interactions.</w:t>
      </w:r>
    </w:p>
    <w:p w14:paraId="33CC2984" w14:textId="1366F4E7" w:rsidR="006135D9" w:rsidRPr="005717A1" w:rsidRDefault="006135D9" w:rsidP="00E84CF8">
      <w:pPr>
        <w:spacing w:line="360" w:lineRule="auto"/>
        <w:rPr>
          <w:rFonts w:ascii="Times New Roman" w:hAnsi="Times New Roman" w:cs="Times New Roman"/>
          <w:color w:val="000000" w:themeColor="text1"/>
          <w:sz w:val="24"/>
          <w:szCs w:val="24"/>
        </w:rPr>
      </w:pPr>
      <w:r w:rsidRPr="005717A1">
        <w:rPr>
          <w:rFonts w:ascii="Times New Roman" w:hAnsi="Times New Roman" w:cs="Times New Roman"/>
          <w:color w:val="000000" w:themeColor="text1"/>
          <w:sz w:val="24"/>
          <w:szCs w:val="24"/>
        </w:rPr>
        <w:t>Currenti et al. (2024) and Derrick et al. (2023), investigated dietary interventions' effects on individuals with T2DM and related metabolic conditions, each with a 16-week duration. Currenti et al. compared a</w:t>
      </w:r>
      <w:r w:rsidR="00D119AE">
        <w:rPr>
          <w:rFonts w:ascii="Times New Roman" w:hAnsi="Times New Roman" w:cs="Times New Roman"/>
          <w:color w:val="000000" w:themeColor="text1"/>
          <w:sz w:val="24"/>
          <w:szCs w:val="24"/>
        </w:rPr>
        <w:t xml:space="preserve"> </w:t>
      </w:r>
      <w:r w:rsidRPr="005717A1">
        <w:rPr>
          <w:rFonts w:ascii="Times New Roman" w:hAnsi="Times New Roman" w:cs="Times New Roman"/>
          <w:color w:val="000000" w:themeColor="text1"/>
          <w:sz w:val="24"/>
          <w:szCs w:val="24"/>
        </w:rPr>
        <w:t xml:space="preserve">LCD and </w:t>
      </w:r>
      <w:r w:rsidR="008B3EC3">
        <w:rPr>
          <w:rFonts w:ascii="Times New Roman" w:hAnsi="Times New Roman" w:cs="Times New Roman"/>
          <w:color w:val="000000" w:themeColor="text1"/>
          <w:sz w:val="24"/>
          <w:szCs w:val="24"/>
        </w:rPr>
        <w:t>M</w:t>
      </w:r>
      <w:r w:rsidRPr="005717A1">
        <w:rPr>
          <w:rFonts w:ascii="Times New Roman" w:hAnsi="Times New Roman" w:cs="Times New Roman"/>
          <w:color w:val="000000" w:themeColor="text1"/>
          <w:sz w:val="24"/>
          <w:szCs w:val="24"/>
        </w:rPr>
        <w:t xml:space="preserve">editerranean diet amongst 100 individuals with poorly </w:t>
      </w:r>
      <w:r w:rsidRPr="005717A1">
        <w:rPr>
          <w:rFonts w:ascii="Times New Roman" w:hAnsi="Times New Roman" w:cs="Times New Roman"/>
          <w:color w:val="000000" w:themeColor="text1"/>
          <w:sz w:val="24"/>
          <w:szCs w:val="24"/>
        </w:rPr>
        <w:lastRenderedPageBreak/>
        <w:t xml:space="preserve">managed T2DM and overweight or obesity with a 500 </w:t>
      </w:r>
      <w:r w:rsidR="008B3EC3">
        <w:rPr>
          <w:rFonts w:ascii="Times New Roman" w:hAnsi="Times New Roman" w:cs="Times New Roman"/>
          <w:color w:val="000000" w:themeColor="text1"/>
          <w:sz w:val="24"/>
          <w:szCs w:val="24"/>
        </w:rPr>
        <w:t>Kcal</w:t>
      </w:r>
      <w:r w:rsidRPr="005717A1">
        <w:rPr>
          <w:rFonts w:ascii="Times New Roman" w:hAnsi="Times New Roman" w:cs="Times New Roman"/>
          <w:color w:val="000000" w:themeColor="text1"/>
          <w:sz w:val="24"/>
          <w:szCs w:val="24"/>
        </w:rPr>
        <w:t xml:space="preserve"> energy deficit, received 5 meals daily and compliance monitored by </w:t>
      </w:r>
      <w:r w:rsidR="00A31C1B" w:rsidRPr="005717A1">
        <w:rPr>
          <w:rFonts w:ascii="Times New Roman" w:hAnsi="Times New Roman" w:cs="Times New Roman"/>
          <w:color w:val="000000" w:themeColor="text1"/>
          <w:sz w:val="24"/>
          <w:szCs w:val="24"/>
        </w:rPr>
        <w:t>dieticians</w:t>
      </w:r>
      <w:r w:rsidRPr="005717A1">
        <w:rPr>
          <w:rFonts w:ascii="Times New Roman" w:hAnsi="Times New Roman" w:cs="Times New Roman"/>
          <w:color w:val="000000" w:themeColor="text1"/>
          <w:sz w:val="24"/>
          <w:szCs w:val="24"/>
        </w:rPr>
        <w:t xml:space="preserve"> whilst Derrick et al. focused on a</w:t>
      </w:r>
      <w:r w:rsidR="003D68C5" w:rsidRPr="005717A1">
        <w:rPr>
          <w:rFonts w:ascii="Times New Roman" w:hAnsi="Times New Roman" w:cs="Times New Roman"/>
          <w:color w:val="000000" w:themeColor="text1"/>
          <w:sz w:val="24"/>
          <w:szCs w:val="24"/>
        </w:rPr>
        <w:t xml:space="preserve"> </w:t>
      </w:r>
      <w:r w:rsidR="00842ABA">
        <w:rPr>
          <w:rFonts w:ascii="Times New Roman" w:hAnsi="Times New Roman" w:cs="Times New Roman"/>
          <w:color w:val="000000" w:themeColor="text1"/>
          <w:sz w:val="24"/>
          <w:szCs w:val="24"/>
        </w:rPr>
        <w:t>Mediterranean style diet</w:t>
      </w:r>
      <w:r w:rsidRPr="005717A1">
        <w:rPr>
          <w:rFonts w:ascii="Times New Roman" w:hAnsi="Times New Roman" w:cs="Times New Roman"/>
          <w:color w:val="000000" w:themeColor="text1"/>
          <w:sz w:val="24"/>
          <w:szCs w:val="24"/>
        </w:rPr>
        <w:t xml:space="preserve"> combined with weekly physical activity in individuals with T2DM, prediabetes and those metabolically healthy. Both studies observed significant improvements in various metabolic parameters, including weight loss, </w:t>
      </w:r>
      <w:r w:rsidR="005C46E9">
        <w:rPr>
          <w:rFonts w:ascii="Times New Roman" w:hAnsi="Times New Roman" w:cs="Times New Roman"/>
          <w:color w:val="000000" w:themeColor="text1"/>
          <w:sz w:val="24"/>
          <w:szCs w:val="24"/>
        </w:rPr>
        <w:t>BP</w:t>
      </w:r>
      <w:r w:rsidRPr="005717A1">
        <w:rPr>
          <w:rFonts w:ascii="Times New Roman" w:hAnsi="Times New Roman" w:cs="Times New Roman"/>
          <w:color w:val="000000" w:themeColor="text1"/>
          <w:sz w:val="24"/>
          <w:szCs w:val="24"/>
        </w:rPr>
        <w:t xml:space="preserve"> and glucose control. However, Currenti et al. indicated the LCD yielded superior outcomes across multiple parameters</w:t>
      </w:r>
      <w:r w:rsidR="00612C8E">
        <w:rPr>
          <w:rFonts w:ascii="Times New Roman" w:hAnsi="Times New Roman" w:cs="Times New Roman"/>
          <w:color w:val="000000" w:themeColor="text1"/>
          <w:sz w:val="24"/>
          <w:szCs w:val="24"/>
        </w:rPr>
        <w:t xml:space="preserve"> </w:t>
      </w:r>
      <w:r w:rsidR="0080497F">
        <w:rPr>
          <w:rFonts w:ascii="Times New Roman" w:hAnsi="Times New Roman" w:cs="Times New Roman"/>
          <w:color w:val="000000" w:themeColor="text1"/>
          <w:sz w:val="24"/>
          <w:szCs w:val="24"/>
        </w:rPr>
        <w:t>due to &lt; 26% carbohydrates</w:t>
      </w:r>
      <w:r w:rsidRPr="005717A1">
        <w:rPr>
          <w:rFonts w:ascii="Times New Roman" w:hAnsi="Times New Roman" w:cs="Times New Roman"/>
          <w:color w:val="000000" w:themeColor="text1"/>
          <w:sz w:val="24"/>
          <w:szCs w:val="24"/>
        </w:rPr>
        <w:t xml:space="preserve"> compared to the </w:t>
      </w:r>
      <w:r w:rsidR="003D68C5" w:rsidRPr="005717A1">
        <w:rPr>
          <w:rFonts w:ascii="Times New Roman" w:hAnsi="Times New Roman" w:cs="Times New Roman"/>
          <w:color w:val="000000" w:themeColor="text1"/>
          <w:sz w:val="24"/>
          <w:szCs w:val="24"/>
        </w:rPr>
        <w:t xml:space="preserve">Mediterranean </w:t>
      </w:r>
      <w:r w:rsidRPr="005717A1">
        <w:rPr>
          <w:rFonts w:ascii="Times New Roman" w:hAnsi="Times New Roman" w:cs="Times New Roman"/>
          <w:color w:val="000000" w:themeColor="text1"/>
          <w:sz w:val="24"/>
          <w:szCs w:val="24"/>
        </w:rPr>
        <w:t>diet</w:t>
      </w:r>
      <w:r w:rsidR="0080497F">
        <w:rPr>
          <w:rFonts w:ascii="Times New Roman" w:hAnsi="Times New Roman" w:cs="Times New Roman"/>
          <w:color w:val="000000" w:themeColor="text1"/>
          <w:sz w:val="24"/>
          <w:szCs w:val="24"/>
        </w:rPr>
        <w:t xml:space="preserve"> which consisted of 50- 60% carbohydrates</w:t>
      </w:r>
      <w:r w:rsidRPr="005717A1">
        <w:rPr>
          <w:rFonts w:ascii="Times New Roman" w:hAnsi="Times New Roman" w:cs="Times New Roman"/>
          <w:color w:val="000000" w:themeColor="text1"/>
          <w:sz w:val="24"/>
          <w:szCs w:val="24"/>
        </w:rPr>
        <w:t>, including reductions in BMI, blood glucose levels</w:t>
      </w:r>
      <w:r w:rsidR="003920D5">
        <w:rPr>
          <w:rFonts w:ascii="Times New Roman" w:hAnsi="Times New Roman" w:cs="Times New Roman"/>
          <w:color w:val="000000" w:themeColor="text1"/>
          <w:sz w:val="24"/>
          <w:szCs w:val="24"/>
        </w:rPr>
        <w:t>,</w:t>
      </w:r>
      <w:r w:rsidRPr="005717A1">
        <w:rPr>
          <w:rFonts w:ascii="Times New Roman" w:hAnsi="Times New Roman" w:cs="Times New Roman"/>
          <w:color w:val="000000" w:themeColor="text1"/>
          <w:sz w:val="24"/>
          <w:szCs w:val="24"/>
        </w:rPr>
        <w:t xml:space="preserve"> cardiovascular risk indices including reductions in BMI, </w:t>
      </w:r>
      <w:r w:rsidR="005C46E9">
        <w:rPr>
          <w:rFonts w:ascii="Times New Roman" w:hAnsi="Times New Roman" w:cs="Times New Roman"/>
          <w:color w:val="000000" w:themeColor="text1"/>
          <w:sz w:val="24"/>
          <w:szCs w:val="24"/>
        </w:rPr>
        <w:t>BP</w:t>
      </w:r>
      <w:r w:rsidRPr="005717A1">
        <w:rPr>
          <w:rFonts w:ascii="Times New Roman" w:hAnsi="Times New Roman" w:cs="Times New Roman"/>
          <w:color w:val="000000" w:themeColor="text1"/>
          <w:sz w:val="24"/>
          <w:szCs w:val="24"/>
        </w:rPr>
        <w:t>, waist circumference, cholesterol levels, cardiovascular risk indices, renal function; albuminuria, serum creatinine levels and estimated glomerular filtration rate (e-Gfr). Conversely, Derrick et al. demonstrated substantial improvements in fasting plasma glucose levels amongst prediabetic and T2DM participants</w:t>
      </w:r>
      <w:r w:rsidR="00965940">
        <w:rPr>
          <w:rFonts w:ascii="Times New Roman" w:hAnsi="Times New Roman" w:cs="Times New Roman"/>
          <w:color w:val="000000" w:themeColor="text1"/>
          <w:sz w:val="24"/>
          <w:szCs w:val="24"/>
        </w:rPr>
        <w:t xml:space="preserve">, reduction in adiposity, </w:t>
      </w:r>
      <w:r w:rsidRPr="005717A1">
        <w:rPr>
          <w:rFonts w:ascii="Times New Roman" w:hAnsi="Times New Roman" w:cs="Times New Roman"/>
          <w:color w:val="000000" w:themeColor="text1"/>
          <w:sz w:val="24"/>
          <w:szCs w:val="24"/>
        </w:rPr>
        <w:t xml:space="preserve">positive shifts in HbA1c levels (from 6.8 to 6.0%) nearing </w:t>
      </w:r>
      <w:r w:rsidRPr="00AA0F02">
        <w:rPr>
          <w:rFonts w:ascii="Times New Roman" w:hAnsi="Times New Roman" w:cs="Times New Roman"/>
          <w:color w:val="000000" w:themeColor="text1"/>
          <w:sz w:val="24"/>
          <w:szCs w:val="24"/>
        </w:rPr>
        <w:t>prediabetic</w:t>
      </w:r>
      <w:r w:rsidR="00AA0F02" w:rsidRPr="00AA0F02">
        <w:rPr>
          <w:rFonts w:ascii="Times New Roman" w:hAnsi="Times New Roman" w:cs="Times New Roman"/>
          <w:color w:val="000000" w:themeColor="text1"/>
          <w:sz w:val="24"/>
          <w:szCs w:val="24"/>
        </w:rPr>
        <w:t xml:space="preserve"> and normal</w:t>
      </w:r>
      <w:r w:rsidRPr="00AA0F02">
        <w:rPr>
          <w:rFonts w:ascii="Times New Roman" w:hAnsi="Times New Roman" w:cs="Times New Roman"/>
          <w:color w:val="000000" w:themeColor="text1"/>
          <w:sz w:val="24"/>
          <w:szCs w:val="24"/>
        </w:rPr>
        <w:t xml:space="preserve"> levels</w:t>
      </w:r>
      <w:r w:rsidR="00606ACE">
        <w:rPr>
          <w:rFonts w:ascii="Times New Roman" w:hAnsi="Times New Roman" w:cs="Times New Roman"/>
          <w:color w:val="000000" w:themeColor="text1"/>
          <w:sz w:val="24"/>
          <w:szCs w:val="24"/>
        </w:rPr>
        <w:t xml:space="preserve"> </w:t>
      </w:r>
      <w:r w:rsidR="00965940">
        <w:rPr>
          <w:rFonts w:ascii="Times New Roman" w:hAnsi="Times New Roman" w:cs="Times New Roman"/>
          <w:color w:val="000000" w:themeColor="text1"/>
          <w:sz w:val="24"/>
          <w:szCs w:val="24"/>
        </w:rPr>
        <w:t>persistently</w:t>
      </w:r>
      <w:r w:rsidRPr="005717A1">
        <w:rPr>
          <w:rFonts w:ascii="Times New Roman" w:hAnsi="Times New Roman" w:cs="Times New Roman"/>
          <w:color w:val="000000" w:themeColor="text1"/>
          <w:sz w:val="24"/>
          <w:szCs w:val="24"/>
        </w:rPr>
        <w:t xml:space="preserve"> in the T2DM group. D</w:t>
      </w:r>
      <w:r w:rsidR="006C027A">
        <w:rPr>
          <w:rFonts w:ascii="Times New Roman" w:hAnsi="Times New Roman" w:cs="Times New Roman"/>
          <w:color w:val="000000" w:themeColor="text1"/>
          <w:sz w:val="24"/>
          <w:szCs w:val="24"/>
        </w:rPr>
        <w:t>ue to adherence and physical activity</w:t>
      </w:r>
      <w:r w:rsidRPr="005717A1">
        <w:rPr>
          <w:rFonts w:ascii="Times New Roman" w:hAnsi="Times New Roman" w:cs="Times New Roman"/>
          <w:color w:val="000000" w:themeColor="text1"/>
          <w:sz w:val="24"/>
          <w:szCs w:val="24"/>
        </w:rPr>
        <w:t xml:space="preserve"> both studies underscored the potential of dietary interventions in improving glycaemic control and other metabolic parameters.</w:t>
      </w:r>
    </w:p>
    <w:p w14:paraId="3A616A03" w14:textId="79E758C6" w:rsidR="006135D9" w:rsidRPr="005717A1" w:rsidRDefault="006135D9" w:rsidP="00E84CF8">
      <w:pPr>
        <w:spacing w:line="360" w:lineRule="auto"/>
        <w:rPr>
          <w:rFonts w:ascii="Times New Roman" w:hAnsi="Times New Roman" w:cs="Times New Roman"/>
          <w:color w:val="000000" w:themeColor="text1"/>
          <w:sz w:val="24"/>
          <w:szCs w:val="24"/>
        </w:rPr>
      </w:pPr>
      <w:r w:rsidRPr="005717A1">
        <w:rPr>
          <w:rFonts w:ascii="Times New Roman" w:hAnsi="Times New Roman" w:cs="Times New Roman"/>
          <w:color w:val="000000" w:themeColor="text1"/>
          <w:sz w:val="24"/>
          <w:szCs w:val="24"/>
        </w:rPr>
        <w:t>Esposito et al. (2015) conducted meta-analyses and RCTs over a 24-month duration. They reported a significant reduction in HbA1c levels (0.30% to 0.47%) among</w:t>
      </w:r>
      <w:r w:rsidR="003D68C5" w:rsidRPr="005717A1">
        <w:rPr>
          <w:rFonts w:ascii="Times New Roman" w:hAnsi="Times New Roman" w:cs="Times New Roman"/>
          <w:color w:val="000000" w:themeColor="text1"/>
          <w:sz w:val="24"/>
          <w:szCs w:val="24"/>
        </w:rPr>
        <w:t>st</w:t>
      </w:r>
      <w:r w:rsidRPr="005717A1">
        <w:rPr>
          <w:rFonts w:ascii="Times New Roman" w:hAnsi="Times New Roman" w:cs="Times New Roman"/>
          <w:color w:val="000000" w:themeColor="text1"/>
          <w:sz w:val="24"/>
          <w:szCs w:val="24"/>
        </w:rPr>
        <w:t xml:space="preserve"> individuals with T2DM following the Mediterranean diet. Moreover, obese individuals with T2DM experienced a substantial decrease of 0.5% to 1.1% in HbA1c levels over the 24-month period. Additionally, the </w:t>
      </w:r>
      <w:r w:rsidRPr="00612C8E">
        <w:rPr>
          <w:rFonts w:ascii="Times New Roman" w:hAnsi="Times New Roman" w:cs="Times New Roman"/>
          <w:color w:val="000000" w:themeColor="text1"/>
          <w:sz w:val="24"/>
          <w:szCs w:val="24"/>
        </w:rPr>
        <w:t>PREDIMED</w:t>
      </w:r>
      <w:r w:rsidRPr="005717A1">
        <w:rPr>
          <w:rFonts w:ascii="Times New Roman" w:hAnsi="Times New Roman" w:cs="Times New Roman"/>
          <w:color w:val="000000" w:themeColor="text1"/>
          <w:sz w:val="24"/>
          <w:szCs w:val="24"/>
        </w:rPr>
        <w:t xml:space="preserve"> study cited by Esposito et al. reported a significant decline in cardiovascular events risk (from 30% to 28%) among</w:t>
      </w:r>
      <w:r w:rsidR="003D68C5" w:rsidRPr="005717A1">
        <w:rPr>
          <w:rFonts w:ascii="Times New Roman" w:hAnsi="Times New Roman" w:cs="Times New Roman"/>
          <w:color w:val="000000" w:themeColor="text1"/>
          <w:sz w:val="24"/>
          <w:szCs w:val="24"/>
        </w:rPr>
        <w:t xml:space="preserve">st </w:t>
      </w:r>
      <w:r w:rsidRPr="005717A1">
        <w:rPr>
          <w:rFonts w:ascii="Times New Roman" w:hAnsi="Times New Roman" w:cs="Times New Roman"/>
          <w:color w:val="000000" w:themeColor="text1"/>
          <w:sz w:val="24"/>
          <w:szCs w:val="24"/>
        </w:rPr>
        <w:t>newly diagnosed T2DM patients following the Med</w:t>
      </w:r>
      <w:r w:rsidR="005C46E9">
        <w:rPr>
          <w:rFonts w:ascii="Times New Roman" w:hAnsi="Times New Roman" w:cs="Times New Roman"/>
          <w:color w:val="000000" w:themeColor="text1"/>
          <w:sz w:val="24"/>
          <w:szCs w:val="24"/>
        </w:rPr>
        <w:t>iterranean</w:t>
      </w:r>
      <w:r w:rsidRPr="005717A1">
        <w:rPr>
          <w:rFonts w:ascii="Times New Roman" w:hAnsi="Times New Roman" w:cs="Times New Roman"/>
          <w:color w:val="000000" w:themeColor="text1"/>
          <w:sz w:val="24"/>
          <w:szCs w:val="24"/>
        </w:rPr>
        <w:t xml:space="preserve"> diet, slowed the progression of atherosclerosis and decreased the risk of metabolic syndrome (by 15% to 80%), </w:t>
      </w:r>
      <w:r w:rsidR="005C46E9">
        <w:rPr>
          <w:rFonts w:ascii="Times New Roman" w:hAnsi="Times New Roman" w:cs="Times New Roman"/>
          <w:color w:val="000000" w:themeColor="text1"/>
          <w:sz w:val="24"/>
          <w:szCs w:val="24"/>
        </w:rPr>
        <w:t>BP</w:t>
      </w:r>
      <w:r w:rsidRPr="005717A1">
        <w:rPr>
          <w:rFonts w:ascii="Times New Roman" w:hAnsi="Times New Roman" w:cs="Times New Roman"/>
          <w:color w:val="000000" w:themeColor="text1"/>
          <w:sz w:val="24"/>
          <w:szCs w:val="24"/>
        </w:rPr>
        <w:t xml:space="preserve"> (SPB 1.45mmHg, DBP 41mmHg), fasting insulin (-55ul/ml) and FPG (-0.72 mmol/L). Similarly, </w:t>
      </w:r>
      <w:bookmarkStart w:id="14" w:name="_Hlk164021381"/>
      <w:r w:rsidRPr="005717A1">
        <w:rPr>
          <w:rFonts w:ascii="Times New Roman" w:hAnsi="Times New Roman" w:cs="Times New Roman"/>
          <w:color w:val="000000" w:themeColor="text1"/>
          <w:sz w:val="24"/>
          <w:szCs w:val="24"/>
        </w:rPr>
        <w:t>Milenkovic et al</w:t>
      </w:r>
      <w:bookmarkEnd w:id="14"/>
      <w:r w:rsidRPr="005717A1">
        <w:rPr>
          <w:rFonts w:ascii="Times New Roman" w:hAnsi="Times New Roman" w:cs="Times New Roman"/>
          <w:color w:val="000000" w:themeColor="text1"/>
          <w:sz w:val="24"/>
          <w:szCs w:val="24"/>
        </w:rPr>
        <w:t xml:space="preserve">. (2021) conducted a comprehensive review </w:t>
      </w:r>
      <w:r w:rsidR="002A6391">
        <w:rPr>
          <w:rFonts w:ascii="Times New Roman" w:hAnsi="Times New Roman" w:cs="Times New Roman"/>
          <w:color w:val="000000" w:themeColor="text1"/>
          <w:sz w:val="24"/>
          <w:szCs w:val="24"/>
        </w:rPr>
        <w:t>on</w:t>
      </w:r>
      <w:r w:rsidRPr="005717A1">
        <w:rPr>
          <w:rFonts w:ascii="Times New Roman" w:hAnsi="Times New Roman" w:cs="Times New Roman"/>
          <w:color w:val="000000" w:themeColor="text1"/>
          <w:sz w:val="24"/>
          <w:szCs w:val="24"/>
        </w:rPr>
        <w:t xml:space="preserve"> studies from 2013 to 2020. Although the exact duration of the individual studies included in their analysis varied, they observed improvements in glycaemic control with the </w:t>
      </w:r>
      <w:r w:rsidR="00A31C1B" w:rsidRPr="005717A1">
        <w:rPr>
          <w:rFonts w:ascii="Times New Roman" w:hAnsi="Times New Roman" w:cs="Times New Roman"/>
          <w:color w:val="000000" w:themeColor="text1"/>
          <w:sz w:val="24"/>
          <w:szCs w:val="24"/>
        </w:rPr>
        <w:t>Mediterranean</w:t>
      </w:r>
      <w:r w:rsidRPr="005717A1">
        <w:rPr>
          <w:rFonts w:ascii="Times New Roman" w:hAnsi="Times New Roman" w:cs="Times New Roman"/>
          <w:color w:val="000000" w:themeColor="text1"/>
          <w:sz w:val="24"/>
          <w:szCs w:val="24"/>
        </w:rPr>
        <w:t xml:space="preserve"> diet, reporting a reduction in HbA1c levels by 0.47%</w:t>
      </w:r>
      <w:r w:rsidR="005C46E9">
        <w:rPr>
          <w:rFonts w:ascii="Times New Roman" w:hAnsi="Times New Roman" w:cs="Times New Roman"/>
          <w:color w:val="000000" w:themeColor="text1"/>
          <w:sz w:val="24"/>
          <w:szCs w:val="24"/>
        </w:rPr>
        <w:t>,</w:t>
      </w:r>
      <w:r w:rsidR="00A60B8D">
        <w:rPr>
          <w:rFonts w:ascii="Times New Roman" w:hAnsi="Times New Roman" w:cs="Times New Roman"/>
          <w:color w:val="000000" w:themeColor="text1"/>
          <w:sz w:val="24"/>
          <w:szCs w:val="24"/>
        </w:rPr>
        <w:t xml:space="preserve"> weight (</w:t>
      </w:r>
      <w:r w:rsidRPr="005717A1">
        <w:rPr>
          <w:rFonts w:ascii="Times New Roman" w:hAnsi="Times New Roman" w:cs="Times New Roman"/>
          <w:color w:val="000000" w:themeColor="text1"/>
          <w:sz w:val="24"/>
          <w:szCs w:val="24"/>
        </w:rPr>
        <w:t>1.84kg), triglycerides (-0.21 mmol/L) and an increase in HDL cholesterol levels (+0.04 mmol/L) with the Mediterranean diet.</w:t>
      </w:r>
    </w:p>
    <w:p w14:paraId="7DEEB3CC" w14:textId="33637241" w:rsidR="00991265" w:rsidRDefault="006135D9" w:rsidP="00E84CF8">
      <w:pPr>
        <w:spacing w:line="360" w:lineRule="auto"/>
        <w:rPr>
          <w:rFonts w:ascii="Times New Roman" w:hAnsi="Times New Roman" w:cs="Times New Roman"/>
          <w:color w:val="000000" w:themeColor="text1"/>
          <w:sz w:val="24"/>
          <w:szCs w:val="24"/>
        </w:rPr>
      </w:pPr>
      <w:r w:rsidRPr="005717A1">
        <w:rPr>
          <w:rFonts w:ascii="Times New Roman" w:hAnsi="Times New Roman" w:cs="Times New Roman"/>
          <w:color w:val="000000" w:themeColor="text1"/>
          <w:sz w:val="24"/>
          <w:szCs w:val="24"/>
        </w:rPr>
        <w:t xml:space="preserve">Kailatzi et al. (2014) conducted a systematic review synthesizing evidence from 39 studies on the Mediterranean diet's effects on T2DM. Itsiopoulos et al. observed a decrease in HbA1c levels from 7.1% to 6.8% amongst participants adopting the </w:t>
      </w:r>
      <w:r w:rsidR="005C46E9">
        <w:rPr>
          <w:rFonts w:ascii="Times New Roman" w:hAnsi="Times New Roman" w:cs="Times New Roman"/>
          <w:color w:val="000000" w:themeColor="text1"/>
          <w:sz w:val="24"/>
          <w:szCs w:val="24"/>
        </w:rPr>
        <w:t>M</w:t>
      </w:r>
      <w:r w:rsidRPr="005717A1">
        <w:rPr>
          <w:rFonts w:ascii="Times New Roman" w:hAnsi="Times New Roman" w:cs="Times New Roman"/>
          <w:color w:val="000000" w:themeColor="text1"/>
          <w:sz w:val="24"/>
          <w:szCs w:val="24"/>
        </w:rPr>
        <w:t xml:space="preserve">editerranean diet, showcasing </w:t>
      </w:r>
      <w:r w:rsidRPr="005717A1">
        <w:rPr>
          <w:rFonts w:ascii="Times New Roman" w:hAnsi="Times New Roman" w:cs="Times New Roman"/>
          <w:color w:val="000000" w:themeColor="text1"/>
          <w:sz w:val="24"/>
          <w:szCs w:val="24"/>
        </w:rPr>
        <w:lastRenderedPageBreak/>
        <w:t xml:space="preserve">its potential in improving glycaemic control, steatosis in </w:t>
      </w:r>
      <w:r w:rsidR="00612C8E">
        <w:rPr>
          <w:rFonts w:ascii="Times New Roman" w:hAnsi="Times New Roman" w:cs="Times New Roman"/>
          <w:color w:val="000000" w:themeColor="text1"/>
          <w:sz w:val="24"/>
          <w:szCs w:val="24"/>
        </w:rPr>
        <w:t>non-fatty liver disease (</w:t>
      </w:r>
      <w:r w:rsidRPr="00612C8E">
        <w:rPr>
          <w:rFonts w:ascii="Times New Roman" w:hAnsi="Times New Roman" w:cs="Times New Roman"/>
          <w:color w:val="000000" w:themeColor="text1"/>
          <w:sz w:val="24"/>
          <w:szCs w:val="24"/>
        </w:rPr>
        <w:t>NAFLD</w:t>
      </w:r>
      <w:r w:rsidR="00612C8E">
        <w:rPr>
          <w:rFonts w:ascii="Times New Roman" w:hAnsi="Times New Roman" w:cs="Times New Roman"/>
          <w:color w:val="000000" w:themeColor="text1"/>
          <w:sz w:val="24"/>
          <w:szCs w:val="24"/>
        </w:rPr>
        <w:t>)</w:t>
      </w:r>
      <w:r w:rsidRPr="005717A1">
        <w:rPr>
          <w:rFonts w:ascii="Times New Roman" w:hAnsi="Times New Roman" w:cs="Times New Roman"/>
          <w:color w:val="000000" w:themeColor="text1"/>
          <w:sz w:val="24"/>
          <w:szCs w:val="24"/>
        </w:rPr>
        <w:t xml:space="preserve">, alleviate personal and social burdens. Ivan et al. (2022) focused on the Italian ketogenic </w:t>
      </w:r>
      <w:r w:rsidR="005C46E9">
        <w:rPr>
          <w:rFonts w:ascii="Times New Roman" w:hAnsi="Times New Roman" w:cs="Times New Roman"/>
          <w:color w:val="000000" w:themeColor="text1"/>
          <w:sz w:val="24"/>
          <w:szCs w:val="24"/>
        </w:rPr>
        <w:t>M</w:t>
      </w:r>
      <w:r w:rsidRPr="005717A1">
        <w:rPr>
          <w:rFonts w:ascii="Times New Roman" w:hAnsi="Times New Roman" w:cs="Times New Roman"/>
          <w:color w:val="000000" w:themeColor="text1"/>
          <w:sz w:val="24"/>
          <w:szCs w:val="24"/>
        </w:rPr>
        <w:t xml:space="preserve">editerranean diet's impact on overweight and obese individuals with prediabetes or T2DM. Their study involved 80 patients divided into two groups, with one adhering to a </w:t>
      </w:r>
      <w:r w:rsidR="00631320">
        <w:rPr>
          <w:rFonts w:ascii="Times New Roman" w:hAnsi="Times New Roman" w:cs="Times New Roman"/>
          <w:color w:val="000000" w:themeColor="text1"/>
          <w:sz w:val="24"/>
          <w:szCs w:val="24"/>
        </w:rPr>
        <w:t>very low calorie ketogenic Mediterranean diet (</w:t>
      </w:r>
      <w:r w:rsidRPr="00631320">
        <w:rPr>
          <w:rFonts w:ascii="Times New Roman" w:hAnsi="Times New Roman" w:cs="Times New Roman"/>
          <w:color w:val="000000" w:themeColor="text1"/>
          <w:sz w:val="24"/>
          <w:szCs w:val="24"/>
        </w:rPr>
        <w:t>VLCKMED</w:t>
      </w:r>
      <w:r w:rsidR="00631320">
        <w:rPr>
          <w:rFonts w:ascii="Times New Roman" w:hAnsi="Times New Roman" w:cs="Times New Roman"/>
          <w:color w:val="000000" w:themeColor="text1"/>
          <w:sz w:val="24"/>
          <w:szCs w:val="24"/>
        </w:rPr>
        <w:t>)</w:t>
      </w:r>
      <w:r w:rsidR="002A35A7">
        <w:rPr>
          <w:rFonts w:ascii="Times New Roman" w:hAnsi="Times New Roman" w:cs="Times New Roman"/>
          <w:color w:val="000000" w:themeColor="text1"/>
          <w:sz w:val="24"/>
          <w:szCs w:val="24"/>
        </w:rPr>
        <w:t xml:space="preserve"> </w:t>
      </w:r>
      <w:r w:rsidRPr="005717A1">
        <w:rPr>
          <w:rFonts w:ascii="Times New Roman" w:hAnsi="Times New Roman" w:cs="Times New Roman"/>
          <w:color w:val="000000" w:themeColor="text1"/>
          <w:sz w:val="24"/>
          <w:szCs w:val="24"/>
        </w:rPr>
        <w:t xml:space="preserve">and the other to a </w:t>
      </w:r>
      <w:r w:rsidR="00631320">
        <w:rPr>
          <w:rFonts w:ascii="Times New Roman" w:hAnsi="Times New Roman" w:cs="Times New Roman"/>
          <w:color w:val="000000" w:themeColor="text1"/>
          <w:sz w:val="24"/>
          <w:szCs w:val="24"/>
        </w:rPr>
        <w:t>very low-calorie Mediterranean diet (</w:t>
      </w:r>
      <w:r w:rsidRPr="00631320">
        <w:rPr>
          <w:rFonts w:ascii="Times New Roman" w:hAnsi="Times New Roman" w:cs="Times New Roman"/>
          <w:color w:val="000000" w:themeColor="text1"/>
          <w:sz w:val="24"/>
          <w:szCs w:val="24"/>
        </w:rPr>
        <w:t>VLCDMED</w:t>
      </w:r>
      <w:r w:rsidR="00631320" w:rsidRPr="00631320">
        <w:rPr>
          <w:rFonts w:ascii="Times New Roman" w:hAnsi="Times New Roman" w:cs="Times New Roman"/>
          <w:color w:val="000000" w:themeColor="text1"/>
          <w:sz w:val="24"/>
          <w:szCs w:val="24"/>
        </w:rPr>
        <w:t>)</w:t>
      </w:r>
      <w:r w:rsidRPr="005717A1">
        <w:rPr>
          <w:rFonts w:ascii="Times New Roman" w:hAnsi="Times New Roman" w:cs="Times New Roman"/>
          <w:color w:val="000000" w:themeColor="text1"/>
          <w:sz w:val="24"/>
          <w:szCs w:val="24"/>
        </w:rPr>
        <w:t xml:space="preserve"> for 30 days. Both interventions resulted in decreases in body weight and BMI, with the VLCKMED group showing more significant reductions in waist and hip circumferences and fat mass. Significant improvements in fasting blood glucose, HbA1c (p &lt; 0.001), insulin, total cholesterol, LDL and triglycerides were observed only in the </w:t>
      </w:r>
      <w:r w:rsidRPr="00612C8E">
        <w:rPr>
          <w:rFonts w:ascii="Times New Roman" w:hAnsi="Times New Roman" w:cs="Times New Roman"/>
          <w:color w:val="000000" w:themeColor="text1"/>
          <w:sz w:val="24"/>
          <w:szCs w:val="24"/>
        </w:rPr>
        <w:t>VLCKMED group,</w:t>
      </w:r>
      <w:r w:rsidR="00FA68A5" w:rsidRPr="00612C8E">
        <w:rPr>
          <w:rFonts w:ascii="Times New Roman" w:hAnsi="Times New Roman" w:cs="Times New Roman"/>
          <w:sz w:val="24"/>
          <w:szCs w:val="24"/>
        </w:rPr>
        <w:t xml:space="preserve"> as this diet promotes ketone production </w:t>
      </w:r>
      <w:r w:rsidR="00AB29D0">
        <w:rPr>
          <w:rFonts w:ascii="Times New Roman" w:hAnsi="Times New Roman" w:cs="Times New Roman"/>
          <w:sz w:val="24"/>
          <w:szCs w:val="24"/>
        </w:rPr>
        <w:t>that</w:t>
      </w:r>
      <w:r w:rsidR="00FA68A5" w:rsidRPr="00612C8E">
        <w:rPr>
          <w:rFonts w:ascii="Times New Roman" w:hAnsi="Times New Roman" w:cs="Times New Roman"/>
          <w:color w:val="000000" w:themeColor="text1"/>
          <w:sz w:val="24"/>
          <w:szCs w:val="24"/>
        </w:rPr>
        <w:t xml:space="preserve"> induces satiety </w:t>
      </w:r>
      <w:r w:rsidR="002365D8">
        <w:rPr>
          <w:rFonts w:ascii="Times New Roman" w:hAnsi="Times New Roman" w:cs="Times New Roman"/>
          <w:color w:val="000000" w:themeColor="text1"/>
          <w:sz w:val="24"/>
          <w:szCs w:val="24"/>
        </w:rPr>
        <w:t>which</w:t>
      </w:r>
      <w:r w:rsidR="00FA68A5" w:rsidRPr="00612C8E">
        <w:rPr>
          <w:rFonts w:ascii="Times New Roman" w:hAnsi="Times New Roman" w:cs="Times New Roman"/>
          <w:color w:val="000000" w:themeColor="text1"/>
          <w:sz w:val="24"/>
          <w:szCs w:val="24"/>
        </w:rPr>
        <w:t xml:space="preserve"> enhanc</w:t>
      </w:r>
      <w:r w:rsidR="002365D8">
        <w:rPr>
          <w:rFonts w:ascii="Times New Roman" w:hAnsi="Times New Roman" w:cs="Times New Roman"/>
          <w:color w:val="000000" w:themeColor="text1"/>
          <w:sz w:val="24"/>
          <w:szCs w:val="24"/>
        </w:rPr>
        <w:t>ed</w:t>
      </w:r>
      <w:r w:rsidR="00FA68A5" w:rsidRPr="00612C8E">
        <w:rPr>
          <w:rFonts w:ascii="Times New Roman" w:hAnsi="Times New Roman" w:cs="Times New Roman"/>
          <w:color w:val="000000" w:themeColor="text1"/>
          <w:sz w:val="24"/>
          <w:szCs w:val="24"/>
        </w:rPr>
        <w:t xml:space="preserve"> adherence</w:t>
      </w:r>
      <w:r w:rsidR="002365D8">
        <w:rPr>
          <w:rFonts w:ascii="Times New Roman" w:hAnsi="Times New Roman" w:cs="Times New Roman"/>
          <w:color w:val="000000" w:themeColor="text1"/>
          <w:sz w:val="24"/>
          <w:szCs w:val="24"/>
        </w:rPr>
        <w:t>,</w:t>
      </w:r>
      <w:r w:rsidRPr="00612C8E">
        <w:rPr>
          <w:rFonts w:ascii="Times New Roman" w:hAnsi="Times New Roman" w:cs="Times New Roman"/>
          <w:color w:val="000000" w:themeColor="text1"/>
          <w:sz w:val="24"/>
          <w:szCs w:val="24"/>
        </w:rPr>
        <w:t xml:space="preserve"> metabolic and anthropometric metrics swiftly. Whilst both studies demonstrated dietary interventions' potential in improving metabolic parameters, Ivan et al.'s study emphasized the significant improvements observed in the VLCKMED group, particularly in glucose metabolism and lipid profile,</w:t>
      </w:r>
      <w:bookmarkStart w:id="15" w:name="_Hlk164012234"/>
      <w:r w:rsidR="00AD5DAD" w:rsidRPr="00612C8E">
        <w:rPr>
          <w:rFonts w:ascii="Times New Roman" w:hAnsi="Times New Roman" w:cs="Times New Roman"/>
          <w:color w:val="000000" w:themeColor="text1"/>
          <w:sz w:val="24"/>
          <w:szCs w:val="24"/>
        </w:rPr>
        <w:t xml:space="preserve"> compared to the VLCDMED group.</w:t>
      </w:r>
    </w:p>
    <w:p w14:paraId="063D22CC" w14:textId="77777777" w:rsidR="00991265" w:rsidRDefault="0099126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07216038" w14:textId="6C443F64" w:rsidR="009D4C78" w:rsidRPr="007641B4" w:rsidRDefault="007641B4" w:rsidP="00BA543B">
      <w:pPr>
        <w:pStyle w:val="Heading1"/>
        <w:numPr>
          <w:ilvl w:val="0"/>
          <w:numId w:val="1"/>
        </w:numPr>
        <w:rPr>
          <w:b/>
        </w:rPr>
      </w:pPr>
      <w:bookmarkStart w:id="16" w:name="_Toc164363463"/>
      <w:r w:rsidRPr="007641B4">
        <w:rPr>
          <w:b/>
        </w:rPr>
        <w:lastRenderedPageBreak/>
        <w:t>Conclusion</w:t>
      </w:r>
      <w:r w:rsidR="008C20BC">
        <w:rPr>
          <w:b/>
        </w:rPr>
        <w:t>/ Recommendations</w:t>
      </w:r>
      <w:bookmarkEnd w:id="16"/>
    </w:p>
    <w:p w14:paraId="722313FB" w14:textId="77777777" w:rsidR="00EC76F6" w:rsidRPr="00EC76F6" w:rsidRDefault="00EC76F6" w:rsidP="00EC76F6"/>
    <w:bookmarkEnd w:id="15"/>
    <w:p w14:paraId="75D2C9F6" w14:textId="2FCE5241" w:rsidR="00456A6D" w:rsidRDefault="007641B4" w:rsidP="007641B4">
      <w:pPr>
        <w:spacing w:line="360" w:lineRule="auto"/>
        <w:rPr>
          <w:rFonts w:ascii="Times New Roman" w:hAnsi="Times New Roman" w:cs="Times New Roman"/>
          <w:color w:val="000000" w:themeColor="text1"/>
          <w:sz w:val="24"/>
          <w:szCs w:val="24"/>
        </w:rPr>
      </w:pPr>
      <w:r w:rsidRPr="00DD2D69">
        <w:rPr>
          <w:rFonts w:ascii="Times New Roman" w:hAnsi="Times New Roman" w:cs="Times New Roman"/>
          <w:color w:val="000000" w:themeColor="text1"/>
          <w:sz w:val="24"/>
          <w:szCs w:val="24"/>
        </w:rPr>
        <w:t xml:space="preserve">Essentially, </w:t>
      </w:r>
      <w:bookmarkStart w:id="17" w:name="_Hlk164182984"/>
      <w:r w:rsidR="00AD7B98">
        <w:rPr>
          <w:rFonts w:ascii="Times New Roman" w:hAnsi="Times New Roman" w:cs="Times New Roman"/>
          <w:color w:val="000000" w:themeColor="text1"/>
          <w:sz w:val="24"/>
          <w:szCs w:val="24"/>
        </w:rPr>
        <w:t>low glycaemic</w:t>
      </w:r>
      <w:r w:rsidR="00F52C19">
        <w:rPr>
          <w:rFonts w:ascii="Times New Roman" w:hAnsi="Times New Roman" w:cs="Times New Roman"/>
          <w:color w:val="000000" w:themeColor="text1"/>
          <w:sz w:val="24"/>
          <w:szCs w:val="24"/>
        </w:rPr>
        <w:t xml:space="preserve"> index</w:t>
      </w:r>
      <w:r w:rsidR="00AD7B98">
        <w:rPr>
          <w:rFonts w:ascii="Times New Roman" w:hAnsi="Times New Roman" w:cs="Times New Roman"/>
          <w:color w:val="000000" w:themeColor="text1"/>
          <w:sz w:val="24"/>
          <w:szCs w:val="24"/>
        </w:rPr>
        <w:t>, low carbohydrate, vegetarian/ vegan and Mediterranean</w:t>
      </w:r>
      <w:r>
        <w:rPr>
          <w:rFonts w:ascii="Times New Roman" w:hAnsi="Times New Roman" w:cs="Times New Roman"/>
          <w:color w:val="000000" w:themeColor="text1"/>
          <w:sz w:val="24"/>
          <w:szCs w:val="24"/>
        </w:rPr>
        <w:t xml:space="preserve"> dietary regimens</w:t>
      </w:r>
      <w:r w:rsidRPr="00DD2D69">
        <w:rPr>
          <w:rFonts w:ascii="Times New Roman" w:hAnsi="Times New Roman" w:cs="Times New Roman"/>
          <w:color w:val="000000" w:themeColor="text1"/>
          <w:sz w:val="24"/>
          <w:szCs w:val="24"/>
        </w:rPr>
        <w:t xml:space="preserve"> have demonstrated efficacy in enhancing </w:t>
      </w:r>
      <w:r>
        <w:rPr>
          <w:rFonts w:ascii="Times New Roman" w:hAnsi="Times New Roman" w:cs="Times New Roman"/>
          <w:color w:val="000000" w:themeColor="text1"/>
          <w:sz w:val="24"/>
          <w:szCs w:val="24"/>
        </w:rPr>
        <w:t>HbA1c levels</w:t>
      </w:r>
      <w:r w:rsidRPr="00DD2D69">
        <w:rPr>
          <w:rFonts w:ascii="Times New Roman" w:hAnsi="Times New Roman" w:cs="Times New Roman"/>
          <w:color w:val="000000" w:themeColor="text1"/>
          <w:sz w:val="24"/>
          <w:szCs w:val="24"/>
        </w:rPr>
        <w:t xml:space="preserve"> for treating and managing </w:t>
      </w:r>
      <w:r>
        <w:rPr>
          <w:rFonts w:ascii="Times New Roman" w:hAnsi="Times New Roman" w:cs="Times New Roman"/>
          <w:color w:val="000000" w:themeColor="text1"/>
          <w:sz w:val="24"/>
          <w:szCs w:val="24"/>
        </w:rPr>
        <w:t>T2DM</w:t>
      </w:r>
      <w:r w:rsidRPr="00DD2D69">
        <w:rPr>
          <w:rFonts w:ascii="Times New Roman" w:hAnsi="Times New Roman" w:cs="Times New Roman"/>
          <w:color w:val="000000" w:themeColor="text1"/>
          <w:sz w:val="24"/>
          <w:szCs w:val="24"/>
        </w:rPr>
        <w:t xml:space="preserve"> in adults over 18 years old. </w:t>
      </w:r>
      <w:r>
        <w:rPr>
          <w:rFonts w:ascii="Times New Roman" w:hAnsi="Times New Roman" w:cs="Times New Roman"/>
          <w:color w:val="000000" w:themeColor="text1"/>
          <w:sz w:val="24"/>
          <w:szCs w:val="24"/>
        </w:rPr>
        <w:t>Vegetarian/ vegan diets</w:t>
      </w:r>
      <w:r w:rsidRPr="00DD2D69">
        <w:rPr>
          <w:rFonts w:ascii="Times New Roman" w:hAnsi="Times New Roman" w:cs="Times New Roman"/>
          <w:color w:val="000000" w:themeColor="text1"/>
          <w:sz w:val="24"/>
          <w:szCs w:val="24"/>
        </w:rPr>
        <w:t xml:space="preserve"> are equally effective as omnivorous</w:t>
      </w:r>
      <w:r>
        <w:rPr>
          <w:rFonts w:ascii="Times New Roman" w:hAnsi="Times New Roman" w:cs="Times New Roman"/>
          <w:color w:val="000000" w:themeColor="text1"/>
          <w:sz w:val="24"/>
          <w:szCs w:val="24"/>
        </w:rPr>
        <w:t xml:space="preserve"> diets</w:t>
      </w:r>
      <w:r w:rsidRPr="00DD2D69">
        <w:rPr>
          <w:rFonts w:ascii="Times New Roman" w:hAnsi="Times New Roman" w:cs="Times New Roman"/>
          <w:color w:val="000000" w:themeColor="text1"/>
          <w:sz w:val="24"/>
          <w:szCs w:val="24"/>
        </w:rPr>
        <w:t>, showing significant improvements in glycaemic control (measured by HbA1c) among</w:t>
      </w:r>
      <w:r>
        <w:rPr>
          <w:rFonts w:ascii="Times New Roman" w:hAnsi="Times New Roman" w:cs="Times New Roman"/>
          <w:color w:val="000000" w:themeColor="text1"/>
          <w:sz w:val="24"/>
          <w:szCs w:val="24"/>
        </w:rPr>
        <w:t>st</w:t>
      </w:r>
      <w:r w:rsidRPr="00DD2D69">
        <w:rPr>
          <w:rFonts w:ascii="Times New Roman" w:hAnsi="Times New Roman" w:cs="Times New Roman"/>
          <w:color w:val="000000" w:themeColor="text1"/>
          <w:sz w:val="24"/>
          <w:szCs w:val="24"/>
        </w:rPr>
        <w:t xml:space="preserve"> individuals with </w:t>
      </w:r>
      <w:r>
        <w:rPr>
          <w:rFonts w:ascii="Times New Roman" w:hAnsi="Times New Roman" w:cs="Times New Roman"/>
          <w:color w:val="000000" w:themeColor="text1"/>
          <w:sz w:val="24"/>
          <w:szCs w:val="24"/>
        </w:rPr>
        <w:t>T2DM</w:t>
      </w:r>
      <w:bookmarkEnd w:id="17"/>
      <w:r w:rsidRPr="00DD2D6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5717A1">
        <w:rPr>
          <w:rFonts w:ascii="Times New Roman" w:hAnsi="Times New Roman" w:cs="Times New Roman"/>
          <w:color w:val="000000" w:themeColor="text1"/>
          <w:sz w:val="24"/>
          <w:szCs w:val="24"/>
        </w:rPr>
        <w:t xml:space="preserve">Robust adherence </w:t>
      </w:r>
      <w:r w:rsidR="009E1B41">
        <w:rPr>
          <w:rFonts w:ascii="Times New Roman" w:hAnsi="Times New Roman" w:cs="Times New Roman"/>
          <w:color w:val="000000" w:themeColor="text1"/>
          <w:sz w:val="24"/>
          <w:szCs w:val="24"/>
        </w:rPr>
        <w:t xml:space="preserve">and in some instances physical activity </w:t>
      </w:r>
      <w:r w:rsidRPr="005717A1">
        <w:rPr>
          <w:rFonts w:ascii="Times New Roman" w:hAnsi="Times New Roman" w:cs="Times New Roman"/>
          <w:color w:val="000000" w:themeColor="text1"/>
          <w:sz w:val="24"/>
          <w:szCs w:val="24"/>
        </w:rPr>
        <w:t>yield</w:t>
      </w:r>
      <w:r>
        <w:rPr>
          <w:rFonts w:ascii="Times New Roman" w:hAnsi="Times New Roman" w:cs="Times New Roman"/>
          <w:color w:val="000000" w:themeColor="text1"/>
          <w:sz w:val="24"/>
          <w:szCs w:val="24"/>
        </w:rPr>
        <w:t>ed</w:t>
      </w:r>
      <w:r w:rsidRPr="005717A1">
        <w:rPr>
          <w:rFonts w:ascii="Times New Roman" w:hAnsi="Times New Roman" w:cs="Times New Roman"/>
          <w:color w:val="000000" w:themeColor="text1"/>
          <w:sz w:val="24"/>
          <w:szCs w:val="24"/>
        </w:rPr>
        <w:t xml:space="preserve"> favourable metabolic outcomes, encompassing</w:t>
      </w:r>
      <w:r w:rsidR="00950CED">
        <w:rPr>
          <w:rFonts w:ascii="Times New Roman" w:hAnsi="Times New Roman" w:cs="Times New Roman"/>
          <w:color w:val="000000" w:themeColor="text1"/>
          <w:sz w:val="24"/>
          <w:szCs w:val="24"/>
        </w:rPr>
        <w:t xml:space="preserve"> discontinuation/</w:t>
      </w:r>
      <w:r w:rsidR="007740A6">
        <w:rPr>
          <w:rFonts w:ascii="Times New Roman" w:hAnsi="Times New Roman" w:cs="Times New Roman"/>
          <w:color w:val="000000" w:themeColor="text1"/>
          <w:sz w:val="24"/>
          <w:szCs w:val="24"/>
        </w:rPr>
        <w:t xml:space="preserve"> </w:t>
      </w:r>
      <w:r w:rsidRPr="005717A1">
        <w:rPr>
          <w:rFonts w:ascii="Times New Roman" w:hAnsi="Times New Roman" w:cs="Times New Roman"/>
          <w:color w:val="000000" w:themeColor="text1"/>
          <w:sz w:val="24"/>
          <w:szCs w:val="24"/>
        </w:rPr>
        <w:t>reductions in</w:t>
      </w:r>
      <w:r>
        <w:rPr>
          <w:rFonts w:ascii="Times New Roman" w:hAnsi="Times New Roman" w:cs="Times New Roman"/>
          <w:color w:val="000000" w:themeColor="text1"/>
          <w:sz w:val="24"/>
          <w:szCs w:val="24"/>
        </w:rPr>
        <w:t xml:space="preserve"> </w:t>
      </w:r>
      <w:r w:rsidRPr="005717A1">
        <w:rPr>
          <w:rFonts w:ascii="Times New Roman" w:hAnsi="Times New Roman" w:cs="Times New Roman"/>
          <w:color w:val="000000" w:themeColor="text1"/>
          <w:sz w:val="24"/>
          <w:szCs w:val="24"/>
        </w:rPr>
        <w:t>reliance on diabetes and hypertension medication, various anthropometric measures including BMI</w:t>
      </w:r>
      <w:r>
        <w:rPr>
          <w:rFonts w:ascii="Times New Roman" w:hAnsi="Times New Roman" w:cs="Times New Roman"/>
          <w:color w:val="000000" w:themeColor="text1"/>
          <w:sz w:val="24"/>
          <w:szCs w:val="24"/>
        </w:rPr>
        <w:t>,</w:t>
      </w:r>
      <w:r w:rsidRPr="005717A1">
        <w:rPr>
          <w:rFonts w:ascii="Times New Roman" w:hAnsi="Times New Roman" w:cs="Times New Roman"/>
          <w:color w:val="000000" w:themeColor="text1"/>
          <w:sz w:val="24"/>
          <w:szCs w:val="24"/>
        </w:rPr>
        <w:t xml:space="preserve"> mitigation of cardiovascular risks, fostering favourable alterations in lipid profiles</w:t>
      </w:r>
      <w:r w:rsidR="00606ACE">
        <w:rPr>
          <w:rFonts w:ascii="Times New Roman" w:hAnsi="Times New Roman" w:cs="Times New Roman"/>
          <w:color w:val="000000" w:themeColor="text1"/>
          <w:sz w:val="24"/>
          <w:szCs w:val="24"/>
        </w:rPr>
        <w:t xml:space="preserve"> and renal function</w:t>
      </w:r>
      <w:r w:rsidRPr="005717A1">
        <w:rPr>
          <w:rFonts w:ascii="Times New Roman" w:hAnsi="Times New Roman" w:cs="Times New Roman"/>
          <w:color w:val="000000" w:themeColor="text1"/>
          <w:sz w:val="24"/>
          <w:szCs w:val="24"/>
        </w:rPr>
        <w:t>. While LCDs excelled in mitigating symptoms associated with diabetic neuropathy,</w:t>
      </w:r>
      <w:r>
        <w:rPr>
          <w:rFonts w:ascii="Times New Roman" w:hAnsi="Times New Roman" w:cs="Times New Roman"/>
          <w:color w:val="000000" w:themeColor="text1"/>
          <w:sz w:val="24"/>
          <w:szCs w:val="24"/>
        </w:rPr>
        <w:t xml:space="preserve"> </w:t>
      </w:r>
      <w:r w:rsidR="00A31C1B">
        <w:rPr>
          <w:rFonts w:ascii="Times New Roman" w:hAnsi="Times New Roman" w:cs="Times New Roman"/>
          <w:color w:val="000000" w:themeColor="text1"/>
          <w:sz w:val="24"/>
          <w:szCs w:val="24"/>
        </w:rPr>
        <w:t>Mediterranean</w:t>
      </w:r>
      <w:r>
        <w:rPr>
          <w:rFonts w:ascii="Times New Roman" w:hAnsi="Times New Roman" w:cs="Times New Roman"/>
          <w:color w:val="000000" w:themeColor="text1"/>
          <w:sz w:val="24"/>
          <w:szCs w:val="24"/>
        </w:rPr>
        <w:t xml:space="preserve"> diet</w:t>
      </w:r>
      <w:r w:rsidRPr="005717A1">
        <w:rPr>
          <w:rFonts w:ascii="Times New Roman" w:hAnsi="Times New Roman" w:cs="Times New Roman"/>
          <w:color w:val="000000" w:themeColor="text1"/>
          <w:sz w:val="24"/>
          <w:szCs w:val="24"/>
        </w:rPr>
        <w:t xml:space="preserve"> offered distinct advantages in attenuating microvascular complications, ameliorating liver steatosis in </w:t>
      </w:r>
      <w:r w:rsidRPr="00963B54">
        <w:rPr>
          <w:rFonts w:ascii="Times New Roman" w:hAnsi="Times New Roman" w:cs="Times New Roman"/>
          <w:color w:val="000000" w:themeColor="text1"/>
          <w:sz w:val="24"/>
          <w:szCs w:val="24"/>
        </w:rPr>
        <w:t>NAFLD</w:t>
      </w:r>
      <w:r>
        <w:rPr>
          <w:rFonts w:ascii="Times New Roman" w:hAnsi="Times New Roman" w:cs="Times New Roman"/>
          <w:color w:val="000000" w:themeColor="text1"/>
          <w:sz w:val="24"/>
          <w:szCs w:val="24"/>
        </w:rPr>
        <w:t xml:space="preserve">, </w:t>
      </w:r>
      <w:r w:rsidRPr="005717A1">
        <w:rPr>
          <w:rFonts w:ascii="Times New Roman" w:hAnsi="Times New Roman" w:cs="Times New Roman"/>
          <w:color w:val="000000" w:themeColor="text1"/>
          <w:sz w:val="24"/>
          <w:szCs w:val="24"/>
        </w:rPr>
        <w:t xml:space="preserve">retarding the progression of atherosclerosis and metabolic syndrome. </w:t>
      </w:r>
      <w:r>
        <w:rPr>
          <w:rFonts w:ascii="Times New Roman" w:hAnsi="Times New Roman" w:cs="Times New Roman"/>
          <w:color w:val="000000" w:themeColor="text1"/>
          <w:sz w:val="24"/>
          <w:szCs w:val="24"/>
        </w:rPr>
        <w:t>Particularly noteworthy is the M</w:t>
      </w:r>
      <w:r w:rsidRPr="005717A1">
        <w:rPr>
          <w:rFonts w:ascii="Times New Roman" w:hAnsi="Times New Roman" w:cs="Times New Roman"/>
          <w:color w:val="000000" w:themeColor="text1"/>
          <w:sz w:val="24"/>
          <w:szCs w:val="24"/>
        </w:rPr>
        <w:t>editerranean diet's potential for inducing diabetes remission</w:t>
      </w:r>
      <w:r>
        <w:rPr>
          <w:rFonts w:ascii="Times New Roman" w:hAnsi="Times New Roman" w:cs="Times New Roman"/>
          <w:color w:val="000000" w:themeColor="text1"/>
          <w:sz w:val="24"/>
          <w:szCs w:val="24"/>
        </w:rPr>
        <w:t xml:space="preserve"> </w:t>
      </w:r>
      <w:r w:rsidRPr="005717A1">
        <w:rPr>
          <w:rFonts w:ascii="Times New Roman" w:hAnsi="Times New Roman" w:cs="Times New Roman"/>
          <w:color w:val="000000" w:themeColor="text1"/>
          <w:sz w:val="24"/>
          <w:szCs w:val="24"/>
        </w:rPr>
        <w:t>and augmenting gut microbiota, with discernible benefits typically manifesting more rapidly in the short term compared to protracted durations.</w:t>
      </w:r>
      <w:r w:rsidRPr="00842ABA">
        <w:t xml:space="preserve"> </w:t>
      </w:r>
      <w:r>
        <w:rPr>
          <w:rFonts w:ascii="Times New Roman" w:hAnsi="Times New Roman" w:cs="Times New Roman"/>
          <w:color w:val="000000" w:themeColor="text1"/>
          <w:sz w:val="24"/>
          <w:szCs w:val="24"/>
        </w:rPr>
        <w:t>The vegan/vegetarian</w:t>
      </w:r>
      <w:r w:rsidRPr="00842ABA">
        <w:rPr>
          <w:rFonts w:ascii="Times New Roman" w:hAnsi="Times New Roman" w:cs="Times New Roman"/>
          <w:color w:val="000000" w:themeColor="text1"/>
          <w:sz w:val="24"/>
          <w:szCs w:val="24"/>
        </w:rPr>
        <w:t xml:space="preserve"> and Mediterranean diets exhibit greater sustainability.</w:t>
      </w:r>
      <w:r w:rsidRPr="005717A1">
        <w:rPr>
          <w:rFonts w:ascii="Times New Roman" w:hAnsi="Times New Roman" w:cs="Times New Roman"/>
          <w:color w:val="000000" w:themeColor="text1"/>
          <w:sz w:val="24"/>
          <w:szCs w:val="24"/>
        </w:rPr>
        <w:t xml:space="preserve"> </w:t>
      </w:r>
      <w:r w:rsidR="009E1B41">
        <w:rPr>
          <w:rFonts w:ascii="Times New Roman" w:hAnsi="Times New Roman" w:cs="Times New Roman"/>
          <w:color w:val="000000" w:themeColor="text1"/>
          <w:sz w:val="24"/>
          <w:szCs w:val="24"/>
        </w:rPr>
        <w:t xml:space="preserve">Nutritional education and social support bolster dietary adherence. However, the </w:t>
      </w:r>
      <w:r w:rsidRPr="00965C6E">
        <w:rPr>
          <w:rFonts w:ascii="Times New Roman" w:hAnsi="Times New Roman" w:cs="Times New Roman"/>
          <w:color w:val="000000" w:themeColor="text1"/>
          <w:sz w:val="24"/>
          <w:szCs w:val="24"/>
        </w:rPr>
        <w:t>adoption of any dietary regimen hinges on an individual's adherence level, influenced by factors including personal preference, current lifestyle, religious beliefs, cultural practices, economic considerations like affordability and accessibility to ingredients. Moreover, it's crucial to customize dietary recommendations according to an individual's preferences and specific requirements</w:t>
      </w:r>
      <w:r>
        <w:rPr>
          <w:rFonts w:ascii="Times New Roman" w:hAnsi="Times New Roman" w:cs="Times New Roman"/>
          <w:color w:val="000000" w:themeColor="text1"/>
          <w:sz w:val="24"/>
          <w:szCs w:val="24"/>
        </w:rPr>
        <w:t xml:space="preserve"> for the treatment and management of T2DM</w:t>
      </w:r>
      <w:r w:rsidRPr="00965C6E">
        <w:rPr>
          <w:rFonts w:ascii="Times New Roman" w:hAnsi="Times New Roman" w:cs="Times New Roman"/>
          <w:color w:val="000000" w:themeColor="text1"/>
          <w:sz w:val="24"/>
          <w:szCs w:val="24"/>
        </w:rPr>
        <w:t>.</w:t>
      </w:r>
    </w:p>
    <w:p w14:paraId="44AB27C4" w14:textId="77777777" w:rsidR="00DD6C84" w:rsidRDefault="00DD6C84" w:rsidP="00DD6C84">
      <w:pPr>
        <w:pStyle w:val="Heading2"/>
        <w:numPr>
          <w:ilvl w:val="1"/>
          <w:numId w:val="1"/>
        </w:numPr>
        <w:rPr>
          <w:b/>
        </w:rPr>
      </w:pPr>
      <w:bookmarkStart w:id="18" w:name="_Toc164363464"/>
      <w:r>
        <w:rPr>
          <w:b/>
        </w:rPr>
        <w:t>Strengths</w:t>
      </w:r>
      <w:bookmarkEnd w:id="18"/>
    </w:p>
    <w:p w14:paraId="752150A2" w14:textId="77777777" w:rsidR="00DD6C84" w:rsidRDefault="00DD6C84" w:rsidP="00DD6C84">
      <w:pPr>
        <w:spacing w:line="360" w:lineRule="auto"/>
      </w:pPr>
    </w:p>
    <w:p w14:paraId="1A1F4D2A" w14:textId="77777777" w:rsidR="00DD6C84" w:rsidRDefault="00DD6C84" w:rsidP="00DD6C84">
      <w:pPr>
        <w:spacing w:line="360" w:lineRule="auto"/>
        <w:rPr>
          <w:rFonts w:ascii="Times New Roman" w:hAnsi="Times New Roman" w:cs="Times New Roman"/>
          <w:sz w:val="24"/>
          <w:szCs w:val="24"/>
        </w:rPr>
      </w:pPr>
      <w:r w:rsidRPr="00971C47">
        <w:rPr>
          <w:rFonts w:ascii="Times New Roman" w:hAnsi="Times New Roman" w:cs="Times New Roman"/>
          <w:sz w:val="24"/>
          <w:szCs w:val="24"/>
        </w:rPr>
        <w:t>The meta-analysis employed rigorous methods to detect bias and assess outcomes, providing a comprehensive understanding of dietary regimens and safety. Community volunteers were involved in several studies, enhancing applicability. Randomized designs, control groups and adequate observation periods ensured robust evaluations for clinical changes. Ivan et al. pioneered Italy's first nutritional intervention focusing on VLCKD and Mediterranean diet without phyto extracts or medications briefly. In some studies, participants acted as their own controls, receiving provided meals, bolstering adherence and generalizability.</w:t>
      </w:r>
    </w:p>
    <w:p w14:paraId="3DE016E7" w14:textId="5981B262" w:rsidR="00DD6C84" w:rsidRPr="00DD6C84" w:rsidRDefault="00DD6C84" w:rsidP="00DD6C84">
      <w:pPr>
        <w:pStyle w:val="Heading2"/>
        <w:numPr>
          <w:ilvl w:val="1"/>
          <w:numId w:val="1"/>
        </w:numPr>
        <w:rPr>
          <w:b/>
        </w:rPr>
      </w:pPr>
      <w:r w:rsidRPr="00DD6C84">
        <w:rPr>
          <w:b/>
        </w:rPr>
        <w:lastRenderedPageBreak/>
        <w:t xml:space="preserve"> </w:t>
      </w:r>
      <w:bookmarkStart w:id="19" w:name="_Toc164363465"/>
      <w:r w:rsidRPr="00DD6C84">
        <w:rPr>
          <w:b/>
        </w:rPr>
        <w:t>Limitations</w:t>
      </w:r>
      <w:bookmarkEnd w:id="19"/>
    </w:p>
    <w:p w14:paraId="58DB832B" w14:textId="77777777" w:rsidR="00DD6C84" w:rsidRPr="00363AE6" w:rsidRDefault="00DD6C84" w:rsidP="00DD6C84"/>
    <w:p w14:paraId="7843EDFF" w14:textId="77777777" w:rsidR="00DD6C84" w:rsidRDefault="00DD6C84" w:rsidP="00DD6C84">
      <w:pPr>
        <w:spacing w:line="360" w:lineRule="auto"/>
        <w:rPr>
          <w:rFonts w:ascii="Times New Roman" w:hAnsi="Times New Roman" w:cs="Times New Roman"/>
          <w:bCs/>
          <w:color w:val="000000" w:themeColor="text1"/>
          <w:sz w:val="24"/>
          <w:szCs w:val="24"/>
        </w:rPr>
      </w:pPr>
      <w:r w:rsidRPr="00363AE6">
        <w:rPr>
          <w:rFonts w:ascii="Times New Roman" w:hAnsi="Times New Roman" w:cs="Times New Roman"/>
          <w:bCs/>
          <w:color w:val="000000" w:themeColor="text1"/>
          <w:sz w:val="24"/>
          <w:szCs w:val="24"/>
        </w:rPr>
        <w:t>A common challenge across the studies was a high risk of bias, particularly related to performance bias. Additionally, inadequate data on renal safety and poor compliance due to travel and social gatherings were noted. Inconsistencies in test meal composition also complicated result interpretation. The COVID-19 pandemic disrupted some studies, leading to extended diet phases for participants. Small sample sizes and lack of stratification by sex reduced statistical power. Lastly, the absence of markers of skeletal metabolism due to the unavailability of muscle biopsies further limited data interpretation.</w:t>
      </w:r>
    </w:p>
    <w:p w14:paraId="610E469F" w14:textId="77777777" w:rsidR="00DD6C84" w:rsidRPr="00DD6C84" w:rsidRDefault="00DD6C84" w:rsidP="00DD6C84">
      <w:pPr>
        <w:pStyle w:val="Heading2"/>
        <w:numPr>
          <w:ilvl w:val="1"/>
          <w:numId w:val="1"/>
        </w:numPr>
        <w:rPr>
          <w:b/>
        </w:rPr>
      </w:pPr>
      <w:bookmarkStart w:id="20" w:name="_Toc164363466"/>
      <w:r w:rsidRPr="00DD6C84">
        <w:rPr>
          <w:b/>
        </w:rPr>
        <w:t>Gaps</w:t>
      </w:r>
      <w:bookmarkEnd w:id="20"/>
      <w:r w:rsidRPr="00DD6C84">
        <w:rPr>
          <w:b/>
        </w:rPr>
        <w:t xml:space="preserve"> </w:t>
      </w:r>
    </w:p>
    <w:p w14:paraId="7BB82CAE" w14:textId="77777777" w:rsidR="00DD6C84" w:rsidRPr="00363AE6" w:rsidRDefault="00DD6C84" w:rsidP="00DD6C84"/>
    <w:p w14:paraId="63971721" w14:textId="77777777" w:rsidR="00DD6C84" w:rsidRDefault="00DD6C84" w:rsidP="00DD6C84">
      <w:pPr>
        <w:spacing w:line="360" w:lineRule="auto"/>
        <w:rPr>
          <w:rFonts w:ascii="Times New Roman" w:hAnsi="Times New Roman" w:cs="Times New Roman"/>
          <w:bCs/>
          <w:color w:val="000000" w:themeColor="text1"/>
          <w:sz w:val="24"/>
          <w:szCs w:val="24"/>
        </w:rPr>
      </w:pPr>
      <w:r w:rsidRPr="00363AE6">
        <w:rPr>
          <w:rFonts w:ascii="Times New Roman" w:hAnsi="Times New Roman" w:cs="Times New Roman"/>
          <w:bCs/>
          <w:color w:val="000000" w:themeColor="text1"/>
          <w:sz w:val="24"/>
          <w:szCs w:val="24"/>
        </w:rPr>
        <w:t>There is a paucity of journals specifically addressing the LGI diet within the relevant literature.</w:t>
      </w:r>
    </w:p>
    <w:p w14:paraId="796AD1B9" w14:textId="77777777" w:rsidR="00DD6C84" w:rsidRPr="00DD6C84" w:rsidRDefault="00DD6C84" w:rsidP="00DD6C84">
      <w:pPr>
        <w:pStyle w:val="Heading2"/>
        <w:numPr>
          <w:ilvl w:val="1"/>
          <w:numId w:val="1"/>
        </w:numPr>
        <w:rPr>
          <w:b/>
        </w:rPr>
      </w:pPr>
      <w:bookmarkStart w:id="21" w:name="_Toc164363467"/>
      <w:r w:rsidRPr="00DD6C84">
        <w:rPr>
          <w:b/>
        </w:rPr>
        <w:t>Practical Implications</w:t>
      </w:r>
      <w:bookmarkEnd w:id="21"/>
    </w:p>
    <w:p w14:paraId="11FC8C1D" w14:textId="77777777" w:rsidR="00DD6C84" w:rsidRPr="00971C47" w:rsidRDefault="00DD6C84" w:rsidP="00DD6C84"/>
    <w:p w14:paraId="2097E936" w14:textId="51884139" w:rsidR="00DD6C84" w:rsidRDefault="00DD6C84" w:rsidP="00DD6C84">
      <w:pPr>
        <w:spacing w:line="360" w:lineRule="auto"/>
        <w:rPr>
          <w:rFonts w:ascii="Times New Roman" w:hAnsi="Times New Roman" w:cs="Times New Roman"/>
          <w:color w:val="000000" w:themeColor="text1"/>
          <w:sz w:val="24"/>
          <w:szCs w:val="24"/>
        </w:rPr>
      </w:pPr>
      <w:r w:rsidRPr="00066AD4">
        <w:rPr>
          <w:rFonts w:ascii="Times New Roman" w:hAnsi="Times New Roman" w:cs="Times New Roman"/>
          <w:color w:val="000000" w:themeColor="text1"/>
          <w:sz w:val="24"/>
          <w:szCs w:val="24"/>
        </w:rPr>
        <w:t xml:space="preserve">This research offers insights into employing dietary regimens as non-pharmacological interventions for </w:t>
      </w:r>
      <w:r>
        <w:rPr>
          <w:rFonts w:ascii="Times New Roman" w:hAnsi="Times New Roman" w:cs="Times New Roman"/>
          <w:color w:val="000000" w:themeColor="text1"/>
          <w:sz w:val="24"/>
          <w:szCs w:val="24"/>
        </w:rPr>
        <w:t>T2DM</w:t>
      </w:r>
      <w:r w:rsidRPr="00066AD4">
        <w:rPr>
          <w:rFonts w:ascii="Times New Roman" w:hAnsi="Times New Roman" w:cs="Times New Roman"/>
          <w:color w:val="000000" w:themeColor="text1"/>
          <w:sz w:val="24"/>
          <w:szCs w:val="24"/>
        </w:rPr>
        <w:t>. Such insights empower healthcare professionals, public health policymakers and educational institutions to make informed decisions concerning lifestyle adjustments, improve nutritional literacy</w:t>
      </w:r>
      <w:r w:rsidR="00087AC8">
        <w:rPr>
          <w:rFonts w:ascii="Times New Roman" w:hAnsi="Times New Roman" w:cs="Times New Roman"/>
          <w:color w:val="000000" w:themeColor="text1"/>
          <w:sz w:val="24"/>
          <w:szCs w:val="24"/>
        </w:rPr>
        <w:t xml:space="preserve"> </w:t>
      </w:r>
      <w:r w:rsidRPr="00066AD4">
        <w:rPr>
          <w:rFonts w:ascii="Times New Roman" w:hAnsi="Times New Roman" w:cs="Times New Roman"/>
          <w:color w:val="000000" w:themeColor="text1"/>
          <w:sz w:val="24"/>
          <w:szCs w:val="24"/>
        </w:rPr>
        <w:t xml:space="preserve">and enhance clinical outcomes. Consequently, this approach </w:t>
      </w:r>
      <w:r w:rsidR="00087AC8">
        <w:rPr>
          <w:rFonts w:ascii="Times New Roman" w:hAnsi="Times New Roman" w:cs="Times New Roman"/>
          <w:color w:val="000000" w:themeColor="text1"/>
          <w:sz w:val="24"/>
          <w:szCs w:val="24"/>
        </w:rPr>
        <w:t>can</w:t>
      </w:r>
      <w:r w:rsidRPr="00066AD4">
        <w:rPr>
          <w:rFonts w:ascii="Times New Roman" w:hAnsi="Times New Roman" w:cs="Times New Roman"/>
          <w:color w:val="000000" w:themeColor="text1"/>
          <w:sz w:val="24"/>
          <w:szCs w:val="24"/>
        </w:rPr>
        <w:t xml:space="preserve"> mitigate the health, social and economic burdens associated with </w:t>
      </w:r>
      <w:r>
        <w:rPr>
          <w:rFonts w:ascii="Times New Roman" w:hAnsi="Times New Roman" w:cs="Times New Roman"/>
          <w:color w:val="000000" w:themeColor="text1"/>
          <w:sz w:val="24"/>
          <w:szCs w:val="24"/>
        </w:rPr>
        <w:t>T2DM</w:t>
      </w:r>
      <w:r w:rsidRPr="00066AD4">
        <w:rPr>
          <w:rFonts w:ascii="Times New Roman" w:hAnsi="Times New Roman" w:cs="Times New Roman"/>
          <w:color w:val="000000" w:themeColor="text1"/>
          <w:sz w:val="24"/>
          <w:szCs w:val="24"/>
        </w:rPr>
        <w:t>.</w:t>
      </w:r>
    </w:p>
    <w:p w14:paraId="13EBEF3A" w14:textId="77777777" w:rsidR="00EA2ED5" w:rsidRPr="00DD6C84" w:rsidRDefault="00EA2ED5" w:rsidP="00EA2ED5">
      <w:pPr>
        <w:pStyle w:val="Heading2"/>
        <w:numPr>
          <w:ilvl w:val="1"/>
          <w:numId w:val="1"/>
        </w:numPr>
        <w:rPr>
          <w:b/>
        </w:rPr>
      </w:pPr>
      <w:bookmarkStart w:id="22" w:name="_Toc164363468"/>
      <w:r w:rsidRPr="00DD6C84">
        <w:rPr>
          <w:b/>
        </w:rPr>
        <w:t>Future Research</w:t>
      </w:r>
      <w:bookmarkEnd w:id="22"/>
      <w:r w:rsidRPr="00DD6C84">
        <w:rPr>
          <w:b/>
        </w:rPr>
        <w:t xml:space="preserve"> </w:t>
      </w:r>
    </w:p>
    <w:p w14:paraId="5D453659" w14:textId="77777777" w:rsidR="00EA2ED5" w:rsidRPr="00363AE6" w:rsidRDefault="00EA2ED5" w:rsidP="00EA2ED5"/>
    <w:p w14:paraId="4342C99A" w14:textId="738C23F1" w:rsidR="00EA2ED5" w:rsidRDefault="00EA2ED5" w:rsidP="00EA2ED5">
      <w:pPr>
        <w:spacing w:line="360" w:lineRule="auto"/>
        <w:rPr>
          <w:rFonts w:ascii="Times New Roman" w:hAnsi="Times New Roman" w:cs="Times New Roman"/>
          <w:color w:val="000000" w:themeColor="text1"/>
          <w:sz w:val="24"/>
          <w:szCs w:val="24"/>
        </w:rPr>
      </w:pPr>
      <w:r w:rsidRPr="005717A1">
        <w:rPr>
          <w:rFonts w:ascii="Times New Roman" w:hAnsi="Times New Roman" w:cs="Times New Roman"/>
          <w:color w:val="000000" w:themeColor="text1"/>
          <w:sz w:val="24"/>
          <w:szCs w:val="24"/>
        </w:rPr>
        <w:t xml:space="preserve">Future research should aim to </w:t>
      </w:r>
      <w:r w:rsidRPr="00EC76F6">
        <w:rPr>
          <w:rFonts w:ascii="Times New Roman" w:hAnsi="Times New Roman" w:cs="Times New Roman"/>
          <w:color w:val="000000" w:themeColor="text1"/>
          <w:sz w:val="24"/>
          <w:szCs w:val="24"/>
        </w:rPr>
        <w:t>elucidate</w:t>
      </w:r>
      <w:r w:rsidRPr="005717A1">
        <w:rPr>
          <w:rFonts w:ascii="Times New Roman" w:hAnsi="Times New Roman" w:cs="Times New Roman"/>
          <w:color w:val="000000" w:themeColor="text1"/>
          <w:sz w:val="24"/>
          <w:szCs w:val="24"/>
        </w:rPr>
        <w:t xml:space="preserve"> the role of dietary interventions in preventing and managing prediabetes,</w:t>
      </w:r>
      <w:r>
        <w:rPr>
          <w:rFonts w:ascii="Times New Roman" w:hAnsi="Times New Roman" w:cs="Times New Roman"/>
          <w:color w:val="000000" w:themeColor="text1"/>
          <w:sz w:val="24"/>
          <w:szCs w:val="24"/>
        </w:rPr>
        <w:t xml:space="preserve"> </w:t>
      </w:r>
      <w:r w:rsidRPr="005717A1">
        <w:rPr>
          <w:rFonts w:ascii="Times New Roman" w:hAnsi="Times New Roman" w:cs="Times New Roman"/>
          <w:color w:val="000000" w:themeColor="text1"/>
          <w:sz w:val="24"/>
          <w:szCs w:val="24"/>
        </w:rPr>
        <w:t xml:space="preserve">T2DM and obesity. </w:t>
      </w:r>
      <w:r w:rsidRPr="005717A1">
        <w:rPr>
          <w:rFonts w:ascii="Times New Roman" w:hAnsi="Times New Roman" w:cs="Times New Roman"/>
          <w:bCs/>
          <w:color w:val="000000" w:themeColor="text1"/>
          <w:sz w:val="24"/>
          <w:szCs w:val="24"/>
        </w:rPr>
        <w:t>Some studies overlook</w:t>
      </w:r>
      <w:r>
        <w:rPr>
          <w:rFonts w:ascii="Times New Roman" w:hAnsi="Times New Roman" w:cs="Times New Roman"/>
          <w:bCs/>
          <w:color w:val="000000" w:themeColor="text1"/>
          <w:sz w:val="24"/>
          <w:szCs w:val="24"/>
        </w:rPr>
        <w:t xml:space="preserve">ed </w:t>
      </w:r>
      <w:r w:rsidRPr="005717A1">
        <w:rPr>
          <w:rFonts w:ascii="Times New Roman" w:hAnsi="Times New Roman" w:cs="Times New Roman"/>
          <w:bCs/>
          <w:color w:val="000000" w:themeColor="text1"/>
          <w:sz w:val="24"/>
          <w:szCs w:val="24"/>
        </w:rPr>
        <w:t>the broader ramifications of dietary interventions, failing to address their potential effects on physiological systems beyond cardiometabolic health.</w:t>
      </w:r>
      <w:r>
        <w:rPr>
          <w:rFonts w:ascii="Times New Roman" w:hAnsi="Times New Roman" w:cs="Times New Roman"/>
          <w:bCs/>
          <w:color w:val="000000" w:themeColor="text1"/>
          <w:sz w:val="24"/>
          <w:szCs w:val="24"/>
        </w:rPr>
        <w:t xml:space="preserve"> </w:t>
      </w:r>
      <w:r w:rsidRPr="005717A1">
        <w:rPr>
          <w:rFonts w:ascii="Times New Roman" w:hAnsi="Times New Roman" w:cs="Times New Roman"/>
          <w:color w:val="000000" w:themeColor="text1"/>
          <w:sz w:val="24"/>
          <w:szCs w:val="24"/>
        </w:rPr>
        <w:t xml:space="preserve">Longitudinal studies are crucial to assess the sustained efficacy of </w:t>
      </w:r>
      <w:r w:rsidR="004937BD">
        <w:rPr>
          <w:rFonts w:ascii="Times New Roman" w:hAnsi="Times New Roman" w:cs="Times New Roman"/>
          <w:color w:val="000000" w:themeColor="text1"/>
          <w:sz w:val="24"/>
          <w:szCs w:val="24"/>
        </w:rPr>
        <w:t>various</w:t>
      </w:r>
      <w:r w:rsidRPr="005717A1">
        <w:rPr>
          <w:rFonts w:ascii="Times New Roman" w:hAnsi="Times New Roman" w:cs="Times New Roman"/>
          <w:color w:val="000000" w:themeColor="text1"/>
          <w:sz w:val="24"/>
          <w:szCs w:val="24"/>
        </w:rPr>
        <w:t xml:space="preserve"> dietary approaches and explore underlying mechanisms. Large-scale studies are needed to enhance statistical power and generalizability. Improving dietary compliance and adherence should be prioritized in future trials to maximize the effectiveness of interventions. Moreover, investigations into whether these dietary regimens enhance retention and adherence rates are warranted. Lastly, there is a need </w:t>
      </w:r>
      <w:r w:rsidRPr="005717A1">
        <w:rPr>
          <w:rFonts w:ascii="Times New Roman" w:hAnsi="Times New Roman" w:cs="Times New Roman"/>
          <w:color w:val="000000" w:themeColor="text1"/>
          <w:sz w:val="24"/>
          <w:szCs w:val="24"/>
        </w:rPr>
        <w:lastRenderedPageBreak/>
        <w:t>for consensus on the definition of diabetes remission, particularly regarding the criteria for HbA1c/fasting glucose levels, medication use and follow-up duration.</w:t>
      </w:r>
    </w:p>
    <w:p w14:paraId="4E98AA70" w14:textId="77777777" w:rsidR="00EA2ED5" w:rsidRDefault="00EA2ED5" w:rsidP="00DD6C84">
      <w:pPr>
        <w:spacing w:line="360" w:lineRule="auto"/>
        <w:rPr>
          <w:rFonts w:ascii="Times New Roman" w:hAnsi="Times New Roman" w:cs="Times New Roman"/>
          <w:color w:val="000000" w:themeColor="text1"/>
          <w:sz w:val="24"/>
          <w:szCs w:val="24"/>
        </w:rPr>
      </w:pPr>
    </w:p>
    <w:p w14:paraId="054526D8" w14:textId="77777777" w:rsidR="00DD6C84" w:rsidRDefault="00DD6C84" w:rsidP="007641B4">
      <w:pPr>
        <w:spacing w:line="360" w:lineRule="auto"/>
        <w:rPr>
          <w:rFonts w:ascii="Times New Roman" w:hAnsi="Times New Roman" w:cs="Times New Roman"/>
          <w:color w:val="000000" w:themeColor="text1"/>
          <w:sz w:val="24"/>
          <w:szCs w:val="24"/>
        </w:rPr>
      </w:pPr>
    </w:p>
    <w:p w14:paraId="3EC35503" w14:textId="77777777" w:rsidR="00EC76F6" w:rsidRPr="00EC76F6" w:rsidRDefault="00EC76F6" w:rsidP="00EC76F6"/>
    <w:p w14:paraId="15CBB4D5" w14:textId="15958E4C" w:rsidR="00EC76F6" w:rsidRDefault="00AD5DAD" w:rsidP="00EC76F6">
      <w:pPr>
        <w:spacing w:line="360" w:lineRule="auto"/>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rPr>
        <w:br w:type="page"/>
      </w:r>
    </w:p>
    <w:p w14:paraId="61D5526F" w14:textId="5F8D49F6" w:rsidR="00BD1A58" w:rsidRDefault="002315DC" w:rsidP="00E742B7">
      <w:pPr>
        <w:pStyle w:val="Heading1"/>
        <w:numPr>
          <w:ilvl w:val="0"/>
          <w:numId w:val="1"/>
        </w:numPr>
        <w:rPr>
          <w:b/>
        </w:rPr>
      </w:pPr>
      <w:bookmarkStart w:id="23" w:name="_Toc164363469"/>
      <w:r w:rsidRPr="00AD5DAD">
        <w:rPr>
          <w:b/>
        </w:rPr>
        <w:lastRenderedPageBreak/>
        <w:t>References</w:t>
      </w:r>
      <w:bookmarkEnd w:id="23"/>
      <w:r w:rsidRPr="00AD5DAD">
        <w:rPr>
          <w:b/>
        </w:rPr>
        <w:t xml:space="preserve"> </w:t>
      </w:r>
    </w:p>
    <w:p w14:paraId="670F2F80" w14:textId="77777777" w:rsidR="007641B4" w:rsidRPr="007641B4" w:rsidRDefault="007641B4" w:rsidP="007641B4"/>
    <w:p w14:paraId="4FC848DC" w14:textId="248DD815"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Al-Adwi, M.E., Al-Haswsa, Z.M., Alhmmadi, K.M., Eissa, Y.A., Hamdan, A., Bawadi, H. and Tayyem, R.F. (2023). Effects of different diets on glycemic control among patients with type 2 diabetes: A literature review. </w:t>
      </w:r>
      <w:r w:rsidRPr="007641B4">
        <w:rPr>
          <w:rFonts w:ascii="Times New Roman" w:hAnsi="Times New Roman" w:cs="Times New Roman"/>
          <w:i/>
          <w:iCs/>
          <w:sz w:val="24"/>
          <w:szCs w:val="24"/>
          <w:lang w:val="en-US"/>
          <w14:ligatures w14:val="standardContextual"/>
        </w:rPr>
        <w:t>Nutrition and Health</w:t>
      </w:r>
      <w:r w:rsidRPr="007641B4">
        <w:rPr>
          <w:rFonts w:ascii="Times New Roman" w:hAnsi="Times New Roman" w:cs="Times New Roman"/>
          <w:sz w:val="24"/>
          <w:szCs w:val="24"/>
          <w:lang w:val="en-US"/>
          <w14:ligatures w14:val="standardContextual"/>
        </w:rPr>
        <w:t xml:space="preserve">, 29(2), pp.215–221. </w:t>
      </w:r>
      <w:bookmarkStart w:id="24" w:name="_Hlk164104479"/>
      <w:r w:rsidRPr="007641B4">
        <w:rPr>
          <w:rFonts w:ascii="Times New Roman" w:hAnsi="Times New Roman" w:cs="Times New Roman"/>
          <w:sz w:val="24"/>
          <w:szCs w:val="24"/>
          <w:lang w:val="en-US"/>
          <w14:ligatures w14:val="standardContextual"/>
        </w:rPr>
        <w:t xml:space="preserve">Available at </w:t>
      </w:r>
      <w:bookmarkEnd w:id="24"/>
      <w:r w:rsidRPr="007641B4">
        <w:rPr>
          <w:rFonts w:ascii="Times New Roman" w:hAnsi="Times New Roman" w:cs="Times New Roman"/>
          <w:sz w:val="24"/>
          <w:szCs w:val="24"/>
          <w:lang w:val="en-US"/>
          <w14:ligatures w14:val="standardContextual"/>
        </w:rPr>
        <w:t>:</w:t>
      </w:r>
      <w:hyperlink r:id="rId19" w:history="1">
        <w:r w:rsidR="00F83316" w:rsidRPr="001D4608">
          <w:rPr>
            <w:rStyle w:val="Hyperlink"/>
            <w:rFonts w:ascii="Times New Roman" w:hAnsi="Times New Roman" w:cs="Times New Roman"/>
            <w:color w:val="000000" w:themeColor="text1"/>
            <w:sz w:val="24"/>
            <w:szCs w:val="24"/>
            <w:u w:val="none"/>
            <w:lang w:val="en-US"/>
            <w14:ligatures w14:val="standardContextual"/>
          </w:rPr>
          <w:t>https://doi.org/10.1177/02601060221112805</w:t>
        </w:r>
      </w:hyperlink>
    </w:p>
    <w:p w14:paraId="51A00646" w14:textId="72E49699"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Alam, S., Hasan, M.K., Neaz, S., Hussain, N., Hossain, M.F. and Rahman, T. (2021). Diabetes Mellitus: Insights from Epidemiology, Biochemistry, Risk Factors, Diagnosis, Complications and Comprehensive Management. </w:t>
      </w:r>
      <w:r w:rsidRPr="007641B4">
        <w:rPr>
          <w:rFonts w:ascii="Times New Roman" w:hAnsi="Times New Roman" w:cs="Times New Roman"/>
          <w:i/>
          <w:iCs/>
          <w:sz w:val="24"/>
          <w:szCs w:val="24"/>
          <w:lang w:val="en-US"/>
          <w14:ligatures w14:val="standardContextual"/>
        </w:rPr>
        <w:t>Diabetology</w:t>
      </w:r>
      <w:r w:rsidRPr="007641B4">
        <w:rPr>
          <w:rFonts w:ascii="Times New Roman" w:hAnsi="Times New Roman" w:cs="Times New Roman"/>
          <w:sz w:val="24"/>
          <w:szCs w:val="24"/>
          <w:lang w:val="en-US"/>
          <w14:ligatures w14:val="standardContextual"/>
        </w:rPr>
        <w:t xml:space="preserve">, 2(2), pp.36–50. Available at: </w:t>
      </w:r>
      <w:hyperlink r:id="rId20" w:history="1">
        <w:r w:rsidR="00E87403" w:rsidRPr="001D4608">
          <w:rPr>
            <w:rStyle w:val="Hyperlink"/>
            <w:rFonts w:ascii="Times New Roman" w:hAnsi="Times New Roman" w:cs="Times New Roman"/>
            <w:color w:val="000000" w:themeColor="text1"/>
            <w:sz w:val="24"/>
            <w:szCs w:val="24"/>
            <w:u w:val="none"/>
            <w:lang w:val="en-US"/>
            <w14:ligatures w14:val="standardContextual"/>
          </w:rPr>
          <w:t>https://doi.org/10.3390/diabetology2020004</w:t>
        </w:r>
      </w:hyperlink>
    </w:p>
    <w:p w14:paraId="031D89EB" w14:textId="53E0DA66"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Ang, G.Y. (2020). Age of onset of diabetes and all-cause mortality. </w:t>
      </w:r>
      <w:r w:rsidRPr="007641B4">
        <w:rPr>
          <w:rFonts w:ascii="Times New Roman" w:hAnsi="Times New Roman" w:cs="Times New Roman"/>
          <w:i/>
          <w:iCs/>
          <w:sz w:val="24"/>
          <w:szCs w:val="24"/>
          <w:lang w:val="en-US"/>
          <w14:ligatures w14:val="standardContextual"/>
        </w:rPr>
        <w:t>World Journal of Diabetes</w:t>
      </w:r>
      <w:r w:rsidRPr="007641B4">
        <w:rPr>
          <w:rFonts w:ascii="Times New Roman" w:hAnsi="Times New Roman" w:cs="Times New Roman"/>
          <w:sz w:val="24"/>
          <w:szCs w:val="24"/>
          <w:lang w:val="en-US"/>
          <w14:ligatures w14:val="standardContextual"/>
        </w:rPr>
        <w:t>,  11(4), pp.95–99. Available at :</w:t>
      </w:r>
      <w:hyperlink r:id="rId21" w:history="1">
        <w:r w:rsidR="00E87403" w:rsidRPr="001D4608">
          <w:rPr>
            <w:rStyle w:val="Hyperlink"/>
            <w:rFonts w:ascii="Times New Roman" w:hAnsi="Times New Roman" w:cs="Times New Roman"/>
            <w:color w:val="000000" w:themeColor="text1"/>
            <w:sz w:val="24"/>
            <w:szCs w:val="24"/>
            <w:u w:val="none"/>
            <w:lang w:val="en-US"/>
            <w14:ligatures w14:val="standardContextual"/>
          </w:rPr>
          <w:t>https://doi.org/10.4239/wjd.v11.i4.95</w:t>
        </w:r>
      </w:hyperlink>
    </w:p>
    <w:p w14:paraId="1F40B1B9" w14:textId="0B4644C1"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Argiana, V., Kanellos, P.Τ., Makrilakis, K., Eleftheriadou, I., Tsitsinakis, G., Kokkinos, A., Perrea, D. and Tentolouris, N. (2014). The effect of consumption of low-glycemic-index and low-glycemic-load desserts on anthropometric parameters and inflammatory markers in patients with type 2 diabetes mellitus. </w:t>
      </w:r>
      <w:r w:rsidRPr="007641B4">
        <w:rPr>
          <w:rFonts w:ascii="Times New Roman" w:hAnsi="Times New Roman" w:cs="Times New Roman"/>
          <w:i/>
          <w:iCs/>
          <w:sz w:val="24"/>
          <w:szCs w:val="24"/>
          <w:lang w:val="en-US"/>
          <w14:ligatures w14:val="standardContextual"/>
        </w:rPr>
        <w:t>European Journal of Nutrition</w:t>
      </w:r>
      <w:r w:rsidRPr="007641B4">
        <w:rPr>
          <w:rFonts w:ascii="Times New Roman" w:hAnsi="Times New Roman" w:cs="Times New Roman"/>
          <w:sz w:val="24"/>
          <w:szCs w:val="24"/>
          <w:lang w:val="en-US"/>
          <w14:ligatures w14:val="standardContextual"/>
        </w:rPr>
        <w:t>, 54(7), pp.1173–1180. Available at :</w:t>
      </w:r>
      <w:hyperlink r:id="rId22" w:history="1">
        <w:r w:rsidR="00E87403" w:rsidRPr="001D4608">
          <w:rPr>
            <w:rStyle w:val="Hyperlink"/>
            <w:rFonts w:ascii="Times New Roman" w:hAnsi="Times New Roman" w:cs="Times New Roman"/>
            <w:color w:val="000000" w:themeColor="text1"/>
            <w:sz w:val="24"/>
            <w:szCs w:val="24"/>
            <w:u w:val="none"/>
            <w:lang w:val="en-US"/>
            <w14:ligatures w14:val="standardContextual"/>
          </w:rPr>
          <w:t>https://doi.org/10.1007/s00394-014-0795-8</w:t>
        </w:r>
      </w:hyperlink>
    </w:p>
    <w:p w14:paraId="0FEEC647" w14:textId="105A93F2"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Artasensi, A., Pedretti, A., Vistoli, G. and Fumagalli, L. (2020). Type 2 Diabetes Mellitus: A Review of Multi-Target Drugs. </w:t>
      </w:r>
      <w:r w:rsidRPr="007641B4">
        <w:rPr>
          <w:rFonts w:ascii="Times New Roman" w:hAnsi="Times New Roman" w:cs="Times New Roman"/>
          <w:i/>
          <w:iCs/>
          <w:sz w:val="24"/>
          <w:szCs w:val="24"/>
          <w:lang w:val="en-US"/>
          <w14:ligatures w14:val="standardContextual"/>
        </w:rPr>
        <w:t>Molecules</w:t>
      </w:r>
      <w:r w:rsidRPr="007641B4">
        <w:rPr>
          <w:rFonts w:ascii="Times New Roman" w:hAnsi="Times New Roman" w:cs="Times New Roman"/>
          <w:sz w:val="24"/>
          <w:szCs w:val="24"/>
          <w:lang w:val="en-US"/>
          <w14:ligatures w14:val="standardContextual"/>
        </w:rPr>
        <w:t xml:space="preserve">, 25(8), pp.1987. Available at </w:t>
      </w:r>
      <w:hyperlink r:id="rId23" w:history="1">
        <w:r w:rsidR="00E87403" w:rsidRPr="001D4608">
          <w:rPr>
            <w:rStyle w:val="Hyperlink"/>
            <w:rFonts w:ascii="Times New Roman" w:hAnsi="Times New Roman" w:cs="Times New Roman"/>
            <w:color w:val="000000" w:themeColor="text1"/>
            <w:sz w:val="24"/>
            <w:szCs w:val="24"/>
            <w:u w:val="none"/>
            <w:lang w:val="en-US"/>
            <w14:ligatures w14:val="standardContextual"/>
          </w:rPr>
          <w:t>https://doi.org/10.3390/molecules25081987</w:t>
        </w:r>
      </w:hyperlink>
    </w:p>
    <w:p w14:paraId="56394185" w14:textId="7A262613"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Atkinson, M.A., Campbell-Thompson, M., Kusmartseva, I. and Kaestner, K.H. (2020). Organisation of the human pancreas in health and in diabetes. </w:t>
      </w:r>
      <w:r w:rsidRPr="007641B4">
        <w:rPr>
          <w:rFonts w:ascii="Times New Roman" w:hAnsi="Times New Roman" w:cs="Times New Roman"/>
          <w:i/>
          <w:iCs/>
          <w:sz w:val="24"/>
          <w:szCs w:val="24"/>
          <w:lang w:val="en-US"/>
          <w14:ligatures w14:val="standardContextual"/>
        </w:rPr>
        <w:t>Diabetologia</w:t>
      </w:r>
      <w:r w:rsidRPr="007641B4">
        <w:rPr>
          <w:rFonts w:ascii="Times New Roman" w:hAnsi="Times New Roman" w:cs="Times New Roman"/>
          <w:sz w:val="24"/>
          <w:szCs w:val="24"/>
          <w:lang w:val="en-US"/>
          <w14:ligatures w14:val="standardContextual"/>
        </w:rPr>
        <w:t>, 63(10), pp.1966–1973. Available at :</w:t>
      </w:r>
      <w:hyperlink r:id="rId24" w:history="1">
        <w:r w:rsidR="00E87403" w:rsidRPr="001D4608">
          <w:rPr>
            <w:rStyle w:val="Hyperlink"/>
            <w:rFonts w:ascii="Times New Roman" w:hAnsi="Times New Roman" w:cs="Times New Roman"/>
            <w:color w:val="000000" w:themeColor="text1"/>
            <w:sz w:val="24"/>
            <w:szCs w:val="24"/>
            <w:u w:val="none"/>
            <w:lang w:val="en-US"/>
            <w14:ligatures w14:val="standardContextual"/>
          </w:rPr>
          <w:t>https://doi.org/10.1007/s00125-020-05203-7</w:t>
        </w:r>
      </w:hyperlink>
    </w:p>
    <w:p w14:paraId="4EAA3284" w14:textId="6F12EEE4" w:rsidR="00BD1A58" w:rsidRPr="00460DB4" w:rsidRDefault="00BD1A58" w:rsidP="00460DB4">
      <w:pPr>
        <w:spacing w:after="240" w:line="360" w:lineRule="auto"/>
        <w:rPr>
          <w:rFonts w:ascii="Times New Roman" w:eastAsia="Times New Roman" w:hAnsi="Times New Roman" w:cs="Times New Roman"/>
          <w:sz w:val="24"/>
          <w:szCs w:val="24"/>
        </w:rPr>
      </w:pPr>
      <w:r w:rsidRPr="007641B4">
        <w:rPr>
          <w:rFonts w:ascii="Times New Roman" w:eastAsia="Times New Roman" w:hAnsi="Times New Roman" w:cs="Times New Roman"/>
          <w:sz w:val="24"/>
          <w:szCs w:val="24"/>
        </w:rPr>
        <w:t xml:space="preserve">Baik, D. and Bird, K. (2022). </w:t>
      </w:r>
      <w:r w:rsidRPr="007641B4">
        <w:rPr>
          <w:rFonts w:ascii="Times New Roman" w:eastAsia="Times New Roman" w:hAnsi="Times New Roman" w:cs="Times New Roman"/>
          <w:i/>
          <w:iCs/>
          <w:sz w:val="24"/>
          <w:szCs w:val="24"/>
        </w:rPr>
        <w:t>Dietary Lifestyle Changes</w:t>
      </w:r>
      <w:r w:rsidRPr="007641B4">
        <w:rPr>
          <w:rFonts w:ascii="Times New Roman" w:eastAsia="Times New Roman" w:hAnsi="Times New Roman" w:cs="Times New Roman"/>
          <w:sz w:val="24"/>
          <w:szCs w:val="24"/>
        </w:rPr>
        <w:t>. [online] PubMed. Available at: https://www.ncbi.nlm.nih.gov/books/NBK587401/ (Accessed: 5 January 2024).</w:t>
      </w:r>
    </w:p>
    <w:p w14:paraId="7260D3E2" w14:textId="0C0C1371"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Bano, G. (2013). Glucose homeostasis, obesity and diabetes. </w:t>
      </w:r>
      <w:r w:rsidRPr="007641B4">
        <w:rPr>
          <w:rFonts w:ascii="Times New Roman" w:hAnsi="Times New Roman" w:cs="Times New Roman"/>
          <w:i/>
          <w:iCs/>
          <w:sz w:val="24"/>
          <w:szCs w:val="24"/>
          <w:lang w:val="en-US"/>
          <w14:ligatures w14:val="standardContextual"/>
        </w:rPr>
        <w:t>Best practice &amp; research. Clinical obstetrics &amp; gynaecology</w:t>
      </w:r>
      <w:r w:rsidRPr="007641B4">
        <w:rPr>
          <w:rFonts w:ascii="Times New Roman" w:hAnsi="Times New Roman" w:cs="Times New Roman"/>
          <w:sz w:val="24"/>
          <w:szCs w:val="24"/>
          <w:lang w:val="en-US"/>
          <w14:ligatures w14:val="standardContextual"/>
        </w:rPr>
        <w:t>, 27(5), pp.715–26. Available at :</w:t>
      </w:r>
      <w:hyperlink r:id="rId25" w:history="1">
        <w:r w:rsidR="00E87403" w:rsidRPr="001D4608">
          <w:rPr>
            <w:rStyle w:val="Hyperlink"/>
            <w:rFonts w:ascii="Times New Roman" w:hAnsi="Times New Roman" w:cs="Times New Roman"/>
            <w:color w:val="000000" w:themeColor="text1"/>
            <w:sz w:val="24"/>
            <w:szCs w:val="24"/>
            <w:u w:val="none"/>
            <w:lang w:val="en-US"/>
            <w14:ligatures w14:val="standardContextual"/>
          </w:rPr>
          <w:t>https://doi.org/10.1016/j.bpobgyn.2013.02.007</w:t>
        </w:r>
      </w:hyperlink>
    </w:p>
    <w:p w14:paraId="07AD6E74" w14:textId="32BD6DB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Barber, T.M., Hanson, P., Kabisch, S., Pfeiffer, A.F.H. and Weickert, M.O. (2021). The Low-</w:t>
      </w:r>
      <w:r w:rsidRPr="007641B4">
        <w:rPr>
          <w:rFonts w:ascii="Times New Roman" w:hAnsi="Times New Roman" w:cs="Times New Roman"/>
          <w:sz w:val="24"/>
          <w:szCs w:val="24"/>
          <w:lang w:val="en-US"/>
          <w14:ligatures w14:val="standardContextual"/>
        </w:rPr>
        <w:lastRenderedPageBreak/>
        <w:t xml:space="preserve">Carbohydrate Diet: Short-Term Metabolic Efficacy Versus Longer-Term Limitations.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 13(4). Available at :</w:t>
      </w:r>
      <w:hyperlink r:id="rId26" w:history="1">
        <w:r w:rsidR="00E87403" w:rsidRPr="001D4608">
          <w:rPr>
            <w:rStyle w:val="Hyperlink"/>
            <w:rFonts w:ascii="Times New Roman" w:hAnsi="Times New Roman" w:cs="Times New Roman"/>
            <w:color w:val="000000" w:themeColor="text1"/>
            <w:sz w:val="24"/>
            <w:szCs w:val="24"/>
            <w:u w:val="none"/>
            <w:lang w:val="en-US"/>
            <w14:ligatures w14:val="standardContextual"/>
          </w:rPr>
          <w:t>https://doi.org/10.3390/nu13041187</w:t>
        </w:r>
      </w:hyperlink>
    </w:p>
    <w:p w14:paraId="23731A9B" w14:textId="26E51176"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Barker, M.M., Zaccardi, F., Brady, E.M., Gulsin, G.S., Hall, A.P., Henson, J., Htike, Z.Z., Khunti, K., McCann, G.P., Redman, E.L., Webb, D.R., Wilmot, E.G., Yates, T., Yeo, J., Davies, M.J. and Sargeant, J.A. (2022). Age at diagnosis of type 2 diabetes and cardiovascular risk factor profile: A pooled analysis. </w:t>
      </w:r>
      <w:r w:rsidRPr="007641B4">
        <w:rPr>
          <w:rFonts w:ascii="Times New Roman" w:hAnsi="Times New Roman" w:cs="Times New Roman"/>
          <w:i/>
          <w:iCs/>
          <w:sz w:val="24"/>
          <w:szCs w:val="24"/>
          <w:lang w:val="en-US"/>
          <w14:ligatures w14:val="standardContextual"/>
        </w:rPr>
        <w:t>World Journal of Diabetes</w:t>
      </w:r>
      <w:r w:rsidRPr="007641B4">
        <w:rPr>
          <w:rFonts w:ascii="Times New Roman" w:hAnsi="Times New Roman" w:cs="Times New Roman"/>
          <w:sz w:val="24"/>
          <w:szCs w:val="24"/>
          <w:lang w:val="en-US"/>
          <w14:ligatures w14:val="standardContextual"/>
        </w:rPr>
        <w:t>, 13(3), pp.260–271. Available at :</w:t>
      </w:r>
      <w:hyperlink r:id="rId27" w:history="1">
        <w:r w:rsidR="00E87403" w:rsidRPr="001D4608">
          <w:rPr>
            <w:rStyle w:val="Hyperlink"/>
            <w:rFonts w:ascii="Times New Roman" w:hAnsi="Times New Roman" w:cs="Times New Roman"/>
            <w:color w:val="000000" w:themeColor="text1"/>
            <w:sz w:val="24"/>
            <w:szCs w:val="24"/>
            <w:u w:val="none"/>
            <w:lang w:val="en-US"/>
            <w14:ligatures w14:val="standardContextual"/>
          </w:rPr>
          <w:t>https://doi.org/10.4239/wjd.v13.i3.260</w:t>
        </w:r>
      </w:hyperlink>
    </w:p>
    <w:p w14:paraId="11D06435" w14:textId="28C0635E"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Basile, G., Kulkarni, R.N. and Morgan, N.G. (2019). How, When, and Where Do Human β-Cells Regenerate? </w:t>
      </w:r>
      <w:r w:rsidRPr="007641B4">
        <w:rPr>
          <w:rFonts w:ascii="Times New Roman" w:hAnsi="Times New Roman" w:cs="Times New Roman"/>
          <w:i/>
          <w:iCs/>
          <w:sz w:val="24"/>
          <w:szCs w:val="24"/>
          <w:lang w:val="en-US"/>
          <w14:ligatures w14:val="standardContextual"/>
        </w:rPr>
        <w:t>Current Diabetes Reports</w:t>
      </w:r>
      <w:r w:rsidRPr="007641B4">
        <w:rPr>
          <w:rFonts w:ascii="Times New Roman" w:hAnsi="Times New Roman" w:cs="Times New Roman"/>
          <w:sz w:val="24"/>
          <w:szCs w:val="24"/>
          <w:lang w:val="en-US"/>
          <w14:ligatures w14:val="standardContextual"/>
        </w:rPr>
        <w:t>, 19(8). Available at :</w:t>
      </w:r>
      <w:hyperlink r:id="rId28" w:history="1">
        <w:r w:rsidR="006D1B42" w:rsidRPr="001D4608">
          <w:rPr>
            <w:rStyle w:val="Hyperlink"/>
            <w:rFonts w:ascii="Times New Roman" w:hAnsi="Times New Roman" w:cs="Times New Roman"/>
            <w:color w:val="000000" w:themeColor="text1"/>
            <w:sz w:val="24"/>
            <w:szCs w:val="24"/>
            <w:u w:val="none"/>
            <w:lang w:val="en-US"/>
            <w14:ligatures w14:val="standardContextual"/>
          </w:rPr>
          <w:t>https://doi.org/10.1007/s11892-019-1176-8</w:t>
        </w:r>
      </w:hyperlink>
    </w:p>
    <w:p w14:paraId="02A10C11" w14:textId="2A217E85"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Bazira, P.J. and Mahadevan, V. (2022). Anatomy of the pancreas and spleen. </w:t>
      </w:r>
      <w:r w:rsidRPr="007641B4">
        <w:rPr>
          <w:rFonts w:ascii="Times New Roman" w:hAnsi="Times New Roman" w:cs="Times New Roman"/>
          <w:i/>
          <w:iCs/>
          <w:sz w:val="24"/>
          <w:szCs w:val="24"/>
          <w:lang w:val="en-US"/>
          <w14:ligatures w14:val="standardContextual"/>
        </w:rPr>
        <w:t>Surgery (Oxford)</w:t>
      </w:r>
      <w:r w:rsidRPr="007641B4">
        <w:rPr>
          <w:rFonts w:ascii="Times New Roman" w:hAnsi="Times New Roman" w:cs="Times New Roman"/>
          <w:sz w:val="24"/>
          <w:szCs w:val="24"/>
          <w:lang w:val="en-US"/>
          <w14:ligatures w14:val="standardContextual"/>
        </w:rPr>
        <w:t>, 40(4). Available at :</w:t>
      </w:r>
      <w:hyperlink r:id="rId29" w:history="1">
        <w:r w:rsidR="005F6EC3" w:rsidRPr="001D4608">
          <w:rPr>
            <w:rStyle w:val="Hyperlink"/>
            <w:rFonts w:ascii="Times New Roman" w:hAnsi="Times New Roman" w:cs="Times New Roman"/>
            <w:color w:val="000000" w:themeColor="text1"/>
            <w:sz w:val="24"/>
            <w:szCs w:val="24"/>
            <w:u w:val="none"/>
            <w:lang w:val="en-US"/>
            <w14:ligatures w14:val="standardContextual"/>
          </w:rPr>
          <w:t>https://doi.org/10.1016/j.mpsur.2022.02.002</w:t>
        </w:r>
      </w:hyperlink>
    </w:p>
    <w:p w14:paraId="77588E3C" w14:textId="43422A79"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Bin Rakhis, S.A., AlDuwayhis, N.M., Aleid, N., AlBarrak, A.N. and Aloraini, A.A. (2022). Glycemic Control for Type 2 Diabetes Mellitus Patients: A Systematic Review. </w:t>
      </w:r>
      <w:r w:rsidRPr="007641B4">
        <w:rPr>
          <w:rFonts w:ascii="Times New Roman" w:hAnsi="Times New Roman" w:cs="Times New Roman"/>
          <w:i/>
          <w:iCs/>
          <w:sz w:val="24"/>
          <w:szCs w:val="24"/>
          <w:lang w:val="en-US"/>
          <w14:ligatures w14:val="standardContextual"/>
        </w:rPr>
        <w:t>Cureus</w:t>
      </w:r>
      <w:r w:rsidRPr="007641B4">
        <w:rPr>
          <w:rFonts w:ascii="Times New Roman" w:hAnsi="Times New Roman" w:cs="Times New Roman"/>
          <w:sz w:val="24"/>
          <w:szCs w:val="24"/>
          <w:lang w:val="en-US"/>
          <w14:ligatures w14:val="standardContextual"/>
        </w:rPr>
        <w:t>, 14(6). Available at :</w:t>
      </w:r>
      <w:hyperlink r:id="rId30" w:history="1">
        <w:r w:rsidR="005F6EC3" w:rsidRPr="001D4608">
          <w:rPr>
            <w:rStyle w:val="Hyperlink"/>
            <w:rFonts w:ascii="Times New Roman" w:hAnsi="Times New Roman" w:cs="Times New Roman"/>
            <w:color w:val="000000" w:themeColor="text1"/>
            <w:sz w:val="24"/>
            <w:szCs w:val="24"/>
            <w:u w:val="none"/>
            <w:lang w:val="en-US"/>
            <w14:ligatures w14:val="standardContextual"/>
          </w:rPr>
          <w:t>https://doi.org/10.7759/cureus.26180</w:t>
        </w:r>
      </w:hyperlink>
    </w:p>
    <w:p w14:paraId="1B559E7E" w14:textId="36EE2216"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Braunwald, E. (2019). Diabetes, heart failure, and renal dysfunction: The vicious circles. </w:t>
      </w:r>
      <w:r w:rsidRPr="007641B4">
        <w:rPr>
          <w:rFonts w:ascii="Times New Roman" w:hAnsi="Times New Roman" w:cs="Times New Roman"/>
          <w:i/>
          <w:iCs/>
          <w:sz w:val="24"/>
          <w:szCs w:val="24"/>
          <w:lang w:val="en-US"/>
          <w14:ligatures w14:val="standardContextual"/>
        </w:rPr>
        <w:t>Progress in Cardiovascular Diseases</w:t>
      </w:r>
      <w:r w:rsidRPr="007641B4">
        <w:rPr>
          <w:rFonts w:ascii="Times New Roman" w:hAnsi="Times New Roman" w:cs="Times New Roman"/>
          <w:sz w:val="24"/>
          <w:szCs w:val="24"/>
          <w:lang w:val="en-US"/>
          <w14:ligatures w14:val="standardContextual"/>
        </w:rPr>
        <w:t>, 62(4), pp.298–302. Available at :</w:t>
      </w:r>
      <w:hyperlink r:id="rId31" w:history="1">
        <w:r w:rsidR="005F6EC3" w:rsidRPr="001D4608">
          <w:rPr>
            <w:rStyle w:val="Hyperlink"/>
            <w:rFonts w:ascii="Times New Roman" w:hAnsi="Times New Roman" w:cs="Times New Roman"/>
            <w:color w:val="000000" w:themeColor="text1"/>
            <w:sz w:val="24"/>
            <w:szCs w:val="24"/>
            <w:u w:val="none"/>
            <w:lang w:val="en-US"/>
            <w14:ligatures w14:val="standardContextual"/>
          </w:rPr>
          <w:t>https://doi.org/10.1016/j.pcad.2019.07.003</w:t>
        </w:r>
      </w:hyperlink>
    </w:p>
    <w:p w14:paraId="3EAE1A92" w14:textId="322746FA"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Buchanan, A. and Villani, A. (2021). Association of Adherence to a Mediterranean Diet with Excess Body Mass, Muscle Strength and Physical Performance in Overweight or Obese Adults with or without Type 2 Diabetes: Two Cross-Sectional Studies. </w:t>
      </w:r>
      <w:r w:rsidRPr="007641B4">
        <w:rPr>
          <w:rFonts w:ascii="Times New Roman" w:hAnsi="Times New Roman" w:cs="Times New Roman"/>
          <w:i/>
          <w:iCs/>
          <w:sz w:val="24"/>
          <w:szCs w:val="24"/>
          <w:lang w:val="en-US"/>
          <w14:ligatures w14:val="standardContextual"/>
        </w:rPr>
        <w:t>Healthcare</w:t>
      </w:r>
      <w:r w:rsidRPr="007641B4">
        <w:rPr>
          <w:rFonts w:ascii="Times New Roman" w:hAnsi="Times New Roman" w:cs="Times New Roman"/>
          <w:sz w:val="24"/>
          <w:szCs w:val="24"/>
          <w:lang w:val="en-US"/>
          <w14:ligatures w14:val="standardContextual"/>
        </w:rPr>
        <w:t>, 9(10), pp.1255. Available at :</w:t>
      </w:r>
      <w:hyperlink r:id="rId32" w:history="1">
        <w:r w:rsidR="005F6EC3" w:rsidRPr="001D4608">
          <w:rPr>
            <w:rStyle w:val="Hyperlink"/>
            <w:rFonts w:ascii="Times New Roman" w:hAnsi="Times New Roman" w:cs="Times New Roman"/>
            <w:color w:val="000000" w:themeColor="text1"/>
            <w:sz w:val="24"/>
            <w:szCs w:val="24"/>
            <w:u w:val="none"/>
            <w:lang w:val="en-US"/>
            <w14:ligatures w14:val="standardContextual"/>
          </w:rPr>
          <w:t>https://doi.org/10.3390/healthcare9101255</w:t>
        </w:r>
      </w:hyperlink>
    </w:p>
    <w:p w14:paraId="383E21DD" w14:textId="3BC8735F"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Bunner, A.E., Wells, C.L., Gonzales, J., Agarwal, U., Bayat, E. and Barnard, N.D. (2015). A dietary intervention for chronic diabetic neuropathy pain: a randomized controlled pilot study. </w:t>
      </w:r>
      <w:r w:rsidRPr="007641B4">
        <w:rPr>
          <w:rFonts w:ascii="Times New Roman" w:hAnsi="Times New Roman" w:cs="Times New Roman"/>
          <w:i/>
          <w:iCs/>
          <w:sz w:val="24"/>
          <w:szCs w:val="24"/>
          <w:lang w:val="en-US"/>
          <w14:ligatures w14:val="standardContextual"/>
        </w:rPr>
        <w:t>Nutrition &amp; Diabetes</w:t>
      </w:r>
      <w:r w:rsidRPr="007641B4">
        <w:rPr>
          <w:rFonts w:ascii="Times New Roman" w:hAnsi="Times New Roman" w:cs="Times New Roman"/>
          <w:sz w:val="24"/>
          <w:szCs w:val="24"/>
          <w:lang w:val="en-US"/>
          <w14:ligatures w14:val="standardContextual"/>
        </w:rPr>
        <w:t>, 5(5), pp.e158–e158. Available at :</w:t>
      </w:r>
      <w:hyperlink r:id="rId33" w:history="1">
        <w:r w:rsidR="005F6EC3" w:rsidRPr="001D4608">
          <w:rPr>
            <w:rStyle w:val="Hyperlink"/>
            <w:rFonts w:ascii="Times New Roman" w:hAnsi="Times New Roman" w:cs="Times New Roman"/>
            <w:color w:val="000000" w:themeColor="text1"/>
            <w:sz w:val="24"/>
            <w:szCs w:val="24"/>
            <w:u w:val="none"/>
            <w:lang w:val="en-US"/>
            <w14:ligatures w14:val="standardContextual"/>
          </w:rPr>
          <w:t>https://doi.org/10.1038/nutd.2015.8</w:t>
        </w:r>
      </w:hyperlink>
    </w:p>
    <w:p w14:paraId="42A5F86C" w14:textId="6D7431C3"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Campbell, G., Senior, A. and Bell-Anderson, K. (2017). Metabolic Effects of High Glycaemic Index Diets: A Systematic Review and Meta-Analysis of Feeding Studies in Mice and Rats.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 9(7), pp.646. Available at :</w:t>
      </w:r>
      <w:hyperlink r:id="rId34" w:history="1">
        <w:r w:rsidR="005F6EC3" w:rsidRPr="001D4608">
          <w:rPr>
            <w:rStyle w:val="Hyperlink"/>
            <w:rFonts w:ascii="Times New Roman" w:hAnsi="Times New Roman" w:cs="Times New Roman"/>
            <w:color w:val="000000" w:themeColor="text1"/>
            <w:sz w:val="24"/>
            <w:szCs w:val="24"/>
            <w:u w:val="none"/>
            <w:lang w:val="en-US"/>
            <w14:ligatures w14:val="standardContextual"/>
          </w:rPr>
          <w:t>https://doi.org/10.3390/nu9070646</w:t>
        </w:r>
      </w:hyperlink>
    </w:p>
    <w:p w14:paraId="7438189B"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lastRenderedPageBreak/>
        <w:t xml:space="preserve">CDC (2020). </w:t>
      </w:r>
      <w:r w:rsidRPr="007641B4">
        <w:rPr>
          <w:rFonts w:ascii="Times New Roman" w:hAnsi="Times New Roman" w:cs="Times New Roman"/>
          <w:i/>
          <w:iCs/>
          <w:sz w:val="24"/>
          <w:szCs w:val="24"/>
          <w:lang w:val="en-US"/>
          <w14:ligatures w14:val="standardContextual"/>
        </w:rPr>
        <w:t>Cost-Effectiveness of Diabetes Interventions | Power of Prevention</w:t>
      </w:r>
      <w:r w:rsidRPr="007641B4">
        <w:rPr>
          <w:rFonts w:ascii="Times New Roman" w:hAnsi="Times New Roman" w:cs="Times New Roman"/>
          <w:sz w:val="24"/>
          <w:szCs w:val="24"/>
          <w:lang w:val="en-US"/>
          <w14:ligatures w14:val="standardContextual"/>
        </w:rPr>
        <w:t xml:space="preserve">. [online] www.cdc.gov. Available at: </w:t>
      </w:r>
      <w:hyperlink r:id="rId35" w:history="1">
        <w:r w:rsidRPr="007641B4">
          <w:rPr>
            <w:rFonts w:ascii="Times New Roman" w:hAnsi="Times New Roman" w:cs="Times New Roman"/>
            <w:sz w:val="24"/>
            <w:szCs w:val="24"/>
            <w:lang w:val="en-US"/>
            <w14:ligatures w14:val="standardContextual"/>
          </w:rPr>
          <w:t>https://www.cdc.gov/chronicdisease/programs-impact/pop/diabetes.htm</w:t>
        </w:r>
      </w:hyperlink>
      <w:r w:rsidRPr="007641B4">
        <w:rPr>
          <w:rFonts w:ascii="Times New Roman" w:hAnsi="Times New Roman" w:cs="Times New Roman"/>
          <w:sz w:val="24"/>
          <w:szCs w:val="24"/>
          <w:lang w:val="en-US"/>
          <w14:ligatures w14:val="standardContextual"/>
        </w:rPr>
        <w:t xml:space="preserve"> (Accessed: 15 October 2023).</w:t>
      </w:r>
    </w:p>
    <w:p w14:paraId="6569CE38" w14:textId="3B3E13CA"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Cesmebasi, A., Malefant, J., Patel, S.D., Plessis, M.D., Renna, S., Tubbs, R.S. and Loukas, M. (2014). The surgical anatomy of the lymphatic system of the pancreas. </w:t>
      </w:r>
      <w:r w:rsidRPr="007641B4">
        <w:rPr>
          <w:rFonts w:ascii="Times New Roman" w:hAnsi="Times New Roman" w:cs="Times New Roman"/>
          <w:i/>
          <w:iCs/>
          <w:sz w:val="24"/>
          <w:szCs w:val="24"/>
          <w:lang w:val="en-US"/>
          <w14:ligatures w14:val="standardContextual"/>
        </w:rPr>
        <w:t>Clinical Anatomy</w:t>
      </w:r>
      <w:r w:rsidRPr="007641B4">
        <w:rPr>
          <w:rFonts w:ascii="Times New Roman" w:hAnsi="Times New Roman" w:cs="Times New Roman"/>
          <w:sz w:val="24"/>
          <w:szCs w:val="24"/>
          <w:lang w:val="en-US"/>
          <w14:ligatures w14:val="standardContextual"/>
        </w:rPr>
        <w:t>, 28(4), pp.527–537. Available at :</w:t>
      </w:r>
      <w:hyperlink r:id="rId36" w:history="1">
        <w:r w:rsidR="005F6EC3" w:rsidRPr="001D4608">
          <w:rPr>
            <w:rStyle w:val="Hyperlink"/>
            <w:rFonts w:ascii="Times New Roman" w:hAnsi="Times New Roman" w:cs="Times New Roman"/>
            <w:color w:val="000000" w:themeColor="text1"/>
            <w:sz w:val="24"/>
            <w:szCs w:val="24"/>
            <w:u w:val="none"/>
            <w:lang w:val="en-US"/>
            <w14:ligatures w14:val="standardContextual"/>
          </w:rPr>
          <w:t>https://doi.org/10.1002/ca.22461</w:t>
        </w:r>
      </w:hyperlink>
    </w:p>
    <w:p w14:paraId="271931EE" w14:textId="04CFF8E5"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Chacón, V., Cara, K.C., Chung, M. and Wallace, T.C. (2024). Defining ‘low-carb’ in the scientific literature: A scoping review of clinical studies. </w:t>
      </w:r>
      <w:r w:rsidRPr="007641B4">
        <w:rPr>
          <w:rFonts w:ascii="Times New Roman" w:hAnsi="Times New Roman" w:cs="Times New Roman"/>
          <w:i/>
          <w:iCs/>
          <w:sz w:val="24"/>
          <w:szCs w:val="24"/>
          <w:lang w:val="en-US"/>
          <w14:ligatures w14:val="standardContextual"/>
        </w:rPr>
        <w:t>Critical Reviews in Food Science and Nutrition</w:t>
      </w:r>
      <w:r w:rsidRPr="007641B4">
        <w:rPr>
          <w:rFonts w:ascii="Times New Roman" w:hAnsi="Times New Roman" w:cs="Times New Roman"/>
          <w:sz w:val="24"/>
          <w:szCs w:val="24"/>
          <w:lang w:val="en-US"/>
          <w14:ligatures w14:val="standardContextual"/>
        </w:rPr>
        <w:t xml:space="preserve">, pp.1–10. Available at </w:t>
      </w:r>
      <w:r w:rsidRPr="001D4608">
        <w:rPr>
          <w:rFonts w:ascii="Times New Roman" w:hAnsi="Times New Roman" w:cs="Times New Roman"/>
          <w:color w:val="000000" w:themeColor="text1"/>
          <w:sz w:val="24"/>
          <w:szCs w:val="24"/>
          <w:lang w:val="en-US"/>
          <w14:ligatures w14:val="standardContextual"/>
        </w:rPr>
        <w:t>:</w:t>
      </w:r>
      <w:hyperlink r:id="rId37" w:history="1">
        <w:r w:rsidR="005F6EC3" w:rsidRPr="001D4608">
          <w:rPr>
            <w:rStyle w:val="Hyperlink"/>
            <w:rFonts w:ascii="Times New Roman" w:hAnsi="Times New Roman" w:cs="Times New Roman"/>
            <w:color w:val="000000" w:themeColor="text1"/>
            <w:sz w:val="24"/>
            <w:szCs w:val="24"/>
            <w:u w:val="none"/>
            <w:lang w:val="en-US"/>
            <w14:ligatures w14:val="standardContextual"/>
          </w:rPr>
          <w:t>https://doi.org/10.1080/10408398.2023.2300705</w:t>
        </w:r>
      </w:hyperlink>
    </w:p>
    <w:p w14:paraId="0C9D4D68" w14:textId="2FF4925E"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Chatterjee, A. and Surinder Singh Rana (2023). Endoscopic Ultrasound in Pancreatic Duct Anomalies. </w:t>
      </w:r>
      <w:r w:rsidRPr="007641B4">
        <w:rPr>
          <w:rFonts w:ascii="Times New Roman" w:hAnsi="Times New Roman" w:cs="Times New Roman"/>
          <w:i/>
          <w:iCs/>
          <w:sz w:val="24"/>
          <w:szCs w:val="24"/>
          <w:lang w:val="en-US"/>
          <w14:ligatures w14:val="standardContextual"/>
        </w:rPr>
        <w:t>Diagnostics (Basel)</w:t>
      </w:r>
      <w:r w:rsidRPr="007641B4">
        <w:rPr>
          <w:rFonts w:ascii="Times New Roman" w:hAnsi="Times New Roman" w:cs="Times New Roman"/>
          <w:sz w:val="24"/>
          <w:szCs w:val="24"/>
          <w:lang w:val="en-US"/>
          <w14:ligatures w14:val="standardContextual"/>
        </w:rPr>
        <w:t>, 13(19), pp.3129–3129. Available at :</w:t>
      </w:r>
      <w:hyperlink r:id="rId38" w:history="1">
        <w:r w:rsidR="005F6EC3" w:rsidRPr="001D4608">
          <w:rPr>
            <w:rStyle w:val="Hyperlink"/>
            <w:rFonts w:ascii="Times New Roman" w:hAnsi="Times New Roman" w:cs="Times New Roman"/>
            <w:color w:val="000000" w:themeColor="text1"/>
            <w:sz w:val="24"/>
            <w:szCs w:val="24"/>
            <w:u w:val="none"/>
            <w:lang w:val="en-US"/>
            <w14:ligatures w14:val="standardContextual"/>
          </w:rPr>
          <w:t>https://doi.org/10.3390/diagnostics13193129</w:t>
        </w:r>
      </w:hyperlink>
    </w:p>
    <w:p w14:paraId="09AF4F60" w14:textId="4EDE6F02"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Cottet-Dumoulin, D., Perrier, Q., Lavallard, V., Matthey-Doret, D., Fonseca, L.M., Bignard, J., Hanna, R., Parnaud, G., Lebreton, F., Bellofatto, K., Berishvili, E., Berney, T. and Bosco, D. (2023). Intercellular contacts affect secretion and biosynthesis of pancreatic islet cells. </w:t>
      </w:r>
      <w:r w:rsidRPr="007641B4">
        <w:rPr>
          <w:rFonts w:ascii="Times New Roman" w:hAnsi="Times New Roman" w:cs="Times New Roman"/>
          <w:i/>
          <w:iCs/>
          <w:sz w:val="24"/>
          <w:szCs w:val="24"/>
          <w:lang w:val="en-US"/>
          <w14:ligatures w14:val="standardContextual"/>
        </w:rPr>
        <w:t>Journal of Endocrinology</w:t>
      </w:r>
      <w:r w:rsidRPr="007641B4">
        <w:rPr>
          <w:rFonts w:ascii="Times New Roman" w:hAnsi="Times New Roman" w:cs="Times New Roman"/>
          <w:sz w:val="24"/>
          <w:szCs w:val="24"/>
          <w:lang w:val="en-US"/>
          <w14:ligatures w14:val="standardContextual"/>
        </w:rPr>
        <w:t>, 258(2). Available at :</w:t>
      </w:r>
      <w:hyperlink r:id="rId39" w:history="1">
        <w:r w:rsidR="005F6EC3" w:rsidRPr="001D4608">
          <w:rPr>
            <w:rStyle w:val="Hyperlink"/>
            <w:rFonts w:ascii="Times New Roman" w:hAnsi="Times New Roman" w:cs="Times New Roman"/>
            <w:color w:val="000000" w:themeColor="text1"/>
            <w:sz w:val="24"/>
            <w:szCs w:val="24"/>
            <w:u w:val="none"/>
            <w:lang w:val="en-US"/>
            <w14:ligatures w14:val="standardContextual"/>
          </w:rPr>
          <w:t>https://doi.org/10.1530/JOE-22-0304</w:t>
        </w:r>
      </w:hyperlink>
    </w:p>
    <w:p w14:paraId="2584B905" w14:textId="2CC51EDE"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Currenti, W., Losavio, F., Quiete, S., Alanazi, A.M., Messina, G., Polito, R., Ciolli, F., Zappalà, R.S., Galvano, F. and Cincione, R.I. (2024). Comparative Evaluation of a Low-Carbohydrate Diet and a Mediterranean Diet in Overweight/Obese Patients with Type 2 Diabetes Mellitus: A 16-Week Intervention Study.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 16(1), pp.95. Available at :</w:t>
      </w:r>
      <w:hyperlink r:id="rId40" w:history="1">
        <w:r w:rsidR="005F6EC3" w:rsidRPr="001D4608">
          <w:rPr>
            <w:rStyle w:val="Hyperlink"/>
            <w:rFonts w:ascii="Times New Roman" w:hAnsi="Times New Roman" w:cs="Times New Roman"/>
            <w:color w:val="000000" w:themeColor="text1"/>
            <w:sz w:val="24"/>
            <w:szCs w:val="24"/>
            <w:u w:val="none"/>
            <w:lang w:val="en-US"/>
            <w14:ligatures w14:val="standardContextual"/>
          </w:rPr>
          <w:t>https://doi.org/10.3390/nu16010095</w:t>
        </w:r>
      </w:hyperlink>
    </w:p>
    <w:p w14:paraId="6FBAAF8F" w14:textId="6C5585F6"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Da Silva Xavier, G. (2018). The Cells of the Islets of Langerhans. </w:t>
      </w:r>
      <w:r w:rsidRPr="007641B4">
        <w:rPr>
          <w:rFonts w:ascii="Times New Roman" w:hAnsi="Times New Roman" w:cs="Times New Roman"/>
          <w:i/>
          <w:iCs/>
          <w:sz w:val="24"/>
          <w:szCs w:val="24"/>
          <w:lang w:val="en-US"/>
          <w14:ligatures w14:val="standardContextual"/>
        </w:rPr>
        <w:t>Journal of Clinical Medicine</w:t>
      </w:r>
      <w:r w:rsidRPr="007641B4">
        <w:rPr>
          <w:rFonts w:ascii="Times New Roman" w:hAnsi="Times New Roman" w:cs="Times New Roman"/>
          <w:sz w:val="24"/>
          <w:szCs w:val="24"/>
          <w:lang w:val="en-US"/>
          <w14:ligatures w14:val="standardContextual"/>
        </w:rPr>
        <w:t>, 7(3), pp.54. Available at :</w:t>
      </w:r>
      <w:hyperlink r:id="rId41" w:history="1">
        <w:r w:rsidR="005F6EC3" w:rsidRPr="001D4608">
          <w:rPr>
            <w:rStyle w:val="Hyperlink"/>
            <w:rFonts w:ascii="Times New Roman" w:hAnsi="Times New Roman" w:cs="Times New Roman"/>
            <w:color w:val="000000" w:themeColor="text1"/>
            <w:sz w:val="24"/>
            <w:szCs w:val="24"/>
            <w:u w:val="none"/>
            <w:lang w:val="en-US"/>
            <w14:ligatures w14:val="standardContextual"/>
          </w:rPr>
          <w:t>https://doi.org/10.3390/jcm7030054</w:t>
        </w:r>
      </w:hyperlink>
    </w:p>
    <w:p w14:paraId="67EDEA5F" w14:textId="7577A2A8"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Derbyshire, E.J. (2017). Flexitarian Diets and Health: A Review of the Evidence-Based Literature. </w:t>
      </w:r>
      <w:r w:rsidRPr="007641B4">
        <w:rPr>
          <w:rFonts w:ascii="Times New Roman" w:hAnsi="Times New Roman" w:cs="Times New Roman"/>
          <w:i/>
          <w:iCs/>
          <w:sz w:val="24"/>
          <w:szCs w:val="24"/>
          <w:lang w:val="en-US"/>
          <w14:ligatures w14:val="standardContextual"/>
        </w:rPr>
        <w:t>Frontiers in Nutrition</w:t>
      </w:r>
      <w:r w:rsidRPr="007641B4">
        <w:rPr>
          <w:rFonts w:ascii="Times New Roman" w:hAnsi="Times New Roman" w:cs="Times New Roman"/>
          <w:sz w:val="24"/>
          <w:szCs w:val="24"/>
          <w:lang w:val="en-US"/>
          <w14:ligatures w14:val="standardContextual"/>
        </w:rPr>
        <w:t>, 3(55). Available at :</w:t>
      </w:r>
      <w:hyperlink r:id="rId42" w:history="1">
        <w:r w:rsidR="00367C7B" w:rsidRPr="001D4608">
          <w:rPr>
            <w:rStyle w:val="Hyperlink"/>
            <w:rFonts w:ascii="Times New Roman" w:hAnsi="Times New Roman" w:cs="Times New Roman"/>
            <w:color w:val="000000" w:themeColor="text1"/>
            <w:sz w:val="24"/>
            <w:szCs w:val="24"/>
            <w:u w:val="none"/>
            <w:lang w:val="en-US"/>
            <w14:ligatures w14:val="standardContextual"/>
          </w:rPr>
          <w:t>https://doi.org/10.3389/fnut.2016.00055</w:t>
        </w:r>
      </w:hyperlink>
    </w:p>
    <w:p w14:paraId="2D452E3B" w14:textId="2E6553DC"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Derrick, S.A., Nguyen, S.T., Marthens, J.R., Dambacher, L.L., Sikalidis, A.K. and Reaves, S.K. (2023). A Mediterranean-Style Diet Improves the Parameters for the Management and Prevention of Type 2 Diabetes Mellitus. </w:t>
      </w:r>
      <w:r w:rsidRPr="007641B4">
        <w:rPr>
          <w:rFonts w:ascii="Times New Roman" w:hAnsi="Times New Roman" w:cs="Times New Roman"/>
          <w:i/>
          <w:iCs/>
          <w:sz w:val="24"/>
          <w:szCs w:val="24"/>
          <w:lang w:val="en-US"/>
          <w14:ligatures w14:val="standardContextual"/>
        </w:rPr>
        <w:t>Medicina</w:t>
      </w:r>
      <w:r w:rsidRPr="007641B4">
        <w:rPr>
          <w:rFonts w:ascii="Times New Roman" w:hAnsi="Times New Roman" w:cs="Times New Roman"/>
          <w:sz w:val="24"/>
          <w:szCs w:val="24"/>
          <w:lang w:val="en-US"/>
          <w14:ligatures w14:val="standardContextual"/>
        </w:rPr>
        <w:t xml:space="preserve">, 59(10), pp.1882. Available </w:t>
      </w:r>
      <w:r w:rsidRPr="007641B4">
        <w:rPr>
          <w:rFonts w:ascii="Times New Roman" w:hAnsi="Times New Roman" w:cs="Times New Roman"/>
          <w:sz w:val="24"/>
          <w:szCs w:val="24"/>
          <w:lang w:val="en-US"/>
          <w14:ligatures w14:val="standardContextual"/>
        </w:rPr>
        <w:lastRenderedPageBreak/>
        <w:t>at :</w:t>
      </w:r>
      <w:hyperlink r:id="rId43" w:history="1">
        <w:r w:rsidR="00367C7B" w:rsidRPr="001D4608">
          <w:rPr>
            <w:rStyle w:val="Hyperlink"/>
            <w:rFonts w:ascii="Times New Roman" w:hAnsi="Times New Roman" w:cs="Times New Roman"/>
            <w:color w:val="000000" w:themeColor="text1"/>
            <w:sz w:val="24"/>
            <w:szCs w:val="24"/>
            <w:u w:val="none"/>
            <w:lang w:val="en-US"/>
            <w14:ligatures w14:val="standardContextual"/>
          </w:rPr>
          <w:t>https://doi.org/10.3390/medicina59101882</w:t>
        </w:r>
      </w:hyperlink>
    </w:p>
    <w:p w14:paraId="520B609A" w14:textId="0B81B56D"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Duan, M.-J., Vinke, P.C., Navis, G., Corpeleijn, E. and Dekker, L.H. (2022). Ultra-processed food and incident type 2 diabetes: studying the underlying consumption patterns to unravel the health effects of this heterogeneous food category in the prospective Lifelines cohort. </w:t>
      </w:r>
      <w:r w:rsidRPr="007641B4">
        <w:rPr>
          <w:rFonts w:ascii="Times New Roman" w:hAnsi="Times New Roman" w:cs="Times New Roman"/>
          <w:i/>
          <w:iCs/>
          <w:sz w:val="24"/>
          <w:szCs w:val="24"/>
          <w:lang w:val="en-US"/>
          <w14:ligatures w14:val="standardContextual"/>
        </w:rPr>
        <w:t>BMC Medicine</w:t>
      </w:r>
      <w:r w:rsidRPr="007641B4">
        <w:rPr>
          <w:rFonts w:ascii="Times New Roman" w:hAnsi="Times New Roman" w:cs="Times New Roman"/>
          <w:sz w:val="24"/>
          <w:szCs w:val="24"/>
          <w:lang w:val="en-US"/>
          <w14:ligatures w14:val="standardContextual"/>
        </w:rPr>
        <w:t>, 20(1). Available at :</w:t>
      </w:r>
      <w:hyperlink r:id="rId44" w:history="1">
        <w:r w:rsidR="00367C7B" w:rsidRPr="001D4608">
          <w:rPr>
            <w:rStyle w:val="Hyperlink"/>
            <w:rFonts w:ascii="Times New Roman" w:hAnsi="Times New Roman" w:cs="Times New Roman"/>
            <w:color w:val="000000" w:themeColor="text1"/>
            <w:sz w:val="24"/>
            <w:szCs w:val="24"/>
            <w:u w:val="none"/>
            <w:lang w:val="en-US"/>
            <w14:ligatures w14:val="standardContextual"/>
          </w:rPr>
          <w:t>https://doi.org/10.1186/s12916-021-02200-4</w:t>
        </w:r>
      </w:hyperlink>
    </w:p>
    <w:p w14:paraId="1985E59D"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ElSayed, S.A. and Sandeep Mukherjee (2019a). </w:t>
      </w:r>
      <w:r w:rsidRPr="007641B4">
        <w:rPr>
          <w:rFonts w:ascii="Times New Roman" w:hAnsi="Times New Roman" w:cs="Times New Roman"/>
          <w:i/>
          <w:iCs/>
          <w:sz w:val="24"/>
          <w:szCs w:val="24"/>
          <w:lang w:val="en-US"/>
          <w14:ligatures w14:val="standardContextual"/>
        </w:rPr>
        <w:t>Physiology, Pancreas</w:t>
      </w:r>
      <w:r w:rsidRPr="007641B4">
        <w:rPr>
          <w:rFonts w:ascii="Times New Roman" w:hAnsi="Times New Roman" w:cs="Times New Roman"/>
          <w:sz w:val="24"/>
          <w:szCs w:val="24"/>
          <w:lang w:val="en-US"/>
          <w14:ligatures w14:val="standardContextual"/>
        </w:rPr>
        <w:t xml:space="preserve">. [online] Nih.gov. Available at: </w:t>
      </w:r>
      <w:hyperlink r:id="rId45" w:history="1">
        <w:r w:rsidRPr="007641B4">
          <w:rPr>
            <w:rFonts w:ascii="Times New Roman" w:hAnsi="Times New Roman" w:cs="Times New Roman"/>
            <w:sz w:val="24"/>
            <w:szCs w:val="24"/>
            <w:lang w:val="en-US"/>
            <w14:ligatures w14:val="standardContextual"/>
          </w:rPr>
          <w:t>https://www.ncbi.nlm.nih.gov/books/NBK459261/</w:t>
        </w:r>
      </w:hyperlink>
      <w:r w:rsidRPr="007641B4">
        <w:rPr>
          <w:rFonts w:ascii="Times New Roman" w:hAnsi="Times New Roman" w:cs="Times New Roman"/>
          <w:sz w:val="24"/>
          <w:szCs w:val="24"/>
          <w:lang w:val="en-US"/>
          <w14:ligatures w14:val="standardContextual"/>
        </w:rPr>
        <w:t xml:space="preserve"> (Accessed: 20 February 2024).</w:t>
      </w:r>
    </w:p>
    <w:p w14:paraId="40C68091" w14:textId="605369ED" w:rsidR="00BD1A58" w:rsidRPr="001D4608" w:rsidRDefault="00BD1A58" w:rsidP="00E84CF8">
      <w:pPr>
        <w:widowControl w:val="0"/>
        <w:autoSpaceDE w:val="0"/>
        <w:autoSpaceDN w:val="0"/>
        <w:adjustRightInd w:val="0"/>
        <w:spacing w:after="240" w:line="360" w:lineRule="auto"/>
        <w:rPr>
          <w:rFonts w:ascii="Times New Roman" w:hAnsi="Times New Roman" w:cs="Times New Roman"/>
          <w:color w:val="000000" w:themeColor="text1"/>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Esposito, K., Maiorino, M.I., Bellastella, G., Chiodini, P., Panagiotakos, D. and Giugliano, D. (2015). A journey into a Mediterranean diet and type 2 diabetes: a systematic review with meta-analyses. </w:t>
      </w:r>
      <w:r w:rsidRPr="007641B4">
        <w:rPr>
          <w:rFonts w:ascii="Times New Roman" w:hAnsi="Times New Roman" w:cs="Times New Roman"/>
          <w:i/>
          <w:iCs/>
          <w:sz w:val="24"/>
          <w:szCs w:val="24"/>
          <w:lang w:val="en-US"/>
          <w14:ligatures w14:val="standardContextual"/>
        </w:rPr>
        <w:t>BMJ open</w:t>
      </w:r>
      <w:r w:rsidRPr="007641B4">
        <w:rPr>
          <w:rFonts w:ascii="Times New Roman" w:hAnsi="Times New Roman" w:cs="Times New Roman"/>
          <w:sz w:val="24"/>
          <w:szCs w:val="24"/>
          <w:lang w:val="en-US"/>
          <w14:ligatures w14:val="standardContextual"/>
        </w:rPr>
        <w:t>, 5(8), pp.e008222. Available at :</w:t>
      </w:r>
      <w:hyperlink r:id="rId46" w:history="1">
        <w:r w:rsidR="00367C7B" w:rsidRPr="001D4608">
          <w:rPr>
            <w:rStyle w:val="Hyperlink"/>
            <w:rFonts w:ascii="Times New Roman" w:hAnsi="Times New Roman" w:cs="Times New Roman"/>
            <w:color w:val="000000" w:themeColor="text1"/>
            <w:sz w:val="24"/>
            <w:szCs w:val="24"/>
            <w:u w:val="none"/>
            <w:lang w:val="en-US"/>
            <w14:ligatures w14:val="standardContextual"/>
          </w:rPr>
          <w:t>https://doi.org/10.1136/bmjopen-2015-008222</w:t>
        </w:r>
      </w:hyperlink>
    </w:p>
    <w:p w14:paraId="1A3F0DEC" w14:textId="4F8BB7EF"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Esposito, K., Maiorino, M.I., Bellastella, G., Panagiotakos, D.B. and Giugliano, D. (2016). Mediterranean diet for type 2 diabetes: cardiometabolic benefits. </w:t>
      </w:r>
      <w:r w:rsidRPr="007641B4">
        <w:rPr>
          <w:rFonts w:ascii="Times New Roman" w:hAnsi="Times New Roman" w:cs="Times New Roman"/>
          <w:i/>
          <w:iCs/>
          <w:sz w:val="24"/>
          <w:szCs w:val="24"/>
          <w:lang w:val="en-US"/>
          <w14:ligatures w14:val="standardContextual"/>
        </w:rPr>
        <w:t>Endocrine</w:t>
      </w:r>
      <w:r w:rsidRPr="007641B4">
        <w:rPr>
          <w:rFonts w:ascii="Times New Roman" w:hAnsi="Times New Roman" w:cs="Times New Roman"/>
          <w:sz w:val="24"/>
          <w:szCs w:val="24"/>
          <w:lang w:val="en-US"/>
          <w14:ligatures w14:val="standardContextual"/>
        </w:rPr>
        <w:t>, 56(1), pp.27–32. Available at :</w:t>
      </w:r>
      <w:hyperlink r:id="rId47" w:history="1">
        <w:r w:rsidR="00F83316" w:rsidRPr="001D4608">
          <w:rPr>
            <w:rStyle w:val="Hyperlink"/>
            <w:rFonts w:ascii="Times New Roman" w:hAnsi="Times New Roman" w:cs="Times New Roman"/>
            <w:color w:val="000000" w:themeColor="text1"/>
            <w:sz w:val="24"/>
            <w:szCs w:val="24"/>
            <w:u w:val="none"/>
            <w:lang w:val="en-US"/>
            <w14:ligatures w14:val="standardContextual"/>
          </w:rPr>
          <w:t>https://doi.org/10.1007/s12020-016-1018-2</w:t>
        </w:r>
      </w:hyperlink>
    </w:p>
    <w:p w14:paraId="0005E903"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Eyth, E. and Naik, R. (2023). </w:t>
      </w:r>
      <w:r w:rsidRPr="007641B4">
        <w:rPr>
          <w:rFonts w:ascii="Times New Roman" w:hAnsi="Times New Roman" w:cs="Times New Roman"/>
          <w:i/>
          <w:iCs/>
          <w:sz w:val="24"/>
          <w:szCs w:val="24"/>
          <w:lang w:val="en-US"/>
          <w14:ligatures w14:val="standardContextual"/>
        </w:rPr>
        <w:t>Hemoglobin A1C</w:t>
      </w:r>
      <w:r w:rsidRPr="007641B4">
        <w:rPr>
          <w:rFonts w:ascii="Times New Roman" w:hAnsi="Times New Roman" w:cs="Times New Roman"/>
          <w:sz w:val="24"/>
          <w:szCs w:val="24"/>
          <w:lang w:val="en-US"/>
          <w14:ligatures w14:val="standardContextual"/>
        </w:rPr>
        <w:t xml:space="preserve">. [online] PubMed. Available at: </w:t>
      </w:r>
      <w:hyperlink r:id="rId48" w:history="1">
        <w:r w:rsidRPr="007641B4">
          <w:rPr>
            <w:rFonts w:ascii="Times New Roman" w:hAnsi="Times New Roman" w:cs="Times New Roman"/>
            <w:sz w:val="24"/>
            <w:szCs w:val="24"/>
            <w:lang w:val="en-US"/>
            <w14:ligatures w14:val="standardContextual"/>
          </w:rPr>
          <w:t>https://www.ncbi.nlm.nih.gov/books/NBK549816/</w:t>
        </w:r>
      </w:hyperlink>
      <w:r w:rsidRPr="007641B4">
        <w:rPr>
          <w:rFonts w:ascii="Times New Roman" w:hAnsi="Times New Roman" w:cs="Times New Roman"/>
          <w:sz w:val="24"/>
          <w:szCs w:val="24"/>
          <w:lang w:val="en-US"/>
          <w14:ligatures w14:val="standardContextual"/>
        </w:rPr>
        <w:t xml:space="preserve"> (Accessed: 15 October 2023).</w:t>
      </w:r>
    </w:p>
    <w:p w14:paraId="7DC8B622" w14:textId="22985BEF"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Fagot-Campagna, A. (2000). Emergence of Type 2 Diabetes Mellitus in Children: Epidemiological Evidence. </w:t>
      </w:r>
      <w:r w:rsidRPr="007641B4">
        <w:rPr>
          <w:rFonts w:ascii="Times New Roman" w:hAnsi="Times New Roman" w:cs="Times New Roman"/>
          <w:i/>
          <w:iCs/>
          <w:sz w:val="24"/>
          <w:szCs w:val="24"/>
          <w:lang w:val="en-US"/>
          <w14:ligatures w14:val="standardContextual"/>
        </w:rPr>
        <w:t>Journal of Pediatric Endocrinology and Metabolism</w:t>
      </w:r>
      <w:r w:rsidRPr="007641B4">
        <w:rPr>
          <w:rFonts w:ascii="Times New Roman" w:hAnsi="Times New Roman" w:cs="Times New Roman"/>
          <w:sz w:val="24"/>
          <w:szCs w:val="24"/>
          <w:lang w:val="en-US"/>
          <w14:ligatures w14:val="standardContextual"/>
        </w:rPr>
        <w:t>, 13(Supplement). Available at :</w:t>
      </w:r>
      <w:hyperlink r:id="rId49" w:history="1">
        <w:r w:rsidR="00F83316" w:rsidRPr="001D4608">
          <w:rPr>
            <w:rStyle w:val="Hyperlink"/>
            <w:rFonts w:ascii="Times New Roman" w:hAnsi="Times New Roman" w:cs="Times New Roman"/>
            <w:color w:val="000000" w:themeColor="text1"/>
            <w:sz w:val="24"/>
            <w:szCs w:val="24"/>
            <w:u w:val="none"/>
            <w:lang w:val="en-US"/>
            <w14:ligatures w14:val="standardContextual"/>
          </w:rPr>
          <w:t>https://doi.org/10.1515/jpem-2000-s613</w:t>
        </w:r>
      </w:hyperlink>
    </w:p>
    <w:p w14:paraId="18003057"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Farmaki, P., Damaskos, C., Garmpis, N., Garmpi, A., Savvanis, S. and Diamantis, E. (2021). Complications of the type 2 diabetes mellitus. </w:t>
      </w:r>
      <w:r w:rsidRPr="007641B4">
        <w:rPr>
          <w:rFonts w:ascii="Times New Roman" w:hAnsi="Times New Roman" w:cs="Times New Roman"/>
          <w:i/>
          <w:iCs/>
          <w:sz w:val="24"/>
          <w:szCs w:val="24"/>
          <w:lang w:val="en-US"/>
          <w14:ligatures w14:val="standardContextual"/>
        </w:rPr>
        <w:t>Current Cardiology Reviews</w:t>
      </w:r>
      <w:r w:rsidRPr="007641B4">
        <w:rPr>
          <w:rFonts w:ascii="Times New Roman" w:hAnsi="Times New Roman" w:cs="Times New Roman"/>
          <w:sz w:val="24"/>
          <w:szCs w:val="24"/>
          <w:lang w:val="en-US"/>
          <w14:ligatures w14:val="standardContextual"/>
        </w:rPr>
        <w:t>, 16(4), pp.249–251. Available at :</w:t>
      </w:r>
      <w:hyperlink r:id="rId50" w:history="1">
        <w:r w:rsidRPr="007641B4">
          <w:rPr>
            <w:rFonts w:ascii="Times New Roman" w:hAnsi="Times New Roman" w:cs="Times New Roman"/>
            <w:color w:val="000000" w:themeColor="text1"/>
            <w:sz w:val="24"/>
            <w:szCs w:val="24"/>
            <w:lang w:val="en-US"/>
            <w14:ligatures w14:val="standardContextual"/>
          </w:rPr>
          <w:t>https://doi.org/10.2174/1573403x1604201229115531</w:t>
        </w:r>
      </w:hyperlink>
    </w:p>
    <w:p w14:paraId="5A4B2FED"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Florkowski, C. (2013). HbA1c as a Diagnostic Test for Diabetes Mellitus - Reviewing the Evidence. </w:t>
      </w:r>
      <w:r w:rsidRPr="007641B4">
        <w:rPr>
          <w:rFonts w:ascii="Times New Roman" w:hAnsi="Times New Roman" w:cs="Times New Roman"/>
          <w:i/>
          <w:iCs/>
          <w:sz w:val="24"/>
          <w:szCs w:val="24"/>
          <w:lang w:val="en-US"/>
          <w14:ligatures w14:val="standardContextual"/>
        </w:rPr>
        <w:t>The Clinical biochemist. Reviews</w:t>
      </w:r>
      <w:r w:rsidRPr="007641B4">
        <w:rPr>
          <w:rFonts w:ascii="Times New Roman" w:hAnsi="Times New Roman" w:cs="Times New Roman"/>
          <w:sz w:val="24"/>
          <w:szCs w:val="24"/>
          <w:lang w:val="en-US"/>
          <w14:ligatures w14:val="standardContextual"/>
        </w:rPr>
        <w:t xml:space="preserve">, 4(2), pp.75–83. Available at: </w:t>
      </w:r>
      <w:hyperlink r:id="rId51" w:history="1">
        <w:r w:rsidRPr="007641B4">
          <w:rPr>
            <w:rFonts w:ascii="Times New Roman" w:hAnsi="Times New Roman" w:cs="Times New Roman"/>
            <w:sz w:val="24"/>
            <w:szCs w:val="24"/>
            <w:lang w:val="en-US"/>
            <w14:ligatures w14:val="standardContextual"/>
          </w:rPr>
          <w:t>https://www.ncbi.nlm.nih.gov/pmc/articles/PMC3799221/</w:t>
        </w:r>
      </w:hyperlink>
    </w:p>
    <w:p w14:paraId="117A8B64"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Forouhi, N.G., Misra, A., Mohan, V., Taylor, R. and Yancy, W. (2018). Dietary and nutritional approaches for prevention and management of type 2 diabetes. </w:t>
      </w:r>
      <w:r w:rsidRPr="007641B4">
        <w:rPr>
          <w:rFonts w:ascii="Times New Roman" w:hAnsi="Times New Roman" w:cs="Times New Roman"/>
          <w:i/>
          <w:iCs/>
          <w:sz w:val="24"/>
          <w:szCs w:val="24"/>
          <w:lang w:val="en-US"/>
          <w14:ligatures w14:val="standardContextual"/>
        </w:rPr>
        <w:t>BMJ</w:t>
      </w:r>
      <w:r w:rsidRPr="007641B4">
        <w:rPr>
          <w:rFonts w:ascii="Times New Roman" w:hAnsi="Times New Roman" w:cs="Times New Roman"/>
          <w:sz w:val="24"/>
          <w:szCs w:val="24"/>
          <w:lang w:val="en-US"/>
          <w14:ligatures w14:val="standardContextual"/>
        </w:rPr>
        <w:t>, 361(4), pp.1–</w:t>
      </w:r>
      <w:r w:rsidRPr="007641B4">
        <w:rPr>
          <w:rFonts w:ascii="Times New Roman" w:hAnsi="Times New Roman" w:cs="Times New Roman"/>
          <w:sz w:val="24"/>
          <w:szCs w:val="24"/>
          <w:lang w:val="en-US"/>
          <w14:ligatures w14:val="standardContextual"/>
        </w:rPr>
        <w:lastRenderedPageBreak/>
        <w:t xml:space="preserve">9. Available at: </w:t>
      </w:r>
      <w:hyperlink r:id="rId52" w:history="1">
        <w:r w:rsidRPr="007641B4">
          <w:rPr>
            <w:rFonts w:ascii="Times New Roman" w:hAnsi="Times New Roman" w:cs="Times New Roman"/>
            <w:sz w:val="24"/>
            <w:szCs w:val="24"/>
            <w:lang w:val="en-US"/>
            <w14:ligatures w14:val="standardContextual"/>
          </w:rPr>
          <w:t>https://www.bmj.com/content/361/bmj.k2234</w:t>
        </w:r>
      </w:hyperlink>
    </w:p>
    <w:p w14:paraId="25422B36"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Fresán, U. and Sabaté, J. (2019). Vegetarian Diets: Planetary Health and Its Alignment with Human Health. </w:t>
      </w:r>
      <w:r w:rsidRPr="007641B4">
        <w:rPr>
          <w:rFonts w:ascii="Times New Roman" w:hAnsi="Times New Roman" w:cs="Times New Roman"/>
          <w:i/>
          <w:iCs/>
          <w:sz w:val="24"/>
          <w:szCs w:val="24"/>
          <w:lang w:val="en-US"/>
          <w14:ligatures w14:val="standardContextual"/>
        </w:rPr>
        <w:t>Advances in Nutrition</w:t>
      </w:r>
      <w:r w:rsidRPr="007641B4">
        <w:rPr>
          <w:rFonts w:ascii="Times New Roman" w:hAnsi="Times New Roman" w:cs="Times New Roman"/>
          <w:sz w:val="24"/>
          <w:szCs w:val="24"/>
          <w:lang w:val="en-US"/>
          <w14:ligatures w14:val="standardContextual"/>
        </w:rPr>
        <w:t>, 10(Supplement_4), pp.S380–S388. Available at :</w:t>
      </w:r>
      <w:hyperlink w:history="1">
        <w:r w:rsidRPr="007641B4">
          <w:rPr>
            <w:rFonts w:ascii="Times New Roman" w:hAnsi="Times New Roman" w:cs="Times New Roman"/>
            <w:color w:val="000000" w:themeColor="text1"/>
            <w:sz w:val="24"/>
            <w:szCs w:val="24"/>
            <w:lang w:val="en-US"/>
            <w14:ligatures w14:val="standardContextual"/>
          </w:rPr>
          <w:t>https:// doi.org/10.1093/advances/nmz019</w:t>
        </w:r>
      </w:hyperlink>
    </w:p>
    <w:p w14:paraId="76806CB6"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Galicia-Garcia, U., Benito-Vicente, A., Jebari, S., Larrea-Sebal, A., Siddiqi, H., Uribe, K.B., Ostolaza, H. and Martín, C. (2020). Pathophysiology of type 2 diabetes mellitus. </w:t>
      </w:r>
      <w:r w:rsidRPr="007641B4">
        <w:rPr>
          <w:rFonts w:ascii="Times New Roman" w:hAnsi="Times New Roman" w:cs="Times New Roman"/>
          <w:i/>
          <w:iCs/>
          <w:sz w:val="24"/>
          <w:szCs w:val="24"/>
          <w:lang w:val="en-US"/>
          <w14:ligatures w14:val="standardContextual"/>
        </w:rPr>
        <w:t>International Journal of Molecular Sciences</w:t>
      </w:r>
      <w:r w:rsidRPr="007641B4">
        <w:rPr>
          <w:rFonts w:ascii="Times New Roman" w:hAnsi="Times New Roman" w:cs="Times New Roman"/>
          <w:sz w:val="24"/>
          <w:szCs w:val="24"/>
          <w:lang w:val="en-US"/>
          <w14:ligatures w14:val="standardContextual"/>
        </w:rPr>
        <w:t>, 21(17), pp.1–34. Available at :</w:t>
      </w:r>
      <w:hyperlink r:id="rId53" w:history="1">
        <w:r w:rsidRPr="007641B4">
          <w:rPr>
            <w:rFonts w:ascii="Times New Roman" w:hAnsi="Times New Roman" w:cs="Times New Roman"/>
            <w:color w:val="000000" w:themeColor="text1"/>
            <w:sz w:val="24"/>
            <w:szCs w:val="24"/>
            <w:lang w:val="en-US"/>
            <w14:ligatures w14:val="standardContextual"/>
          </w:rPr>
          <w:t>https://doi.org/10.3390/ijms21176275</w:t>
        </w:r>
      </w:hyperlink>
    </w:p>
    <w:p w14:paraId="37D787DD"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Gardner, C.D., Landry, M.J., Perelman, D., Petlura, C., Durand, L.R., Aronica, L., Crimarco, A., Cunanan, K.M., Chang, A., Dant, C.C., Robinson, J.L. and Kim, S.H. (2022). Effect of a Ketogenic Diet versus Mediterranean Diet on HbA1c in Individuals with Prediabetes and Type 2 Diabetes Mellitus: the Interventional Keto-Med Randomized Crossover Trial. </w:t>
      </w:r>
      <w:r w:rsidRPr="007641B4">
        <w:rPr>
          <w:rFonts w:ascii="Times New Roman" w:hAnsi="Times New Roman" w:cs="Times New Roman"/>
          <w:i/>
          <w:iCs/>
          <w:sz w:val="24"/>
          <w:szCs w:val="24"/>
          <w:lang w:val="en-US"/>
          <w14:ligatures w14:val="standardContextual"/>
        </w:rPr>
        <w:t>The American Journal of Clinical Nutrition</w:t>
      </w:r>
      <w:r w:rsidRPr="007641B4">
        <w:rPr>
          <w:rFonts w:ascii="Times New Roman" w:hAnsi="Times New Roman" w:cs="Times New Roman"/>
          <w:sz w:val="24"/>
          <w:szCs w:val="24"/>
          <w:lang w:val="en-US"/>
          <w14:ligatures w14:val="standardContextual"/>
        </w:rPr>
        <w:t>, 116(3). Available at :</w:t>
      </w:r>
      <w:hyperlink r:id="rId54" w:history="1">
        <w:r w:rsidRPr="007641B4">
          <w:rPr>
            <w:rFonts w:ascii="Times New Roman" w:hAnsi="Times New Roman" w:cs="Times New Roman"/>
            <w:color w:val="000000" w:themeColor="text1"/>
            <w:sz w:val="24"/>
            <w:szCs w:val="24"/>
            <w:lang w:val="en-US"/>
            <w14:ligatures w14:val="standardContextual"/>
          </w:rPr>
          <w:t>https://doi.org/10.1093/ajcn/nqac154</w:t>
        </w:r>
      </w:hyperlink>
    </w:p>
    <w:p w14:paraId="62840BF7"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Goff, L.M., Cowland, D.E., Hooper, L. and Frost, G.S. (2013). Low glycaemic index diets and blood lipids: A systematic review and meta-analysis of randomised controlled trials. </w:t>
      </w:r>
      <w:r w:rsidRPr="007641B4">
        <w:rPr>
          <w:rFonts w:ascii="Times New Roman" w:hAnsi="Times New Roman" w:cs="Times New Roman"/>
          <w:i/>
          <w:iCs/>
          <w:sz w:val="24"/>
          <w:szCs w:val="24"/>
          <w:lang w:val="en-US"/>
          <w14:ligatures w14:val="standardContextual"/>
        </w:rPr>
        <w:t>Nutrition, Metabolism and Cardiovascular Diseases</w:t>
      </w:r>
      <w:r w:rsidRPr="007641B4">
        <w:rPr>
          <w:rFonts w:ascii="Times New Roman" w:hAnsi="Times New Roman" w:cs="Times New Roman"/>
          <w:sz w:val="24"/>
          <w:szCs w:val="24"/>
          <w:lang w:val="en-US"/>
          <w14:ligatures w14:val="standardContextual"/>
        </w:rPr>
        <w:t>, 23(1), pp.1–10. Available at :</w:t>
      </w:r>
      <w:hyperlink w:history="1">
        <w:r w:rsidRPr="007641B4">
          <w:rPr>
            <w:rFonts w:ascii="Times New Roman" w:hAnsi="Times New Roman" w:cs="Times New Roman"/>
            <w:color w:val="000000" w:themeColor="text1"/>
            <w:sz w:val="24"/>
            <w:szCs w:val="24"/>
            <w:lang w:val="en-US"/>
            <w14:ligatures w14:val="standardContextual"/>
          </w:rPr>
          <w:t>https:// doi.org/10.1016/j.numecd.2012.06.002</w:t>
        </w:r>
      </w:hyperlink>
    </w:p>
    <w:p w14:paraId="7ECBE508"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Goldenberg, J.Z., Day, A., Brinkworth, G.D., Sato, J., Yamada, S., Jönsson, T., Beardsley, J., Johnson, J.A., Thabane, L. and Johnston, B.C. (2021). Efficacy and safety of low and very low carbohydrate diets for type 2 diabetes remission: systematic review and meta-analysis of published and unpublished randomized trial data. </w:t>
      </w:r>
      <w:r w:rsidRPr="007641B4">
        <w:rPr>
          <w:rFonts w:ascii="Times New Roman" w:hAnsi="Times New Roman" w:cs="Times New Roman"/>
          <w:i/>
          <w:iCs/>
          <w:sz w:val="24"/>
          <w:szCs w:val="24"/>
          <w:lang w:val="en-US"/>
          <w14:ligatures w14:val="standardContextual"/>
        </w:rPr>
        <w:t>BMJ</w:t>
      </w:r>
      <w:r w:rsidRPr="007641B4">
        <w:rPr>
          <w:rFonts w:ascii="Times New Roman" w:hAnsi="Times New Roman" w:cs="Times New Roman"/>
          <w:sz w:val="24"/>
          <w:szCs w:val="24"/>
          <w:lang w:val="en-US"/>
          <w14:ligatures w14:val="standardContextual"/>
        </w:rPr>
        <w:t xml:space="preserve">, 372(372), pp.m4743. Available at : </w:t>
      </w:r>
      <w:hyperlink r:id="rId55" w:history="1">
        <w:r w:rsidRPr="007641B4">
          <w:rPr>
            <w:rFonts w:ascii="Times New Roman" w:hAnsi="Times New Roman" w:cs="Times New Roman"/>
            <w:color w:val="000000" w:themeColor="text1"/>
            <w:sz w:val="24"/>
            <w:szCs w:val="24"/>
            <w:lang w:val="en-US"/>
            <w14:ligatures w14:val="standardContextual"/>
          </w:rPr>
          <w:t>https://doi.org/10.1136/bmj.m4743</w:t>
        </w:r>
      </w:hyperlink>
    </w:p>
    <w:p w14:paraId="6F1E7018" w14:textId="7BBA2D49"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Gomes, J.M.G., Fabrini, S.P. and Alfenas, R. de C.G. (2017). Low glycemic index diet reduces body fat and attenuates inflammatory and metabolic responses in patients with type 2 diabetes. </w:t>
      </w:r>
      <w:r w:rsidRPr="007641B4">
        <w:rPr>
          <w:rFonts w:ascii="Times New Roman" w:hAnsi="Times New Roman" w:cs="Times New Roman"/>
          <w:i/>
          <w:iCs/>
          <w:sz w:val="24"/>
          <w:szCs w:val="24"/>
          <w:lang w:val="en-US"/>
          <w14:ligatures w14:val="standardContextual"/>
        </w:rPr>
        <w:t>Archives of Endocrinology and Metabolism</w:t>
      </w:r>
      <w:r w:rsidRPr="007641B4">
        <w:rPr>
          <w:rFonts w:ascii="Times New Roman" w:hAnsi="Times New Roman" w:cs="Times New Roman"/>
          <w:sz w:val="24"/>
          <w:szCs w:val="24"/>
          <w:lang w:val="en-US"/>
          <w14:ligatures w14:val="standardContextual"/>
        </w:rPr>
        <w:t>,  61(2), pp.137–144. Available at :</w:t>
      </w:r>
      <w:hyperlink r:id="rId56" w:history="1">
        <w:r w:rsidRPr="007641B4">
          <w:rPr>
            <w:rFonts w:ascii="Times New Roman" w:hAnsi="Times New Roman" w:cs="Times New Roman"/>
            <w:color w:val="000000" w:themeColor="text1"/>
            <w:sz w:val="24"/>
            <w:szCs w:val="24"/>
            <w:lang w:val="en-US"/>
            <w14:ligatures w14:val="standardContextual"/>
          </w:rPr>
          <w:t>https://doi.org/10.1590/2359-3997000000206</w:t>
        </w:r>
      </w:hyperlink>
    </w:p>
    <w:p w14:paraId="7DBF4339"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Guasch‐Ferré, M. and Willett, W.C. (2021). The Mediterranean diet and health: a comprehensive overview. </w:t>
      </w:r>
      <w:r w:rsidRPr="007641B4">
        <w:rPr>
          <w:rFonts w:ascii="Times New Roman" w:hAnsi="Times New Roman" w:cs="Times New Roman"/>
          <w:i/>
          <w:iCs/>
          <w:sz w:val="24"/>
          <w:szCs w:val="24"/>
          <w:lang w:val="en-US"/>
          <w14:ligatures w14:val="standardContextual"/>
        </w:rPr>
        <w:t>Journal of Internal Medicine</w:t>
      </w:r>
      <w:r w:rsidRPr="007641B4">
        <w:rPr>
          <w:rFonts w:ascii="Times New Roman" w:hAnsi="Times New Roman" w:cs="Times New Roman"/>
          <w:sz w:val="24"/>
          <w:szCs w:val="24"/>
          <w:lang w:val="en-US"/>
          <w14:ligatures w14:val="standardContextual"/>
        </w:rPr>
        <w:t xml:space="preserve">, 290(3), pp.549–566. Available </w:t>
      </w:r>
      <w:r w:rsidRPr="007641B4">
        <w:rPr>
          <w:rFonts w:ascii="Times New Roman" w:hAnsi="Times New Roman" w:cs="Times New Roman"/>
          <w:sz w:val="24"/>
          <w:szCs w:val="24"/>
          <w:lang w:val="en-US"/>
          <w14:ligatures w14:val="standardContextual"/>
        </w:rPr>
        <w:lastRenderedPageBreak/>
        <w:t>at :</w:t>
      </w:r>
      <w:hyperlink r:id="rId57" w:history="1">
        <w:r w:rsidRPr="007641B4">
          <w:rPr>
            <w:rFonts w:ascii="Times New Roman" w:hAnsi="Times New Roman" w:cs="Times New Roman"/>
            <w:color w:val="000000" w:themeColor="text1"/>
            <w:sz w:val="24"/>
            <w:szCs w:val="24"/>
            <w:lang w:val="en-US"/>
            <w14:ligatures w14:val="standardContextual"/>
          </w:rPr>
          <w:t>https://doi.org/10.1111/joim.13333</w:t>
        </w:r>
      </w:hyperlink>
    </w:p>
    <w:p w14:paraId="2D82E150"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Gutierrez, G.D., Gromada, J. and Sussel, L. (2017). Heterogeneity of the Pancreatic Beta Cell. </w:t>
      </w:r>
      <w:r w:rsidRPr="007641B4">
        <w:rPr>
          <w:rFonts w:ascii="Times New Roman" w:hAnsi="Times New Roman" w:cs="Times New Roman"/>
          <w:i/>
          <w:iCs/>
          <w:sz w:val="24"/>
          <w:szCs w:val="24"/>
          <w:lang w:val="en-US"/>
          <w14:ligatures w14:val="standardContextual"/>
        </w:rPr>
        <w:t>Frontiers in Genetics</w:t>
      </w:r>
      <w:r w:rsidRPr="007641B4">
        <w:rPr>
          <w:rFonts w:ascii="Times New Roman" w:hAnsi="Times New Roman" w:cs="Times New Roman"/>
          <w:sz w:val="24"/>
          <w:szCs w:val="24"/>
          <w:lang w:val="en-US"/>
          <w14:ligatures w14:val="standardContextual"/>
        </w:rPr>
        <w:t>, 8. Available at :</w:t>
      </w:r>
      <w:hyperlink r:id="rId58" w:history="1">
        <w:r w:rsidRPr="007641B4">
          <w:rPr>
            <w:rFonts w:ascii="Times New Roman" w:hAnsi="Times New Roman" w:cs="Times New Roman"/>
            <w:color w:val="000000" w:themeColor="text1"/>
            <w:sz w:val="24"/>
            <w:szCs w:val="24"/>
            <w:lang w:val="en-US"/>
            <w14:ligatures w14:val="standardContextual"/>
          </w:rPr>
          <w:t>https://doi.org/10.3389/fgene.2017.00022</w:t>
        </w:r>
      </w:hyperlink>
    </w:p>
    <w:p w14:paraId="110A7A6E"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Hargreaves, S.M., Raposo, A., Saraiva, A. and Zandonadi, R.P. (2021). Vegetarian Diet: An Overview through the Perspective of Quality of Life Domains. </w:t>
      </w:r>
      <w:r w:rsidRPr="007641B4">
        <w:rPr>
          <w:rFonts w:ascii="Times New Roman" w:hAnsi="Times New Roman" w:cs="Times New Roman"/>
          <w:i/>
          <w:iCs/>
          <w:sz w:val="24"/>
          <w:szCs w:val="24"/>
          <w:lang w:val="en-US"/>
          <w14:ligatures w14:val="standardContextual"/>
        </w:rPr>
        <w:t>International Journal of Environmental Research and Public Health</w:t>
      </w:r>
      <w:r w:rsidRPr="007641B4">
        <w:rPr>
          <w:rFonts w:ascii="Times New Roman" w:hAnsi="Times New Roman" w:cs="Times New Roman"/>
          <w:sz w:val="24"/>
          <w:szCs w:val="24"/>
          <w:lang w:val="en-US"/>
          <w14:ligatures w14:val="standardContextual"/>
        </w:rPr>
        <w:t>, 18(8), pp.4067. Available at :</w:t>
      </w:r>
      <w:hyperlink r:id="rId59" w:history="1">
        <w:r w:rsidRPr="007641B4">
          <w:rPr>
            <w:rFonts w:ascii="Times New Roman" w:hAnsi="Times New Roman" w:cs="Times New Roman"/>
            <w:color w:val="000000" w:themeColor="text1"/>
            <w:sz w:val="24"/>
            <w:szCs w:val="24"/>
            <w:lang w:val="en-US"/>
            <w14:ligatures w14:val="standardContextual"/>
          </w:rPr>
          <w:t>https://doi.org/10.3390/ijerph18084067</w:t>
        </w:r>
      </w:hyperlink>
    </w:p>
    <w:p w14:paraId="5A07828F"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Hariton, E. and Locascio, J.J. (2018). Randomised Controlled Trials - The Gold Standard for Effectiveness Research. </w:t>
      </w:r>
      <w:r w:rsidRPr="007641B4">
        <w:rPr>
          <w:rFonts w:ascii="Times New Roman" w:hAnsi="Times New Roman" w:cs="Times New Roman"/>
          <w:i/>
          <w:iCs/>
          <w:sz w:val="24"/>
          <w:szCs w:val="24"/>
          <w:lang w:val="en-US"/>
          <w14:ligatures w14:val="standardContextual"/>
        </w:rPr>
        <w:t>BJOG: An International Journal of Obstetrics &amp; Gynaecology</w:t>
      </w:r>
      <w:r w:rsidRPr="007641B4">
        <w:rPr>
          <w:rFonts w:ascii="Times New Roman" w:hAnsi="Times New Roman" w:cs="Times New Roman"/>
          <w:sz w:val="24"/>
          <w:szCs w:val="24"/>
          <w:lang w:val="en-US"/>
          <w14:ligatures w14:val="standardContextual"/>
        </w:rPr>
        <w:t>, 125(13), pp.1716. Available at :</w:t>
      </w:r>
      <w:hyperlink r:id="rId60" w:history="1">
        <w:r w:rsidRPr="007641B4">
          <w:rPr>
            <w:rFonts w:ascii="Times New Roman" w:hAnsi="Times New Roman" w:cs="Times New Roman"/>
            <w:color w:val="000000" w:themeColor="text1"/>
            <w:sz w:val="24"/>
            <w:szCs w:val="24"/>
            <w:lang w:val="en-US"/>
            <w14:ligatures w14:val="standardContextual"/>
          </w:rPr>
          <w:t>https://doi.org/10.1111/1471-0528.15199</w:t>
        </w:r>
      </w:hyperlink>
    </w:p>
    <w:p w14:paraId="6D28956B"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Henry, B.M., Skinningsrud, B., Saganiak, K., Pękala, P.A., Walocha, J.A. and Tomaszewski, K.A. (2019). Development of the human pancreas and its vasculature — An integrated review covering anatomical, embryological, histological, and molecular aspects. </w:t>
      </w:r>
      <w:r w:rsidRPr="007641B4">
        <w:rPr>
          <w:rFonts w:ascii="Times New Roman" w:hAnsi="Times New Roman" w:cs="Times New Roman"/>
          <w:i/>
          <w:iCs/>
          <w:sz w:val="24"/>
          <w:szCs w:val="24"/>
          <w:lang w:val="en-US"/>
          <w14:ligatures w14:val="standardContextual"/>
        </w:rPr>
        <w:t>Annals of Anatomy - Anatomischer Anzeiger</w:t>
      </w:r>
      <w:r w:rsidRPr="007641B4">
        <w:rPr>
          <w:rFonts w:ascii="Times New Roman" w:hAnsi="Times New Roman" w:cs="Times New Roman"/>
          <w:sz w:val="24"/>
          <w:szCs w:val="24"/>
          <w:lang w:val="en-US"/>
          <w14:ligatures w14:val="standardContextual"/>
        </w:rPr>
        <w:t>, 221, pp.115–124. Available at :</w:t>
      </w:r>
      <w:hyperlink w:history="1">
        <w:r w:rsidRPr="007641B4">
          <w:rPr>
            <w:rFonts w:ascii="Times New Roman" w:hAnsi="Times New Roman" w:cs="Times New Roman"/>
            <w:color w:val="000000" w:themeColor="text1"/>
            <w:sz w:val="24"/>
            <w:szCs w:val="24"/>
            <w:lang w:val="en-US"/>
            <w14:ligatures w14:val="standardContextual"/>
          </w:rPr>
          <w:t>https://doi .org/10.1016/j.aanat.2018.09.008</w:t>
        </w:r>
      </w:hyperlink>
    </w:p>
    <w:p w14:paraId="48F9122C"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Henry, B.M., Skinningsrud, B., Vikse, J., Pękala, P.A., Walocha, J.A., Loukas, M., Tubbs, R.S. and Tomaszewski, K.A. (2018). Systematic reviews versus narrative reviews in clinical anatomy: Methodological approaches in the era of evidence‐based anatomy. </w:t>
      </w:r>
      <w:r w:rsidRPr="007641B4">
        <w:rPr>
          <w:rFonts w:ascii="Times New Roman" w:hAnsi="Times New Roman" w:cs="Times New Roman"/>
          <w:i/>
          <w:iCs/>
          <w:sz w:val="24"/>
          <w:szCs w:val="24"/>
          <w:lang w:val="en-US"/>
          <w14:ligatures w14:val="standardContextual"/>
        </w:rPr>
        <w:t>Clinical Anatomy</w:t>
      </w:r>
      <w:r w:rsidRPr="007641B4">
        <w:rPr>
          <w:rFonts w:ascii="Times New Roman" w:hAnsi="Times New Roman" w:cs="Times New Roman"/>
          <w:sz w:val="24"/>
          <w:szCs w:val="24"/>
          <w:lang w:val="en-US"/>
          <w14:ligatures w14:val="standardContextual"/>
        </w:rPr>
        <w:t>, 31(3), pp.364–367. Available at :</w:t>
      </w:r>
      <w:hyperlink r:id="rId61" w:history="1">
        <w:r w:rsidRPr="007641B4">
          <w:rPr>
            <w:rFonts w:ascii="Times New Roman" w:hAnsi="Times New Roman" w:cs="Times New Roman"/>
            <w:color w:val="000000" w:themeColor="text1"/>
            <w:sz w:val="24"/>
            <w:szCs w:val="24"/>
            <w:lang w:val="en-US"/>
            <w14:ligatures w14:val="standardContextual"/>
          </w:rPr>
          <w:t>https://doi.org/10.1002/ca.23042</w:t>
        </w:r>
      </w:hyperlink>
    </w:p>
    <w:p w14:paraId="163AF5D5"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Huntriss, R., Campbell, M. and Bedwell, C. (2017). The interpretation and effect of a low-carbohydrate diet in the management of type 2 diabetes: a systematic review and meta-analysis of randomised controlled trials. </w:t>
      </w:r>
      <w:r w:rsidRPr="007641B4">
        <w:rPr>
          <w:rFonts w:ascii="Times New Roman" w:hAnsi="Times New Roman" w:cs="Times New Roman"/>
          <w:i/>
          <w:iCs/>
          <w:sz w:val="24"/>
          <w:szCs w:val="24"/>
          <w:lang w:val="en-US"/>
          <w14:ligatures w14:val="standardContextual"/>
        </w:rPr>
        <w:t>European Journal of Clinical Nutrition</w:t>
      </w:r>
      <w:r w:rsidRPr="007641B4">
        <w:rPr>
          <w:rFonts w:ascii="Times New Roman" w:hAnsi="Times New Roman" w:cs="Times New Roman"/>
          <w:sz w:val="24"/>
          <w:szCs w:val="24"/>
          <w:lang w:val="en-US"/>
          <w14:ligatures w14:val="standardContextual"/>
        </w:rPr>
        <w:t>, 72(3), pp.311–325. Available at :</w:t>
      </w:r>
      <w:hyperlink r:id="rId62" w:history="1">
        <w:r w:rsidRPr="007641B4">
          <w:rPr>
            <w:rFonts w:ascii="Times New Roman" w:hAnsi="Times New Roman" w:cs="Times New Roman"/>
            <w:color w:val="000000" w:themeColor="text1"/>
            <w:sz w:val="24"/>
            <w:szCs w:val="24"/>
            <w:lang w:val="en-US"/>
            <w14:ligatures w14:val="standardContextual"/>
          </w:rPr>
          <w:t>https://doi.org/10.1038/s41430-017-0019-4</w:t>
        </w:r>
      </w:hyperlink>
    </w:p>
    <w:p w14:paraId="6EF5A9AB"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Huo, R., Du, T., Xu, Y., Xu, W., Chen, X., Sun, K. and Yu, X. (2014). Effects of Mediterranean-style diet on glycemic control, weight loss and cardiovascular risk factors among type 2 diabetes individuals: a meta-analysis. </w:t>
      </w:r>
      <w:r w:rsidRPr="007641B4">
        <w:rPr>
          <w:rFonts w:ascii="Times New Roman" w:hAnsi="Times New Roman" w:cs="Times New Roman"/>
          <w:i/>
          <w:iCs/>
          <w:sz w:val="24"/>
          <w:szCs w:val="24"/>
          <w:lang w:val="en-US"/>
          <w14:ligatures w14:val="standardContextual"/>
        </w:rPr>
        <w:t>European Journal of Clinical Nutrition</w:t>
      </w:r>
      <w:r w:rsidRPr="007641B4">
        <w:rPr>
          <w:rFonts w:ascii="Times New Roman" w:hAnsi="Times New Roman" w:cs="Times New Roman"/>
          <w:sz w:val="24"/>
          <w:szCs w:val="24"/>
          <w:lang w:val="en-US"/>
          <w14:ligatures w14:val="standardContextual"/>
        </w:rPr>
        <w:t>, 69(11), pp.1200–1208. Available at :</w:t>
      </w:r>
      <w:hyperlink r:id="rId63" w:history="1">
        <w:r w:rsidRPr="007641B4">
          <w:rPr>
            <w:rFonts w:ascii="Times New Roman" w:hAnsi="Times New Roman" w:cs="Times New Roman"/>
            <w:color w:val="000000" w:themeColor="text1"/>
            <w:sz w:val="24"/>
            <w:szCs w:val="24"/>
            <w:lang w:val="en-US"/>
            <w14:ligatures w14:val="standardContextual"/>
          </w:rPr>
          <w:t>https://doi.org/10.1038/ejcn.2014.243</w:t>
        </w:r>
      </w:hyperlink>
    </w:p>
    <w:p w14:paraId="617AF549"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Ismael, S., Silvestre, M.P., Vasques, M., Araújo, J.R., Morais, J., Duarte, M.I., Pestana, D., Faria, A., Pereira-Leal, J.B., Vaz, J., Ribeiro, P., Teixeira, D., Marques, C. and Calhau, C. </w:t>
      </w:r>
      <w:r w:rsidRPr="007641B4">
        <w:rPr>
          <w:rFonts w:ascii="Times New Roman" w:hAnsi="Times New Roman" w:cs="Times New Roman"/>
          <w:sz w:val="24"/>
          <w:szCs w:val="24"/>
          <w:lang w:val="en-US"/>
          <w14:ligatures w14:val="standardContextual"/>
        </w:rPr>
        <w:lastRenderedPageBreak/>
        <w:t xml:space="preserve">(2021). A Pilot Study on the Metabolic Impact of Mediterranean Diet in Type 2 Diabetes: Is Gut Microbiota the Key?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 13(4). Available at :</w:t>
      </w:r>
      <w:hyperlink r:id="rId64" w:history="1">
        <w:r w:rsidRPr="007641B4">
          <w:rPr>
            <w:rFonts w:ascii="Times New Roman" w:hAnsi="Times New Roman" w:cs="Times New Roman"/>
            <w:color w:val="000000" w:themeColor="text1"/>
            <w:sz w:val="24"/>
            <w:szCs w:val="24"/>
            <w:lang w:val="en-US"/>
            <w14:ligatures w14:val="standardContextual"/>
          </w:rPr>
          <w:t>https://doi.org/10.3390/nu13041228</w:t>
        </w:r>
      </w:hyperlink>
    </w:p>
    <w:p w14:paraId="4520EE93"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Ivan, C.R., Messina, A., Cibelli, G., Messina, G., Polito, R., Losavio, F., Torre, E.L., Monda, V., Monda, M., Quiete, S., Casula, E., Napoli, N. and Defeudis, G. (2022). Italian Ketogenic Mediterranean Diet in Overweight and Obese Patients with Prediabetes or Type 2 Diabetes.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 14(20), pp.4361. Available at :</w:t>
      </w:r>
      <w:hyperlink r:id="rId65" w:history="1">
        <w:r w:rsidRPr="007641B4">
          <w:rPr>
            <w:rFonts w:ascii="Times New Roman" w:hAnsi="Times New Roman" w:cs="Times New Roman"/>
            <w:color w:val="000000" w:themeColor="text1"/>
            <w:sz w:val="24"/>
            <w:szCs w:val="24"/>
            <w:lang w:val="en-US"/>
            <w14:ligatures w14:val="standardContextual"/>
          </w:rPr>
          <w:t>https://doi.org/10.3390/nu14204361</w:t>
        </w:r>
      </w:hyperlink>
    </w:p>
    <w:p w14:paraId="1B6D5D50"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Jahan, N., Naveed, S., Zeshan, M. and Tahir, M.A. (2016). How to Conduct a Systematic Review: a Narrative Literature Review. </w:t>
      </w:r>
      <w:r w:rsidRPr="007641B4">
        <w:rPr>
          <w:rFonts w:ascii="Times New Roman" w:hAnsi="Times New Roman" w:cs="Times New Roman"/>
          <w:i/>
          <w:iCs/>
          <w:sz w:val="24"/>
          <w:szCs w:val="24"/>
          <w:lang w:val="en-US"/>
          <w14:ligatures w14:val="standardContextual"/>
        </w:rPr>
        <w:t>Cureus</w:t>
      </w:r>
      <w:r w:rsidRPr="007641B4">
        <w:rPr>
          <w:rFonts w:ascii="Times New Roman" w:hAnsi="Times New Roman" w:cs="Times New Roman"/>
          <w:sz w:val="24"/>
          <w:szCs w:val="24"/>
          <w:lang w:val="en-US"/>
          <w14:ligatures w14:val="standardContextual"/>
        </w:rPr>
        <w:t>, 8(11). Available at :</w:t>
      </w:r>
      <w:hyperlink r:id="rId66" w:history="1">
        <w:r w:rsidRPr="007641B4">
          <w:rPr>
            <w:rFonts w:ascii="Times New Roman" w:hAnsi="Times New Roman" w:cs="Times New Roman"/>
            <w:color w:val="000000" w:themeColor="text1"/>
            <w:sz w:val="24"/>
            <w:szCs w:val="24"/>
            <w:lang w:val="en-US"/>
            <w14:ligatures w14:val="standardContextual"/>
          </w:rPr>
          <w:t>https://doi.org/10.7759/cureus.864</w:t>
        </w:r>
      </w:hyperlink>
    </w:p>
    <w:p w14:paraId="4DA18CB8"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Jardine, M.A., Kahleova, H., Levin, S.M., Ali, Z., Trapp, C.B. and Barnard, N.D. (2021). Perspective: Plant-Based Eating Pattern for Type 2 Diabetes Prevention and Treatment: Efficacy, Mechanisms, and Practical Considerations. </w:t>
      </w:r>
      <w:r w:rsidRPr="007641B4">
        <w:rPr>
          <w:rFonts w:ascii="Times New Roman" w:hAnsi="Times New Roman" w:cs="Times New Roman"/>
          <w:i/>
          <w:iCs/>
          <w:sz w:val="24"/>
          <w:szCs w:val="24"/>
          <w:lang w:val="en-US"/>
          <w14:ligatures w14:val="standardContextual"/>
        </w:rPr>
        <w:t>Advances in Nutrition</w:t>
      </w:r>
      <w:r w:rsidRPr="007641B4">
        <w:rPr>
          <w:rFonts w:ascii="Times New Roman" w:hAnsi="Times New Roman" w:cs="Times New Roman"/>
          <w:sz w:val="24"/>
          <w:szCs w:val="24"/>
          <w:lang w:val="en-US"/>
          <w14:ligatures w14:val="standardContextual"/>
        </w:rPr>
        <w:t>,12(6), pp.2045–2055. Available at :</w:t>
      </w:r>
      <w:hyperlink r:id="rId67" w:history="1">
        <w:r w:rsidRPr="007641B4">
          <w:rPr>
            <w:rFonts w:ascii="Times New Roman" w:hAnsi="Times New Roman" w:cs="Times New Roman"/>
            <w:color w:val="000000" w:themeColor="text1"/>
            <w:sz w:val="24"/>
            <w:szCs w:val="24"/>
            <w:lang w:val="en-US"/>
            <w14:ligatures w14:val="standardContextual"/>
          </w:rPr>
          <w:t>https://doi.org/10.1093/advances/nmab063</w:t>
        </w:r>
      </w:hyperlink>
    </w:p>
    <w:p w14:paraId="49A053B2"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Johannesen, C.O., Dale, H.F., Jensen, C. and Lied, G.A. (2020). Effects of Plant-Based Diets on Outcomes Related to Glucose Metabolism: A Systematic Review. </w:t>
      </w:r>
      <w:r w:rsidRPr="007641B4">
        <w:rPr>
          <w:rFonts w:ascii="Times New Roman" w:hAnsi="Times New Roman" w:cs="Times New Roman"/>
          <w:i/>
          <w:iCs/>
          <w:sz w:val="24"/>
          <w:szCs w:val="24"/>
          <w:lang w:val="en-US"/>
          <w14:ligatures w14:val="standardContextual"/>
        </w:rPr>
        <w:t>Diabetes, Metabolic Syndrome and Obesity: Targets and Therapy</w:t>
      </w:r>
      <w:r w:rsidRPr="007641B4">
        <w:rPr>
          <w:rFonts w:ascii="Times New Roman" w:hAnsi="Times New Roman" w:cs="Times New Roman"/>
          <w:sz w:val="24"/>
          <w:szCs w:val="24"/>
          <w:lang w:val="en-US"/>
          <w14:ligatures w14:val="standardContextual"/>
        </w:rPr>
        <w:t>, 13, pp.2811–2822. Available at :</w:t>
      </w:r>
      <w:hyperlink w:history="1">
        <w:r w:rsidRPr="007641B4">
          <w:rPr>
            <w:rFonts w:ascii="Times New Roman" w:hAnsi="Times New Roman" w:cs="Times New Roman"/>
            <w:color w:val="000000" w:themeColor="text1"/>
            <w:sz w:val="24"/>
            <w:szCs w:val="24"/>
            <w:lang w:val="en-US"/>
            <w14:ligatures w14:val="standardContextual"/>
          </w:rPr>
          <w:t>https://doi .org/10.2147/dmso.s265982</w:t>
        </w:r>
      </w:hyperlink>
    </w:p>
    <w:p w14:paraId="26B7C03D"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Kailatzi, P., Matte, M. and Tziaferi, S. (2014). Effects of the Mediterranean Diet on Type 2 Diabetes’ Incidence and Treatment: A Systematic Review. </w:t>
      </w:r>
      <w:r w:rsidRPr="007641B4">
        <w:rPr>
          <w:rFonts w:ascii="Times New Roman" w:hAnsi="Times New Roman" w:cs="Times New Roman"/>
          <w:i/>
          <w:iCs/>
          <w:sz w:val="24"/>
          <w:szCs w:val="24"/>
          <w:lang w:val="en-US"/>
          <w14:ligatures w14:val="standardContextual"/>
        </w:rPr>
        <w:t>International Journal Of Occupational Health and Public Health Nursing</w:t>
      </w:r>
      <w:r w:rsidRPr="007641B4">
        <w:rPr>
          <w:rFonts w:ascii="Times New Roman" w:hAnsi="Times New Roman" w:cs="Times New Roman"/>
          <w:sz w:val="24"/>
          <w:szCs w:val="24"/>
          <w:lang w:val="en-US"/>
          <w14:ligatures w14:val="standardContextual"/>
        </w:rPr>
        <w:t xml:space="preserve">, 1(2), pp.2053–2377. Available at: </w:t>
      </w:r>
      <w:hyperlink r:id="rId68" w:history="1">
        <w:r w:rsidRPr="007641B4">
          <w:rPr>
            <w:rFonts w:ascii="Times New Roman" w:hAnsi="Times New Roman" w:cs="Times New Roman"/>
            <w:sz w:val="24"/>
            <w:szCs w:val="24"/>
            <w:lang w:val="en-US"/>
            <w14:ligatures w14:val="standardContextual"/>
          </w:rPr>
          <w:t>https://www.scienpress.com/Upload/IJOHPHN/Vol%201_2_7.pdf</w:t>
        </w:r>
      </w:hyperlink>
      <w:r w:rsidRPr="007641B4">
        <w:rPr>
          <w:rFonts w:ascii="Times New Roman" w:hAnsi="Times New Roman" w:cs="Times New Roman"/>
          <w:sz w:val="24"/>
          <w:szCs w:val="24"/>
          <w:lang w:val="en-US"/>
          <w14:ligatures w14:val="standardContextual"/>
        </w:rPr>
        <w:t xml:space="preserve"> </w:t>
      </w:r>
    </w:p>
    <w:p w14:paraId="72569F33"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Karpińska, M. and Czauderna, M. (2022). Pancreas—Its Functions, Disorders, and Physiological Impact on the Mammals’ Organism. </w:t>
      </w:r>
      <w:r w:rsidRPr="007641B4">
        <w:rPr>
          <w:rFonts w:ascii="Times New Roman" w:hAnsi="Times New Roman" w:cs="Times New Roman"/>
          <w:i/>
          <w:iCs/>
          <w:sz w:val="24"/>
          <w:szCs w:val="24"/>
          <w:lang w:val="en-US"/>
          <w14:ligatures w14:val="standardContextual"/>
        </w:rPr>
        <w:t>Frontiers in Physiology</w:t>
      </w:r>
      <w:r w:rsidRPr="007641B4">
        <w:rPr>
          <w:rFonts w:ascii="Times New Roman" w:hAnsi="Times New Roman" w:cs="Times New Roman"/>
          <w:sz w:val="24"/>
          <w:szCs w:val="24"/>
          <w:lang w:val="en-US"/>
          <w14:ligatures w14:val="standardContextual"/>
        </w:rPr>
        <w:t>, 13(807632). Available at :</w:t>
      </w:r>
      <w:hyperlink r:id="rId69" w:history="1">
        <w:r w:rsidRPr="007641B4">
          <w:rPr>
            <w:rFonts w:ascii="Times New Roman" w:hAnsi="Times New Roman" w:cs="Times New Roman"/>
            <w:color w:val="000000" w:themeColor="text1"/>
            <w:sz w:val="24"/>
            <w:szCs w:val="24"/>
            <w:lang w:val="en-US"/>
            <w14:ligatures w14:val="standardContextual"/>
          </w:rPr>
          <w:t>https://doi.org/10.3389/fphys.2022.807632</w:t>
        </w:r>
      </w:hyperlink>
    </w:p>
    <w:p w14:paraId="00266CD4"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Kashyap, A., Mackay, A., Carter, B., Fyfe, C.L., Johnstone, A.M. and Myint, P.K. (2022). Investigating the Effectiveness of Very Low-Calorie Diets and Low-Fat Vegan Diets on Weight and Glycemic Markers in Type 2 Diabetes Mellitus: A Systematic Review and Meta-Analysis.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 14(22), pp.4870. Available at :</w:t>
      </w:r>
      <w:hyperlink r:id="rId70" w:history="1">
        <w:r w:rsidRPr="007641B4">
          <w:rPr>
            <w:rFonts w:ascii="Times New Roman" w:hAnsi="Times New Roman" w:cs="Times New Roman"/>
            <w:color w:val="000000" w:themeColor="text1"/>
            <w:sz w:val="24"/>
            <w:szCs w:val="24"/>
            <w:lang w:val="en-US"/>
            <w14:ligatures w14:val="standardContextual"/>
          </w:rPr>
          <w:t>https://doi.org/10.3390/nu14224870</w:t>
        </w:r>
      </w:hyperlink>
    </w:p>
    <w:p w14:paraId="5D29B9E2"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Kayyali, R., Slater, N., Sahi, A., Mepani, D., Lalji, K. and Abdallah, A. (2019). Type 2 </w:t>
      </w:r>
      <w:r w:rsidRPr="007641B4">
        <w:rPr>
          <w:rFonts w:ascii="Times New Roman" w:hAnsi="Times New Roman" w:cs="Times New Roman"/>
          <w:sz w:val="24"/>
          <w:szCs w:val="24"/>
          <w:lang w:val="en-US"/>
          <w14:ligatures w14:val="standardContextual"/>
        </w:rPr>
        <w:lastRenderedPageBreak/>
        <w:t xml:space="preserve">Diabetes: how informed are the general public? A cross-sectional study investigating disease awareness and barriers to communicating knowledge in high-risk populations in London. </w:t>
      </w:r>
      <w:r w:rsidRPr="007641B4">
        <w:rPr>
          <w:rFonts w:ascii="Times New Roman" w:hAnsi="Times New Roman" w:cs="Times New Roman"/>
          <w:i/>
          <w:iCs/>
          <w:sz w:val="24"/>
          <w:szCs w:val="24"/>
          <w:lang w:val="en-US"/>
          <w14:ligatures w14:val="standardContextual"/>
        </w:rPr>
        <w:t>BMC Public Health</w:t>
      </w:r>
      <w:r w:rsidRPr="007641B4">
        <w:rPr>
          <w:rFonts w:ascii="Times New Roman" w:hAnsi="Times New Roman" w:cs="Times New Roman"/>
          <w:sz w:val="24"/>
          <w:szCs w:val="24"/>
          <w:lang w:val="en-US"/>
          <w14:ligatures w14:val="standardContextual"/>
        </w:rPr>
        <w:t xml:space="preserve">, 19(1). Available at: </w:t>
      </w:r>
      <w:hyperlink r:id="rId71" w:history="1">
        <w:r w:rsidRPr="007641B4">
          <w:rPr>
            <w:rFonts w:ascii="Times New Roman" w:hAnsi="Times New Roman" w:cs="Times New Roman"/>
            <w:sz w:val="24"/>
            <w:szCs w:val="24"/>
            <w:lang w:val="en-US"/>
            <w14:ligatures w14:val="standardContextual"/>
          </w:rPr>
          <w:t>https://bmcpublichealth.biomedcentral.com/articles/10.1186/s12889-019-6460-7</w:t>
        </w:r>
      </w:hyperlink>
    </w:p>
    <w:p w14:paraId="24CD0E23" w14:textId="55344F1C"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Kazeminasab, F., Miraghajani, M., Khalafi, M., Sakhaei, M.H., Rosenkranz, S.K. and Santos, H.O. (2024). Effects of low-carbohydrate diets, with and without caloric restriction, on inflammatory markers in adults: a systematic review and meta-analysis of randomized clinical trials. </w:t>
      </w:r>
      <w:r w:rsidRPr="007641B4">
        <w:rPr>
          <w:rFonts w:ascii="Times New Roman" w:hAnsi="Times New Roman" w:cs="Times New Roman"/>
          <w:i/>
          <w:iCs/>
          <w:sz w:val="24"/>
          <w:szCs w:val="24"/>
          <w:lang w:val="en-US"/>
          <w14:ligatures w14:val="standardContextual"/>
        </w:rPr>
        <w:t>European Journal of Clinical Nutrition</w:t>
      </w:r>
      <w:r w:rsidRPr="007641B4">
        <w:rPr>
          <w:rFonts w:ascii="Times New Roman" w:hAnsi="Times New Roman" w:cs="Times New Roman"/>
          <w:sz w:val="24"/>
          <w:szCs w:val="24"/>
          <w:lang w:val="en-US"/>
          <w14:ligatures w14:val="standardContextual"/>
        </w:rPr>
        <w:t>, pp.1–16. Available at :</w:t>
      </w:r>
      <w:hyperlink r:id="rId72" w:history="1">
        <w:r w:rsidR="006D1B42" w:rsidRPr="001D4608">
          <w:rPr>
            <w:rStyle w:val="Hyperlink"/>
            <w:rFonts w:ascii="Times New Roman" w:hAnsi="Times New Roman" w:cs="Times New Roman"/>
            <w:color w:val="000000" w:themeColor="text1"/>
            <w:sz w:val="24"/>
            <w:szCs w:val="24"/>
            <w:u w:val="none"/>
            <w:lang w:val="en-US"/>
            <w14:ligatures w14:val="standardContextual"/>
          </w:rPr>
          <w:t>https://doi.org/10.1038/s41430-024-01431-x</w:t>
        </w:r>
      </w:hyperlink>
    </w:p>
    <w:p w14:paraId="69A42051"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Kelly, J., Sadeghieh, T. and Adeli, K. (2014). Peer Review in Scientific Publications: Benefits, Critiques, &amp; a Survival Guide. </w:t>
      </w:r>
      <w:r w:rsidRPr="007641B4">
        <w:rPr>
          <w:rFonts w:ascii="Times New Roman" w:hAnsi="Times New Roman" w:cs="Times New Roman"/>
          <w:i/>
          <w:iCs/>
          <w:sz w:val="24"/>
          <w:szCs w:val="24"/>
          <w:lang w:val="en-US"/>
          <w14:ligatures w14:val="standardContextual"/>
        </w:rPr>
        <w:t>The Journal of the International Federation of Clinical Chemistry and Laboratory Medicine</w:t>
      </w:r>
      <w:r w:rsidRPr="007641B4">
        <w:rPr>
          <w:rFonts w:ascii="Times New Roman" w:hAnsi="Times New Roman" w:cs="Times New Roman"/>
          <w:sz w:val="24"/>
          <w:szCs w:val="24"/>
          <w:lang w:val="en-US"/>
          <w14:ligatures w14:val="standardContextual"/>
        </w:rPr>
        <w:t xml:space="preserve">, 25(3), pp.227–43. Available at: </w:t>
      </w:r>
      <w:hyperlink r:id="rId73" w:history="1">
        <w:r w:rsidRPr="007641B4">
          <w:rPr>
            <w:rFonts w:ascii="Times New Roman" w:hAnsi="Times New Roman" w:cs="Times New Roman"/>
            <w:sz w:val="24"/>
            <w:szCs w:val="24"/>
            <w:lang w:val="en-US"/>
            <w14:ligatures w14:val="standardContextual"/>
          </w:rPr>
          <w:t>https://www.ncbi.nlm.nih.gov/pmc/articles/PMC4975196/</w:t>
        </w:r>
      </w:hyperlink>
    </w:p>
    <w:p w14:paraId="5878A7D4"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Key, T.J., Papier, K. and Tong, T.Y.N. (2021). Plant-based diets and long-term health: findings from the EPIC-Oxford study. </w:t>
      </w:r>
      <w:r w:rsidRPr="007641B4">
        <w:rPr>
          <w:rFonts w:ascii="Times New Roman" w:hAnsi="Times New Roman" w:cs="Times New Roman"/>
          <w:i/>
          <w:iCs/>
          <w:sz w:val="24"/>
          <w:szCs w:val="24"/>
          <w:lang w:val="en-US"/>
          <w14:ligatures w14:val="standardContextual"/>
        </w:rPr>
        <w:t>Proceedings of the Nutrition Society</w:t>
      </w:r>
      <w:r w:rsidRPr="007641B4">
        <w:rPr>
          <w:rFonts w:ascii="Times New Roman" w:hAnsi="Times New Roman" w:cs="Times New Roman"/>
          <w:sz w:val="24"/>
          <w:szCs w:val="24"/>
          <w:lang w:val="en-US"/>
          <w14:ligatures w14:val="standardContextual"/>
        </w:rPr>
        <w:t>, 81(2), pp.1–9. Available at :</w:t>
      </w:r>
      <w:hyperlink r:id="rId74" w:history="1">
        <w:r w:rsidRPr="007641B4">
          <w:rPr>
            <w:rFonts w:ascii="Times New Roman" w:hAnsi="Times New Roman" w:cs="Times New Roman"/>
            <w:color w:val="000000" w:themeColor="text1"/>
            <w:sz w:val="24"/>
            <w:szCs w:val="24"/>
            <w:lang w:val="en-US"/>
            <w14:ligatures w14:val="standardContextual"/>
          </w:rPr>
          <w:t>https://doi.org/10.1017/s0029665121003748</w:t>
        </w:r>
      </w:hyperlink>
    </w:p>
    <w:p w14:paraId="27CB5924"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Khan, M.A., Hashim, M.J., King, J., Govender, R.D., Mustafa, H. and Al Kaabi, J. (2020). Epidemiology of Type 2 Diabetes – Global Burden of Disease and Forecasted Trends. </w:t>
      </w:r>
      <w:r w:rsidRPr="007641B4">
        <w:rPr>
          <w:rFonts w:ascii="Times New Roman" w:hAnsi="Times New Roman" w:cs="Times New Roman"/>
          <w:i/>
          <w:iCs/>
          <w:sz w:val="24"/>
          <w:szCs w:val="24"/>
          <w:lang w:val="en-US"/>
          <w14:ligatures w14:val="standardContextual"/>
        </w:rPr>
        <w:t>Journal of Epidemiology and Global Health</w:t>
      </w:r>
      <w:r w:rsidRPr="007641B4">
        <w:rPr>
          <w:rFonts w:ascii="Times New Roman" w:hAnsi="Times New Roman" w:cs="Times New Roman"/>
          <w:sz w:val="24"/>
          <w:szCs w:val="24"/>
          <w:lang w:val="en-US"/>
          <w14:ligatures w14:val="standardContextual"/>
        </w:rPr>
        <w:t>, 10(1), pp.107–111. Available at :</w:t>
      </w:r>
      <w:hyperlink r:id="rId75" w:history="1">
        <w:r w:rsidRPr="007641B4">
          <w:rPr>
            <w:rFonts w:ascii="Times New Roman" w:hAnsi="Times New Roman" w:cs="Times New Roman"/>
            <w:color w:val="000000" w:themeColor="text1"/>
            <w:sz w:val="24"/>
            <w:szCs w:val="24"/>
            <w:lang w:val="en-US"/>
            <w14:ligatures w14:val="standardContextual"/>
          </w:rPr>
          <w:t>https://doi.org/10.2991/jegh.k.191028.001</w:t>
        </w:r>
      </w:hyperlink>
    </w:p>
    <w:p w14:paraId="3F278DD9"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Korsmo-Haugen, H.-K., Brurberg, K.G., Mann, J. and Aas, A.-M. (2018). Carbohydrate quantity in the dietary management of type 2 diabetes: A systematic review and meta-analysis. </w:t>
      </w:r>
      <w:r w:rsidRPr="007641B4">
        <w:rPr>
          <w:rFonts w:ascii="Times New Roman" w:hAnsi="Times New Roman" w:cs="Times New Roman"/>
          <w:i/>
          <w:iCs/>
          <w:sz w:val="24"/>
          <w:szCs w:val="24"/>
          <w:lang w:val="en-US"/>
          <w14:ligatures w14:val="standardContextual"/>
        </w:rPr>
        <w:t>Diabetes, Obesity and Metabolism</w:t>
      </w:r>
      <w:r w:rsidRPr="007641B4">
        <w:rPr>
          <w:rFonts w:ascii="Times New Roman" w:hAnsi="Times New Roman" w:cs="Times New Roman"/>
          <w:sz w:val="24"/>
          <w:szCs w:val="24"/>
          <w:lang w:val="en-US"/>
          <w14:ligatures w14:val="standardContextual"/>
        </w:rPr>
        <w:t>, 21(1), pp.15–27. Available at :</w:t>
      </w:r>
      <w:hyperlink r:id="rId76" w:history="1">
        <w:r w:rsidRPr="007641B4">
          <w:rPr>
            <w:rFonts w:ascii="Times New Roman" w:hAnsi="Times New Roman" w:cs="Times New Roman"/>
            <w:color w:val="000000" w:themeColor="text1"/>
            <w:sz w:val="24"/>
            <w:szCs w:val="24"/>
            <w:lang w:val="en-US"/>
            <w14:ligatures w14:val="standardContextual"/>
          </w:rPr>
          <w:t>https://doi.org/10.1111/dom.13499</w:t>
        </w:r>
      </w:hyperlink>
    </w:p>
    <w:p w14:paraId="3329AE3E"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Lăcătușu, C.-M., Grigorescu, E.-D., Floria, M., Onofriescu, A. and Mihai, B.-M. (2019). The Mediterranean Diet: From an Environment-Driven Food Culture to an Emerging Medical Prescription. </w:t>
      </w:r>
      <w:r w:rsidRPr="007641B4">
        <w:rPr>
          <w:rFonts w:ascii="Times New Roman" w:hAnsi="Times New Roman" w:cs="Times New Roman"/>
          <w:i/>
          <w:iCs/>
          <w:sz w:val="24"/>
          <w:szCs w:val="24"/>
          <w:lang w:val="en-US"/>
          <w14:ligatures w14:val="standardContextual"/>
        </w:rPr>
        <w:t>International Journal of Environmental Research and Public Health</w:t>
      </w:r>
      <w:r w:rsidRPr="007641B4">
        <w:rPr>
          <w:rFonts w:ascii="Times New Roman" w:hAnsi="Times New Roman" w:cs="Times New Roman"/>
          <w:sz w:val="24"/>
          <w:szCs w:val="24"/>
          <w:lang w:val="en-US"/>
          <w14:ligatures w14:val="standardContextual"/>
        </w:rPr>
        <w:t>, 16(6), pp.942. Available at :</w:t>
      </w:r>
      <w:hyperlink r:id="rId77" w:history="1">
        <w:r w:rsidRPr="007641B4">
          <w:rPr>
            <w:rFonts w:ascii="Times New Roman" w:hAnsi="Times New Roman" w:cs="Times New Roman"/>
            <w:color w:val="000000" w:themeColor="text1"/>
            <w:sz w:val="24"/>
            <w:szCs w:val="24"/>
            <w:lang w:val="en-US"/>
            <w14:ligatures w14:val="standardContextual"/>
          </w:rPr>
          <w:t>https://doi.org/10.3390/ijerph16060942</w:t>
        </w:r>
      </w:hyperlink>
    </w:p>
    <w:p w14:paraId="610E56C4"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Landry, M.J., Crimarco, A. and Gardner, C.D. (2021). Benefits of Low Carbohydrate Diets: a </w:t>
      </w:r>
      <w:r w:rsidRPr="007641B4">
        <w:rPr>
          <w:rFonts w:ascii="Times New Roman" w:hAnsi="Times New Roman" w:cs="Times New Roman"/>
          <w:sz w:val="24"/>
          <w:szCs w:val="24"/>
          <w:lang w:val="en-US"/>
          <w14:ligatures w14:val="standardContextual"/>
        </w:rPr>
        <w:lastRenderedPageBreak/>
        <w:t xml:space="preserve">Settled Question or Still Controversial? </w:t>
      </w:r>
      <w:r w:rsidRPr="007641B4">
        <w:rPr>
          <w:rFonts w:ascii="Times New Roman" w:hAnsi="Times New Roman" w:cs="Times New Roman"/>
          <w:i/>
          <w:iCs/>
          <w:sz w:val="24"/>
          <w:szCs w:val="24"/>
          <w:lang w:val="en-US"/>
          <w14:ligatures w14:val="standardContextual"/>
        </w:rPr>
        <w:t>Current Obesity Reports</w:t>
      </w:r>
      <w:r w:rsidRPr="007641B4">
        <w:rPr>
          <w:rFonts w:ascii="Times New Roman" w:hAnsi="Times New Roman" w:cs="Times New Roman"/>
          <w:sz w:val="24"/>
          <w:szCs w:val="24"/>
          <w:lang w:val="en-US"/>
          <w14:ligatures w14:val="standardContextual"/>
        </w:rPr>
        <w:t>, 10(3), pp.409–422. Available at :</w:t>
      </w:r>
      <w:hyperlink r:id="rId78" w:history="1">
        <w:r w:rsidRPr="007641B4">
          <w:rPr>
            <w:rFonts w:ascii="Times New Roman" w:hAnsi="Times New Roman" w:cs="Times New Roman"/>
            <w:color w:val="000000" w:themeColor="text1"/>
            <w:sz w:val="24"/>
            <w:szCs w:val="24"/>
            <w:lang w:val="en-US"/>
            <w14:ligatures w14:val="standardContextual"/>
          </w:rPr>
          <w:t>https://doi.org/10.1007/s13679-021-00451-z</w:t>
        </w:r>
      </w:hyperlink>
    </w:p>
    <w:p w14:paraId="7E2379A9"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Lee, Y.-M., Kim, S.-A., Lee, I.-K., Kim, J.-G., Park, K.-G., Jeong, J.-Y., Jeon, J.-H., Shin, J.-Y. and Lee, D.-H. (2016). Effect of a Brown Rice Based Vegan Diet and Conventional Diabetic Diet on Glycemic Control of Patients with Type 2 Diabetes: A 12-Week Randomized Clinical Trial. </w:t>
      </w:r>
      <w:r w:rsidRPr="007641B4">
        <w:rPr>
          <w:rFonts w:ascii="Times New Roman" w:hAnsi="Times New Roman" w:cs="Times New Roman"/>
          <w:i/>
          <w:iCs/>
          <w:sz w:val="24"/>
          <w:szCs w:val="24"/>
          <w:lang w:val="en-US"/>
          <w14:ligatures w14:val="standardContextual"/>
        </w:rPr>
        <w:t>PLOS ONE</w:t>
      </w:r>
      <w:r w:rsidRPr="007641B4">
        <w:rPr>
          <w:rFonts w:ascii="Times New Roman" w:hAnsi="Times New Roman" w:cs="Times New Roman"/>
          <w:sz w:val="24"/>
          <w:szCs w:val="24"/>
          <w:lang w:val="en-US"/>
          <w14:ligatures w14:val="standardContextual"/>
        </w:rPr>
        <w:t>, 11(6), pp.e0155918. Available at :</w:t>
      </w:r>
      <w:hyperlink r:id="rId79" w:history="1">
        <w:r w:rsidRPr="007641B4">
          <w:rPr>
            <w:rFonts w:ascii="Times New Roman" w:hAnsi="Times New Roman" w:cs="Times New Roman"/>
            <w:color w:val="000000" w:themeColor="text1"/>
            <w:sz w:val="24"/>
            <w:szCs w:val="24"/>
            <w:lang w:val="en-US"/>
            <w14:ligatures w14:val="standardContextual"/>
          </w:rPr>
          <w:t>https://doi.org/10.1371/journal.pone.0155918</w:t>
        </w:r>
      </w:hyperlink>
    </w:p>
    <w:p w14:paraId="31FF4E25"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color w:val="000000" w:themeColor="text1"/>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Leitzmann, C. (2014). Vegetarian nutrition: past, present, future. </w:t>
      </w:r>
      <w:r w:rsidRPr="007641B4">
        <w:rPr>
          <w:rFonts w:ascii="Times New Roman" w:hAnsi="Times New Roman" w:cs="Times New Roman"/>
          <w:i/>
          <w:iCs/>
          <w:sz w:val="24"/>
          <w:szCs w:val="24"/>
          <w:lang w:val="en-US"/>
          <w14:ligatures w14:val="standardContextual"/>
        </w:rPr>
        <w:t>The American Journal of Clinical Nutrition</w:t>
      </w:r>
      <w:r w:rsidRPr="007641B4">
        <w:rPr>
          <w:rFonts w:ascii="Times New Roman" w:hAnsi="Times New Roman" w:cs="Times New Roman"/>
          <w:sz w:val="24"/>
          <w:szCs w:val="24"/>
          <w:lang w:val="en-US"/>
          <w14:ligatures w14:val="standardContextual"/>
        </w:rPr>
        <w:t>, 100(suppl_1), pp.496S502S. Available at :</w:t>
      </w:r>
      <w:hyperlink r:id="rId80" w:history="1">
        <w:r w:rsidRPr="007641B4">
          <w:rPr>
            <w:rFonts w:ascii="Times New Roman" w:hAnsi="Times New Roman" w:cs="Times New Roman"/>
            <w:color w:val="000000" w:themeColor="text1"/>
            <w:sz w:val="24"/>
            <w:szCs w:val="24"/>
            <w:lang w:val="en-US"/>
            <w14:ligatures w14:val="standardContextual"/>
          </w:rPr>
          <w:t>https://doi.org/10.3945/ajcn.113.071365</w:t>
        </w:r>
      </w:hyperlink>
    </w:p>
    <w:p w14:paraId="0DA92AD7" w14:textId="1DDB5CAA" w:rsidR="00C839DE" w:rsidRPr="007641B4" w:rsidRDefault="00F610CB" w:rsidP="00E84CF8">
      <w:pPr>
        <w:pStyle w:val="NormalWeb"/>
        <w:spacing w:before="0" w:beforeAutospacing="0" w:after="240" w:afterAutospacing="0" w:line="360" w:lineRule="auto"/>
      </w:pPr>
      <w:r w:rsidRPr="007641B4">
        <w:t xml:space="preserve">Li, D., Zhang, P., Guo, H. and Ling, W. (2014). Taking a Low Glycemic Index Multi-Nutrient Supplement as Breakfast Improves Glycemic Control in Patients with Type 2 Diabetes Mellitus: A Randomized Controlled Trial. </w:t>
      </w:r>
      <w:r w:rsidRPr="007641B4">
        <w:rPr>
          <w:i/>
          <w:iCs/>
        </w:rPr>
        <w:t>Nutrients</w:t>
      </w:r>
      <w:r w:rsidRPr="007641B4">
        <w:t xml:space="preserve">, 6(12), pp.5740–5755. </w:t>
      </w:r>
      <w:r w:rsidR="00566E66" w:rsidRPr="007641B4">
        <w:t xml:space="preserve">Available at </w:t>
      </w:r>
      <w:r w:rsidRPr="007641B4">
        <w:t>:https://doi.org/10.3390/nu6125740</w:t>
      </w:r>
    </w:p>
    <w:p w14:paraId="2A659DC3" w14:textId="43C44CEE"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Lobos, D.R., Vicuña, I.A., Novik, V. and Vega, C.A. (2017). Effect of high and low glycemic index breakfast on postprandial metabolic parameters and satiety in subjects with type 2 diabetes mellitus under intensive insulin therapy: Controlled clinical trial. </w:t>
      </w:r>
      <w:r w:rsidRPr="007641B4">
        <w:rPr>
          <w:rFonts w:ascii="Times New Roman" w:hAnsi="Times New Roman" w:cs="Times New Roman"/>
          <w:i/>
          <w:iCs/>
          <w:sz w:val="24"/>
          <w:szCs w:val="24"/>
          <w:lang w:val="en-US"/>
          <w14:ligatures w14:val="standardContextual"/>
        </w:rPr>
        <w:t>Clinical Nutrition ESPEN</w:t>
      </w:r>
      <w:r w:rsidRPr="007641B4">
        <w:rPr>
          <w:rFonts w:ascii="Times New Roman" w:hAnsi="Times New Roman" w:cs="Times New Roman"/>
          <w:sz w:val="24"/>
          <w:szCs w:val="24"/>
          <w:lang w:val="en-US"/>
          <w14:ligatures w14:val="standardContextual"/>
        </w:rPr>
        <w:t>, 20, pp.12–16. Available at :</w:t>
      </w:r>
      <w:hyperlink r:id="rId81" w:history="1">
        <w:r w:rsidR="001D4608" w:rsidRPr="001D4608">
          <w:rPr>
            <w:rStyle w:val="Hyperlink"/>
            <w:rFonts w:ascii="Times New Roman" w:hAnsi="Times New Roman" w:cs="Times New Roman"/>
            <w:color w:val="000000" w:themeColor="text1"/>
            <w:sz w:val="24"/>
            <w:szCs w:val="24"/>
            <w:u w:val="none"/>
            <w:lang w:val="en-US"/>
            <w14:ligatures w14:val="standardContextual"/>
          </w:rPr>
          <w:t>https://doi.org/10.1016/j.clnesp.2017.04.082</w:t>
        </w:r>
      </w:hyperlink>
    </w:p>
    <w:p w14:paraId="1761FDC9"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Locke, A., Schneiderhan, J. and Zick, S.M. (2018). Diets for Health: Goals and Guidelines. </w:t>
      </w:r>
      <w:r w:rsidRPr="007641B4">
        <w:rPr>
          <w:rFonts w:ascii="Times New Roman" w:hAnsi="Times New Roman" w:cs="Times New Roman"/>
          <w:i/>
          <w:iCs/>
          <w:sz w:val="24"/>
          <w:szCs w:val="24"/>
          <w:lang w:val="en-US"/>
          <w14:ligatures w14:val="standardContextual"/>
        </w:rPr>
        <w:t>American Family Physician</w:t>
      </w:r>
      <w:r w:rsidRPr="007641B4">
        <w:rPr>
          <w:rFonts w:ascii="Times New Roman" w:hAnsi="Times New Roman" w:cs="Times New Roman"/>
          <w:sz w:val="24"/>
          <w:szCs w:val="24"/>
          <w:lang w:val="en-US"/>
          <w14:ligatures w14:val="standardContextual"/>
        </w:rPr>
        <w:t xml:space="preserve">, 97(11), pp.721–728. Available at: </w:t>
      </w:r>
      <w:hyperlink r:id="rId82" w:anchor=":~:text=Diet%20is%20the%20single%20most%20significant%20risk%20factor" w:history="1">
        <w:r w:rsidRPr="007641B4">
          <w:rPr>
            <w:rFonts w:ascii="Times New Roman" w:hAnsi="Times New Roman" w:cs="Times New Roman"/>
            <w:sz w:val="24"/>
            <w:szCs w:val="24"/>
            <w:lang w:val="en-US"/>
            <w14:ligatures w14:val="standardContextual"/>
          </w:rPr>
          <w:t>https://pubmed.ncbi.nlm.nih.gov/30215930/#:~:text=Diet%20is%20the%20single%20most%20significant%20risk%20factor</w:t>
        </w:r>
      </w:hyperlink>
    </w:p>
    <w:p w14:paraId="2551C77C"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Ma, X., Nan, F., Liang, H., Shu, P., Fan, X., Song, X., Hou, Y. and Zhang, D. (2022). Excessive intake of sugar: An accomplice of inflammation. </w:t>
      </w:r>
      <w:r w:rsidRPr="007641B4">
        <w:rPr>
          <w:rFonts w:ascii="Times New Roman" w:hAnsi="Times New Roman" w:cs="Times New Roman"/>
          <w:i/>
          <w:iCs/>
          <w:sz w:val="24"/>
          <w:szCs w:val="24"/>
          <w:lang w:val="en-US"/>
          <w14:ligatures w14:val="standardContextual"/>
        </w:rPr>
        <w:t>Frontiers in Immunology</w:t>
      </w:r>
      <w:r w:rsidRPr="007641B4">
        <w:rPr>
          <w:rFonts w:ascii="Times New Roman" w:hAnsi="Times New Roman" w:cs="Times New Roman"/>
          <w:sz w:val="24"/>
          <w:szCs w:val="24"/>
          <w:lang w:val="en-US"/>
          <w14:ligatures w14:val="standardContextual"/>
        </w:rPr>
        <w:t>, 13(13). Available at :</w:t>
      </w:r>
      <w:hyperlink r:id="rId83" w:history="1">
        <w:r w:rsidRPr="007641B4">
          <w:rPr>
            <w:rFonts w:ascii="Times New Roman" w:hAnsi="Times New Roman" w:cs="Times New Roman"/>
            <w:color w:val="000000" w:themeColor="text1"/>
            <w:sz w:val="24"/>
            <w:szCs w:val="24"/>
            <w:lang w:val="en-US"/>
            <w14:ligatures w14:val="standardContextual"/>
          </w:rPr>
          <w:t>https://doi.org/10.3389/fimmu.2022.988481</w:t>
        </w:r>
      </w:hyperlink>
    </w:p>
    <w:p w14:paraId="4D5EB41E"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Mahadevan, V. (2019). Anatomy of the pancreas and spleen. </w:t>
      </w:r>
      <w:r w:rsidRPr="007641B4">
        <w:rPr>
          <w:rFonts w:ascii="Times New Roman" w:hAnsi="Times New Roman" w:cs="Times New Roman"/>
          <w:i/>
          <w:iCs/>
          <w:sz w:val="24"/>
          <w:szCs w:val="24"/>
          <w:lang w:val="en-US"/>
          <w14:ligatures w14:val="standardContextual"/>
        </w:rPr>
        <w:t>Surgery (Oxford)</w:t>
      </w:r>
      <w:r w:rsidRPr="007641B4">
        <w:rPr>
          <w:rFonts w:ascii="Times New Roman" w:hAnsi="Times New Roman" w:cs="Times New Roman"/>
          <w:sz w:val="24"/>
          <w:szCs w:val="24"/>
          <w:lang w:val="en-US"/>
          <w14:ligatures w14:val="standardContextual"/>
        </w:rPr>
        <w:t>, 37(6), pp.297–301. Available at :</w:t>
      </w:r>
      <w:hyperlink r:id="rId84" w:history="1">
        <w:r w:rsidRPr="007641B4">
          <w:rPr>
            <w:rFonts w:ascii="Times New Roman" w:hAnsi="Times New Roman" w:cs="Times New Roman"/>
            <w:color w:val="000000" w:themeColor="text1"/>
            <w:sz w:val="24"/>
            <w:szCs w:val="24"/>
            <w:lang w:val="en-US"/>
            <w14:ligatures w14:val="standardContextual"/>
          </w:rPr>
          <w:t>https://doi.org/10.1016/j.mpsur.2019.04.008</w:t>
        </w:r>
      </w:hyperlink>
    </w:p>
    <w:p w14:paraId="4530B518"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Martinez-Lacoba, R., Pardo-Garcia, I., Amo-Saus, E. and Escribano-Sotos, F. (2018). Mediterranean diet and health outcomes: a systematic meta-review. </w:t>
      </w:r>
      <w:r w:rsidRPr="007641B4">
        <w:rPr>
          <w:rFonts w:ascii="Times New Roman" w:hAnsi="Times New Roman" w:cs="Times New Roman"/>
          <w:i/>
          <w:iCs/>
          <w:sz w:val="24"/>
          <w:szCs w:val="24"/>
          <w:lang w:val="en-US"/>
          <w14:ligatures w14:val="standardContextual"/>
        </w:rPr>
        <w:t xml:space="preserve">European Journal of </w:t>
      </w:r>
      <w:r w:rsidRPr="007641B4">
        <w:rPr>
          <w:rFonts w:ascii="Times New Roman" w:hAnsi="Times New Roman" w:cs="Times New Roman"/>
          <w:i/>
          <w:iCs/>
          <w:sz w:val="24"/>
          <w:szCs w:val="24"/>
          <w:lang w:val="en-US"/>
          <w14:ligatures w14:val="standardContextual"/>
        </w:rPr>
        <w:lastRenderedPageBreak/>
        <w:t>Public Health</w:t>
      </w:r>
      <w:r w:rsidRPr="007641B4">
        <w:rPr>
          <w:rFonts w:ascii="Times New Roman" w:hAnsi="Times New Roman" w:cs="Times New Roman"/>
          <w:sz w:val="24"/>
          <w:szCs w:val="24"/>
          <w:lang w:val="en-US"/>
          <w14:ligatures w14:val="standardContextual"/>
        </w:rPr>
        <w:t>, 28(5), pp.955–961. Available at :</w:t>
      </w:r>
      <w:hyperlink r:id="rId85" w:history="1">
        <w:r w:rsidRPr="007641B4">
          <w:rPr>
            <w:rFonts w:ascii="Times New Roman" w:hAnsi="Times New Roman" w:cs="Times New Roman"/>
            <w:color w:val="000000" w:themeColor="text1"/>
            <w:sz w:val="24"/>
            <w:szCs w:val="24"/>
            <w:lang w:val="en-US"/>
            <w14:ligatures w14:val="standardContextual"/>
          </w:rPr>
          <w:t>https://doi.org/10.1093/eurpub/cky113</w:t>
        </w:r>
      </w:hyperlink>
    </w:p>
    <w:p w14:paraId="78A03D85"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Mehta, V., Hopson, P.E., Yamen Smadi, Patel, S.B., Horvath, K. and Mehta, D.I. (2022). Development of the human pancreas and its exocrine function. </w:t>
      </w:r>
      <w:r w:rsidRPr="007641B4">
        <w:rPr>
          <w:rFonts w:ascii="Times New Roman" w:hAnsi="Times New Roman" w:cs="Times New Roman"/>
          <w:i/>
          <w:iCs/>
          <w:sz w:val="24"/>
          <w:szCs w:val="24"/>
          <w:lang w:val="en-US"/>
          <w14:ligatures w14:val="standardContextual"/>
        </w:rPr>
        <w:t>Frontiers in pediatrics</w:t>
      </w:r>
      <w:r w:rsidRPr="007641B4">
        <w:rPr>
          <w:rFonts w:ascii="Times New Roman" w:hAnsi="Times New Roman" w:cs="Times New Roman"/>
          <w:sz w:val="24"/>
          <w:szCs w:val="24"/>
          <w:lang w:val="en-US"/>
          <w14:ligatures w14:val="standardContextual"/>
        </w:rPr>
        <w:t>, 10. Available at :</w:t>
      </w:r>
      <w:hyperlink r:id="rId86" w:history="1">
        <w:r w:rsidRPr="007641B4">
          <w:rPr>
            <w:rFonts w:ascii="Times New Roman" w:hAnsi="Times New Roman" w:cs="Times New Roman"/>
            <w:color w:val="000000" w:themeColor="text1"/>
            <w:sz w:val="24"/>
            <w:szCs w:val="24"/>
            <w:lang w:val="en-US"/>
            <w14:ligatures w14:val="standardContextual"/>
          </w:rPr>
          <w:t>https://doi.org/10.3389/fped.2022.909648</w:t>
        </w:r>
      </w:hyperlink>
    </w:p>
    <w:p w14:paraId="3665156C"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Meng, Y., Bai, H., Wang, S., Li, Z., Wang, Q. and Chen, L. (2017). Efficacy of low carbohydrate diet for type 2 diabetes mellitus management: A systematic review and meta-analysis of randomized controlled trials. </w:t>
      </w:r>
      <w:r w:rsidRPr="007641B4">
        <w:rPr>
          <w:rFonts w:ascii="Times New Roman" w:hAnsi="Times New Roman" w:cs="Times New Roman"/>
          <w:i/>
          <w:iCs/>
          <w:sz w:val="24"/>
          <w:szCs w:val="24"/>
          <w:lang w:val="en-US"/>
          <w14:ligatures w14:val="standardContextual"/>
        </w:rPr>
        <w:t>Diabetes Research and Clinical Practice</w:t>
      </w:r>
      <w:r w:rsidRPr="007641B4">
        <w:rPr>
          <w:rFonts w:ascii="Times New Roman" w:hAnsi="Times New Roman" w:cs="Times New Roman"/>
          <w:sz w:val="24"/>
          <w:szCs w:val="24"/>
          <w:lang w:val="en-US"/>
          <w14:ligatures w14:val="standardContextual"/>
        </w:rPr>
        <w:t>, 131, pp.124–131. Available at :</w:t>
      </w:r>
      <w:hyperlink r:id="rId87" w:history="1">
        <w:r w:rsidRPr="007641B4">
          <w:rPr>
            <w:rFonts w:ascii="Times New Roman" w:hAnsi="Times New Roman" w:cs="Times New Roman"/>
            <w:color w:val="000000" w:themeColor="text1"/>
            <w:sz w:val="24"/>
            <w:szCs w:val="24"/>
            <w:lang w:val="en-US"/>
            <w14:ligatures w14:val="standardContextual"/>
          </w:rPr>
          <w:t>https://doi.org/10.1016/j.diabres.2017.07.006</w:t>
        </w:r>
      </w:hyperlink>
    </w:p>
    <w:p w14:paraId="5EF39EAF"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Milenkovic, T., Bozhinovska, N., Macut, D., Bjekic-Macut, J., Rahelic, D., Velija Asimi, Z. and Burekovic, A. (2021). Mediterranean Diet and Type 2 Diabetes Mellitus: A Perpetual Inspiration for the Scientific World. A Review.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 13(4), pp.1307. Available at :</w:t>
      </w:r>
      <w:hyperlink r:id="rId88" w:history="1">
        <w:r w:rsidRPr="007641B4">
          <w:rPr>
            <w:rFonts w:ascii="Times New Roman" w:hAnsi="Times New Roman" w:cs="Times New Roman"/>
            <w:color w:val="000000" w:themeColor="text1"/>
            <w:sz w:val="24"/>
            <w:szCs w:val="24"/>
            <w:lang w:val="en-US"/>
            <w14:ligatures w14:val="standardContextual"/>
          </w:rPr>
          <w:t>https://doi.org/10.3390/nu13041307</w:t>
        </w:r>
      </w:hyperlink>
    </w:p>
    <w:p w14:paraId="431B803B"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Mohan, V., Unnikrishnan, R., Shobana, S., Malavika, M., Anjana, R.M. and Sudha, V. (2018). Are excess carbohydrates the main link to diabetes &amp; its complications in Asians? </w:t>
      </w:r>
      <w:r w:rsidRPr="007641B4">
        <w:rPr>
          <w:rFonts w:ascii="Times New Roman" w:hAnsi="Times New Roman" w:cs="Times New Roman"/>
          <w:i/>
          <w:iCs/>
          <w:sz w:val="24"/>
          <w:szCs w:val="24"/>
          <w:lang w:val="en-US"/>
          <w14:ligatures w14:val="standardContextual"/>
        </w:rPr>
        <w:t>The Indian journal of medical research</w:t>
      </w:r>
      <w:r w:rsidRPr="007641B4">
        <w:rPr>
          <w:rFonts w:ascii="Times New Roman" w:hAnsi="Times New Roman" w:cs="Times New Roman"/>
          <w:sz w:val="24"/>
          <w:szCs w:val="24"/>
          <w:lang w:val="en-US"/>
          <w14:ligatures w14:val="standardContextual"/>
        </w:rPr>
        <w:t>, 148(5), pp.531–538. Available at :</w:t>
      </w:r>
      <w:hyperlink r:id="rId89" w:history="1">
        <w:r w:rsidRPr="007641B4">
          <w:rPr>
            <w:rFonts w:ascii="Times New Roman" w:hAnsi="Times New Roman" w:cs="Times New Roman"/>
            <w:color w:val="000000" w:themeColor="text1"/>
            <w:sz w:val="24"/>
            <w:szCs w:val="24"/>
            <w:lang w:val="en-US"/>
            <w14:ligatures w14:val="standardContextual"/>
          </w:rPr>
          <w:t>https://doi.org/10.4103/ijmr.IJMR_1698_18</w:t>
        </w:r>
      </w:hyperlink>
    </w:p>
    <w:p w14:paraId="11133D6A"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Morris, E., Aveyard, P., Dyson, P., Noreik, M., Bailey, C., Fox, R., Jerome, D., Tan, G.D. and Jebb, S.A. (2019). A food‐based, low‐energy, Low‐carbohydrate Diet for People with Type 2 Diabetes in Primary care: a Randomized Controlled Feasibility Trial. </w:t>
      </w:r>
      <w:r w:rsidRPr="007641B4">
        <w:rPr>
          <w:rFonts w:ascii="Times New Roman" w:hAnsi="Times New Roman" w:cs="Times New Roman"/>
          <w:i/>
          <w:iCs/>
          <w:sz w:val="24"/>
          <w:szCs w:val="24"/>
          <w:lang w:val="en-US"/>
          <w14:ligatures w14:val="standardContextual"/>
        </w:rPr>
        <w:t>Diabetes, Obesity and Metabolism</w:t>
      </w:r>
      <w:r w:rsidRPr="007641B4">
        <w:rPr>
          <w:rFonts w:ascii="Times New Roman" w:hAnsi="Times New Roman" w:cs="Times New Roman"/>
          <w:sz w:val="24"/>
          <w:szCs w:val="24"/>
          <w:lang w:val="en-US"/>
          <w14:ligatures w14:val="standardContextual"/>
        </w:rPr>
        <w:t>, 22(4). Available at :</w:t>
      </w:r>
      <w:hyperlink r:id="rId90" w:history="1">
        <w:r w:rsidRPr="007641B4">
          <w:rPr>
            <w:rFonts w:ascii="Times New Roman" w:hAnsi="Times New Roman" w:cs="Times New Roman"/>
            <w:color w:val="000000" w:themeColor="text1"/>
            <w:sz w:val="24"/>
            <w:szCs w:val="24"/>
            <w:lang w:val="en-US"/>
            <w14:ligatures w14:val="standardContextual"/>
          </w:rPr>
          <w:t>https://doi.org/10.1111/dom.13915</w:t>
        </w:r>
      </w:hyperlink>
    </w:p>
    <w:p w14:paraId="2A27C727"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Ni, C., Jia, Q., Ding, G., Wu, X. and Yang, M. (2022). Low-Glycemic Index Diets as an Intervention in Metabolic Diseases: A Systematic Review and Meta-Analysis.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 14(2), pp.307. Available at :</w:t>
      </w:r>
      <w:hyperlink r:id="rId91" w:history="1">
        <w:r w:rsidRPr="007641B4">
          <w:rPr>
            <w:rFonts w:ascii="Times New Roman" w:hAnsi="Times New Roman" w:cs="Times New Roman"/>
            <w:color w:val="000000" w:themeColor="text1"/>
            <w:sz w:val="24"/>
            <w:szCs w:val="24"/>
            <w:lang w:val="en-US"/>
            <w14:ligatures w14:val="standardContextual"/>
          </w:rPr>
          <w:t>https://doi.org/10.3390/nu14020307</w:t>
        </w:r>
      </w:hyperlink>
    </w:p>
    <w:p w14:paraId="530FED1F" w14:textId="3277526E"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Oh, R., Uppaluri, K.R. and Gilani, B. (2019). </w:t>
      </w:r>
      <w:r w:rsidRPr="007641B4">
        <w:rPr>
          <w:rFonts w:ascii="Times New Roman" w:hAnsi="Times New Roman" w:cs="Times New Roman"/>
          <w:i/>
          <w:iCs/>
          <w:sz w:val="24"/>
          <w:szCs w:val="24"/>
          <w:lang w:val="en-US"/>
          <w14:ligatures w14:val="standardContextual"/>
        </w:rPr>
        <w:t>Low Carbohydrate Diet</w:t>
      </w:r>
      <w:r w:rsidRPr="007641B4">
        <w:rPr>
          <w:rFonts w:ascii="Times New Roman" w:hAnsi="Times New Roman" w:cs="Times New Roman"/>
          <w:sz w:val="24"/>
          <w:szCs w:val="24"/>
          <w:lang w:val="en-US"/>
          <w14:ligatures w14:val="standardContextual"/>
        </w:rPr>
        <w:t xml:space="preserve">. [online] Nih.gov. Available at: </w:t>
      </w:r>
      <w:hyperlink r:id="rId92" w:history="1">
        <w:r w:rsidRPr="007641B4">
          <w:rPr>
            <w:rFonts w:ascii="Times New Roman" w:hAnsi="Times New Roman" w:cs="Times New Roman"/>
            <w:sz w:val="24"/>
            <w:szCs w:val="24"/>
            <w:lang w:val="en-US"/>
            <w14:ligatures w14:val="standardContextual"/>
          </w:rPr>
          <w:t>https://www.ncbi.nlm.nih.gov/books/NBK537084/</w:t>
        </w:r>
      </w:hyperlink>
      <w:r w:rsidRPr="007641B4">
        <w:rPr>
          <w:rFonts w:ascii="Times New Roman" w:hAnsi="Times New Roman" w:cs="Times New Roman"/>
          <w:sz w:val="24"/>
          <w:szCs w:val="24"/>
          <w:lang w:val="en-US"/>
          <w14:ligatures w14:val="standardContextual"/>
        </w:rPr>
        <w:t xml:space="preserve"> (Accessed: </w:t>
      </w:r>
      <w:r w:rsidR="009208B1">
        <w:rPr>
          <w:rFonts w:ascii="Times New Roman" w:hAnsi="Times New Roman" w:cs="Times New Roman"/>
          <w:sz w:val="24"/>
          <w:szCs w:val="24"/>
          <w:lang w:val="en-US"/>
          <w14:ligatures w14:val="standardContextual"/>
        </w:rPr>
        <w:t>6</w:t>
      </w:r>
      <w:r w:rsidRPr="007641B4">
        <w:rPr>
          <w:rFonts w:ascii="Times New Roman" w:hAnsi="Times New Roman" w:cs="Times New Roman"/>
          <w:sz w:val="24"/>
          <w:szCs w:val="24"/>
          <w:lang w:val="en-US"/>
          <w14:ligatures w14:val="standardContextual"/>
        </w:rPr>
        <w:t xml:space="preserve"> March 2024).</w:t>
      </w:r>
    </w:p>
    <w:p w14:paraId="2508A2D1"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Ojha, A., Ojha, U., Mohammed, R., Chandrashekar, A. and Ojha, H. (2019). Current perspective on the role of insulin and glucagon in the pathogenesis and treatment of type 2 diabetes mellitus. </w:t>
      </w:r>
      <w:r w:rsidRPr="007641B4">
        <w:rPr>
          <w:rFonts w:ascii="Times New Roman" w:hAnsi="Times New Roman" w:cs="Times New Roman"/>
          <w:i/>
          <w:iCs/>
          <w:sz w:val="24"/>
          <w:szCs w:val="24"/>
          <w:lang w:val="en-US"/>
          <w14:ligatures w14:val="standardContextual"/>
        </w:rPr>
        <w:t>Clinical Pharmacology: Advances and Applications</w:t>
      </w:r>
      <w:r w:rsidRPr="007641B4">
        <w:rPr>
          <w:rFonts w:ascii="Times New Roman" w:hAnsi="Times New Roman" w:cs="Times New Roman"/>
          <w:sz w:val="24"/>
          <w:szCs w:val="24"/>
          <w:lang w:val="en-US"/>
          <w14:ligatures w14:val="standardContextual"/>
        </w:rPr>
        <w:t>, 11, pp.57–65. Available at :</w:t>
      </w:r>
      <w:hyperlink r:id="rId93" w:history="1">
        <w:r w:rsidRPr="007641B4">
          <w:rPr>
            <w:rFonts w:ascii="Times New Roman" w:hAnsi="Times New Roman" w:cs="Times New Roman"/>
            <w:color w:val="000000" w:themeColor="text1"/>
            <w:sz w:val="24"/>
            <w:szCs w:val="24"/>
            <w:lang w:val="en-US"/>
            <w14:ligatures w14:val="standardContextual"/>
          </w:rPr>
          <w:t>https://doi.org/10.2147/cpaa.s202614</w:t>
        </w:r>
      </w:hyperlink>
    </w:p>
    <w:p w14:paraId="575AFC9F"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lastRenderedPageBreak/>
        <w:t xml:space="preserve">Ojo, O. (2019). Dietary Intake and Type 2 Diabetes.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 11(9), pp.2177. Available at :</w:t>
      </w:r>
      <w:hyperlink r:id="rId94" w:history="1">
        <w:r w:rsidRPr="007641B4">
          <w:rPr>
            <w:rFonts w:ascii="Times New Roman" w:hAnsi="Times New Roman" w:cs="Times New Roman"/>
            <w:color w:val="000000" w:themeColor="text1"/>
            <w:sz w:val="24"/>
            <w:szCs w:val="24"/>
            <w:lang w:val="en-US"/>
            <w14:ligatures w14:val="standardContextual"/>
          </w:rPr>
          <w:t>https://doi.org/10.3390/nu11092177</w:t>
        </w:r>
      </w:hyperlink>
    </w:p>
    <w:p w14:paraId="589A51A7"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Ojo, O., Ojo, O., Adebowale, F. and Wang, X.-H. (2018). The Effect of Dietary Glycaemic Index on Glycaemia in Patients with Type 2 Diabetes: A Systematic Review and Meta-Analysis of Randomized Controlled Trials.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 10(3), pp.373. Available at :</w:t>
      </w:r>
      <w:hyperlink r:id="rId95" w:history="1">
        <w:r w:rsidRPr="007641B4">
          <w:rPr>
            <w:rFonts w:ascii="Times New Roman" w:hAnsi="Times New Roman" w:cs="Times New Roman"/>
            <w:color w:val="000000" w:themeColor="text1"/>
            <w:sz w:val="24"/>
            <w:szCs w:val="24"/>
            <w:lang w:val="en-US"/>
            <w14:ligatures w14:val="standardContextual"/>
          </w:rPr>
          <w:t>https://doi.org/10.3390/nu10030373</w:t>
        </w:r>
      </w:hyperlink>
    </w:p>
    <w:p w14:paraId="333B511B"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Ojo, O., Weldon, S.M., Thompson, T., Crockett, R. and Wang, X.-H. (2019). The Effect of Diabetes-Specific Enteral Nutrition Formula on Cardiometabolic Parameters in Patients with Type 2 Diabetes: A Systematic Review and Meta–Analysis of Randomised Controlled Trials.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 11(8), pp.1905. Available at :</w:t>
      </w:r>
      <w:hyperlink r:id="rId96" w:history="1">
        <w:r w:rsidRPr="007641B4">
          <w:rPr>
            <w:rFonts w:ascii="Times New Roman" w:hAnsi="Times New Roman" w:cs="Times New Roman"/>
            <w:color w:val="000000" w:themeColor="text1"/>
            <w:sz w:val="24"/>
            <w:szCs w:val="24"/>
            <w:lang w:val="en-US"/>
            <w14:ligatures w14:val="standardContextual"/>
          </w:rPr>
          <w:t>https://doi.org/10.3390/nu11081905</w:t>
        </w:r>
      </w:hyperlink>
    </w:p>
    <w:p w14:paraId="62CF3CB2"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Pavithran, N., Kumar, H., Menon, A.S., Pillai, G.K., Sundaram, K.R. and Ojo, O. (2020). South Indian Cuisine with Low Glycemic Index Ingredients Reduces Cardiovascular Risk Factors in Subjects with Type 2 Diabetes. </w:t>
      </w:r>
      <w:r w:rsidRPr="007641B4">
        <w:rPr>
          <w:rFonts w:ascii="Times New Roman" w:hAnsi="Times New Roman" w:cs="Times New Roman"/>
          <w:i/>
          <w:iCs/>
          <w:sz w:val="24"/>
          <w:szCs w:val="24"/>
          <w:lang w:val="en-US"/>
          <w14:ligatures w14:val="standardContextual"/>
        </w:rPr>
        <w:t>International Journal of Environmental Research and Public Health</w:t>
      </w:r>
      <w:r w:rsidRPr="007641B4">
        <w:rPr>
          <w:rFonts w:ascii="Times New Roman" w:hAnsi="Times New Roman" w:cs="Times New Roman"/>
          <w:sz w:val="24"/>
          <w:szCs w:val="24"/>
          <w:lang w:val="en-US"/>
          <w14:ligatures w14:val="standardContextual"/>
        </w:rPr>
        <w:t>, 17(17), pp.6232. Available at :</w:t>
      </w:r>
      <w:hyperlink r:id="rId97" w:history="1">
        <w:r w:rsidRPr="007641B4">
          <w:rPr>
            <w:rFonts w:ascii="Times New Roman" w:hAnsi="Times New Roman" w:cs="Times New Roman"/>
            <w:color w:val="000000" w:themeColor="text1"/>
            <w:sz w:val="24"/>
            <w:szCs w:val="24"/>
            <w:lang w:val="en-US"/>
            <w14:ligatures w14:val="standardContextual"/>
          </w:rPr>
          <w:t>https://doi.org/10.3390/ijerph17176232</w:t>
        </w:r>
      </w:hyperlink>
    </w:p>
    <w:p w14:paraId="435858DF"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Petroni, M.L., Brodosi, L., Marchignoli, F., Sasdelli, A.S., Caraceni, P., Marchesini, G. and Ravaioli, F. (2021). Nutrition in Patients with Type 2 Diabetes: Present Knowledge and Remaining Challenges.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 13(8), pp.2748. Available at :</w:t>
      </w:r>
      <w:hyperlink r:id="rId98" w:history="1">
        <w:r w:rsidRPr="007641B4">
          <w:rPr>
            <w:rFonts w:ascii="Times New Roman" w:hAnsi="Times New Roman" w:cs="Times New Roman"/>
            <w:color w:val="000000" w:themeColor="text1"/>
            <w:sz w:val="24"/>
            <w:szCs w:val="24"/>
            <w:lang w:val="en-US"/>
            <w14:ligatures w14:val="standardContextual"/>
          </w:rPr>
          <w:t>https://doi.org/10.3390/nu13082748</w:t>
        </w:r>
      </w:hyperlink>
    </w:p>
    <w:p w14:paraId="2F56458B"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Pohanka, M. (2021). Glycated Hemoglobin and Methods for Its Point of Care Testing. </w:t>
      </w:r>
      <w:r w:rsidRPr="007641B4">
        <w:rPr>
          <w:rFonts w:ascii="Times New Roman" w:hAnsi="Times New Roman" w:cs="Times New Roman"/>
          <w:i/>
          <w:iCs/>
          <w:sz w:val="24"/>
          <w:szCs w:val="24"/>
          <w:lang w:val="en-US"/>
          <w14:ligatures w14:val="standardContextual"/>
        </w:rPr>
        <w:t>Biosensors</w:t>
      </w:r>
      <w:r w:rsidRPr="007641B4">
        <w:rPr>
          <w:rFonts w:ascii="Times New Roman" w:hAnsi="Times New Roman" w:cs="Times New Roman"/>
          <w:sz w:val="24"/>
          <w:szCs w:val="24"/>
          <w:lang w:val="en-US"/>
          <w14:ligatures w14:val="standardContextual"/>
        </w:rPr>
        <w:t>, 11(3), pp.70. Available at :</w:t>
      </w:r>
      <w:hyperlink r:id="rId99" w:history="1">
        <w:r w:rsidRPr="007641B4">
          <w:rPr>
            <w:rFonts w:ascii="Times New Roman" w:hAnsi="Times New Roman" w:cs="Times New Roman"/>
            <w:color w:val="000000" w:themeColor="text1"/>
            <w:sz w:val="24"/>
            <w:szCs w:val="24"/>
            <w:lang w:val="en-US"/>
            <w14:ligatures w14:val="standardContextual"/>
          </w:rPr>
          <w:t>https://doi.org/10.3390/bios11030070</w:t>
        </w:r>
      </w:hyperlink>
    </w:p>
    <w:p w14:paraId="1BB6B9DE"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Pollakova, D., Andreadi, A., Pacifici, F., Della-Morte, D., Lauro, D. and Tubili, C. (2021). The Impact of Vegan Diet in the Prevention and Treatment of Type 2 Diabetes: A Systematic Review.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 13(6), pp.2123. Available at :</w:t>
      </w:r>
      <w:hyperlink r:id="rId100" w:history="1">
        <w:r w:rsidRPr="007641B4">
          <w:rPr>
            <w:rFonts w:ascii="Times New Roman" w:hAnsi="Times New Roman" w:cs="Times New Roman"/>
            <w:color w:val="000000" w:themeColor="text1"/>
            <w:sz w:val="24"/>
            <w:szCs w:val="24"/>
            <w:lang w:val="en-US"/>
            <w14:ligatures w14:val="standardContextual"/>
          </w:rPr>
          <w:t>https://doi.org/10.3390/nu13062123</w:t>
        </w:r>
      </w:hyperlink>
    </w:p>
    <w:p w14:paraId="4C05415B"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Prasad, M., Rajagopal, P., Devarajan, N., Veeraraghavan, V.P., Palanisamy, C.P., Cui, B., Patil, S. and Jayaraman, S. (2022). A comprehensive review on high -fat diet-induced diabetes mellitus: an epigenetic view. </w:t>
      </w:r>
      <w:r w:rsidRPr="007641B4">
        <w:rPr>
          <w:rFonts w:ascii="Times New Roman" w:hAnsi="Times New Roman" w:cs="Times New Roman"/>
          <w:i/>
          <w:iCs/>
          <w:sz w:val="24"/>
          <w:szCs w:val="24"/>
          <w:lang w:val="en-US"/>
          <w14:ligatures w14:val="standardContextual"/>
        </w:rPr>
        <w:t>The Journal of Nutritional Biochemistry</w:t>
      </w:r>
      <w:r w:rsidRPr="007641B4">
        <w:rPr>
          <w:rFonts w:ascii="Times New Roman" w:hAnsi="Times New Roman" w:cs="Times New Roman"/>
          <w:sz w:val="24"/>
          <w:szCs w:val="24"/>
          <w:lang w:val="en-US"/>
          <w14:ligatures w14:val="standardContextual"/>
        </w:rPr>
        <w:t>, 107, pp.109037. Available at :</w:t>
      </w:r>
      <w:hyperlink r:id="rId101" w:history="1">
        <w:r w:rsidRPr="007641B4">
          <w:rPr>
            <w:rFonts w:ascii="Times New Roman" w:hAnsi="Times New Roman" w:cs="Times New Roman"/>
            <w:color w:val="000000" w:themeColor="text1"/>
            <w:sz w:val="24"/>
            <w:szCs w:val="24"/>
            <w:lang w:val="en-US"/>
            <w14:ligatures w14:val="standardContextual"/>
          </w:rPr>
          <w:t>https://doi.org/10.1016/j.jnutbio.2022.109037</w:t>
        </w:r>
      </w:hyperlink>
    </w:p>
    <w:p w14:paraId="00A91362"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Rinaldi, S., Campbell, E.E., Fournier, J., O’Connor, C. and Madill, J. (2016). A Comprehensive Review of the Literature Supporting Recommendations From the Canadian </w:t>
      </w:r>
      <w:r w:rsidRPr="007641B4">
        <w:rPr>
          <w:rFonts w:ascii="Times New Roman" w:hAnsi="Times New Roman" w:cs="Times New Roman"/>
          <w:sz w:val="24"/>
          <w:szCs w:val="24"/>
          <w:lang w:val="en-US"/>
          <w14:ligatures w14:val="standardContextual"/>
        </w:rPr>
        <w:lastRenderedPageBreak/>
        <w:t xml:space="preserve">Diabetes Association for the Use of a Plant-Based Diet for Management of Type 2 Diabetes. </w:t>
      </w:r>
      <w:r w:rsidRPr="007641B4">
        <w:rPr>
          <w:rFonts w:ascii="Times New Roman" w:hAnsi="Times New Roman" w:cs="Times New Roman"/>
          <w:i/>
          <w:iCs/>
          <w:sz w:val="24"/>
          <w:szCs w:val="24"/>
          <w:lang w:val="en-US"/>
          <w14:ligatures w14:val="standardContextual"/>
        </w:rPr>
        <w:t>Canadian Journal of Diabetes</w:t>
      </w:r>
      <w:r w:rsidRPr="007641B4">
        <w:rPr>
          <w:rFonts w:ascii="Times New Roman" w:hAnsi="Times New Roman" w:cs="Times New Roman"/>
          <w:sz w:val="24"/>
          <w:szCs w:val="24"/>
          <w:lang w:val="en-US"/>
          <w14:ligatures w14:val="standardContextual"/>
        </w:rPr>
        <w:t>, 40(5), pp.471–477. Available at :</w:t>
      </w:r>
      <w:hyperlink r:id="rId102" w:history="1">
        <w:r w:rsidRPr="007641B4">
          <w:rPr>
            <w:rFonts w:ascii="Times New Roman" w:hAnsi="Times New Roman" w:cs="Times New Roman"/>
            <w:color w:val="000000" w:themeColor="text1"/>
            <w:sz w:val="24"/>
            <w:szCs w:val="24"/>
            <w:lang w:val="en-US"/>
            <w14:ligatures w14:val="standardContextual"/>
          </w:rPr>
          <w:t>https://doi.org/10.1016/j.jcjd.2016.02.011</w:t>
        </w:r>
      </w:hyperlink>
    </w:p>
    <w:p w14:paraId="7159497A" w14:textId="7F1F488A"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Rishor-Olney, C.R. and Hinson, M.R. (2020). </w:t>
      </w:r>
      <w:r w:rsidRPr="007641B4">
        <w:rPr>
          <w:rFonts w:ascii="Times New Roman" w:hAnsi="Times New Roman" w:cs="Times New Roman"/>
          <w:i/>
          <w:iCs/>
          <w:sz w:val="24"/>
          <w:szCs w:val="24"/>
          <w:lang w:val="en-US"/>
          <w14:ligatures w14:val="standardContextual"/>
        </w:rPr>
        <w:t>Mediterranean Diet</w:t>
      </w:r>
      <w:r w:rsidRPr="007641B4">
        <w:rPr>
          <w:rFonts w:ascii="Times New Roman" w:hAnsi="Times New Roman" w:cs="Times New Roman"/>
          <w:sz w:val="24"/>
          <w:szCs w:val="24"/>
          <w:lang w:val="en-US"/>
          <w14:ligatures w14:val="standardContextual"/>
        </w:rPr>
        <w:t xml:space="preserve">. [online] </w:t>
      </w:r>
      <w:r w:rsidRPr="007641B4">
        <w:rPr>
          <w:rFonts w:ascii="Times New Roman" w:hAnsi="Times New Roman" w:cs="Times New Roman"/>
          <w:i/>
          <w:iCs/>
          <w:sz w:val="24"/>
          <w:szCs w:val="24"/>
          <w:lang w:val="en-US"/>
          <w14:ligatures w14:val="standardContextual"/>
        </w:rPr>
        <w:t>www.ncbi.nlm.nih.gov</w:t>
      </w:r>
      <w:r w:rsidRPr="007641B4">
        <w:rPr>
          <w:rFonts w:ascii="Times New Roman" w:hAnsi="Times New Roman" w:cs="Times New Roman"/>
          <w:sz w:val="24"/>
          <w:szCs w:val="24"/>
          <w:lang w:val="en-US"/>
          <w14:ligatures w14:val="standardContextual"/>
        </w:rPr>
        <w:t xml:space="preserve">. StatPearls Publishing. Available at: </w:t>
      </w:r>
      <w:hyperlink r:id="rId103" w:history="1">
        <w:r w:rsidRPr="007641B4">
          <w:rPr>
            <w:rFonts w:ascii="Times New Roman" w:hAnsi="Times New Roman" w:cs="Times New Roman"/>
            <w:color w:val="000000" w:themeColor="text1"/>
            <w:sz w:val="24"/>
            <w:szCs w:val="24"/>
            <w:lang w:val="en-US"/>
            <w14:ligatures w14:val="standardContextual"/>
          </w:rPr>
          <w:t>https://www.ncbi.nlm.nih.gov/books/NBK557733/ (Accessed</w:t>
        </w:r>
      </w:hyperlink>
      <w:r w:rsidRPr="007641B4">
        <w:rPr>
          <w:rFonts w:ascii="Times New Roman" w:hAnsi="Times New Roman" w:cs="Times New Roman"/>
          <w:sz w:val="24"/>
          <w:szCs w:val="24"/>
          <w:lang w:val="en-US"/>
          <w14:ligatures w14:val="standardContextual"/>
        </w:rPr>
        <w:t xml:space="preserve">: 7 March 2024). </w:t>
      </w:r>
    </w:p>
    <w:p w14:paraId="0964B3FA"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Robertson, R.P. (2023). Brief overview: glucagon history and physiology. </w:t>
      </w:r>
      <w:r w:rsidRPr="007641B4">
        <w:rPr>
          <w:rFonts w:ascii="Times New Roman" w:hAnsi="Times New Roman" w:cs="Times New Roman"/>
          <w:i/>
          <w:iCs/>
          <w:sz w:val="24"/>
          <w:szCs w:val="24"/>
          <w:lang w:val="en-US"/>
          <w14:ligatures w14:val="standardContextual"/>
        </w:rPr>
        <w:t>The Journal of Endocrinology</w:t>
      </w:r>
      <w:r w:rsidRPr="007641B4">
        <w:rPr>
          <w:rFonts w:ascii="Times New Roman" w:hAnsi="Times New Roman" w:cs="Times New Roman"/>
          <w:sz w:val="24"/>
          <w:szCs w:val="24"/>
          <w:lang w:val="en-US"/>
          <w14:ligatures w14:val="standardContextual"/>
        </w:rPr>
        <w:t>, 258(2), pp.e220224. Available at :</w:t>
      </w:r>
      <w:hyperlink r:id="rId104" w:history="1">
        <w:r w:rsidRPr="007641B4">
          <w:rPr>
            <w:rFonts w:ascii="Times New Roman" w:hAnsi="Times New Roman" w:cs="Times New Roman"/>
            <w:color w:val="000000" w:themeColor="text1"/>
            <w:sz w:val="24"/>
            <w:szCs w:val="24"/>
            <w:lang w:val="en-US"/>
            <w14:ligatures w14:val="standardContextual"/>
          </w:rPr>
          <w:t>https://doi.org/10.1530/JOE-22-0224</w:t>
        </w:r>
      </w:hyperlink>
    </w:p>
    <w:p w14:paraId="775936FD"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Röder, P.V., Wu, B., Liu, Y. and Han, W. (2016). Pancreatic Regulation of Glucose Homeostasis. </w:t>
      </w:r>
      <w:r w:rsidRPr="007641B4">
        <w:rPr>
          <w:rFonts w:ascii="Times New Roman" w:hAnsi="Times New Roman" w:cs="Times New Roman"/>
          <w:i/>
          <w:iCs/>
          <w:sz w:val="24"/>
          <w:szCs w:val="24"/>
          <w:lang w:val="en-US"/>
          <w14:ligatures w14:val="standardContextual"/>
        </w:rPr>
        <w:t>Experimental &amp; Molecular Medicine</w:t>
      </w:r>
      <w:r w:rsidRPr="007641B4">
        <w:rPr>
          <w:rFonts w:ascii="Times New Roman" w:hAnsi="Times New Roman" w:cs="Times New Roman"/>
          <w:sz w:val="24"/>
          <w:szCs w:val="24"/>
          <w:lang w:val="en-US"/>
          <w14:ligatures w14:val="standardContextual"/>
        </w:rPr>
        <w:t>, 48(3), pp.1–19. Available at :</w:t>
      </w:r>
      <w:hyperlink r:id="rId105" w:history="1">
        <w:r w:rsidRPr="007641B4">
          <w:rPr>
            <w:rFonts w:ascii="Times New Roman" w:hAnsi="Times New Roman" w:cs="Times New Roman"/>
            <w:color w:val="000000" w:themeColor="text1"/>
            <w:sz w:val="24"/>
            <w:szCs w:val="24"/>
            <w:lang w:val="en-US"/>
            <w14:ligatures w14:val="standardContextual"/>
          </w:rPr>
          <w:t>https://doi.org/10.1038/emm.2016.6</w:t>
        </w:r>
      </w:hyperlink>
    </w:p>
    <w:p w14:paraId="349F7874"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Sabaté, J. and Soret, S. (2014). Sustainability of plant-based diets: back to the future. </w:t>
      </w:r>
      <w:r w:rsidRPr="007641B4">
        <w:rPr>
          <w:rFonts w:ascii="Times New Roman" w:hAnsi="Times New Roman" w:cs="Times New Roman"/>
          <w:i/>
          <w:iCs/>
          <w:sz w:val="24"/>
          <w:szCs w:val="24"/>
          <w:lang w:val="en-US"/>
          <w14:ligatures w14:val="standardContextual"/>
        </w:rPr>
        <w:t>The American Journal of Clinical Nutrition</w:t>
      </w:r>
      <w:r w:rsidRPr="007641B4">
        <w:rPr>
          <w:rFonts w:ascii="Times New Roman" w:hAnsi="Times New Roman" w:cs="Times New Roman"/>
          <w:sz w:val="24"/>
          <w:szCs w:val="24"/>
          <w:lang w:val="en-US"/>
          <w14:ligatures w14:val="standardContextual"/>
        </w:rPr>
        <w:t>, 100(suppl_1), pp.476S482S. Available at :</w:t>
      </w:r>
      <w:hyperlink r:id="rId106" w:history="1">
        <w:r w:rsidRPr="007641B4">
          <w:rPr>
            <w:rFonts w:ascii="Times New Roman" w:hAnsi="Times New Roman" w:cs="Times New Roman"/>
            <w:color w:val="000000" w:themeColor="text1"/>
            <w:sz w:val="24"/>
            <w:szCs w:val="24"/>
            <w:lang w:val="en-US"/>
            <w14:ligatures w14:val="standardContextual"/>
          </w:rPr>
          <w:t>https://doi.org/10.3945/ajcn.113.071522</w:t>
        </w:r>
      </w:hyperlink>
    </w:p>
    <w:p w14:paraId="64DCCD62"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Sadler, T.W. (2019). </w:t>
      </w:r>
      <w:r w:rsidRPr="007641B4">
        <w:rPr>
          <w:rFonts w:ascii="Times New Roman" w:hAnsi="Times New Roman" w:cs="Times New Roman"/>
          <w:i/>
          <w:iCs/>
          <w:sz w:val="24"/>
          <w:szCs w:val="24"/>
          <w:lang w:val="en-US"/>
          <w14:ligatures w14:val="standardContextual"/>
        </w:rPr>
        <w:t>Langman’s medical embryology</w:t>
      </w:r>
      <w:r w:rsidRPr="007641B4">
        <w:rPr>
          <w:rFonts w:ascii="Times New Roman" w:hAnsi="Times New Roman" w:cs="Times New Roman"/>
          <w:sz w:val="24"/>
          <w:szCs w:val="24"/>
          <w:lang w:val="en-US"/>
          <w14:ligatures w14:val="standardContextual"/>
        </w:rPr>
        <w:t>. 14th ed. Philadelphia: Wolters Kluwer, p.221.</w:t>
      </w:r>
    </w:p>
    <w:p w14:paraId="05C0213D"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Sapra, A. and Bhandari, P. (2023). </w:t>
      </w:r>
      <w:r w:rsidRPr="007641B4">
        <w:rPr>
          <w:rFonts w:ascii="Times New Roman" w:hAnsi="Times New Roman" w:cs="Times New Roman"/>
          <w:i/>
          <w:iCs/>
          <w:sz w:val="24"/>
          <w:szCs w:val="24"/>
          <w:lang w:val="en-US"/>
          <w14:ligatures w14:val="standardContextual"/>
        </w:rPr>
        <w:t>Diabetes Mellitus</w:t>
      </w:r>
      <w:r w:rsidRPr="007641B4">
        <w:rPr>
          <w:rFonts w:ascii="Times New Roman" w:hAnsi="Times New Roman" w:cs="Times New Roman"/>
          <w:sz w:val="24"/>
          <w:szCs w:val="24"/>
          <w:lang w:val="en-US"/>
          <w14:ligatures w14:val="standardContextual"/>
        </w:rPr>
        <w:t xml:space="preserve">. [online] PubMed. Available at: </w:t>
      </w:r>
      <w:hyperlink r:id="rId107" w:history="1">
        <w:r w:rsidRPr="007641B4">
          <w:rPr>
            <w:rFonts w:ascii="Times New Roman" w:hAnsi="Times New Roman" w:cs="Times New Roman"/>
            <w:sz w:val="24"/>
            <w:szCs w:val="24"/>
            <w:lang w:val="en-US"/>
            <w14:ligatures w14:val="standardContextual"/>
          </w:rPr>
          <w:t>https://www.ncbi.nlm.nih.gov/books/NBK551501/</w:t>
        </w:r>
      </w:hyperlink>
      <w:r w:rsidRPr="007641B4">
        <w:rPr>
          <w:rFonts w:ascii="Times New Roman" w:hAnsi="Times New Roman" w:cs="Times New Roman"/>
          <w:sz w:val="24"/>
          <w:szCs w:val="24"/>
          <w:lang w:val="en-US"/>
          <w14:ligatures w14:val="standardContextual"/>
        </w:rPr>
        <w:t xml:space="preserve"> (Accessed: 11 August 2023).</w:t>
      </w:r>
    </w:p>
    <w:p w14:paraId="36C7E592"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Sapra, A., Bhandari, P. and Wilhite (Hughes), A. (2021). </w:t>
      </w:r>
      <w:r w:rsidRPr="007641B4">
        <w:rPr>
          <w:rFonts w:ascii="Times New Roman" w:hAnsi="Times New Roman" w:cs="Times New Roman"/>
          <w:i/>
          <w:iCs/>
          <w:sz w:val="24"/>
          <w:szCs w:val="24"/>
          <w:lang w:val="en-US"/>
          <w14:ligatures w14:val="standardContextual"/>
        </w:rPr>
        <w:t>Diabetes Mellitus (Nursing)</w:t>
      </w:r>
      <w:r w:rsidRPr="007641B4">
        <w:rPr>
          <w:rFonts w:ascii="Times New Roman" w:hAnsi="Times New Roman" w:cs="Times New Roman"/>
          <w:sz w:val="24"/>
          <w:szCs w:val="24"/>
          <w:lang w:val="en-US"/>
          <w14:ligatures w14:val="standardContextual"/>
        </w:rPr>
        <w:t xml:space="preserve">. [online] PubMed. Available at: </w:t>
      </w:r>
      <w:hyperlink r:id="rId108" w:history="1">
        <w:r w:rsidRPr="007641B4">
          <w:rPr>
            <w:rFonts w:ascii="Times New Roman" w:hAnsi="Times New Roman" w:cs="Times New Roman"/>
            <w:sz w:val="24"/>
            <w:szCs w:val="24"/>
            <w:lang w:val="en-US"/>
            <w14:ligatures w14:val="standardContextual"/>
          </w:rPr>
          <w:t>https://www.ncbi.nlm.nih.gov/books/NBK568711/</w:t>
        </w:r>
      </w:hyperlink>
      <w:r w:rsidRPr="007641B4">
        <w:rPr>
          <w:rFonts w:ascii="Times New Roman" w:hAnsi="Times New Roman" w:cs="Times New Roman"/>
          <w:sz w:val="24"/>
          <w:szCs w:val="24"/>
          <w:lang w:val="en-US"/>
          <w14:ligatures w14:val="standardContextual"/>
        </w:rPr>
        <w:t xml:space="preserve"> (Accessed: 29 December 2023).</w:t>
      </w:r>
    </w:p>
    <w:p w14:paraId="2DBEE5A9"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Saslow, L.R., Daubenmier, J.J., Moskowitz, J.T., Kim, S., Murphy, E.J., Phinney, S.D., Ploutz-Snyder, R., Goldman, V., Cox, R.M., Mason, A.E., Moran, P. and Hecht, F.M. (2017). Twelve-month outcomes of a randomized trial of a moderate-carbohydrate versus very low-carbohydrate diet in overweight adults with type 2 diabetes mellitus or prediabetes. </w:t>
      </w:r>
      <w:r w:rsidRPr="007641B4">
        <w:rPr>
          <w:rFonts w:ascii="Times New Roman" w:hAnsi="Times New Roman" w:cs="Times New Roman"/>
          <w:i/>
          <w:iCs/>
          <w:sz w:val="24"/>
          <w:szCs w:val="24"/>
          <w:lang w:val="en-US"/>
          <w14:ligatures w14:val="standardContextual"/>
        </w:rPr>
        <w:t>Nutrition &amp; Diabetes</w:t>
      </w:r>
      <w:r w:rsidRPr="007641B4">
        <w:rPr>
          <w:rFonts w:ascii="Times New Roman" w:hAnsi="Times New Roman" w:cs="Times New Roman"/>
          <w:sz w:val="24"/>
          <w:szCs w:val="24"/>
          <w:lang w:val="en-US"/>
          <w14:ligatures w14:val="standardContextual"/>
        </w:rPr>
        <w:t>, 7(12). Available at :</w:t>
      </w:r>
      <w:hyperlink r:id="rId109" w:history="1">
        <w:r w:rsidRPr="007641B4">
          <w:rPr>
            <w:rFonts w:ascii="Times New Roman" w:hAnsi="Times New Roman" w:cs="Times New Roman"/>
            <w:color w:val="000000" w:themeColor="text1"/>
            <w:sz w:val="24"/>
            <w:szCs w:val="24"/>
            <w:lang w:val="en-US"/>
            <w14:ligatures w14:val="standardContextual"/>
          </w:rPr>
          <w:t>https://doi.org/10.1038/s41387-017-0006-9</w:t>
        </w:r>
      </w:hyperlink>
    </w:p>
    <w:p w14:paraId="0F7D5326"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Schwingshackl, L., Morze, J. and Hoffmann, G. (2019). Mediterranean diet and health status: Active ingredients and pharmacological mechanisms. </w:t>
      </w:r>
      <w:r w:rsidRPr="007641B4">
        <w:rPr>
          <w:rFonts w:ascii="Times New Roman" w:hAnsi="Times New Roman" w:cs="Times New Roman"/>
          <w:i/>
          <w:iCs/>
          <w:sz w:val="24"/>
          <w:szCs w:val="24"/>
          <w:lang w:val="en-US"/>
          <w14:ligatures w14:val="standardContextual"/>
        </w:rPr>
        <w:t xml:space="preserve">British Journal of </w:t>
      </w:r>
      <w:r w:rsidRPr="007641B4">
        <w:rPr>
          <w:rFonts w:ascii="Times New Roman" w:hAnsi="Times New Roman" w:cs="Times New Roman"/>
          <w:i/>
          <w:iCs/>
          <w:sz w:val="24"/>
          <w:szCs w:val="24"/>
          <w:lang w:val="en-US"/>
          <w14:ligatures w14:val="standardContextual"/>
        </w:rPr>
        <w:lastRenderedPageBreak/>
        <w:t>Pharmacology</w:t>
      </w:r>
      <w:r w:rsidRPr="007641B4">
        <w:rPr>
          <w:rFonts w:ascii="Times New Roman" w:hAnsi="Times New Roman" w:cs="Times New Roman"/>
          <w:sz w:val="24"/>
          <w:szCs w:val="24"/>
          <w:lang w:val="en-US"/>
          <w14:ligatures w14:val="standardContextual"/>
        </w:rPr>
        <w:t>,177(6), pp.1241–1257. Available at :</w:t>
      </w:r>
      <w:hyperlink r:id="rId110" w:history="1">
        <w:r w:rsidRPr="007641B4">
          <w:rPr>
            <w:rFonts w:ascii="Times New Roman" w:hAnsi="Times New Roman" w:cs="Times New Roman"/>
            <w:color w:val="000000" w:themeColor="text1"/>
            <w:sz w:val="24"/>
            <w:szCs w:val="24"/>
            <w:lang w:val="en-US"/>
            <w14:ligatures w14:val="standardContextual"/>
          </w:rPr>
          <w:t>https://doi.org/10.1111/bph.14778</w:t>
        </w:r>
      </w:hyperlink>
    </w:p>
    <w:p w14:paraId="55EB889C"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Segovia-Siapco, G. and Sabaté, J. (2018). Health and sustainability outcomes of vegetarian dietary patterns: a revisit of the EPIC-Oxford and the Adventist Health Study-2 cohorts. </w:t>
      </w:r>
      <w:r w:rsidRPr="007641B4">
        <w:rPr>
          <w:rFonts w:ascii="Times New Roman" w:hAnsi="Times New Roman" w:cs="Times New Roman"/>
          <w:i/>
          <w:iCs/>
          <w:sz w:val="24"/>
          <w:szCs w:val="24"/>
          <w:lang w:val="en-US"/>
          <w14:ligatures w14:val="standardContextual"/>
        </w:rPr>
        <w:t>European Journal of Clinical Nutrition</w:t>
      </w:r>
      <w:r w:rsidRPr="007641B4">
        <w:rPr>
          <w:rFonts w:ascii="Times New Roman" w:hAnsi="Times New Roman" w:cs="Times New Roman"/>
          <w:sz w:val="24"/>
          <w:szCs w:val="24"/>
          <w:lang w:val="en-US"/>
          <w14:ligatures w14:val="standardContextual"/>
        </w:rPr>
        <w:t>, 72(1). Available at :</w:t>
      </w:r>
      <w:hyperlink r:id="rId111" w:history="1">
        <w:r w:rsidRPr="007641B4">
          <w:rPr>
            <w:rFonts w:ascii="Times New Roman" w:hAnsi="Times New Roman" w:cs="Times New Roman"/>
            <w:color w:val="000000" w:themeColor="text1"/>
            <w:sz w:val="24"/>
            <w:szCs w:val="24"/>
            <w:lang w:val="en-US"/>
            <w14:ligatures w14:val="standardContextual"/>
          </w:rPr>
          <w:t>https://doi.org/10.1038/s41430-018-0310-z</w:t>
        </w:r>
      </w:hyperlink>
    </w:p>
    <w:p w14:paraId="47E49E2A"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Seid, H. and Rosenbaum, M. (2019). Low Carbohydrate and Low-Fat Diets: What We Don’t Know and Why we Should Know It.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 11(11), pp.2749. Available at :</w:t>
      </w:r>
      <w:hyperlink r:id="rId112" w:history="1">
        <w:r w:rsidRPr="007641B4">
          <w:rPr>
            <w:rFonts w:ascii="Times New Roman" w:hAnsi="Times New Roman" w:cs="Times New Roman"/>
            <w:color w:val="000000" w:themeColor="text1"/>
            <w:sz w:val="24"/>
            <w:szCs w:val="24"/>
            <w:lang w:val="en-US"/>
            <w14:ligatures w14:val="standardContextual"/>
          </w:rPr>
          <w:t>https://doi.org/10.3390/nu11112749</w:t>
        </w:r>
      </w:hyperlink>
    </w:p>
    <w:p w14:paraId="289494C4"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Sharma, M., Rai, P., Rameshbabu, C. and Arya, S. (2015). Imaging of the pancreatic duct by linear endoscopic ultrasound. </w:t>
      </w:r>
      <w:r w:rsidRPr="007641B4">
        <w:rPr>
          <w:rFonts w:ascii="Times New Roman" w:hAnsi="Times New Roman" w:cs="Times New Roman"/>
          <w:i/>
          <w:iCs/>
          <w:sz w:val="24"/>
          <w:szCs w:val="24"/>
          <w:lang w:val="en-US"/>
          <w14:ligatures w14:val="standardContextual"/>
        </w:rPr>
        <w:t>Endoscopic Ultrasound</w:t>
      </w:r>
      <w:r w:rsidRPr="007641B4">
        <w:rPr>
          <w:rFonts w:ascii="Times New Roman" w:hAnsi="Times New Roman" w:cs="Times New Roman"/>
          <w:sz w:val="24"/>
          <w:szCs w:val="24"/>
          <w:lang w:val="en-US"/>
          <w14:ligatures w14:val="standardContextual"/>
        </w:rPr>
        <w:t>, 4(3), pp.198. Available at :</w:t>
      </w:r>
      <w:hyperlink r:id="rId113" w:history="1">
        <w:r w:rsidRPr="007641B4">
          <w:rPr>
            <w:rFonts w:ascii="Times New Roman" w:hAnsi="Times New Roman" w:cs="Times New Roman"/>
            <w:color w:val="000000" w:themeColor="text1"/>
            <w:sz w:val="24"/>
            <w:szCs w:val="24"/>
            <w:lang w:val="en-US"/>
            <w14:ligatures w14:val="standardContextual"/>
          </w:rPr>
          <w:t>https://doi.org/10.4103/2303-9027.162997</w:t>
        </w:r>
      </w:hyperlink>
    </w:p>
    <w:p w14:paraId="671BDF12" w14:textId="528AA746"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Sherwani, S.I., Khan, H.A., Ekhzaimy, A., Masood, A. and Sakharkar, M.K. (2019). Significance of hba1c test in diagnosis and prognosis of diabetic patients. </w:t>
      </w:r>
      <w:r w:rsidRPr="007641B4">
        <w:rPr>
          <w:rFonts w:ascii="Times New Roman" w:hAnsi="Times New Roman" w:cs="Times New Roman"/>
          <w:i/>
          <w:iCs/>
          <w:sz w:val="24"/>
          <w:szCs w:val="24"/>
          <w:lang w:val="en-US"/>
          <w14:ligatures w14:val="standardContextual"/>
        </w:rPr>
        <w:t>Biomarker Insights</w:t>
      </w:r>
      <w:r w:rsidRPr="007641B4">
        <w:rPr>
          <w:rFonts w:ascii="Times New Roman" w:hAnsi="Times New Roman" w:cs="Times New Roman"/>
          <w:sz w:val="24"/>
          <w:szCs w:val="24"/>
          <w:lang w:val="en-US"/>
          <w14:ligatures w14:val="standardContextual"/>
        </w:rPr>
        <w:t>, 11(11), pp.BMI.S38440. Available at :</w:t>
      </w:r>
      <w:hyperlink r:id="rId114" w:history="1">
        <w:r w:rsidRPr="007641B4">
          <w:rPr>
            <w:rFonts w:ascii="Times New Roman" w:hAnsi="Times New Roman" w:cs="Times New Roman"/>
            <w:color w:val="000000" w:themeColor="text1"/>
            <w:sz w:val="24"/>
            <w:szCs w:val="24"/>
            <w:lang w:val="en-US"/>
            <w14:ligatures w14:val="standardContextual"/>
          </w:rPr>
          <w:t>https://doi.org/10.4137/bmi.s38440</w:t>
        </w:r>
      </w:hyperlink>
    </w:p>
    <w:p w14:paraId="33499466"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Silverii, G.A., Botarelli, L., Dicembrini, I., Girolamo, V., Santagiuliana, F., Monami, M. and Mannucci, E. (2020). Low-carbohydrate diets and type 2 diabetes treatment: a meta-analysis of randomized controlled trials. </w:t>
      </w:r>
      <w:r w:rsidRPr="007641B4">
        <w:rPr>
          <w:rFonts w:ascii="Times New Roman" w:hAnsi="Times New Roman" w:cs="Times New Roman"/>
          <w:i/>
          <w:iCs/>
          <w:sz w:val="24"/>
          <w:szCs w:val="24"/>
          <w:lang w:val="en-US"/>
          <w14:ligatures w14:val="standardContextual"/>
        </w:rPr>
        <w:t>Acta Diabetologica</w:t>
      </w:r>
      <w:r w:rsidRPr="007641B4">
        <w:rPr>
          <w:rFonts w:ascii="Times New Roman" w:hAnsi="Times New Roman" w:cs="Times New Roman"/>
          <w:sz w:val="24"/>
          <w:szCs w:val="24"/>
          <w:lang w:val="en-US"/>
          <w14:ligatures w14:val="standardContextual"/>
        </w:rPr>
        <w:t>, 57(11), pp.1375–1382. Available at :</w:t>
      </w:r>
      <w:hyperlink r:id="rId115" w:history="1">
        <w:r w:rsidRPr="007641B4">
          <w:rPr>
            <w:rFonts w:ascii="Times New Roman" w:hAnsi="Times New Roman" w:cs="Times New Roman"/>
            <w:color w:val="000000" w:themeColor="text1"/>
            <w:sz w:val="24"/>
            <w:szCs w:val="24"/>
            <w:lang w:val="en-US"/>
            <w14:ligatures w14:val="standardContextual"/>
          </w:rPr>
          <w:t>https://doi.org/10.1007/s00592-020-01568-8</w:t>
        </w:r>
      </w:hyperlink>
    </w:p>
    <w:p w14:paraId="28CEE53F"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Sleiman, D., Al-Badri, M.R. and Azar, S.T. (2015). Effect of Mediterranean Diet in Diabetes Control and Cardiovascular Risk Modification: A Systematic Review. </w:t>
      </w:r>
      <w:r w:rsidRPr="007641B4">
        <w:rPr>
          <w:rFonts w:ascii="Times New Roman" w:hAnsi="Times New Roman" w:cs="Times New Roman"/>
          <w:i/>
          <w:iCs/>
          <w:sz w:val="24"/>
          <w:szCs w:val="24"/>
          <w:lang w:val="en-US"/>
          <w14:ligatures w14:val="standardContextual"/>
        </w:rPr>
        <w:t>Frontiers in Public Health</w:t>
      </w:r>
      <w:r w:rsidRPr="007641B4">
        <w:rPr>
          <w:rFonts w:ascii="Times New Roman" w:hAnsi="Times New Roman" w:cs="Times New Roman"/>
          <w:sz w:val="24"/>
          <w:szCs w:val="24"/>
          <w:lang w:val="en-US"/>
          <w14:ligatures w14:val="standardContextual"/>
        </w:rPr>
        <w:t>, 3(69). Available at :</w:t>
      </w:r>
      <w:hyperlink r:id="rId116" w:history="1">
        <w:r w:rsidRPr="007641B4">
          <w:rPr>
            <w:rFonts w:ascii="Times New Roman" w:hAnsi="Times New Roman" w:cs="Times New Roman"/>
            <w:color w:val="000000" w:themeColor="text1"/>
            <w:sz w:val="24"/>
            <w:szCs w:val="24"/>
            <w:lang w:val="en-US"/>
            <w14:ligatures w14:val="standardContextual"/>
          </w:rPr>
          <w:t>https://doi.org/10.3389/fpubh.2015.00069</w:t>
        </w:r>
      </w:hyperlink>
    </w:p>
    <w:p w14:paraId="243D73B6"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Sukhera, J. (2022). Narrative Reviews: Flexible, Rigorous, and Practical. </w:t>
      </w:r>
      <w:r w:rsidRPr="007641B4">
        <w:rPr>
          <w:rFonts w:ascii="Times New Roman" w:hAnsi="Times New Roman" w:cs="Times New Roman"/>
          <w:i/>
          <w:iCs/>
          <w:sz w:val="24"/>
          <w:szCs w:val="24"/>
          <w:lang w:val="en-US"/>
          <w14:ligatures w14:val="standardContextual"/>
        </w:rPr>
        <w:t>Journal of Graduate Medical Education</w:t>
      </w:r>
      <w:r w:rsidRPr="007641B4">
        <w:rPr>
          <w:rFonts w:ascii="Times New Roman" w:hAnsi="Times New Roman" w:cs="Times New Roman"/>
          <w:sz w:val="24"/>
          <w:szCs w:val="24"/>
          <w:lang w:val="en-US"/>
          <w14:ligatures w14:val="standardContextual"/>
        </w:rPr>
        <w:t>, 14(4), pp.414–417. Available at :</w:t>
      </w:r>
      <w:hyperlink r:id="rId117" w:history="1">
        <w:r w:rsidRPr="007641B4">
          <w:rPr>
            <w:rFonts w:ascii="Times New Roman" w:hAnsi="Times New Roman" w:cs="Times New Roman"/>
            <w:color w:val="000000" w:themeColor="text1"/>
            <w:sz w:val="24"/>
            <w:szCs w:val="24"/>
            <w:lang w:val="en-US"/>
            <w14:ligatures w14:val="standardContextual"/>
          </w:rPr>
          <w:t>https://doi.org/10.4300/jgme-d-22-00480.1</w:t>
        </w:r>
      </w:hyperlink>
    </w:p>
    <w:p w14:paraId="648CCE14"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Syed, I.A.A. and Khan, W.A. (2011). Glycated haemoglobin--a marker and predictor of cardiovascular disease. </w:t>
      </w:r>
      <w:r w:rsidRPr="007641B4">
        <w:rPr>
          <w:rFonts w:ascii="Times New Roman" w:hAnsi="Times New Roman" w:cs="Times New Roman"/>
          <w:i/>
          <w:iCs/>
          <w:sz w:val="24"/>
          <w:szCs w:val="24"/>
          <w:lang w:val="en-US"/>
          <w14:ligatures w14:val="standardContextual"/>
        </w:rPr>
        <w:t>JPMA. The Journal of the Pakistan Medical Association</w:t>
      </w:r>
      <w:r w:rsidRPr="007641B4">
        <w:rPr>
          <w:rFonts w:ascii="Times New Roman" w:hAnsi="Times New Roman" w:cs="Times New Roman"/>
          <w:sz w:val="24"/>
          <w:szCs w:val="24"/>
          <w:lang w:val="en-US"/>
          <w14:ligatures w14:val="standardContextual"/>
        </w:rPr>
        <w:t xml:space="preserve">, 61(7), pp.690–695. Available at: </w:t>
      </w:r>
      <w:hyperlink r:id="rId118" w:history="1">
        <w:r w:rsidRPr="007641B4">
          <w:rPr>
            <w:rFonts w:ascii="Times New Roman" w:hAnsi="Times New Roman" w:cs="Times New Roman"/>
            <w:sz w:val="24"/>
            <w:szCs w:val="24"/>
            <w:lang w:val="en-US"/>
            <w14:ligatures w14:val="standardContextual"/>
          </w:rPr>
          <w:t>https://pubmed.ncbi.nlm.nih.gov/22204248/</w:t>
        </w:r>
      </w:hyperlink>
      <w:r w:rsidRPr="007641B4">
        <w:rPr>
          <w:rFonts w:ascii="Times New Roman" w:hAnsi="Times New Roman" w:cs="Times New Roman"/>
          <w:sz w:val="24"/>
          <w:szCs w:val="24"/>
          <w:lang w:val="en-US"/>
          <w14:ligatures w14:val="standardContextual"/>
        </w:rPr>
        <w:t xml:space="preserve"> </w:t>
      </w:r>
    </w:p>
    <w:p w14:paraId="72542310"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Tay, J., Luscombe-Marsh, N.D., Thompson, C.H., Noakes, M., Buckley, J.D., Wittert, G.A., </w:t>
      </w:r>
      <w:r w:rsidRPr="007641B4">
        <w:rPr>
          <w:rFonts w:ascii="Times New Roman" w:hAnsi="Times New Roman" w:cs="Times New Roman"/>
          <w:sz w:val="24"/>
          <w:szCs w:val="24"/>
          <w:lang w:val="en-US"/>
          <w14:ligatures w14:val="standardContextual"/>
        </w:rPr>
        <w:lastRenderedPageBreak/>
        <w:t xml:space="preserve">Yancy, W.S. and Brinkworth, G.D. (2015). Comparison of low- and high-carbohydrate diets for type 2 diabetes management: a randomized trial. </w:t>
      </w:r>
      <w:r w:rsidRPr="007641B4">
        <w:rPr>
          <w:rFonts w:ascii="Times New Roman" w:hAnsi="Times New Roman" w:cs="Times New Roman"/>
          <w:i/>
          <w:iCs/>
          <w:sz w:val="24"/>
          <w:szCs w:val="24"/>
          <w:lang w:val="en-US"/>
          <w14:ligatures w14:val="standardContextual"/>
        </w:rPr>
        <w:t>The American Journal of Clinical Nutrition</w:t>
      </w:r>
      <w:r w:rsidRPr="007641B4">
        <w:rPr>
          <w:rFonts w:ascii="Times New Roman" w:hAnsi="Times New Roman" w:cs="Times New Roman"/>
          <w:sz w:val="24"/>
          <w:szCs w:val="24"/>
          <w:lang w:val="en-US"/>
          <w14:ligatures w14:val="standardContextual"/>
        </w:rPr>
        <w:t>, 102(4), pp.780–790. Available at :</w:t>
      </w:r>
      <w:hyperlink r:id="rId119" w:history="1">
        <w:r w:rsidRPr="007641B4">
          <w:rPr>
            <w:rFonts w:ascii="Times New Roman" w:hAnsi="Times New Roman" w:cs="Times New Roman"/>
            <w:color w:val="000000" w:themeColor="text1"/>
            <w:sz w:val="24"/>
            <w:szCs w:val="24"/>
            <w:lang w:val="en-US"/>
            <w14:ligatures w14:val="standardContextual"/>
          </w:rPr>
          <w:t>https://doi.org/10.3945/ajcn.115.112581</w:t>
        </w:r>
      </w:hyperlink>
    </w:p>
    <w:p w14:paraId="20D22137"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Tillotson, C.V., Bowden, S.A. and Boktor, S.W. (2020). </w:t>
      </w:r>
      <w:r w:rsidRPr="007641B4">
        <w:rPr>
          <w:rFonts w:ascii="Times New Roman" w:hAnsi="Times New Roman" w:cs="Times New Roman"/>
          <w:i/>
          <w:iCs/>
          <w:sz w:val="24"/>
          <w:szCs w:val="24"/>
          <w:lang w:val="en-US"/>
          <w14:ligatures w14:val="standardContextual"/>
        </w:rPr>
        <w:t>Pediatric Type 2 Diabetes Mellitus</w:t>
      </w:r>
      <w:r w:rsidRPr="007641B4">
        <w:rPr>
          <w:rFonts w:ascii="Times New Roman" w:hAnsi="Times New Roman" w:cs="Times New Roman"/>
          <w:sz w:val="24"/>
          <w:szCs w:val="24"/>
          <w:lang w:val="en-US"/>
          <w14:ligatures w14:val="standardContextual"/>
        </w:rPr>
        <w:t xml:space="preserve">. [online] PubMed. Available at: </w:t>
      </w:r>
      <w:hyperlink r:id="rId120" w:history="1">
        <w:r w:rsidRPr="007641B4">
          <w:rPr>
            <w:rFonts w:ascii="Times New Roman" w:hAnsi="Times New Roman" w:cs="Times New Roman"/>
            <w:sz w:val="24"/>
            <w:szCs w:val="24"/>
            <w:lang w:val="en-US"/>
            <w14:ligatures w14:val="standardContextual"/>
          </w:rPr>
          <w:t>https://www.ncbi.nlm.nih.gov/books/NBK431046/</w:t>
        </w:r>
      </w:hyperlink>
      <w:r w:rsidRPr="007641B4">
        <w:rPr>
          <w:rFonts w:ascii="Times New Roman" w:hAnsi="Times New Roman" w:cs="Times New Roman"/>
          <w:sz w:val="24"/>
          <w:szCs w:val="24"/>
          <w:lang w:val="en-US"/>
          <w14:ligatures w14:val="standardContextual"/>
        </w:rPr>
        <w:t xml:space="preserve"> (Accessed: 11 September 2023).</w:t>
      </w:r>
    </w:p>
    <w:p w14:paraId="3850ECF5"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Tinajero, M.G. and Malik, V.S. (2021). An Update on the Epidemiology of Type 2 Diabetes. </w:t>
      </w:r>
      <w:r w:rsidRPr="007641B4">
        <w:rPr>
          <w:rFonts w:ascii="Times New Roman" w:hAnsi="Times New Roman" w:cs="Times New Roman"/>
          <w:i/>
          <w:iCs/>
          <w:sz w:val="24"/>
          <w:szCs w:val="24"/>
          <w:lang w:val="en-US"/>
          <w14:ligatures w14:val="standardContextual"/>
        </w:rPr>
        <w:t>Endocrinology and Metabolism Clinics of North America</w:t>
      </w:r>
      <w:r w:rsidRPr="007641B4">
        <w:rPr>
          <w:rFonts w:ascii="Times New Roman" w:hAnsi="Times New Roman" w:cs="Times New Roman"/>
          <w:sz w:val="24"/>
          <w:szCs w:val="24"/>
          <w:lang w:val="en-US"/>
          <w14:ligatures w14:val="standardContextual"/>
        </w:rPr>
        <w:t>, 50(3), pp.337–355. Available at :</w:t>
      </w:r>
      <w:hyperlink r:id="rId121" w:history="1">
        <w:r w:rsidRPr="007641B4">
          <w:rPr>
            <w:rFonts w:ascii="Times New Roman" w:hAnsi="Times New Roman" w:cs="Times New Roman"/>
            <w:color w:val="000000" w:themeColor="text1"/>
            <w:sz w:val="24"/>
            <w:szCs w:val="24"/>
            <w:lang w:val="en-US"/>
            <w14:ligatures w14:val="standardContextual"/>
          </w:rPr>
          <w:t>https://doi.org/10.1016/j.ecl.2021.05.013</w:t>
        </w:r>
      </w:hyperlink>
    </w:p>
    <w:p w14:paraId="139F52C4"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Toumpanakis, A., Turnbull, T. and Alba-Barba, I. (2018a). Effectiveness of plant-based diets in promoting well-being in the management of type 2 diabetes: a systematic review. </w:t>
      </w:r>
      <w:r w:rsidRPr="007641B4">
        <w:rPr>
          <w:rFonts w:ascii="Times New Roman" w:hAnsi="Times New Roman" w:cs="Times New Roman"/>
          <w:i/>
          <w:iCs/>
          <w:sz w:val="24"/>
          <w:szCs w:val="24"/>
          <w:lang w:val="en-US"/>
          <w14:ligatures w14:val="standardContextual"/>
        </w:rPr>
        <w:t>BMJ Open Diabetes Research &amp; Care</w:t>
      </w:r>
      <w:r w:rsidRPr="007641B4">
        <w:rPr>
          <w:rFonts w:ascii="Times New Roman" w:hAnsi="Times New Roman" w:cs="Times New Roman"/>
          <w:sz w:val="24"/>
          <w:szCs w:val="24"/>
          <w:lang w:val="en-US"/>
          <w14:ligatures w14:val="standardContextual"/>
        </w:rPr>
        <w:t>, 6(1), pp.e000534. Available at :</w:t>
      </w:r>
      <w:hyperlink r:id="rId122" w:history="1">
        <w:r w:rsidRPr="007641B4">
          <w:rPr>
            <w:rFonts w:ascii="Times New Roman" w:hAnsi="Times New Roman" w:cs="Times New Roman"/>
            <w:color w:val="000000" w:themeColor="text1"/>
            <w:sz w:val="24"/>
            <w:szCs w:val="24"/>
            <w:lang w:val="en-US"/>
            <w14:ligatures w14:val="standardContextual"/>
          </w:rPr>
          <w:t>https://doi.org/10.1136/bmjdrc-2018-000534</w:t>
        </w:r>
      </w:hyperlink>
    </w:p>
    <w:p w14:paraId="6236E1EC"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Trichopoulou, A., Martínez-González, M.A., Tong, T.Y., Forouhi, N.G., Khandelwal, S., Prabhakaran, D., Mozaffarian, D. and de Lorgeril, M. (2014). Definitions and potential health benefits of the Mediterranean diet: views from experts around the world. </w:t>
      </w:r>
      <w:r w:rsidRPr="007641B4">
        <w:rPr>
          <w:rFonts w:ascii="Times New Roman" w:hAnsi="Times New Roman" w:cs="Times New Roman"/>
          <w:i/>
          <w:iCs/>
          <w:sz w:val="24"/>
          <w:szCs w:val="24"/>
          <w:lang w:val="en-US"/>
          <w14:ligatures w14:val="standardContextual"/>
        </w:rPr>
        <w:t>BMC Medicine</w:t>
      </w:r>
      <w:r w:rsidRPr="007641B4">
        <w:rPr>
          <w:rFonts w:ascii="Times New Roman" w:hAnsi="Times New Roman" w:cs="Times New Roman"/>
          <w:sz w:val="24"/>
          <w:szCs w:val="24"/>
          <w:lang w:val="en-US"/>
          <w14:ligatures w14:val="standardContextual"/>
        </w:rPr>
        <w:t>, 12(1). Available at :</w:t>
      </w:r>
      <w:hyperlink r:id="rId123" w:history="1">
        <w:r w:rsidRPr="007641B4">
          <w:rPr>
            <w:rFonts w:ascii="Times New Roman" w:hAnsi="Times New Roman" w:cs="Times New Roman"/>
            <w:color w:val="000000" w:themeColor="text1"/>
            <w:sz w:val="24"/>
            <w:szCs w:val="24"/>
            <w:lang w:val="en-US"/>
            <w14:ligatures w14:val="standardContextual"/>
          </w:rPr>
          <w:t>https://doi.org/10.1186/1741-7015-12-112</w:t>
        </w:r>
      </w:hyperlink>
    </w:p>
    <w:p w14:paraId="6E8607D4"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UNESCO (2013). </w:t>
      </w:r>
      <w:r w:rsidRPr="007641B4">
        <w:rPr>
          <w:rFonts w:ascii="Times New Roman" w:hAnsi="Times New Roman" w:cs="Times New Roman"/>
          <w:i/>
          <w:iCs/>
          <w:sz w:val="24"/>
          <w:szCs w:val="24"/>
          <w:lang w:val="en-US"/>
          <w14:ligatures w14:val="standardContextual"/>
        </w:rPr>
        <w:t>UNESCO - Mediterranean diet</w:t>
      </w:r>
      <w:r w:rsidRPr="007641B4">
        <w:rPr>
          <w:rFonts w:ascii="Times New Roman" w:hAnsi="Times New Roman" w:cs="Times New Roman"/>
          <w:sz w:val="24"/>
          <w:szCs w:val="24"/>
          <w:lang w:val="en-US"/>
          <w14:ligatures w14:val="standardContextual"/>
        </w:rPr>
        <w:t xml:space="preserve">. [online] Unesco.org. Available at: </w:t>
      </w:r>
      <w:hyperlink r:id="rId124" w:history="1">
        <w:r w:rsidRPr="007641B4">
          <w:rPr>
            <w:rFonts w:ascii="Times New Roman" w:hAnsi="Times New Roman" w:cs="Times New Roman"/>
            <w:sz w:val="24"/>
            <w:szCs w:val="24"/>
            <w:lang w:val="en-US"/>
            <w14:ligatures w14:val="standardContextual"/>
          </w:rPr>
          <w:t>https://ich.unesco.org/en/RL/mediterranean-diet-00884</w:t>
        </w:r>
      </w:hyperlink>
      <w:r w:rsidRPr="007641B4">
        <w:rPr>
          <w:rFonts w:ascii="Times New Roman" w:hAnsi="Times New Roman" w:cs="Times New Roman"/>
          <w:sz w:val="24"/>
          <w:szCs w:val="24"/>
          <w:lang w:val="en-US"/>
          <w14:ligatures w14:val="standardContextual"/>
        </w:rPr>
        <w:t xml:space="preserve"> (Accessed: 15 March 2024).</w:t>
      </w:r>
    </w:p>
    <w:p w14:paraId="26E73BD7"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Veit, M., van Asten, R., Olie, A. and Prinz, P. (2022). The role of dietary sugars, overweight, and obesity in type 2 diabetes mellitus: a narrative review. </w:t>
      </w:r>
      <w:r w:rsidRPr="007641B4">
        <w:rPr>
          <w:rFonts w:ascii="Times New Roman" w:hAnsi="Times New Roman" w:cs="Times New Roman"/>
          <w:i/>
          <w:iCs/>
          <w:sz w:val="24"/>
          <w:szCs w:val="24"/>
          <w:lang w:val="en-US"/>
          <w14:ligatures w14:val="standardContextual"/>
        </w:rPr>
        <w:t>European Journal of Clinical Nutrition</w:t>
      </w:r>
      <w:r w:rsidRPr="007641B4">
        <w:rPr>
          <w:rFonts w:ascii="Times New Roman" w:hAnsi="Times New Roman" w:cs="Times New Roman"/>
          <w:sz w:val="24"/>
          <w:szCs w:val="24"/>
          <w:lang w:val="en-US"/>
          <w14:ligatures w14:val="standardContextual"/>
        </w:rPr>
        <w:t>,  76, pp.1497–1501. Available at :</w:t>
      </w:r>
      <w:hyperlink r:id="rId125" w:history="1">
        <w:r w:rsidRPr="007641B4">
          <w:rPr>
            <w:rFonts w:ascii="Times New Roman" w:hAnsi="Times New Roman" w:cs="Times New Roman"/>
            <w:color w:val="000000" w:themeColor="text1"/>
            <w:sz w:val="24"/>
            <w:szCs w:val="24"/>
            <w:lang w:val="en-US"/>
            <w14:ligatures w14:val="standardContextual"/>
          </w:rPr>
          <w:t>https://doi.org/10.1038/s41430-022-01114-5</w:t>
        </w:r>
      </w:hyperlink>
    </w:p>
    <w:p w14:paraId="0FEF6945"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Villani, A., Sultana, J., Doecke, J. and Mantzioris, E. (2018). Differences in the interpretation of a modernized Mediterranean diet prescribed in intervention studies for the management of type 2 diabetes: how closely does this align with a traditional Mediterranean diet? </w:t>
      </w:r>
      <w:r w:rsidRPr="007641B4">
        <w:rPr>
          <w:rFonts w:ascii="Times New Roman" w:hAnsi="Times New Roman" w:cs="Times New Roman"/>
          <w:i/>
          <w:iCs/>
          <w:sz w:val="24"/>
          <w:szCs w:val="24"/>
          <w:lang w:val="en-US"/>
          <w14:ligatures w14:val="standardContextual"/>
        </w:rPr>
        <w:t>European Journal of Nutrition</w:t>
      </w:r>
      <w:r w:rsidRPr="007641B4">
        <w:rPr>
          <w:rFonts w:ascii="Times New Roman" w:hAnsi="Times New Roman" w:cs="Times New Roman"/>
          <w:sz w:val="24"/>
          <w:szCs w:val="24"/>
          <w:lang w:val="en-US"/>
          <w14:ligatures w14:val="standardContextual"/>
        </w:rPr>
        <w:t>, 58(4), pp.1369–1380. Available at :</w:t>
      </w:r>
      <w:hyperlink r:id="rId126" w:history="1">
        <w:r w:rsidRPr="007641B4">
          <w:rPr>
            <w:rFonts w:ascii="Times New Roman" w:hAnsi="Times New Roman" w:cs="Times New Roman"/>
            <w:color w:val="000000" w:themeColor="text1"/>
            <w:sz w:val="24"/>
            <w:szCs w:val="24"/>
            <w:lang w:val="en-US"/>
            <w14:ligatures w14:val="standardContextual"/>
          </w:rPr>
          <w:t>https://doi.org/10.1007/s00394-018-1757-3</w:t>
        </w:r>
      </w:hyperlink>
    </w:p>
    <w:p w14:paraId="6EA63E73"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Vlachos, D., Malisova, S., Lindberg, F.A. and Karaniki, G. (2020). Glycemic Index (GI) or Glycemic Load (GL) and Dietary Interventions for Optimizing Postprandial Hyperglycemia </w:t>
      </w:r>
      <w:r w:rsidRPr="007641B4">
        <w:rPr>
          <w:rFonts w:ascii="Times New Roman" w:hAnsi="Times New Roman" w:cs="Times New Roman"/>
          <w:sz w:val="24"/>
          <w:szCs w:val="24"/>
          <w:lang w:val="en-US"/>
          <w14:ligatures w14:val="standardContextual"/>
        </w:rPr>
        <w:lastRenderedPageBreak/>
        <w:t xml:space="preserve">in Patients with T2 Diabetes: A Review.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,12(6), pp.1561. Available at :</w:t>
      </w:r>
      <w:hyperlink r:id="rId127" w:history="1">
        <w:r w:rsidRPr="007641B4">
          <w:rPr>
            <w:rFonts w:ascii="Times New Roman" w:hAnsi="Times New Roman" w:cs="Times New Roman"/>
            <w:color w:val="000000" w:themeColor="text1"/>
            <w:sz w:val="24"/>
            <w:szCs w:val="24"/>
            <w:lang w:val="en-US"/>
            <w14:ligatures w14:val="standardContextual"/>
          </w:rPr>
          <w:t>https://doi.org/10.3390/nu12061561</w:t>
        </w:r>
      </w:hyperlink>
    </w:p>
    <w:p w14:paraId="7AB6BF6E"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color w:val="000000" w:themeColor="text1"/>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Wang, L.-L., Wang, Q., Hong, Y., Ojo, O., Jiang, Q., Hou, Y.-Y., Huang, Y.-H. and Wang, X.-H. (2018). The Effect of Low-Carbohydrate Diet on Glycemic Control in Patients with Type 2 Diabetes Mellitus.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 10(6), pp.661. Available at :</w:t>
      </w:r>
      <w:hyperlink r:id="rId128" w:history="1">
        <w:r w:rsidRPr="007641B4">
          <w:rPr>
            <w:rFonts w:ascii="Times New Roman" w:hAnsi="Times New Roman" w:cs="Times New Roman"/>
            <w:color w:val="000000" w:themeColor="text1"/>
            <w:sz w:val="24"/>
            <w:szCs w:val="24"/>
            <w:lang w:val="en-US"/>
            <w14:ligatures w14:val="standardContextual"/>
          </w:rPr>
          <w:t>https://doi.org/10.3390/nu10060661</w:t>
        </w:r>
      </w:hyperlink>
    </w:p>
    <w:p w14:paraId="32137B2A" w14:textId="6BFFF48C" w:rsidR="0009424A" w:rsidRPr="007641B4" w:rsidRDefault="0009424A" w:rsidP="00E84CF8">
      <w:pPr>
        <w:pStyle w:val="NormalWeb"/>
        <w:spacing w:before="0" w:beforeAutospacing="0" w:after="240" w:afterAutospacing="0" w:line="360" w:lineRule="auto"/>
      </w:pPr>
      <w:r w:rsidRPr="007641B4">
        <w:t xml:space="preserve">Wang, Q., Xia, W., Zhao, Z. and Zhang, H. (2015). Effects comparison between low glycemic index diets and high glycemic index diets on HbA1c and fructosamine for patients with diabetes: A systematic review and meta-analysis. </w:t>
      </w:r>
      <w:r w:rsidRPr="007641B4">
        <w:rPr>
          <w:i/>
          <w:iCs/>
        </w:rPr>
        <w:t>Primary Care Diabetes</w:t>
      </w:r>
      <w:r w:rsidRPr="007641B4">
        <w:t>,  9(5), pp.362–369. Available at: https://doi.org/10.1016/j.pcd.2014.10.008</w:t>
      </w:r>
    </w:p>
    <w:p w14:paraId="4FDAD054"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Wang, T., Masedunskas, A., Willett, W.C. and Fontana, L. (2023). Vegetarian and vegan diets: benefits and drawbacks. </w:t>
      </w:r>
      <w:r w:rsidRPr="007641B4">
        <w:rPr>
          <w:rFonts w:ascii="Times New Roman" w:hAnsi="Times New Roman" w:cs="Times New Roman"/>
          <w:i/>
          <w:iCs/>
          <w:sz w:val="24"/>
          <w:szCs w:val="24"/>
          <w:lang w:val="en-US"/>
          <w14:ligatures w14:val="standardContextual"/>
        </w:rPr>
        <w:t>European Heart Journal</w:t>
      </w:r>
      <w:r w:rsidRPr="007641B4">
        <w:rPr>
          <w:rFonts w:ascii="Times New Roman" w:hAnsi="Times New Roman" w:cs="Times New Roman"/>
          <w:sz w:val="24"/>
          <w:szCs w:val="24"/>
          <w:lang w:val="en-US"/>
          <w14:ligatures w14:val="standardContextual"/>
        </w:rPr>
        <w:t>, 44(36). Available at :</w:t>
      </w:r>
      <w:hyperlink r:id="rId129" w:history="1">
        <w:r w:rsidRPr="007641B4">
          <w:rPr>
            <w:rFonts w:ascii="Times New Roman" w:hAnsi="Times New Roman" w:cs="Times New Roman"/>
            <w:color w:val="000000" w:themeColor="text1"/>
            <w:sz w:val="24"/>
            <w:szCs w:val="24"/>
            <w:lang w:val="en-US"/>
            <w14:ligatures w14:val="standardContextual"/>
          </w:rPr>
          <w:t>https://doi.org/10.1093/eurheartj/ehad436</w:t>
        </w:r>
      </w:hyperlink>
    </w:p>
    <w:p w14:paraId="1876F99D"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Wareham, N.J. and Herman, W.H. (2016). The Clinical and Public Health Challenges of Diabetes Prevention: A Search for Sustainable Solutions. </w:t>
      </w:r>
      <w:r w:rsidRPr="007641B4">
        <w:rPr>
          <w:rFonts w:ascii="Times New Roman" w:hAnsi="Times New Roman" w:cs="Times New Roman"/>
          <w:i/>
          <w:iCs/>
          <w:sz w:val="24"/>
          <w:szCs w:val="24"/>
          <w:lang w:val="en-US"/>
          <w14:ligatures w14:val="standardContextual"/>
        </w:rPr>
        <w:t>PLOS Medicine</w:t>
      </w:r>
      <w:r w:rsidRPr="007641B4">
        <w:rPr>
          <w:rFonts w:ascii="Times New Roman" w:hAnsi="Times New Roman" w:cs="Times New Roman"/>
          <w:sz w:val="24"/>
          <w:szCs w:val="24"/>
          <w:lang w:val="en-US"/>
          <w14:ligatures w14:val="standardContextual"/>
        </w:rPr>
        <w:t>,13(7), pp.e1002097. Available at :</w:t>
      </w:r>
      <w:hyperlink r:id="rId130" w:history="1">
        <w:r w:rsidRPr="007641B4">
          <w:rPr>
            <w:rFonts w:ascii="Times New Roman" w:hAnsi="Times New Roman" w:cs="Times New Roman"/>
            <w:color w:val="000000" w:themeColor="text1"/>
            <w:sz w:val="24"/>
            <w:szCs w:val="24"/>
            <w:lang w:val="en-US"/>
            <w14:ligatures w14:val="standardContextual"/>
          </w:rPr>
          <w:t>https://doi.org/10.1371/journal.pmed.1002097</w:t>
        </w:r>
      </w:hyperlink>
    </w:p>
    <w:p w14:paraId="2752C05F"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Whiteley, C., Benton, F., Matwiejczyk, L. and Luscombe-Marsh, N. (2023). Determining Dietary Patterns to Recommend for Type 2 Diabetes: An Umbrella Review. </w:t>
      </w:r>
      <w:r w:rsidRPr="007641B4">
        <w:rPr>
          <w:rFonts w:ascii="Times New Roman" w:hAnsi="Times New Roman" w:cs="Times New Roman"/>
          <w:i/>
          <w:iCs/>
          <w:sz w:val="24"/>
          <w:szCs w:val="24"/>
          <w:lang w:val="en-US"/>
          <w14:ligatures w14:val="standardContextual"/>
        </w:rPr>
        <w:t>Nutrients</w:t>
      </w:r>
      <w:r w:rsidRPr="007641B4">
        <w:rPr>
          <w:rFonts w:ascii="Times New Roman" w:hAnsi="Times New Roman" w:cs="Times New Roman"/>
          <w:sz w:val="24"/>
          <w:szCs w:val="24"/>
          <w:lang w:val="en-US"/>
          <w14:ligatures w14:val="standardContextual"/>
        </w:rPr>
        <w:t>, 15(4), pp.861. Available at :</w:t>
      </w:r>
      <w:hyperlink r:id="rId131" w:history="1">
        <w:r w:rsidRPr="007641B4">
          <w:rPr>
            <w:rFonts w:ascii="Times New Roman" w:hAnsi="Times New Roman" w:cs="Times New Roman"/>
            <w:color w:val="000000" w:themeColor="text1"/>
            <w:sz w:val="24"/>
            <w:szCs w:val="24"/>
            <w:lang w:val="en-US"/>
            <w14:ligatures w14:val="standardContextual"/>
          </w:rPr>
          <w:t>https://doi.org/10.3390/nu15040861</w:t>
        </w:r>
      </w:hyperlink>
    </w:p>
    <w:p w14:paraId="2CAAC92A"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World Health Organization (2021). </w:t>
      </w:r>
      <w:r w:rsidRPr="007641B4">
        <w:rPr>
          <w:rFonts w:ascii="Times New Roman" w:hAnsi="Times New Roman" w:cs="Times New Roman"/>
          <w:i/>
          <w:iCs/>
          <w:sz w:val="24"/>
          <w:szCs w:val="24"/>
          <w:lang w:val="en-US"/>
          <w14:ligatures w14:val="standardContextual"/>
        </w:rPr>
        <w:t>Plant-based diets and their impact on health, sustainability and the environment: a review of the evidence</w:t>
      </w:r>
      <w:r w:rsidRPr="007641B4">
        <w:rPr>
          <w:rFonts w:ascii="Times New Roman" w:hAnsi="Times New Roman" w:cs="Times New Roman"/>
          <w:sz w:val="24"/>
          <w:szCs w:val="24"/>
          <w:lang w:val="en-US"/>
          <w14:ligatures w14:val="standardContextual"/>
        </w:rPr>
        <w:t xml:space="preserve">. [online] www.who.int. Available at: </w:t>
      </w:r>
      <w:hyperlink r:id="rId132" w:history="1">
        <w:r w:rsidRPr="007641B4">
          <w:rPr>
            <w:rFonts w:ascii="Times New Roman" w:hAnsi="Times New Roman" w:cs="Times New Roman"/>
            <w:sz w:val="24"/>
            <w:szCs w:val="24"/>
            <w:lang w:val="en-US"/>
            <w14:ligatures w14:val="standardContextual"/>
          </w:rPr>
          <w:t>https://www.who.int/europe/publications/i/item/WHO-EURO-2021-4007-43766-61591</w:t>
        </w:r>
      </w:hyperlink>
      <w:r w:rsidRPr="007641B4">
        <w:rPr>
          <w:rFonts w:ascii="Times New Roman" w:hAnsi="Times New Roman" w:cs="Times New Roman"/>
          <w:sz w:val="24"/>
          <w:szCs w:val="24"/>
          <w:lang w:val="en-US"/>
          <w14:ligatures w14:val="standardContextual"/>
        </w:rPr>
        <w:t xml:space="preserve"> (Accessed: 10 March 2024).</w:t>
      </w:r>
    </w:p>
    <w:p w14:paraId="2EF42321"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World Health Organization (2023). </w:t>
      </w:r>
      <w:r w:rsidRPr="007641B4">
        <w:rPr>
          <w:rFonts w:ascii="Times New Roman" w:hAnsi="Times New Roman" w:cs="Times New Roman"/>
          <w:i/>
          <w:iCs/>
          <w:sz w:val="24"/>
          <w:szCs w:val="24"/>
          <w:lang w:val="en-US"/>
          <w14:ligatures w14:val="standardContextual"/>
        </w:rPr>
        <w:t>Diabetes</w:t>
      </w:r>
      <w:r w:rsidRPr="007641B4">
        <w:rPr>
          <w:rFonts w:ascii="Times New Roman" w:hAnsi="Times New Roman" w:cs="Times New Roman"/>
          <w:sz w:val="24"/>
          <w:szCs w:val="24"/>
          <w:lang w:val="en-US"/>
          <w14:ligatures w14:val="standardContextual"/>
        </w:rPr>
        <w:t xml:space="preserve">. [online] World Health Organisation. Available at: </w:t>
      </w:r>
      <w:hyperlink r:id="rId133" w:history="1">
        <w:r w:rsidRPr="007641B4">
          <w:rPr>
            <w:rFonts w:ascii="Times New Roman" w:hAnsi="Times New Roman" w:cs="Times New Roman"/>
            <w:sz w:val="24"/>
            <w:szCs w:val="24"/>
            <w:lang w:val="en-US"/>
            <w14:ligatures w14:val="standardContextual"/>
          </w:rPr>
          <w:t>https://www.who.int/news-room/fact-sheets/detail/diabetes</w:t>
        </w:r>
      </w:hyperlink>
      <w:r w:rsidRPr="007641B4">
        <w:rPr>
          <w:rFonts w:ascii="Times New Roman" w:hAnsi="Times New Roman" w:cs="Times New Roman"/>
          <w:sz w:val="24"/>
          <w:szCs w:val="24"/>
          <w:lang w:val="en-US"/>
          <w14:ligatures w14:val="standardContextual"/>
        </w:rPr>
        <w:t xml:space="preserve"> (Accessed: 18 August 2023).</w:t>
      </w:r>
    </w:p>
    <w:p w14:paraId="66F47EC7" w14:textId="77777777" w:rsidR="00BD1A58" w:rsidRPr="007641B4" w:rsidRDefault="00BD1A58" w:rsidP="00E84CF8">
      <w:pPr>
        <w:widowControl w:val="0"/>
        <w:autoSpaceDE w:val="0"/>
        <w:autoSpaceDN w:val="0"/>
        <w:adjustRightInd w:val="0"/>
        <w:spacing w:after="240" w:line="360" w:lineRule="auto"/>
        <w:rPr>
          <w:rFonts w:ascii="Times New Roman" w:hAnsi="Times New Roman" w:cs="Times New Roman"/>
          <w:sz w:val="24"/>
          <w:szCs w:val="24"/>
          <w:lang w:val="en-US"/>
          <w14:ligatures w14:val="standardContextual"/>
        </w:rPr>
      </w:pPr>
      <w:r w:rsidRPr="007641B4">
        <w:rPr>
          <w:rFonts w:ascii="Times New Roman" w:hAnsi="Times New Roman" w:cs="Times New Roman"/>
          <w:sz w:val="24"/>
          <w:szCs w:val="24"/>
          <w:lang w:val="en-US"/>
          <w14:ligatures w14:val="standardContextual"/>
        </w:rPr>
        <w:t xml:space="preserve">Wylie-Rosett, J., Aebersold, K., Conlon, B., Isasi, C.R. and Ostrovsky, N.W. (2012). Health effects of low-carbohydrate diets: where should new research go? </w:t>
      </w:r>
      <w:r w:rsidRPr="007641B4">
        <w:rPr>
          <w:rFonts w:ascii="Times New Roman" w:hAnsi="Times New Roman" w:cs="Times New Roman"/>
          <w:i/>
          <w:iCs/>
          <w:sz w:val="24"/>
          <w:szCs w:val="24"/>
          <w:lang w:val="en-US"/>
          <w14:ligatures w14:val="standardContextual"/>
        </w:rPr>
        <w:t>Current Diabetes Reports</w:t>
      </w:r>
      <w:r w:rsidRPr="007641B4">
        <w:rPr>
          <w:rFonts w:ascii="Times New Roman" w:hAnsi="Times New Roman" w:cs="Times New Roman"/>
          <w:sz w:val="24"/>
          <w:szCs w:val="24"/>
          <w:lang w:val="en-US"/>
          <w14:ligatures w14:val="standardContextual"/>
        </w:rPr>
        <w:t>, 13(2), pp.271–278. Available at :</w:t>
      </w:r>
      <w:hyperlink r:id="rId134" w:history="1">
        <w:r w:rsidRPr="007641B4">
          <w:rPr>
            <w:rFonts w:ascii="Times New Roman" w:hAnsi="Times New Roman" w:cs="Times New Roman"/>
            <w:color w:val="000000" w:themeColor="text1"/>
            <w:sz w:val="24"/>
            <w:szCs w:val="24"/>
            <w:lang w:val="en-US"/>
            <w14:ligatures w14:val="standardContextual"/>
          </w:rPr>
          <w:t>https://doi.org/10.1007/s11892-012-0357-5</w:t>
        </w:r>
      </w:hyperlink>
    </w:p>
    <w:p w14:paraId="08BBAE18" w14:textId="21C00BE9" w:rsidR="00590BE3" w:rsidRPr="007641B4" w:rsidRDefault="00BD1A58" w:rsidP="00590BE3">
      <w:pPr>
        <w:widowControl w:val="0"/>
        <w:autoSpaceDE w:val="0"/>
        <w:autoSpaceDN w:val="0"/>
        <w:adjustRightInd w:val="0"/>
        <w:spacing w:after="240" w:line="360" w:lineRule="auto"/>
        <w:rPr>
          <w:rFonts w:ascii="Times New Roman" w:hAnsi="Times New Roman" w:cs="Times New Roman"/>
          <w:color w:val="000000" w:themeColor="text1"/>
          <w:sz w:val="24"/>
          <w:szCs w:val="24"/>
          <w:lang w:val="en-US"/>
          <w14:ligatures w14:val="standardContextual"/>
        </w:rPr>
      </w:pPr>
      <w:r w:rsidRPr="007641B4">
        <w:rPr>
          <w:rFonts w:ascii="Times New Roman" w:hAnsi="Times New Roman" w:cs="Times New Roman"/>
          <w:sz w:val="24"/>
          <w:szCs w:val="24"/>
          <w:lang w:val="en-US"/>
          <w14:ligatures w14:val="standardContextual"/>
        </w:rPr>
        <w:lastRenderedPageBreak/>
        <w:t xml:space="preserve">Zafar, M.I., Mills, K.E., Zheng, J., Regmi, A., Hu, S.Q., Gou, L. and Chen, L.-L. (2019). Low-glycemic index diets as an intervention for diabetes: a systematic review and meta-analysis. </w:t>
      </w:r>
      <w:r w:rsidRPr="007641B4">
        <w:rPr>
          <w:rFonts w:ascii="Times New Roman" w:hAnsi="Times New Roman" w:cs="Times New Roman"/>
          <w:i/>
          <w:iCs/>
          <w:sz w:val="24"/>
          <w:szCs w:val="24"/>
          <w:lang w:val="en-US"/>
          <w14:ligatures w14:val="standardContextual"/>
        </w:rPr>
        <w:t>The American Journal of Clinical Nutrition</w:t>
      </w:r>
      <w:r w:rsidRPr="007641B4">
        <w:rPr>
          <w:rFonts w:ascii="Times New Roman" w:hAnsi="Times New Roman" w:cs="Times New Roman"/>
          <w:sz w:val="24"/>
          <w:szCs w:val="24"/>
          <w:lang w:val="en-US"/>
          <w14:ligatures w14:val="standardContextual"/>
        </w:rPr>
        <w:t>, 110(4), pp.891–902. Available at :</w:t>
      </w:r>
      <w:hyperlink r:id="rId135" w:history="1">
        <w:r w:rsidRPr="007641B4">
          <w:rPr>
            <w:rFonts w:ascii="Times New Roman" w:hAnsi="Times New Roman" w:cs="Times New Roman"/>
            <w:color w:val="000000" w:themeColor="text1"/>
            <w:sz w:val="24"/>
            <w:szCs w:val="24"/>
            <w:lang w:val="en-US"/>
            <w14:ligatures w14:val="standardContextual"/>
          </w:rPr>
          <w:t>https://doi.org/10.1093/ajcn/nqz149</w:t>
        </w:r>
      </w:hyperlink>
    </w:p>
    <w:p w14:paraId="3AE823E8" w14:textId="14955B42" w:rsidR="00CE69DE" w:rsidRPr="007641B4" w:rsidRDefault="00CE69DE" w:rsidP="00993BA6">
      <w:pPr>
        <w:rPr>
          <w:rStyle w:val="SubtleEmphasis"/>
          <w:rFonts w:ascii="Times New Roman" w:hAnsi="Times New Roman" w:cs="Times New Roman"/>
          <w:i w:val="0"/>
          <w:iCs w:val="0"/>
          <w:color w:val="000000" w:themeColor="text1"/>
          <w:sz w:val="24"/>
          <w:szCs w:val="24"/>
          <w:lang w:val="en-US"/>
          <w14:ligatures w14:val="standardContextual"/>
        </w:rPr>
      </w:pPr>
    </w:p>
    <w:sectPr w:rsidR="00CE69DE" w:rsidRPr="007641B4" w:rsidSect="004325F2">
      <w:footerReference w:type="default" r:id="rId1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6E5C6" w14:textId="77777777" w:rsidR="004325F2" w:rsidRDefault="004325F2" w:rsidP="0090635D">
      <w:pPr>
        <w:spacing w:after="0" w:line="240" w:lineRule="auto"/>
      </w:pPr>
      <w:r>
        <w:separator/>
      </w:r>
    </w:p>
  </w:endnote>
  <w:endnote w:type="continuationSeparator" w:id="0">
    <w:p w14:paraId="61C49BB0" w14:textId="77777777" w:rsidR="004325F2" w:rsidRDefault="004325F2" w:rsidP="00906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Ì¨¨??"/>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New times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3910844"/>
      <w:docPartObj>
        <w:docPartGallery w:val="Page Numbers (Bottom of Page)"/>
        <w:docPartUnique/>
      </w:docPartObj>
    </w:sdtPr>
    <w:sdtEndPr>
      <w:rPr>
        <w:color w:val="7F7F7F" w:themeColor="background1" w:themeShade="7F"/>
        <w:spacing w:val="60"/>
      </w:rPr>
    </w:sdtEndPr>
    <w:sdtContent>
      <w:p w14:paraId="142A2304" w14:textId="7A5883AB" w:rsidR="00BA543B" w:rsidRDefault="00BA543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F4DD2" w:rsidRPr="002F4DD2">
          <w:rPr>
            <w:b/>
            <w:bCs/>
            <w:noProof/>
          </w:rPr>
          <w:t>1</w:t>
        </w:r>
        <w:r>
          <w:rPr>
            <w:b/>
            <w:bCs/>
            <w:noProof/>
          </w:rPr>
          <w:fldChar w:fldCharType="end"/>
        </w:r>
        <w:r>
          <w:rPr>
            <w:b/>
            <w:bCs/>
          </w:rPr>
          <w:t xml:space="preserve"> | </w:t>
        </w:r>
        <w:r>
          <w:rPr>
            <w:color w:val="7F7F7F" w:themeColor="background1" w:themeShade="7F"/>
            <w:spacing w:val="60"/>
          </w:rPr>
          <w:t>Page</w:t>
        </w:r>
      </w:p>
    </w:sdtContent>
  </w:sdt>
  <w:p w14:paraId="08CC6F9B" w14:textId="77777777" w:rsidR="00BA543B" w:rsidRDefault="00BA54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4028A" w14:textId="77777777" w:rsidR="004325F2" w:rsidRDefault="004325F2" w:rsidP="0090635D">
      <w:pPr>
        <w:spacing w:after="0" w:line="240" w:lineRule="auto"/>
      </w:pPr>
      <w:r>
        <w:separator/>
      </w:r>
    </w:p>
  </w:footnote>
  <w:footnote w:type="continuationSeparator" w:id="0">
    <w:p w14:paraId="1F5F99D4" w14:textId="77777777" w:rsidR="004325F2" w:rsidRDefault="004325F2" w:rsidP="009063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84AC5"/>
    <w:multiLevelType w:val="hybridMultilevel"/>
    <w:tmpl w:val="5C9437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EC0429"/>
    <w:multiLevelType w:val="multilevel"/>
    <w:tmpl w:val="BAF034B0"/>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asciiTheme="majorHAnsi" w:hAnsiTheme="majorHAnsi" w:cstheme="majorBidi" w:hint="default"/>
        <w:color w:val="2F5496" w:themeColor="accent1" w:themeShade="BF"/>
        <w:sz w:val="32"/>
      </w:rPr>
    </w:lvl>
    <w:lvl w:ilvl="2">
      <w:start w:val="1"/>
      <w:numFmt w:val="decimal"/>
      <w:isLgl/>
      <w:lvlText w:val="%1.%2.%3"/>
      <w:lvlJc w:val="left"/>
      <w:pPr>
        <w:ind w:left="1800" w:hanging="720"/>
      </w:pPr>
      <w:rPr>
        <w:rFonts w:asciiTheme="majorHAnsi" w:hAnsiTheme="majorHAnsi" w:cstheme="majorBidi" w:hint="default"/>
        <w:color w:val="2F5496" w:themeColor="accent1" w:themeShade="BF"/>
        <w:sz w:val="32"/>
      </w:rPr>
    </w:lvl>
    <w:lvl w:ilvl="3">
      <w:start w:val="1"/>
      <w:numFmt w:val="decimal"/>
      <w:isLgl/>
      <w:lvlText w:val="%1.%2.%3.%4"/>
      <w:lvlJc w:val="left"/>
      <w:pPr>
        <w:ind w:left="2160" w:hanging="720"/>
      </w:pPr>
      <w:rPr>
        <w:rFonts w:asciiTheme="majorHAnsi" w:hAnsiTheme="majorHAnsi" w:cstheme="majorBidi" w:hint="default"/>
        <w:color w:val="2F5496" w:themeColor="accent1" w:themeShade="BF"/>
        <w:sz w:val="32"/>
      </w:rPr>
    </w:lvl>
    <w:lvl w:ilvl="4">
      <w:start w:val="1"/>
      <w:numFmt w:val="decimal"/>
      <w:isLgl/>
      <w:lvlText w:val="%1.%2.%3.%4.%5"/>
      <w:lvlJc w:val="left"/>
      <w:pPr>
        <w:ind w:left="2880" w:hanging="1080"/>
      </w:pPr>
      <w:rPr>
        <w:rFonts w:asciiTheme="majorHAnsi" w:hAnsiTheme="majorHAnsi" w:cstheme="majorBidi" w:hint="default"/>
        <w:color w:val="2F5496" w:themeColor="accent1" w:themeShade="BF"/>
        <w:sz w:val="32"/>
      </w:rPr>
    </w:lvl>
    <w:lvl w:ilvl="5">
      <w:start w:val="1"/>
      <w:numFmt w:val="decimal"/>
      <w:isLgl/>
      <w:lvlText w:val="%1.%2.%3.%4.%5.%6"/>
      <w:lvlJc w:val="left"/>
      <w:pPr>
        <w:ind w:left="3240" w:hanging="1080"/>
      </w:pPr>
      <w:rPr>
        <w:rFonts w:asciiTheme="majorHAnsi" w:hAnsiTheme="majorHAnsi" w:cstheme="majorBidi" w:hint="default"/>
        <w:color w:val="2F5496" w:themeColor="accent1" w:themeShade="BF"/>
        <w:sz w:val="32"/>
      </w:rPr>
    </w:lvl>
    <w:lvl w:ilvl="6">
      <w:start w:val="1"/>
      <w:numFmt w:val="decimal"/>
      <w:isLgl/>
      <w:lvlText w:val="%1.%2.%3.%4.%5.%6.%7"/>
      <w:lvlJc w:val="left"/>
      <w:pPr>
        <w:ind w:left="3960" w:hanging="1440"/>
      </w:pPr>
      <w:rPr>
        <w:rFonts w:asciiTheme="majorHAnsi" w:hAnsiTheme="majorHAnsi" w:cstheme="majorBidi" w:hint="default"/>
        <w:color w:val="2F5496" w:themeColor="accent1" w:themeShade="BF"/>
        <w:sz w:val="32"/>
      </w:rPr>
    </w:lvl>
    <w:lvl w:ilvl="7">
      <w:start w:val="1"/>
      <w:numFmt w:val="decimal"/>
      <w:isLgl/>
      <w:lvlText w:val="%1.%2.%3.%4.%5.%6.%7.%8"/>
      <w:lvlJc w:val="left"/>
      <w:pPr>
        <w:ind w:left="4320" w:hanging="1440"/>
      </w:pPr>
      <w:rPr>
        <w:rFonts w:asciiTheme="majorHAnsi" w:hAnsiTheme="majorHAnsi" w:cstheme="majorBidi" w:hint="default"/>
        <w:color w:val="2F5496" w:themeColor="accent1" w:themeShade="BF"/>
        <w:sz w:val="32"/>
      </w:rPr>
    </w:lvl>
    <w:lvl w:ilvl="8">
      <w:start w:val="1"/>
      <w:numFmt w:val="decimal"/>
      <w:isLgl/>
      <w:lvlText w:val="%1.%2.%3.%4.%5.%6.%7.%8.%9"/>
      <w:lvlJc w:val="left"/>
      <w:pPr>
        <w:ind w:left="5040" w:hanging="1800"/>
      </w:pPr>
      <w:rPr>
        <w:rFonts w:asciiTheme="majorHAnsi" w:hAnsiTheme="majorHAnsi" w:cstheme="majorBidi" w:hint="default"/>
        <w:color w:val="2F5496" w:themeColor="accent1" w:themeShade="BF"/>
        <w:sz w:val="32"/>
      </w:rPr>
    </w:lvl>
  </w:abstractNum>
  <w:abstractNum w:abstractNumId="2" w15:restartNumberingAfterBreak="0">
    <w:nsid w:val="3227457C"/>
    <w:multiLevelType w:val="multilevel"/>
    <w:tmpl w:val="BAF034B0"/>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asciiTheme="majorHAnsi" w:hAnsiTheme="majorHAnsi" w:cstheme="majorBidi" w:hint="default"/>
        <w:color w:val="2F5496" w:themeColor="accent1" w:themeShade="BF"/>
        <w:sz w:val="32"/>
      </w:rPr>
    </w:lvl>
    <w:lvl w:ilvl="2">
      <w:start w:val="1"/>
      <w:numFmt w:val="decimal"/>
      <w:isLgl/>
      <w:lvlText w:val="%1.%2.%3"/>
      <w:lvlJc w:val="left"/>
      <w:pPr>
        <w:ind w:left="1800" w:hanging="720"/>
      </w:pPr>
      <w:rPr>
        <w:rFonts w:asciiTheme="majorHAnsi" w:hAnsiTheme="majorHAnsi" w:cstheme="majorBidi" w:hint="default"/>
        <w:color w:val="2F5496" w:themeColor="accent1" w:themeShade="BF"/>
        <w:sz w:val="32"/>
      </w:rPr>
    </w:lvl>
    <w:lvl w:ilvl="3">
      <w:start w:val="1"/>
      <w:numFmt w:val="decimal"/>
      <w:isLgl/>
      <w:lvlText w:val="%1.%2.%3.%4"/>
      <w:lvlJc w:val="left"/>
      <w:pPr>
        <w:ind w:left="2160" w:hanging="720"/>
      </w:pPr>
      <w:rPr>
        <w:rFonts w:asciiTheme="majorHAnsi" w:hAnsiTheme="majorHAnsi" w:cstheme="majorBidi" w:hint="default"/>
        <w:color w:val="2F5496" w:themeColor="accent1" w:themeShade="BF"/>
        <w:sz w:val="32"/>
      </w:rPr>
    </w:lvl>
    <w:lvl w:ilvl="4">
      <w:start w:val="1"/>
      <w:numFmt w:val="decimal"/>
      <w:isLgl/>
      <w:lvlText w:val="%1.%2.%3.%4.%5"/>
      <w:lvlJc w:val="left"/>
      <w:pPr>
        <w:ind w:left="2880" w:hanging="1080"/>
      </w:pPr>
      <w:rPr>
        <w:rFonts w:asciiTheme="majorHAnsi" w:hAnsiTheme="majorHAnsi" w:cstheme="majorBidi" w:hint="default"/>
        <w:color w:val="2F5496" w:themeColor="accent1" w:themeShade="BF"/>
        <w:sz w:val="32"/>
      </w:rPr>
    </w:lvl>
    <w:lvl w:ilvl="5">
      <w:start w:val="1"/>
      <w:numFmt w:val="decimal"/>
      <w:isLgl/>
      <w:lvlText w:val="%1.%2.%3.%4.%5.%6"/>
      <w:lvlJc w:val="left"/>
      <w:pPr>
        <w:ind w:left="3240" w:hanging="1080"/>
      </w:pPr>
      <w:rPr>
        <w:rFonts w:asciiTheme="majorHAnsi" w:hAnsiTheme="majorHAnsi" w:cstheme="majorBidi" w:hint="default"/>
        <w:color w:val="2F5496" w:themeColor="accent1" w:themeShade="BF"/>
        <w:sz w:val="32"/>
      </w:rPr>
    </w:lvl>
    <w:lvl w:ilvl="6">
      <w:start w:val="1"/>
      <w:numFmt w:val="decimal"/>
      <w:isLgl/>
      <w:lvlText w:val="%1.%2.%3.%4.%5.%6.%7"/>
      <w:lvlJc w:val="left"/>
      <w:pPr>
        <w:ind w:left="3960" w:hanging="1440"/>
      </w:pPr>
      <w:rPr>
        <w:rFonts w:asciiTheme="majorHAnsi" w:hAnsiTheme="majorHAnsi" w:cstheme="majorBidi" w:hint="default"/>
        <w:color w:val="2F5496" w:themeColor="accent1" w:themeShade="BF"/>
        <w:sz w:val="32"/>
      </w:rPr>
    </w:lvl>
    <w:lvl w:ilvl="7">
      <w:start w:val="1"/>
      <w:numFmt w:val="decimal"/>
      <w:isLgl/>
      <w:lvlText w:val="%1.%2.%3.%4.%5.%6.%7.%8"/>
      <w:lvlJc w:val="left"/>
      <w:pPr>
        <w:ind w:left="4320" w:hanging="1440"/>
      </w:pPr>
      <w:rPr>
        <w:rFonts w:asciiTheme="majorHAnsi" w:hAnsiTheme="majorHAnsi" w:cstheme="majorBidi" w:hint="default"/>
        <w:color w:val="2F5496" w:themeColor="accent1" w:themeShade="BF"/>
        <w:sz w:val="32"/>
      </w:rPr>
    </w:lvl>
    <w:lvl w:ilvl="8">
      <w:start w:val="1"/>
      <w:numFmt w:val="decimal"/>
      <w:isLgl/>
      <w:lvlText w:val="%1.%2.%3.%4.%5.%6.%7.%8.%9"/>
      <w:lvlJc w:val="left"/>
      <w:pPr>
        <w:ind w:left="5040" w:hanging="1800"/>
      </w:pPr>
      <w:rPr>
        <w:rFonts w:asciiTheme="majorHAnsi" w:hAnsiTheme="majorHAnsi" w:cstheme="majorBidi" w:hint="default"/>
        <w:color w:val="2F5496" w:themeColor="accent1" w:themeShade="BF"/>
        <w:sz w:val="32"/>
      </w:rPr>
    </w:lvl>
  </w:abstractNum>
  <w:abstractNum w:abstractNumId="3" w15:restartNumberingAfterBreak="0">
    <w:nsid w:val="39A40EA2"/>
    <w:multiLevelType w:val="multilevel"/>
    <w:tmpl w:val="BAF034B0"/>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asciiTheme="majorHAnsi" w:hAnsiTheme="majorHAnsi" w:cstheme="majorBidi" w:hint="default"/>
        <w:color w:val="2F5496" w:themeColor="accent1" w:themeShade="BF"/>
        <w:sz w:val="32"/>
      </w:rPr>
    </w:lvl>
    <w:lvl w:ilvl="2">
      <w:start w:val="1"/>
      <w:numFmt w:val="decimal"/>
      <w:isLgl/>
      <w:lvlText w:val="%1.%2.%3"/>
      <w:lvlJc w:val="left"/>
      <w:pPr>
        <w:ind w:left="1800" w:hanging="720"/>
      </w:pPr>
      <w:rPr>
        <w:rFonts w:asciiTheme="majorHAnsi" w:hAnsiTheme="majorHAnsi" w:cstheme="majorBidi" w:hint="default"/>
        <w:color w:val="2F5496" w:themeColor="accent1" w:themeShade="BF"/>
        <w:sz w:val="32"/>
      </w:rPr>
    </w:lvl>
    <w:lvl w:ilvl="3">
      <w:start w:val="1"/>
      <w:numFmt w:val="decimal"/>
      <w:isLgl/>
      <w:lvlText w:val="%1.%2.%3.%4"/>
      <w:lvlJc w:val="left"/>
      <w:pPr>
        <w:ind w:left="2160" w:hanging="720"/>
      </w:pPr>
      <w:rPr>
        <w:rFonts w:asciiTheme="majorHAnsi" w:hAnsiTheme="majorHAnsi" w:cstheme="majorBidi" w:hint="default"/>
        <w:color w:val="2F5496" w:themeColor="accent1" w:themeShade="BF"/>
        <w:sz w:val="32"/>
      </w:rPr>
    </w:lvl>
    <w:lvl w:ilvl="4">
      <w:start w:val="1"/>
      <w:numFmt w:val="decimal"/>
      <w:isLgl/>
      <w:lvlText w:val="%1.%2.%3.%4.%5"/>
      <w:lvlJc w:val="left"/>
      <w:pPr>
        <w:ind w:left="2880" w:hanging="1080"/>
      </w:pPr>
      <w:rPr>
        <w:rFonts w:asciiTheme="majorHAnsi" w:hAnsiTheme="majorHAnsi" w:cstheme="majorBidi" w:hint="default"/>
        <w:color w:val="2F5496" w:themeColor="accent1" w:themeShade="BF"/>
        <w:sz w:val="32"/>
      </w:rPr>
    </w:lvl>
    <w:lvl w:ilvl="5">
      <w:start w:val="1"/>
      <w:numFmt w:val="decimal"/>
      <w:isLgl/>
      <w:lvlText w:val="%1.%2.%3.%4.%5.%6"/>
      <w:lvlJc w:val="left"/>
      <w:pPr>
        <w:ind w:left="3240" w:hanging="1080"/>
      </w:pPr>
      <w:rPr>
        <w:rFonts w:asciiTheme="majorHAnsi" w:hAnsiTheme="majorHAnsi" w:cstheme="majorBidi" w:hint="default"/>
        <w:color w:val="2F5496" w:themeColor="accent1" w:themeShade="BF"/>
        <w:sz w:val="32"/>
      </w:rPr>
    </w:lvl>
    <w:lvl w:ilvl="6">
      <w:start w:val="1"/>
      <w:numFmt w:val="decimal"/>
      <w:isLgl/>
      <w:lvlText w:val="%1.%2.%3.%4.%5.%6.%7"/>
      <w:lvlJc w:val="left"/>
      <w:pPr>
        <w:ind w:left="3960" w:hanging="1440"/>
      </w:pPr>
      <w:rPr>
        <w:rFonts w:asciiTheme="majorHAnsi" w:hAnsiTheme="majorHAnsi" w:cstheme="majorBidi" w:hint="default"/>
        <w:color w:val="2F5496" w:themeColor="accent1" w:themeShade="BF"/>
        <w:sz w:val="32"/>
      </w:rPr>
    </w:lvl>
    <w:lvl w:ilvl="7">
      <w:start w:val="1"/>
      <w:numFmt w:val="decimal"/>
      <w:isLgl/>
      <w:lvlText w:val="%1.%2.%3.%4.%5.%6.%7.%8"/>
      <w:lvlJc w:val="left"/>
      <w:pPr>
        <w:ind w:left="4320" w:hanging="1440"/>
      </w:pPr>
      <w:rPr>
        <w:rFonts w:asciiTheme="majorHAnsi" w:hAnsiTheme="majorHAnsi" w:cstheme="majorBidi" w:hint="default"/>
        <w:color w:val="2F5496" w:themeColor="accent1" w:themeShade="BF"/>
        <w:sz w:val="32"/>
      </w:rPr>
    </w:lvl>
    <w:lvl w:ilvl="8">
      <w:start w:val="1"/>
      <w:numFmt w:val="decimal"/>
      <w:isLgl/>
      <w:lvlText w:val="%1.%2.%3.%4.%5.%6.%7.%8.%9"/>
      <w:lvlJc w:val="left"/>
      <w:pPr>
        <w:ind w:left="5040" w:hanging="1800"/>
      </w:pPr>
      <w:rPr>
        <w:rFonts w:asciiTheme="majorHAnsi" w:hAnsiTheme="majorHAnsi" w:cstheme="majorBidi" w:hint="default"/>
        <w:color w:val="2F5496" w:themeColor="accent1" w:themeShade="BF"/>
        <w:sz w:val="32"/>
      </w:rPr>
    </w:lvl>
  </w:abstractNum>
  <w:abstractNum w:abstractNumId="4" w15:restartNumberingAfterBreak="0">
    <w:nsid w:val="743B5F8A"/>
    <w:multiLevelType w:val="multilevel"/>
    <w:tmpl w:val="BAF034B0"/>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asciiTheme="majorHAnsi" w:hAnsiTheme="majorHAnsi" w:cstheme="majorBidi" w:hint="default"/>
        <w:color w:val="2F5496" w:themeColor="accent1" w:themeShade="BF"/>
        <w:sz w:val="32"/>
      </w:rPr>
    </w:lvl>
    <w:lvl w:ilvl="2">
      <w:start w:val="1"/>
      <w:numFmt w:val="decimal"/>
      <w:isLgl/>
      <w:lvlText w:val="%1.%2.%3"/>
      <w:lvlJc w:val="left"/>
      <w:pPr>
        <w:ind w:left="1800" w:hanging="720"/>
      </w:pPr>
      <w:rPr>
        <w:rFonts w:asciiTheme="majorHAnsi" w:hAnsiTheme="majorHAnsi" w:cstheme="majorBidi" w:hint="default"/>
        <w:color w:val="2F5496" w:themeColor="accent1" w:themeShade="BF"/>
        <w:sz w:val="32"/>
      </w:rPr>
    </w:lvl>
    <w:lvl w:ilvl="3">
      <w:start w:val="1"/>
      <w:numFmt w:val="decimal"/>
      <w:isLgl/>
      <w:lvlText w:val="%1.%2.%3.%4"/>
      <w:lvlJc w:val="left"/>
      <w:pPr>
        <w:ind w:left="2160" w:hanging="720"/>
      </w:pPr>
      <w:rPr>
        <w:rFonts w:asciiTheme="majorHAnsi" w:hAnsiTheme="majorHAnsi" w:cstheme="majorBidi" w:hint="default"/>
        <w:color w:val="2F5496" w:themeColor="accent1" w:themeShade="BF"/>
        <w:sz w:val="32"/>
      </w:rPr>
    </w:lvl>
    <w:lvl w:ilvl="4">
      <w:start w:val="1"/>
      <w:numFmt w:val="decimal"/>
      <w:isLgl/>
      <w:lvlText w:val="%1.%2.%3.%4.%5"/>
      <w:lvlJc w:val="left"/>
      <w:pPr>
        <w:ind w:left="2880" w:hanging="1080"/>
      </w:pPr>
      <w:rPr>
        <w:rFonts w:asciiTheme="majorHAnsi" w:hAnsiTheme="majorHAnsi" w:cstheme="majorBidi" w:hint="default"/>
        <w:color w:val="2F5496" w:themeColor="accent1" w:themeShade="BF"/>
        <w:sz w:val="32"/>
      </w:rPr>
    </w:lvl>
    <w:lvl w:ilvl="5">
      <w:start w:val="1"/>
      <w:numFmt w:val="decimal"/>
      <w:isLgl/>
      <w:lvlText w:val="%1.%2.%3.%4.%5.%6"/>
      <w:lvlJc w:val="left"/>
      <w:pPr>
        <w:ind w:left="3240" w:hanging="1080"/>
      </w:pPr>
      <w:rPr>
        <w:rFonts w:asciiTheme="majorHAnsi" w:hAnsiTheme="majorHAnsi" w:cstheme="majorBidi" w:hint="default"/>
        <w:color w:val="2F5496" w:themeColor="accent1" w:themeShade="BF"/>
        <w:sz w:val="32"/>
      </w:rPr>
    </w:lvl>
    <w:lvl w:ilvl="6">
      <w:start w:val="1"/>
      <w:numFmt w:val="decimal"/>
      <w:isLgl/>
      <w:lvlText w:val="%1.%2.%3.%4.%5.%6.%7"/>
      <w:lvlJc w:val="left"/>
      <w:pPr>
        <w:ind w:left="3960" w:hanging="1440"/>
      </w:pPr>
      <w:rPr>
        <w:rFonts w:asciiTheme="majorHAnsi" w:hAnsiTheme="majorHAnsi" w:cstheme="majorBidi" w:hint="default"/>
        <w:color w:val="2F5496" w:themeColor="accent1" w:themeShade="BF"/>
        <w:sz w:val="32"/>
      </w:rPr>
    </w:lvl>
    <w:lvl w:ilvl="7">
      <w:start w:val="1"/>
      <w:numFmt w:val="decimal"/>
      <w:isLgl/>
      <w:lvlText w:val="%1.%2.%3.%4.%5.%6.%7.%8"/>
      <w:lvlJc w:val="left"/>
      <w:pPr>
        <w:ind w:left="4320" w:hanging="1440"/>
      </w:pPr>
      <w:rPr>
        <w:rFonts w:asciiTheme="majorHAnsi" w:hAnsiTheme="majorHAnsi" w:cstheme="majorBidi" w:hint="default"/>
        <w:color w:val="2F5496" w:themeColor="accent1" w:themeShade="BF"/>
        <w:sz w:val="32"/>
      </w:rPr>
    </w:lvl>
    <w:lvl w:ilvl="8">
      <w:start w:val="1"/>
      <w:numFmt w:val="decimal"/>
      <w:isLgl/>
      <w:lvlText w:val="%1.%2.%3.%4.%5.%6.%7.%8.%9"/>
      <w:lvlJc w:val="left"/>
      <w:pPr>
        <w:ind w:left="5040" w:hanging="1800"/>
      </w:pPr>
      <w:rPr>
        <w:rFonts w:asciiTheme="majorHAnsi" w:hAnsiTheme="majorHAnsi" w:cstheme="majorBidi" w:hint="default"/>
        <w:color w:val="2F5496" w:themeColor="accent1" w:themeShade="BF"/>
        <w:sz w:val="32"/>
      </w:rPr>
    </w:lvl>
  </w:abstractNum>
  <w:abstractNum w:abstractNumId="5" w15:restartNumberingAfterBreak="0">
    <w:nsid w:val="7E927E7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032411136">
    <w:abstractNumId w:val="2"/>
  </w:num>
  <w:num w:numId="2" w16cid:durableId="2091346583">
    <w:abstractNumId w:val="0"/>
  </w:num>
  <w:num w:numId="3" w16cid:durableId="1619868319">
    <w:abstractNumId w:val="5"/>
  </w:num>
  <w:num w:numId="4" w16cid:durableId="1364137072">
    <w:abstractNumId w:val="1"/>
  </w:num>
  <w:num w:numId="5" w16cid:durableId="883950523">
    <w:abstractNumId w:val="5"/>
  </w:num>
  <w:num w:numId="6" w16cid:durableId="2047630889">
    <w:abstractNumId w:val="5"/>
  </w:num>
  <w:num w:numId="7" w16cid:durableId="1027219776">
    <w:abstractNumId w:val="5"/>
  </w:num>
  <w:num w:numId="8" w16cid:durableId="1381785276">
    <w:abstractNumId w:val="5"/>
  </w:num>
  <w:num w:numId="9" w16cid:durableId="408816743">
    <w:abstractNumId w:val="3"/>
  </w:num>
  <w:num w:numId="10" w16cid:durableId="1040712805">
    <w:abstractNumId w:val="5"/>
  </w:num>
  <w:num w:numId="11" w16cid:durableId="801776733">
    <w:abstractNumId w:val="5"/>
  </w:num>
  <w:num w:numId="12" w16cid:durableId="417798855">
    <w:abstractNumId w:val="5"/>
  </w:num>
  <w:num w:numId="13" w16cid:durableId="1177767773">
    <w:abstractNumId w:val="5"/>
  </w:num>
  <w:num w:numId="14" w16cid:durableId="2002737024">
    <w:abstractNumId w:val="5"/>
  </w:num>
  <w:num w:numId="15" w16cid:durableId="2029721205">
    <w:abstractNumId w:val="5"/>
  </w:num>
  <w:num w:numId="16" w16cid:durableId="1504929901">
    <w:abstractNumId w:val="4"/>
  </w:num>
  <w:num w:numId="17" w16cid:durableId="124584178">
    <w:abstractNumId w:val="5"/>
  </w:num>
  <w:num w:numId="18" w16cid:durableId="16947619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321"/>
    <w:rsid w:val="00000748"/>
    <w:rsid w:val="00006D74"/>
    <w:rsid w:val="0001041F"/>
    <w:rsid w:val="000208A3"/>
    <w:rsid w:val="00034321"/>
    <w:rsid w:val="00035B57"/>
    <w:rsid w:val="000534C9"/>
    <w:rsid w:val="00066AD4"/>
    <w:rsid w:val="00077AF7"/>
    <w:rsid w:val="00080452"/>
    <w:rsid w:val="00080573"/>
    <w:rsid w:val="000837DF"/>
    <w:rsid w:val="000844EA"/>
    <w:rsid w:val="00087AC8"/>
    <w:rsid w:val="0009424A"/>
    <w:rsid w:val="000A0535"/>
    <w:rsid w:val="000A756E"/>
    <w:rsid w:val="000B07FF"/>
    <w:rsid w:val="000C1A6A"/>
    <w:rsid w:val="000C468A"/>
    <w:rsid w:val="000E0207"/>
    <w:rsid w:val="000E4615"/>
    <w:rsid w:val="000F7066"/>
    <w:rsid w:val="00124A9A"/>
    <w:rsid w:val="0013785C"/>
    <w:rsid w:val="00137F56"/>
    <w:rsid w:val="0016109B"/>
    <w:rsid w:val="00164132"/>
    <w:rsid w:val="00165DF6"/>
    <w:rsid w:val="001A1BF5"/>
    <w:rsid w:val="001A41E6"/>
    <w:rsid w:val="001A50D2"/>
    <w:rsid w:val="001C0EC9"/>
    <w:rsid w:val="001D1EE9"/>
    <w:rsid w:val="001D2B48"/>
    <w:rsid w:val="001D4608"/>
    <w:rsid w:val="001E2416"/>
    <w:rsid w:val="001E34FF"/>
    <w:rsid w:val="002015FF"/>
    <w:rsid w:val="00212B14"/>
    <w:rsid w:val="002315DC"/>
    <w:rsid w:val="00234253"/>
    <w:rsid w:val="002365D8"/>
    <w:rsid w:val="00246C87"/>
    <w:rsid w:val="002502D2"/>
    <w:rsid w:val="002553B1"/>
    <w:rsid w:val="0026057F"/>
    <w:rsid w:val="00261D30"/>
    <w:rsid w:val="0026448B"/>
    <w:rsid w:val="00280B5C"/>
    <w:rsid w:val="00281C76"/>
    <w:rsid w:val="002A2345"/>
    <w:rsid w:val="002A35A7"/>
    <w:rsid w:val="002A6391"/>
    <w:rsid w:val="002A6500"/>
    <w:rsid w:val="002C48DF"/>
    <w:rsid w:val="002F0602"/>
    <w:rsid w:val="002F4DD2"/>
    <w:rsid w:val="002F5F18"/>
    <w:rsid w:val="0030004E"/>
    <w:rsid w:val="003177F6"/>
    <w:rsid w:val="0032257D"/>
    <w:rsid w:val="00334D54"/>
    <w:rsid w:val="0034728D"/>
    <w:rsid w:val="003502D6"/>
    <w:rsid w:val="00363AE6"/>
    <w:rsid w:val="00364B31"/>
    <w:rsid w:val="003660E4"/>
    <w:rsid w:val="00366369"/>
    <w:rsid w:val="00367C7B"/>
    <w:rsid w:val="00374D94"/>
    <w:rsid w:val="0039197A"/>
    <w:rsid w:val="003920D5"/>
    <w:rsid w:val="003A4D34"/>
    <w:rsid w:val="003B01B8"/>
    <w:rsid w:val="003B4C8C"/>
    <w:rsid w:val="003C16CC"/>
    <w:rsid w:val="003D16F7"/>
    <w:rsid w:val="003D52EA"/>
    <w:rsid w:val="003D68C5"/>
    <w:rsid w:val="003E21F5"/>
    <w:rsid w:val="003E68AB"/>
    <w:rsid w:val="00401825"/>
    <w:rsid w:val="00404E8B"/>
    <w:rsid w:val="0041406B"/>
    <w:rsid w:val="004156BA"/>
    <w:rsid w:val="0042435D"/>
    <w:rsid w:val="004325F2"/>
    <w:rsid w:val="0044510B"/>
    <w:rsid w:val="00452322"/>
    <w:rsid w:val="00455817"/>
    <w:rsid w:val="00456A6D"/>
    <w:rsid w:val="00460DB4"/>
    <w:rsid w:val="00462E95"/>
    <w:rsid w:val="00475E25"/>
    <w:rsid w:val="00476F6E"/>
    <w:rsid w:val="004937BD"/>
    <w:rsid w:val="004A0979"/>
    <w:rsid w:val="004A2D67"/>
    <w:rsid w:val="004B154A"/>
    <w:rsid w:val="004C7669"/>
    <w:rsid w:val="004D626A"/>
    <w:rsid w:val="004D7481"/>
    <w:rsid w:val="004F3E98"/>
    <w:rsid w:val="004F4BFF"/>
    <w:rsid w:val="0051757D"/>
    <w:rsid w:val="00540E5E"/>
    <w:rsid w:val="00550A64"/>
    <w:rsid w:val="005523A0"/>
    <w:rsid w:val="00552998"/>
    <w:rsid w:val="00562503"/>
    <w:rsid w:val="00566E66"/>
    <w:rsid w:val="005717A1"/>
    <w:rsid w:val="00573457"/>
    <w:rsid w:val="0057591B"/>
    <w:rsid w:val="0058204D"/>
    <w:rsid w:val="00584FC1"/>
    <w:rsid w:val="00590BE3"/>
    <w:rsid w:val="00596296"/>
    <w:rsid w:val="005B18F8"/>
    <w:rsid w:val="005B3192"/>
    <w:rsid w:val="005B64D2"/>
    <w:rsid w:val="005C0788"/>
    <w:rsid w:val="005C46E9"/>
    <w:rsid w:val="005C5C79"/>
    <w:rsid w:val="005C61CA"/>
    <w:rsid w:val="005E25C0"/>
    <w:rsid w:val="005E5113"/>
    <w:rsid w:val="005E5528"/>
    <w:rsid w:val="005F6EC3"/>
    <w:rsid w:val="00606ACE"/>
    <w:rsid w:val="0060772B"/>
    <w:rsid w:val="0060778D"/>
    <w:rsid w:val="00612C8E"/>
    <w:rsid w:val="006135D9"/>
    <w:rsid w:val="0062555B"/>
    <w:rsid w:val="00626482"/>
    <w:rsid w:val="00631320"/>
    <w:rsid w:val="00643AD9"/>
    <w:rsid w:val="00645FD3"/>
    <w:rsid w:val="006463E9"/>
    <w:rsid w:val="00653354"/>
    <w:rsid w:val="00655382"/>
    <w:rsid w:val="00656427"/>
    <w:rsid w:val="00661B7D"/>
    <w:rsid w:val="00673DC7"/>
    <w:rsid w:val="006A2F33"/>
    <w:rsid w:val="006A493C"/>
    <w:rsid w:val="006A7B13"/>
    <w:rsid w:val="006C027A"/>
    <w:rsid w:val="006C1484"/>
    <w:rsid w:val="006C4AA7"/>
    <w:rsid w:val="006C6616"/>
    <w:rsid w:val="006D1B42"/>
    <w:rsid w:val="006E4B9E"/>
    <w:rsid w:val="006F21F9"/>
    <w:rsid w:val="006F75ED"/>
    <w:rsid w:val="00702F87"/>
    <w:rsid w:val="00715549"/>
    <w:rsid w:val="0072397F"/>
    <w:rsid w:val="00727933"/>
    <w:rsid w:val="00735D5D"/>
    <w:rsid w:val="007407F1"/>
    <w:rsid w:val="00742C51"/>
    <w:rsid w:val="007538FE"/>
    <w:rsid w:val="007563E7"/>
    <w:rsid w:val="007641B4"/>
    <w:rsid w:val="00767CEC"/>
    <w:rsid w:val="007740A6"/>
    <w:rsid w:val="00787544"/>
    <w:rsid w:val="00792B36"/>
    <w:rsid w:val="007B4BD4"/>
    <w:rsid w:val="007B6260"/>
    <w:rsid w:val="007B7D4B"/>
    <w:rsid w:val="007C3747"/>
    <w:rsid w:val="007D0537"/>
    <w:rsid w:val="007F0219"/>
    <w:rsid w:val="007F069B"/>
    <w:rsid w:val="0080152D"/>
    <w:rsid w:val="00801F8E"/>
    <w:rsid w:val="00803E48"/>
    <w:rsid w:val="0080497F"/>
    <w:rsid w:val="008057C9"/>
    <w:rsid w:val="00807EC3"/>
    <w:rsid w:val="00812DB2"/>
    <w:rsid w:val="00812F8B"/>
    <w:rsid w:val="00823816"/>
    <w:rsid w:val="00826A5C"/>
    <w:rsid w:val="00830941"/>
    <w:rsid w:val="00842ABA"/>
    <w:rsid w:val="0084603C"/>
    <w:rsid w:val="00847527"/>
    <w:rsid w:val="00865582"/>
    <w:rsid w:val="00876300"/>
    <w:rsid w:val="008850F2"/>
    <w:rsid w:val="0089461B"/>
    <w:rsid w:val="00894661"/>
    <w:rsid w:val="008A4B26"/>
    <w:rsid w:val="008B2297"/>
    <w:rsid w:val="008B261E"/>
    <w:rsid w:val="008B3792"/>
    <w:rsid w:val="008B3EC3"/>
    <w:rsid w:val="008C20BC"/>
    <w:rsid w:val="008D0308"/>
    <w:rsid w:val="008D3916"/>
    <w:rsid w:val="00900002"/>
    <w:rsid w:val="00900100"/>
    <w:rsid w:val="00903113"/>
    <w:rsid w:val="0090415A"/>
    <w:rsid w:val="0090635D"/>
    <w:rsid w:val="009208B1"/>
    <w:rsid w:val="00950CED"/>
    <w:rsid w:val="00950DA1"/>
    <w:rsid w:val="009540D3"/>
    <w:rsid w:val="00956A3A"/>
    <w:rsid w:val="00963B54"/>
    <w:rsid w:val="00963C73"/>
    <w:rsid w:val="00965940"/>
    <w:rsid w:val="00965C6E"/>
    <w:rsid w:val="00971C47"/>
    <w:rsid w:val="00983751"/>
    <w:rsid w:val="00991265"/>
    <w:rsid w:val="009936B3"/>
    <w:rsid w:val="00993BA6"/>
    <w:rsid w:val="009A57FA"/>
    <w:rsid w:val="009B2A76"/>
    <w:rsid w:val="009B3DAA"/>
    <w:rsid w:val="009C2252"/>
    <w:rsid w:val="009C4E92"/>
    <w:rsid w:val="009C57D9"/>
    <w:rsid w:val="009C7D3A"/>
    <w:rsid w:val="009D4C78"/>
    <w:rsid w:val="009E1B41"/>
    <w:rsid w:val="009E5527"/>
    <w:rsid w:val="009F0DDB"/>
    <w:rsid w:val="009F3057"/>
    <w:rsid w:val="00A11878"/>
    <w:rsid w:val="00A17CEC"/>
    <w:rsid w:val="00A31C1B"/>
    <w:rsid w:val="00A40CC8"/>
    <w:rsid w:val="00A435A1"/>
    <w:rsid w:val="00A521E7"/>
    <w:rsid w:val="00A60B8D"/>
    <w:rsid w:val="00A72795"/>
    <w:rsid w:val="00A96E16"/>
    <w:rsid w:val="00AA0F02"/>
    <w:rsid w:val="00AA34BF"/>
    <w:rsid w:val="00AA6769"/>
    <w:rsid w:val="00AA7F61"/>
    <w:rsid w:val="00AB29D0"/>
    <w:rsid w:val="00AB33DE"/>
    <w:rsid w:val="00AB47B4"/>
    <w:rsid w:val="00AB66FC"/>
    <w:rsid w:val="00AC3FDC"/>
    <w:rsid w:val="00AD5DAD"/>
    <w:rsid w:val="00AD7B98"/>
    <w:rsid w:val="00AE3550"/>
    <w:rsid w:val="00AF291F"/>
    <w:rsid w:val="00B148A0"/>
    <w:rsid w:val="00B20CBB"/>
    <w:rsid w:val="00B32B0F"/>
    <w:rsid w:val="00B454E7"/>
    <w:rsid w:val="00B5277A"/>
    <w:rsid w:val="00B6416F"/>
    <w:rsid w:val="00B66CDD"/>
    <w:rsid w:val="00B74B8D"/>
    <w:rsid w:val="00B866D7"/>
    <w:rsid w:val="00B946FD"/>
    <w:rsid w:val="00BA0403"/>
    <w:rsid w:val="00BA1067"/>
    <w:rsid w:val="00BA543B"/>
    <w:rsid w:val="00BB6977"/>
    <w:rsid w:val="00BC1886"/>
    <w:rsid w:val="00BC6AB0"/>
    <w:rsid w:val="00BD1A58"/>
    <w:rsid w:val="00BD5F86"/>
    <w:rsid w:val="00BF72F6"/>
    <w:rsid w:val="00C05070"/>
    <w:rsid w:val="00C1597F"/>
    <w:rsid w:val="00C204A1"/>
    <w:rsid w:val="00C21FD4"/>
    <w:rsid w:val="00C24940"/>
    <w:rsid w:val="00C24D0D"/>
    <w:rsid w:val="00C24F08"/>
    <w:rsid w:val="00C301C1"/>
    <w:rsid w:val="00C3395C"/>
    <w:rsid w:val="00C44C02"/>
    <w:rsid w:val="00C65D54"/>
    <w:rsid w:val="00C67910"/>
    <w:rsid w:val="00C724D2"/>
    <w:rsid w:val="00C74EFF"/>
    <w:rsid w:val="00C839DE"/>
    <w:rsid w:val="00C840AD"/>
    <w:rsid w:val="00C86DA0"/>
    <w:rsid w:val="00C93725"/>
    <w:rsid w:val="00C976E6"/>
    <w:rsid w:val="00CA1B2F"/>
    <w:rsid w:val="00CB63DC"/>
    <w:rsid w:val="00CB7332"/>
    <w:rsid w:val="00CD23DC"/>
    <w:rsid w:val="00CE69DE"/>
    <w:rsid w:val="00D008E4"/>
    <w:rsid w:val="00D0363E"/>
    <w:rsid w:val="00D071C2"/>
    <w:rsid w:val="00D10E90"/>
    <w:rsid w:val="00D119AE"/>
    <w:rsid w:val="00D13D71"/>
    <w:rsid w:val="00D41F80"/>
    <w:rsid w:val="00D43F79"/>
    <w:rsid w:val="00D45F83"/>
    <w:rsid w:val="00D5544A"/>
    <w:rsid w:val="00D60BBB"/>
    <w:rsid w:val="00D612F1"/>
    <w:rsid w:val="00D6177C"/>
    <w:rsid w:val="00D628E7"/>
    <w:rsid w:val="00D63E1C"/>
    <w:rsid w:val="00D72918"/>
    <w:rsid w:val="00D77EB0"/>
    <w:rsid w:val="00D934EB"/>
    <w:rsid w:val="00D97B6E"/>
    <w:rsid w:val="00DB1215"/>
    <w:rsid w:val="00DB452F"/>
    <w:rsid w:val="00DC2659"/>
    <w:rsid w:val="00DD2D69"/>
    <w:rsid w:val="00DD6C84"/>
    <w:rsid w:val="00DE6731"/>
    <w:rsid w:val="00E26BE8"/>
    <w:rsid w:val="00E27B10"/>
    <w:rsid w:val="00E52601"/>
    <w:rsid w:val="00E5505B"/>
    <w:rsid w:val="00E67523"/>
    <w:rsid w:val="00E742B7"/>
    <w:rsid w:val="00E84CF8"/>
    <w:rsid w:val="00E87403"/>
    <w:rsid w:val="00EA2ED5"/>
    <w:rsid w:val="00EB6E78"/>
    <w:rsid w:val="00EC6C2A"/>
    <w:rsid w:val="00EC76F6"/>
    <w:rsid w:val="00F05F87"/>
    <w:rsid w:val="00F131B1"/>
    <w:rsid w:val="00F173EC"/>
    <w:rsid w:val="00F26EBD"/>
    <w:rsid w:val="00F35596"/>
    <w:rsid w:val="00F35DA5"/>
    <w:rsid w:val="00F36747"/>
    <w:rsid w:val="00F462C6"/>
    <w:rsid w:val="00F52C19"/>
    <w:rsid w:val="00F610CB"/>
    <w:rsid w:val="00F636BC"/>
    <w:rsid w:val="00F67AF0"/>
    <w:rsid w:val="00F83316"/>
    <w:rsid w:val="00F866B9"/>
    <w:rsid w:val="00F903E6"/>
    <w:rsid w:val="00FA43AB"/>
    <w:rsid w:val="00FA65DE"/>
    <w:rsid w:val="00FA68A5"/>
    <w:rsid w:val="00FB52DE"/>
    <w:rsid w:val="00FB75AB"/>
    <w:rsid w:val="00FC6AB1"/>
    <w:rsid w:val="00FC6CE7"/>
    <w:rsid w:val="00FD0132"/>
    <w:rsid w:val="00FE14C2"/>
    <w:rsid w:val="00FF33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ECAF0"/>
  <w15:chartTrackingRefBased/>
  <w15:docId w15:val="{2EAB91A1-A835-4C06-BD25-85C7A4783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7C9"/>
    <w:pPr>
      <w:keepNext/>
      <w:keepLines/>
      <w:numPr>
        <w:numId w:val="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7910"/>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C76F6"/>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C76F6"/>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C76F6"/>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C76F6"/>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EC76F6"/>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C76F6"/>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C76F6"/>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63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35D"/>
  </w:style>
  <w:style w:type="paragraph" w:styleId="Footer">
    <w:name w:val="footer"/>
    <w:basedOn w:val="Normal"/>
    <w:link w:val="FooterChar"/>
    <w:uiPriority w:val="99"/>
    <w:unhideWhenUsed/>
    <w:rsid w:val="009063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35D"/>
  </w:style>
  <w:style w:type="character" w:customStyle="1" w:styleId="Heading1Char">
    <w:name w:val="Heading 1 Char"/>
    <w:basedOn w:val="DefaultParagraphFont"/>
    <w:link w:val="Heading1"/>
    <w:uiPriority w:val="9"/>
    <w:rsid w:val="008057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057C9"/>
    <w:pPr>
      <w:outlineLvl w:val="9"/>
    </w:pPr>
    <w:rPr>
      <w:lang w:val="en-US" w:eastAsia="en-US"/>
    </w:rPr>
  </w:style>
  <w:style w:type="paragraph" w:styleId="TOC2">
    <w:name w:val="toc 2"/>
    <w:basedOn w:val="Normal"/>
    <w:next w:val="Normal"/>
    <w:autoRedefine/>
    <w:uiPriority w:val="39"/>
    <w:unhideWhenUsed/>
    <w:rsid w:val="008057C9"/>
    <w:pPr>
      <w:spacing w:after="100"/>
      <w:ind w:left="220"/>
    </w:pPr>
    <w:rPr>
      <w:rFonts w:cs="Times New Roman"/>
      <w:lang w:val="en-US" w:eastAsia="en-US"/>
    </w:rPr>
  </w:style>
  <w:style w:type="paragraph" w:styleId="TOC1">
    <w:name w:val="toc 1"/>
    <w:basedOn w:val="Normal"/>
    <w:next w:val="Normal"/>
    <w:autoRedefine/>
    <w:uiPriority w:val="39"/>
    <w:unhideWhenUsed/>
    <w:rsid w:val="008057C9"/>
    <w:pPr>
      <w:spacing w:after="100"/>
    </w:pPr>
    <w:rPr>
      <w:rFonts w:cs="Times New Roman"/>
      <w:lang w:val="en-US" w:eastAsia="en-US"/>
    </w:rPr>
  </w:style>
  <w:style w:type="paragraph" w:styleId="TOC3">
    <w:name w:val="toc 3"/>
    <w:basedOn w:val="Normal"/>
    <w:next w:val="Normal"/>
    <w:autoRedefine/>
    <w:uiPriority w:val="39"/>
    <w:unhideWhenUsed/>
    <w:rsid w:val="008057C9"/>
    <w:pPr>
      <w:spacing w:after="100"/>
      <w:ind w:left="440"/>
    </w:pPr>
    <w:rPr>
      <w:rFonts w:cs="Times New Roman"/>
      <w:lang w:val="en-US" w:eastAsia="en-US"/>
    </w:rPr>
  </w:style>
  <w:style w:type="paragraph" w:styleId="NoSpacing">
    <w:name w:val="No Spacing"/>
    <w:link w:val="NoSpacingChar"/>
    <w:uiPriority w:val="1"/>
    <w:qFormat/>
    <w:rsid w:val="00080573"/>
    <w:pPr>
      <w:spacing w:after="0" w:line="240" w:lineRule="auto"/>
    </w:pPr>
  </w:style>
  <w:style w:type="table" w:styleId="TableGrid">
    <w:name w:val="Table Grid"/>
    <w:basedOn w:val="TableNormal"/>
    <w:uiPriority w:val="39"/>
    <w:rsid w:val="00F1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F173E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ListTable1Light-Accent5">
    <w:name w:val="List Table 1 Light Accent 5"/>
    <w:basedOn w:val="TableNormal"/>
    <w:uiPriority w:val="46"/>
    <w:rsid w:val="00F173EC"/>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4D7481"/>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4D7481"/>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
    <w:name w:val="Grid Table 2"/>
    <w:basedOn w:val="TableNormal"/>
    <w:uiPriority w:val="47"/>
    <w:rsid w:val="00D41F8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1">
    <w:name w:val="Grid Table 1 Light Accent 1"/>
    <w:basedOn w:val="TableNormal"/>
    <w:uiPriority w:val="46"/>
    <w:rsid w:val="00D41F8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D41F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Accent5">
    <w:name w:val="Grid Table 6 Colorful Accent 5"/>
    <w:basedOn w:val="TableNormal"/>
    <w:uiPriority w:val="51"/>
    <w:rsid w:val="00D41F80"/>
    <w:pPr>
      <w:spacing w:after="0" w:line="240" w:lineRule="auto"/>
    </w:pPr>
    <w:rPr>
      <w:rFonts w:ascii="Times New Roman" w:hAnsi="Times New Roman"/>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5">
    <w:name w:val="Grid Table 3 Accent 5"/>
    <w:basedOn w:val="TableNormal"/>
    <w:uiPriority w:val="48"/>
    <w:rsid w:val="000A756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Caption">
    <w:name w:val="caption"/>
    <w:basedOn w:val="Normal"/>
    <w:next w:val="Normal"/>
    <w:uiPriority w:val="35"/>
    <w:unhideWhenUsed/>
    <w:qFormat/>
    <w:rsid w:val="00124A9A"/>
    <w:pPr>
      <w:spacing w:after="200" w:line="240" w:lineRule="auto"/>
    </w:pPr>
    <w:rPr>
      <w:i/>
      <w:iCs/>
      <w:color w:val="44546A" w:themeColor="text2"/>
      <w:sz w:val="18"/>
      <w:szCs w:val="18"/>
    </w:rPr>
  </w:style>
  <w:style w:type="character" w:styleId="SubtleEmphasis">
    <w:name w:val="Subtle Emphasis"/>
    <w:basedOn w:val="DefaultParagraphFont"/>
    <w:uiPriority w:val="19"/>
    <w:qFormat/>
    <w:rsid w:val="00BC1886"/>
    <w:rPr>
      <w:i/>
      <w:iCs/>
      <w:color w:val="404040" w:themeColor="text1" w:themeTint="BF"/>
    </w:rPr>
  </w:style>
  <w:style w:type="paragraph" w:styleId="Subtitle">
    <w:name w:val="Subtitle"/>
    <w:basedOn w:val="Normal"/>
    <w:next w:val="Normal"/>
    <w:link w:val="SubtitleChar"/>
    <w:uiPriority w:val="11"/>
    <w:qFormat/>
    <w:rsid w:val="00BC1886"/>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BC1886"/>
    <w:rPr>
      <w:color w:val="5A5A5A" w:themeColor="text1" w:themeTint="A5"/>
      <w:spacing w:val="15"/>
    </w:rPr>
  </w:style>
  <w:style w:type="numbering" w:customStyle="1" w:styleId="NoList1">
    <w:name w:val="No List1"/>
    <w:next w:val="NoList"/>
    <w:uiPriority w:val="99"/>
    <w:semiHidden/>
    <w:unhideWhenUsed/>
    <w:rsid w:val="00BD1A58"/>
  </w:style>
  <w:style w:type="character" w:styleId="Hyperlink">
    <w:name w:val="Hyperlink"/>
    <w:basedOn w:val="DefaultParagraphFont"/>
    <w:uiPriority w:val="99"/>
    <w:unhideWhenUsed/>
    <w:rsid w:val="00BD1A58"/>
    <w:rPr>
      <w:color w:val="0563C1" w:themeColor="hyperlink"/>
      <w:u w:val="single"/>
    </w:rPr>
  </w:style>
  <w:style w:type="character" w:customStyle="1" w:styleId="UnresolvedMention1">
    <w:name w:val="Unresolved Mention1"/>
    <w:basedOn w:val="DefaultParagraphFont"/>
    <w:uiPriority w:val="99"/>
    <w:semiHidden/>
    <w:unhideWhenUsed/>
    <w:rsid w:val="00BD1A58"/>
    <w:rPr>
      <w:color w:val="605E5C"/>
      <w:shd w:val="clear" w:color="auto" w:fill="E1DFDD"/>
    </w:rPr>
  </w:style>
  <w:style w:type="paragraph" w:styleId="NormalWeb">
    <w:name w:val="Normal (Web)"/>
    <w:basedOn w:val="Normal"/>
    <w:uiPriority w:val="99"/>
    <w:unhideWhenUsed/>
    <w:rsid w:val="00BD1A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SpacingChar">
    <w:name w:val="No Spacing Char"/>
    <w:basedOn w:val="DefaultParagraphFont"/>
    <w:link w:val="NoSpacing"/>
    <w:uiPriority w:val="1"/>
    <w:rsid w:val="00CE69DE"/>
  </w:style>
  <w:style w:type="character" w:customStyle="1" w:styleId="Heading2Char">
    <w:name w:val="Heading 2 Char"/>
    <w:basedOn w:val="DefaultParagraphFont"/>
    <w:link w:val="Heading2"/>
    <w:uiPriority w:val="9"/>
    <w:rsid w:val="00C6791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91265"/>
    <w:pPr>
      <w:ind w:left="720"/>
      <w:contextualSpacing/>
    </w:pPr>
  </w:style>
  <w:style w:type="character" w:customStyle="1" w:styleId="Heading3Char">
    <w:name w:val="Heading 3 Char"/>
    <w:basedOn w:val="DefaultParagraphFont"/>
    <w:link w:val="Heading3"/>
    <w:uiPriority w:val="9"/>
    <w:semiHidden/>
    <w:rsid w:val="00EC76F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C76F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C76F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C76F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EC76F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C76F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C76F6"/>
    <w:rPr>
      <w:rFonts w:asciiTheme="majorHAnsi" w:eastAsiaTheme="majorEastAsia" w:hAnsiTheme="majorHAnsi" w:cstheme="majorBidi"/>
      <w:i/>
      <w:iCs/>
      <w:color w:val="272727" w:themeColor="text1" w:themeTint="D8"/>
      <w:sz w:val="21"/>
      <w:szCs w:val="21"/>
    </w:rPr>
  </w:style>
  <w:style w:type="paragraph" w:styleId="Date">
    <w:name w:val="Date"/>
    <w:basedOn w:val="Normal"/>
    <w:next w:val="Normal"/>
    <w:link w:val="DateChar"/>
    <w:uiPriority w:val="99"/>
    <w:semiHidden/>
    <w:unhideWhenUsed/>
    <w:rsid w:val="00D6177C"/>
  </w:style>
  <w:style w:type="character" w:customStyle="1" w:styleId="DateChar">
    <w:name w:val="Date Char"/>
    <w:basedOn w:val="DefaultParagraphFont"/>
    <w:link w:val="Date"/>
    <w:uiPriority w:val="99"/>
    <w:semiHidden/>
    <w:rsid w:val="00D6177C"/>
  </w:style>
  <w:style w:type="character" w:styleId="UnresolvedMention">
    <w:name w:val="Unresolved Mention"/>
    <w:basedOn w:val="DefaultParagraphFont"/>
    <w:uiPriority w:val="99"/>
    <w:semiHidden/>
    <w:unhideWhenUsed/>
    <w:rsid w:val="00E874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28272">
      <w:bodyDiv w:val="1"/>
      <w:marLeft w:val="0"/>
      <w:marRight w:val="0"/>
      <w:marTop w:val="0"/>
      <w:marBottom w:val="0"/>
      <w:divBdr>
        <w:top w:val="none" w:sz="0" w:space="0" w:color="auto"/>
        <w:left w:val="none" w:sz="0" w:space="0" w:color="auto"/>
        <w:bottom w:val="none" w:sz="0" w:space="0" w:color="auto"/>
        <w:right w:val="none" w:sz="0" w:space="0" w:color="auto"/>
      </w:divBdr>
      <w:divsChild>
        <w:div w:id="1217471521">
          <w:marLeft w:val="0"/>
          <w:marRight w:val="0"/>
          <w:marTop w:val="0"/>
          <w:marBottom w:val="0"/>
          <w:divBdr>
            <w:top w:val="none" w:sz="0" w:space="0" w:color="auto"/>
            <w:left w:val="none" w:sz="0" w:space="0" w:color="auto"/>
            <w:bottom w:val="none" w:sz="0" w:space="0" w:color="auto"/>
            <w:right w:val="none" w:sz="0" w:space="0" w:color="auto"/>
          </w:divBdr>
        </w:div>
      </w:divsChild>
    </w:div>
    <w:div w:id="361369230">
      <w:bodyDiv w:val="1"/>
      <w:marLeft w:val="0"/>
      <w:marRight w:val="0"/>
      <w:marTop w:val="0"/>
      <w:marBottom w:val="0"/>
      <w:divBdr>
        <w:top w:val="none" w:sz="0" w:space="0" w:color="auto"/>
        <w:left w:val="none" w:sz="0" w:space="0" w:color="auto"/>
        <w:bottom w:val="none" w:sz="0" w:space="0" w:color="auto"/>
        <w:right w:val="none" w:sz="0" w:space="0" w:color="auto"/>
      </w:divBdr>
    </w:div>
    <w:div w:id="627711667">
      <w:bodyDiv w:val="1"/>
      <w:marLeft w:val="0"/>
      <w:marRight w:val="0"/>
      <w:marTop w:val="0"/>
      <w:marBottom w:val="0"/>
      <w:divBdr>
        <w:top w:val="none" w:sz="0" w:space="0" w:color="auto"/>
        <w:left w:val="none" w:sz="0" w:space="0" w:color="auto"/>
        <w:bottom w:val="none" w:sz="0" w:space="0" w:color="auto"/>
        <w:right w:val="none" w:sz="0" w:space="0" w:color="auto"/>
      </w:divBdr>
    </w:div>
    <w:div w:id="692923249">
      <w:bodyDiv w:val="1"/>
      <w:marLeft w:val="0"/>
      <w:marRight w:val="0"/>
      <w:marTop w:val="0"/>
      <w:marBottom w:val="0"/>
      <w:divBdr>
        <w:top w:val="none" w:sz="0" w:space="0" w:color="auto"/>
        <w:left w:val="none" w:sz="0" w:space="0" w:color="auto"/>
        <w:bottom w:val="none" w:sz="0" w:space="0" w:color="auto"/>
        <w:right w:val="none" w:sz="0" w:space="0" w:color="auto"/>
      </w:divBdr>
    </w:div>
    <w:div w:id="701367662">
      <w:bodyDiv w:val="1"/>
      <w:marLeft w:val="0"/>
      <w:marRight w:val="0"/>
      <w:marTop w:val="0"/>
      <w:marBottom w:val="0"/>
      <w:divBdr>
        <w:top w:val="none" w:sz="0" w:space="0" w:color="auto"/>
        <w:left w:val="none" w:sz="0" w:space="0" w:color="auto"/>
        <w:bottom w:val="none" w:sz="0" w:space="0" w:color="auto"/>
        <w:right w:val="none" w:sz="0" w:space="0" w:color="auto"/>
      </w:divBdr>
    </w:div>
    <w:div w:id="725763713">
      <w:bodyDiv w:val="1"/>
      <w:marLeft w:val="0"/>
      <w:marRight w:val="0"/>
      <w:marTop w:val="0"/>
      <w:marBottom w:val="0"/>
      <w:divBdr>
        <w:top w:val="none" w:sz="0" w:space="0" w:color="auto"/>
        <w:left w:val="none" w:sz="0" w:space="0" w:color="auto"/>
        <w:bottom w:val="none" w:sz="0" w:space="0" w:color="auto"/>
        <w:right w:val="none" w:sz="0" w:space="0" w:color="auto"/>
      </w:divBdr>
      <w:divsChild>
        <w:div w:id="1611625394">
          <w:marLeft w:val="0"/>
          <w:marRight w:val="0"/>
          <w:marTop w:val="0"/>
          <w:marBottom w:val="0"/>
          <w:divBdr>
            <w:top w:val="none" w:sz="0" w:space="0" w:color="auto"/>
            <w:left w:val="none" w:sz="0" w:space="0" w:color="auto"/>
            <w:bottom w:val="none" w:sz="0" w:space="0" w:color="auto"/>
            <w:right w:val="none" w:sz="0" w:space="0" w:color="auto"/>
          </w:divBdr>
        </w:div>
      </w:divsChild>
    </w:div>
    <w:div w:id="823086495">
      <w:bodyDiv w:val="1"/>
      <w:marLeft w:val="0"/>
      <w:marRight w:val="0"/>
      <w:marTop w:val="0"/>
      <w:marBottom w:val="0"/>
      <w:divBdr>
        <w:top w:val="none" w:sz="0" w:space="0" w:color="auto"/>
        <w:left w:val="none" w:sz="0" w:space="0" w:color="auto"/>
        <w:bottom w:val="none" w:sz="0" w:space="0" w:color="auto"/>
        <w:right w:val="none" w:sz="0" w:space="0" w:color="auto"/>
      </w:divBdr>
    </w:div>
    <w:div w:id="896933659">
      <w:bodyDiv w:val="1"/>
      <w:marLeft w:val="0"/>
      <w:marRight w:val="0"/>
      <w:marTop w:val="0"/>
      <w:marBottom w:val="0"/>
      <w:divBdr>
        <w:top w:val="none" w:sz="0" w:space="0" w:color="auto"/>
        <w:left w:val="none" w:sz="0" w:space="0" w:color="auto"/>
        <w:bottom w:val="none" w:sz="0" w:space="0" w:color="auto"/>
        <w:right w:val="none" w:sz="0" w:space="0" w:color="auto"/>
      </w:divBdr>
    </w:div>
    <w:div w:id="1035302600">
      <w:bodyDiv w:val="1"/>
      <w:marLeft w:val="0"/>
      <w:marRight w:val="0"/>
      <w:marTop w:val="0"/>
      <w:marBottom w:val="0"/>
      <w:divBdr>
        <w:top w:val="none" w:sz="0" w:space="0" w:color="auto"/>
        <w:left w:val="none" w:sz="0" w:space="0" w:color="auto"/>
        <w:bottom w:val="none" w:sz="0" w:space="0" w:color="auto"/>
        <w:right w:val="none" w:sz="0" w:space="0" w:color="auto"/>
      </w:divBdr>
    </w:div>
    <w:div w:id="1113748495">
      <w:bodyDiv w:val="1"/>
      <w:marLeft w:val="0"/>
      <w:marRight w:val="0"/>
      <w:marTop w:val="0"/>
      <w:marBottom w:val="0"/>
      <w:divBdr>
        <w:top w:val="none" w:sz="0" w:space="0" w:color="auto"/>
        <w:left w:val="none" w:sz="0" w:space="0" w:color="auto"/>
        <w:bottom w:val="none" w:sz="0" w:space="0" w:color="auto"/>
        <w:right w:val="none" w:sz="0" w:space="0" w:color="auto"/>
      </w:divBdr>
    </w:div>
    <w:div w:id="1265772103">
      <w:bodyDiv w:val="1"/>
      <w:marLeft w:val="0"/>
      <w:marRight w:val="0"/>
      <w:marTop w:val="0"/>
      <w:marBottom w:val="0"/>
      <w:divBdr>
        <w:top w:val="none" w:sz="0" w:space="0" w:color="auto"/>
        <w:left w:val="none" w:sz="0" w:space="0" w:color="auto"/>
        <w:bottom w:val="none" w:sz="0" w:space="0" w:color="auto"/>
        <w:right w:val="none" w:sz="0" w:space="0" w:color="auto"/>
      </w:divBdr>
    </w:div>
    <w:div w:id="1387989837">
      <w:bodyDiv w:val="1"/>
      <w:marLeft w:val="0"/>
      <w:marRight w:val="0"/>
      <w:marTop w:val="0"/>
      <w:marBottom w:val="0"/>
      <w:divBdr>
        <w:top w:val="none" w:sz="0" w:space="0" w:color="auto"/>
        <w:left w:val="none" w:sz="0" w:space="0" w:color="auto"/>
        <w:bottom w:val="none" w:sz="0" w:space="0" w:color="auto"/>
        <w:right w:val="none" w:sz="0" w:space="0" w:color="auto"/>
      </w:divBdr>
    </w:div>
    <w:div w:id="1630892698">
      <w:bodyDiv w:val="1"/>
      <w:marLeft w:val="0"/>
      <w:marRight w:val="0"/>
      <w:marTop w:val="0"/>
      <w:marBottom w:val="0"/>
      <w:divBdr>
        <w:top w:val="none" w:sz="0" w:space="0" w:color="auto"/>
        <w:left w:val="none" w:sz="0" w:space="0" w:color="auto"/>
        <w:bottom w:val="none" w:sz="0" w:space="0" w:color="auto"/>
        <w:right w:val="none" w:sz="0" w:space="0" w:color="auto"/>
      </w:divBdr>
    </w:div>
    <w:div w:id="1813064010">
      <w:bodyDiv w:val="1"/>
      <w:marLeft w:val="0"/>
      <w:marRight w:val="0"/>
      <w:marTop w:val="0"/>
      <w:marBottom w:val="0"/>
      <w:divBdr>
        <w:top w:val="none" w:sz="0" w:space="0" w:color="auto"/>
        <w:left w:val="none" w:sz="0" w:space="0" w:color="auto"/>
        <w:bottom w:val="none" w:sz="0" w:space="0" w:color="auto"/>
        <w:right w:val="none" w:sz="0" w:space="0" w:color="auto"/>
      </w:divBdr>
      <w:divsChild>
        <w:div w:id="4078468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90/nu13041187" TargetMode="External"/><Relationship Id="rId117" Type="http://schemas.openxmlformats.org/officeDocument/2006/relationships/hyperlink" Target="https://doi.org/10.4300/jgme-d-22-00480.1" TargetMode="External"/><Relationship Id="rId21" Type="http://schemas.openxmlformats.org/officeDocument/2006/relationships/hyperlink" Target="https://doi.org/10.4239/wjd.v11.i4.95" TargetMode="External"/><Relationship Id="rId42" Type="http://schemas.openxmlformats.org/officeDocument/2006/relationships/hyperlink" Target="https://doi.org/10.3389/fnut.2016.00055" TargetMode="External"/><Relationship Id="rId47" Type="http://schemas.openxmlformats.org/officeDocument/2006/relationships/hyperlink" Target="https://doi.org/10.1007/s12020-016-1018-2" TargetMode="External"/><Relationship Id="rId63" Type="http://schemas.openxmlformats.org/officeDocument/2006/relationships/hyperlink" Target="https://doi.org/10.1038/ejcn.2014.243" TargetMode="External"/><Relationship Id="rId68" Type="http://schemas.openxmlformats.org/officeDocument/2006/relationships/hyperlink" Target="https://www.scienpress.com/Upload/IJOHPHN/Vol%201_2_7.pdf" TargetMode="External"/><Relationship Id="rId84" Type="http://schemas.openxmlformats.org/officeDocument/2006/relationships/hyperlink" Target="https://doi.org/10.1016/j.mpsur.2019.04.008" TargetMode="External"/><Relationship Id="rId89" Type="http://schemas.openxmlformats.org/officeDocument/2006/relationships/hyperlink" Target="https://doi.org/10.4103/ijmr.IJMR_1698_18" TargetMode="External"/><Relationship Id="rId112" Type="http://schemas.openxmlformats.org/officeDocument/2006/relationships/hyperlink" Target="https://doi.org/10.3390/nu11112749" TargetMode="External"/><Relationship Id="rId133" Type="http://schemas.openxmlformats.org/officeDocument/2006/relationships/hyperlink" Target="https://www.who.int/news-room/fact-sheets/detail/diabetes" TargetMode="External"/><Relationship Id="rId138" Type="http://schemas.openxmlformats.org/officeDocument/2006/relationships/glossaryDocument" Target="glossary/document.xml"/><Relationship Id="rId16" Type="http://schemas.openxmlformats.org/officeDocument/2006/relationships/image" Target="media/image7.emf"/><Relationship Id="rId107" Type="http://schemas.openxmlformats.org/officeDocument/2006/relationships/hyperlink" Target="https://www.ncbi.nlm.nih.gov/books/NBK551501/" TargetMode="External"/><Relationship Id="rId11" Type="http://schemas.openxmlformats.org/officeDocument/2006/relationships/image" Target="media/image3.gif"/><Relationship Id="rId32" Type="http://schemas.openxmlformats.org/officeDocument/2006/relationships/hyperlink" Target="https://doi.org/10.3390/healthcare9101255" TargetMode="External"/><Relationship Id="rId37" Type="http://schemas.openxmlformats.org/officeDocument/2006/relationships/hyperlink" Target="https://doi.org/10.1080/10408398.2023.2300705" TargetMode="External"/><Relationship Id="rId53" Type="http://schemas.openxmlformats.org/officeDocument/2006/relationships/hyperlink" Target="https://doi.org/10.3390/ijms21176275" TargetMode="External"/><Relationship Id="rId58" Type="http://schemas.openxmlformats.org/officeDocument/2006/relationships/hyperlink" Target="https://doi.org/10.3389/fgene.2017.00022" TargetMode="External"/><Relationship Id="rId74" Type="http://schemas.openxmlformats.org/officeDocument/2006/relationships/hyperlink" Target="https://doi.org/10.1017/s0029665121003748" TargetMode="External"/><Relationship Id="rId79" Type="http://schemas.openxmlformats.org/officeDocument/2006/relationships/hyperlink" Target="https://doi.org/10.1371/journal.pone.0155918" TargetMode="External"/><Relationship Id="rId102" Type="http://schemas.openxmlformats.org/officeDocument/2006/relationships/hyperlink" Target="https://doi.org/10.1016/j.jcjd.2016.02.011" TargetMode="External"/><Relationship Id="rId123" Type="http://schemas.openxmlformats.org/officeDocument/2006/relationships/hyperlink" Target="https://doi.org/10.1186/1741-7015-12-112" TargetMode="External"/><Relationship Id="rId128" Type="http://schemas.openxmlformats.org/officeDocument/2006/relationships/hyperlink" Target="https://doi.org/10.3390/nu10060661" TargetMode="External"/><Relationship Id="rId5" Type="http://schemas.openxmlformats.org/officeDocument/2006/relationships/settings" Target="settings.xml"/><Relationship Id="rId90" Type="http://schemas.openxmlformats.org/officeDocument/2006/relationships/hyperlink" Target="https://doi.org/10.1111/dom.13915" TargetMode="External"/><Relationship Id="rId95" Type="http://schemas.openxmlformats.org/officeDocument/2006/relationships/hyperlink" Target="https://doi.org/10.3390/nu10030373" TargetMode="External"/><Relationship Id="rId22" Type="http://schemas.openxmlformats.org/officeDocument/2006/relationships/hyperlink" Target="https://doi.org/10.1007/s00394-014-0795-8" TargetMode="External"/><Relationship Id="rId27" Type="http://schemas.openxmlformats.org/officeDocument/2006/relationships/hyperlink" Target="https://doi.org/10.4239/wjd.v13.i3.260" TargetMode="External"/><Relationship Id="rId43" Type="http://schemas.openxmlformats.org/officeDocument/2006/relationships/hyperlink" Target="https://doi.org/10.3390/medicina59101882" TargetMode="External"/><Relationship Id="rId48" Type="http://schemas.openxmlformats.org/officeDocument/2006/relationships/hyperlink" Target="https://www.ncbi.nlm.nih.gov/books/NBK549816/" TargetMode="External"/><Relationship Id="rId64" Type="http://schemas.openxmlformats.org/officeDocument/2006/relationships/hyperlink" Target="https://doi.org/10.3390/nu13041228" TargetMode="External"/><Relationship Id="rId69" Type="http://schemas.openxmlformats.org/officeDocument/2006/relationships/hyperlink" Target="https://doi.org/10.3389/fphys.2022.807632" TargetMode="External"/><Relationship Id="rId113" Type="http://schemas.openxmlformats.org/officeDocument/2006/relationships/hyperlink" Target="https://doi.org/10.4103/2303-9027.162997" TargetMode="External"/><Relationship Id="rId118" Type="http://schemas.openxmlformats.org/officeDocument/2006/relationships/hyperlink" Target="https://pubmed.ncbi.nlm.nih.gov/22204248/" TargetMode="External"/><Relationship Id="rId134" Type="http://schemas.openxmlformats.org/officeDocument/2006/relationships/hyperlink" Target="https://doi.org/10.1007/s11892-012-0357-5" TargetMode="External"/><Relationship Id="rId13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ncbi.nlm.nih.gov/pmc/articles/PMC3799221/" TargetMode="External"/><Relationship Id="rId72" Type="http://schemas.openxmlformats.org/officeDocument/2006/relationships/hyperlink" Target="https://doi.org/10.1038/s41430-024-01431-x" TargetMode="External"/><Relationship Id="rId80" Type="http://schemas.openxmlformats.org/officeDocument/2006/relationships/hyperlink" Target="https://doi.org/10.3945/ajcn.113.071365" TargetMode="External"/><Relationship Id="rId85" Type="http://schemas.openxmlformats.org/officeDocument/2006/relationships/hyperlink" Target="https://doi.org/10.1093/eurpub/cky113" TargetMode="External"/><Relationship Id="rId93" Type="http://schemas.openxmlformats.org/officeDocument/2006/relationships/hyperlink" Target="https://doi.org/10.2147/cpaa.s202614" TargetMode="External"/><Relationship Id="rId98" Type="http://schemas.openxmlformats.org/officeDocument/2006/relationships/hyperlink" Target="https://doi.org/10.3390/nu13082748" TargetMode="External"/><Relationship Id="rId121" Type="http://schemas.openxmlformats.org/officeDocument/2006/relationships/hyperlink" Target="https://doi.org/10.1016/j.ecl.2021.05.013" TargetMode="External"/><Relationship Id="rId3" Type="http://schemas.openxmlformats.org/officeDocument/2006/relationships/numbering" Target="numbering.xml"/><Relationship Id="rId12" Type="http://schemas.openxmlformats.org/officeDocument/2006/relationships/image" Target="cid:image001.png@01D19575.6CAB1A40" TargetMode="External"/><Relationship Id="rId17" Type="http://schemas.openxmlformats.org/officeDocument/2006/relationships/image" Target="media/image8.png"/><Relationship Id="rId25" Type="http://schemas.openxmlformats.org/officeDocument/2006/relationships/hyperlink" Target="https://doi.org/10.1016/j.bpobgyn.2013.02.007" TargetMode="External"/><Relationship Id="rId33" Type="http://schemas.openxmlformats.org/officeDocument/2006/relationships/hyperlink" Target="https://doi.org/10.1038/nutd.2015.8" TargetMode="External"/><Relationship Id="rId38" Type="http://schemas.openxmlformats.org/officeDocument/2006/relationships/hyperlink" Target="https://doi.org/10.3390/diagnostics13193129" TargetMode="External"/><Relationship Id="rId46" Type="http://schemas.openxmlformats.org/officeDocument/2006/relationships/hyperlink" Target="https://doi.org/10.1136/bmjopen-2015-008222" TargetMode="External"/><Relationship Id="rId59" Type="http://schemas.openxmlformats.org/officeDocument/2006/relationships/hyperlink" Target="https://doi.org/10.3390/ijerph18084067" TargetMode="External"/><Relationship Id="rId67" Type="http://schemas.openxmlformats.org/officeDocument/2006/relationships/hyperlink" Target="https://doi.org/10.1093/advances/nmab063" TargetMode="External"/><Relationship Id="rId103" Type="http://schemas.openxmlformats.org/officeDocument/2006/relationships/hyperlink" Target="https://www.ncbi.nlm.nih.gov/books/NBK557733/%20(Accessed" TargetMode="External"/><Relationship Id="rId108" Type="http://schemas.openxmlformats.org/officeDocument/2006/relationships/hyperlink" Target="https://www.ncbi.nlm.nih.gov/books/NBK568711/" TargetMode="External"/><Relationship Id="rId116" Type="http://schemas.openxmlformats.org/officeDocument/2006/relationships/hyperlink" Target="https://doi.org/10.3389/fpubh.2015.00069" TargetMode="External"/><Relationship Id="rId124" Type="http://schemas.openxmlformats.org/officeDocument/2006/relationships/hyperlink" Target="https://ich.unesco.org/en/RL/mediterranean-diet-00884" TargetMode="External"/><Relationship Id="rId129" Type="http://schemas.openxmlformats.org/officeDocument/2006/relationships/hyperlink" Target="https://doi.org/10.1093/eurheartj/ehad436" TargetMode="External"/><Relationship Id="rId137" Type="http://schemas.openxmlformats.org/officeDocument/2006/relationships/fontTable" Target="fontTable.xml"/><Relationship Id="rId20" Type="http://schemas.openxmlformats.org/officeDocument/2006/relationships/hyperlink" Target="https://doi.org/10.3390/diabetology2020004" TargetMode="External"/><Relationship Id="rId41" Type="http://schemas.openxmlformats.org/officeDocument/2006/relationships/hyperlink" Target="https://doi.org/10.3390/jcm7030054" TargetMode="External"/><Relationship Id="rId54" Type="http://schemas.openxmlformats.org/officeDocument/2006/relationships/hyperlink" Target="https://doi.org/10.1093/ajcn/nqac154" TargetMode="External"/><Relationship Id="rId62" Type="http://schemas.openxmlformats.org/officeDocument/2006/relationships/hyperlink" Target="https://doi.org/10.1038/s41430-017-0019-4" TargetMode="External"/><Relationship Id="rId70" Type="http://schemas.openxmlformats.org/officeDocument/2006/relationships/hyperlink" Target="https://doi.org/10.3390/nu14224870" TargetMode="External"/><Relationship Id="rId75" Type="http://schemas.openxmlformats.org/officeDocument/2006/relationships/hyperlink" Target="https://doi.org/10.2991/jegh.k.191028.001" TargetMode="External"/><Relationship Id="rId83" Type="http://schemas.openxmlformats.org/officeDocument/2006/relationships/hyperlink" Target="https://doi.org/10.3389/fimmu.2022.988481" TargetMode="External"/><Relationship Id="rId88" Type="http://schemas.openxmlformats.org/officeDocument/2006/relationships/hyperlink" Target="https://doi.org/10.3390/nu13041307" TargetMode="External"/><Relationship Id="rId91" Type="http://schemas.openxmlformats.org/officeDocument/2006/relationships/hyperlink" Target="https://doi.org/10.3390/nu14020307" TargetMode="External"/><Relationship Id="rId96" Type="http://schemas.openxmlformats.org/officeDocument/2006/relationships/hyperlink" Target="https://doi.org/10.3390/nu11081905" TargetMode="External"/><Relationship Id="rId111" Type="http://schemas.openxmlformats.org/officeDocument/2006/relationships/hyperlink" Target="https://doi.org/10.1038/s41430-018-0310-z" TargetMode="External"/><Relationship Id="rId132" Type="http://schemas.openxmlformats.org/officeDocument/2006/relationships/hyperlink" Target="https://www.who.int/europe/publications/i/item/WHO-EURO-2021-4007-43766-61591"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doi.org/10.3390/molecules25081987" TargetMode="External"/><Relationship Id="rId28" Type="http://schemas.openxmlformats.org/officeDocument/2006/relationships/hyperlink" Target="https://doi.org/10.1007/s11892-019-1176-8" TargetMode="External"/><Relationship Id="rId36" Type="http://schemas.openxmlformats.org/officeDocument/2006/relationships/hyperlink" Target="https://doi.org/10.1002/ca.22461" TargetMode="External"/><Relationship Id="rId49" Type="http://schemas.openxmlformats.org/officeDocument/2006/relationships/hyperlink" Target="https://doi.org/10.1515/jpem-2000-s613" TargetMode="External"/><Relationship Id="rId57" Type="http://schemas.openxmlformats.org/officeDocument/2006/relationships/hyperlink" Target="https://doi.org/10.1111/joim.13333" TargetMode="External"/><Relationship Id="rId106" Type="http://schemas.openxmlformats.org/officeDocument/2006/relationships/hyperlink" Target="https://doi.org/10.3945/ajcn.113.071522" TargetMode="External"/><Relationship Id="rId114" Type="http://schemas.openxmlformats.org/officeDocument/2006/relationships/hyperlink" Target="https://doi.org/10.4137/bmi.s38440" TargetMode="External"/><Relationship Id="rId119" Type="http://schemas.openxmlformats.org/officeDocument/2006/relationships/hyperlink" Target="https://doi.org/10.3945/ajcn.115.112581" TargetMode="External"/><Relationship Id="rId127" Type="http://schemas.openxmlformats.org/officeDocument/2006/relationships/hyperlink" Target="https://doi.org/10.3390/nu12061561" TargetMode="External"/><Relationship Id="rId10" Type="http://schemas.openxmlformats.org/officeDocument/2006/relationships/image" Target="media/image2.png"/><Relationship Id="rId31" Type="http://schemas.openxmlformats.org/officeDocument/2006/relationships/hyperlink" Target="https://doi.org/10.1016/j.pcad.2019.07.003" TargetMode="External"/><Relationship Id="rId44" Type="http://schemas.openxmlformats.org/officeDocument/2006/relationships/hyperlink" Target="https://doi.org/10.1186/s12916-021-02200-4" TargetMode="External"/><Relationship Id="rId52" Type="http://schemas.openxmlformats.org/officeDocument/2006/relationships/hyperlink" Target="https://www.bmj.com/content/361/bmj.k2234" TargetMode="External"/><Relationship Id="rId60" Type="http://schemas.openxmlformats.org/officeDocument/2006/relationships/hyperlink" Target="https://doi.org/10.1111/1471-0528.15199" TargetMode="External"/><Relationship Id="rId65" Type="http://schemas.openxmlformats.org/officeDocument/2006/relationships/hyperlink" Target="https://doi.org/10.3390/nu14204361" TargetMode="External"/><Relationship Id="rId73" Type="http://schemas.openxmlformats.org/officeDocument/2006/relationships/hyperlink" Target="https://www.ncbi.nlm.nih.gov/pmc/articles/PMC4975196/" TargetMode="External"/><Relationship Id="rId78" Type="http://schemas.openxmlformats.org/officeDocument/2006/relationships/hyperlink" Target="https://doi.org/10.1007/s13679-021-00451-z" TargetMode="External"/><Relationship Id="rId81" Type="http://schemas.openxmlformats.org/officeDocument/2006/relationships/hyperlink" Target="https://doi.org/10.1016/j.clnesp.2017.04.082" TargetMode="External"/><Relationship Id="rId86" Type="http://schemas.openxmlformats.org/officeDocument/2006/relationships/hyperlink" Target="https://doi.org/10.3389/fped.2022.909648" TargetMode="External"/><Relationship Id="rId94" Type="http://schemas.openxmlformats.org/officeDocument/2006/relationships/hyperlink" Target="https://doi.org/10.3390/nu11092177" TargetMode="External"/><Relationship Id="rId99" Type="http://schemas.openxmlformats.org/officeDocument/2006/relationships/hyperlink" Target="https://doi.org/10.3390/bios11030070" TargetMode="External"/><Relationship Id="rId101" Type="http://schemas.openxmlformats.org/officeDocument/2006/relationships/hyperlink" Target="https://doi.org/10.1016/j.jnutbio.2022.109037" TargetMode="External"/><Relationship Id="rId122" Type="http://schemas.openxmlformats.org/officeDocument/2006/relationships/hyperlink" Target="https://doi.org/10.1136/bmjdrc-2018-000534" TargetMode="External"/><Relationship Id="rId130" Type="http://schemas.openxmlformats.org/officeDocument/2006/relationships/hyperlink" Target="https://doi.org/10.1371/journal.pmed.1002097" TargetMode="External"/><Relationship Id="rId135" Type="http://schemas.openxmlformats.org/officeDocument/2006/relationships/hyperlink" Target="https://doi.org/10.1093/ajcn/nqz149"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hyperlink" Target="https://doi.org/10.1530/JOE-22-0304" TargetMode="External"/><Relationship Id="rId109" Type="http://schemas.openxmlformats.org/officeDocument/2006/relationships/hyperlink" Target="https://doi.org/10.1038/s41387-017-0006-9" TargetMode="External"/><Relationship Id="rId34" Type="http://schemas.openxmlformats.org/officeDocument/2006/relationships/hyperlink" Target="https://doi.org/10.3390/nu9070646" TargetMode="External"/><Relationship Id="rId50" Type="http://schemas.openxmlformats.org/officeDocument/2006/relationships/hyperlink" Target="https://doi.org/10.2174/1573403x1604201229115531" TargetMode="External"/><Relationship Id="rId55" Type="http://schemas.openxmlformats.org/officeDocument/2006/relationships/hyperlink" Target="https://doi.org/10.1136/bmj.m4743" TargetMode="External"/><Relationship Id="rId76" Type="http://schemas.openxmlformats.org/officeDocument/2006/relationships/hyperlink" Target="https://doi.org/10.1111/dom.13499" TargetMode="External"/><Relationship Id="rId97" Type="http://schemas.openxmlformats.org/officeDocument/2006/relationships/hyperlink" Target="https://doi.org/10.3390/ijerph17176232" TargetMode="External"/><Relationship Id="rId104" Type="http://schemas.openxmlformats.org/officeDocument/2006/relationships/hyperlink" Target="https://doi.org/10.1530/JOE-22-0224" TargetMode="External"/><Relationship Id="rId120" Type="http://schemas.openxmlformats.org/officeDocument/2006/relationships/hyperlink" Target="https://www.ncbi.nlm.nih.gov/books/NBK431046/" TargetMode="External"/><Relationship Id="rId125" Type="http://schemas.openxmlformats.org/officeDocument/2006/relationships/hyperlink" Target="https://doi.org/10.1038/s41430-022-01114-5" TargetMode="External"/><Relationship Id="rId7" Type="http://schemas.openxmlformats.org/officeDocument/2006/relationships/footnotes" Target="footnotes.xml"/><Relationship Id="rId71" Type="http://schemas.openxmlformats.org/officeDocument/2006/relationships/hyperlink" Target="https://bmcpublichealth.biomedcentral.com/articles/10.1186/s12889-019-6460-7" TargetMode="External"/><Relationship Id="rId92" Type="http://schemas.openxmlformats.org/officeDocument/2006/relationships/hyperlink" Target="https://www.ncbi.nlm.nih.gov/books/NBK537084/" TargetMode="External"/><Relationship Id="rId2" Type="http://schemas.openxmlformats.org/officeDocument/2006/relationships/customXml" Target="../customXml/item2.xml"/><Relationship Id="rId29" Type="http://schemas.openxmlformats.org/officeDocument/2006/relationships/hyperlink" Target="https://doi.org/10.1016/j.mpsur.2022.02.002" TargetMode="External"/><Relationship Id="rId24" Type="http://schemas.openxmlformats.org/officeDocument/2006/relationships/hyperlink" Target="https://doi.org/10.1007/s00125-020-05203-7" TargetMode="External"/><Relationship Id="rId40" Type="http://schemas.openxmlformats.org/officeDocument/2006/relationships/hyperlink" Target="https://doi.org/10.3390/nu16010095" TargetMode="External"/><Relationship Id="rId45" Type="http://schemas.openxmlformats.org/officeDocument/2006/relationships/hyperlink" Target="https://www.ncbi.nlm.nih.gov/books/NBK459261/" TargetMode="External"/><Relationship Id="rId66" Type="http://schemas.openxmlformats.org/officeDocument/2006/relationships/hyperlink" Target="https://doi.org/10.7759/cureus.864" TargetMode="External"/><Relationship Id="rId87" Type="http://schemas.openxmlformats.org/officeDocument/2006/relationships/hyperlink" Target="https://doi.org/10.1016/j.diabres.2017.07.006" TargetMode="External"/><Relationship Id="rId110" Type="http://schemas.openxmlformats.org/officeDocument/2006/relationships/hyperlink" Target="https://doi.org/10.1111/bph.14778" TargetMode="External"/><Relationship Id="rId115" Type="http://schemas.openxmlformats.org/officeDocument/2006/relationships/hyperlink" Target="https://doi.org/10.1007/s00592-020-01568-8" TargetMode="External"/><Relationship Id="rId131" Type="http://schemas.openxmlformats.org/officeDocument/2006/relationships/hyperlink" Target="https://doi.org/10.3390/nu15040861" TargetMode="External"/><Relationship Id="rId136" Type="http://schemas.openxmlformats.org/officeDocument/2006/relationships/footer" Target="footer1.xml"/><Relationship Id="rId61" Type="http://schemas.openxmlformats.org/officeDocument/2006/relationships/hyperlink" Target="https://doi.org/10.1002/ca.23042" TargetMode="External"/><Relationship Id="rId82" Type="http://schemas.openxmlformats.org/officeDocument/2006/relationships/hyperlink" Target="https://pubmed.ncbi.nlm.nih.gov/30215930/" TargetMode="External"/><Relationship Id="rId19" Type="http://schemas.openxmlformats.org/officeDocument/2006/relationships/hyperlink" Target="https://doi.org/10.1177/02601060221112805" TargetMode="External"/><Relationship Id="rId14" Type="http://schemas.openxmlformats.org/officeDocument/2006/relationships/image" Target="media/image5.png"/><Relationship Id="rId30" Type="http://schemas.openxmlformats.org/officeDocument/2006/relationships/hyperlink" Target="https://doi.org/10.7759/cureus.26180" TargetMode="External"/><Relationship Id="rId35" Type="http://schemas.openxmlformats.org/officeDocument/2006/relationships/hyperlink" Target="https://www.cdc.gov/chronicdisease/programs-impact/pop/diabetes.htm" TargetMode="External"/><Relationship Id="rId56" Type="http://schemas.openxmlformats.org/officeDocument/2006/relationships/hyperlink" Target="https://doi.org/10.1590/2359-3997000000206" TargetMode="External"/><Relationship Id="rId77" Type="http://schemas.openxmlformats.org/officeDocument/2006/relationships/hyperlink" Target="https://doi.org/10.3390/ijerph16060942" TargetMode="External"/><Relationship Id="rId100" Type="http://schemas.openxmlformats.org/officeDocument/2006/relationships/hyperlink" Target="https://doi.org/10.3390/nu13062123" TargetMode="External"/><Relationship Id="rId105" Type="http://schemas.openxmlformats.org/officeDocument/2006/relationships/hyperlink" Target="https://doi.org/10.1038/emm.2016.6" TargetMode="External"/><Relationship Id="rId126" Type="http://schemas.openxmlformats.org/officeDocument/2006/relationships/hyperlink" Target="https://doi.org/10.1007/s00394-018-1757-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132C7DBBADF4655AD7F23904431335E"/>
        <w:category>
          <w:name w:val="General"/>
          <w:gallery w:val="placeholder"/>
        </w:category>
        <w:types>
          <w:type w:val="bbPlcHdr"/>
        </w:types>
        <w:behaviors>
          <w:behavior w:val="content"/>
        </w:behaviors>
        <w:guid w:val="{D72F769C-2E62-42AB-818A-C5FDD296A615}"/>
      </w:docPartPr>
      <w:docPartBody>
        <w:p w:rsidR="00F207FC" w:rsidRDefault="00336B75" w:rsidP="00336B75">
          <w:pPr>
            <w:pStyle w:val="0132C7DBBADF4655AD7F23904431335E"/>
          </w:pPr>
          <w:r>
            <w:rPr>
              <w:rFonts w:asciiTheme="majorHAnsi" w:eastAsiaTheme="majorEastAsia" w:hAnsiTheme="majorHAnsi" w:cstheme="majorBidi"/>
              <w:caps/>
              <w:color w:val="4472C4" w:themeColor="accent1"/>
              <w:sz w:val="80"/>
              <w:szCs w:val="80"/>
            </w:rPr>
            <w:t>[Document title]</w:t>
          </w:r>
        </w:p>
      </w:docPartBody>
    </w:docPart>
    <w:docPart>
      <w:docPartPr>
        <w:name w:val="2C112547F8134A08BE97318808299B97"/>
        <w:category>
          <w:name w:val="General"/>
          <w:gallery w:val="placeholder"/>
        </w:category>
        <w:types>
          <w:type w:val="bbPlcHdr"/>
        </w:types>
        <w:behaviors>
          <w:behavior w:val="content"/>
        </w:behaviors>
        <w:guid w:val="{82CF3691-68B6-47E4-A102-20FB19B5A46C}"/>
      </w:docPartPr>
      <w:docPartBody>
        <w:p w:rsidR="00F207FC" w:rsidRDefault="00336B75" w:rsidP="00336B75">
          <w:pPr>
            <w:pStyle w:val="2C112547F8134A08BE97318808299B9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Ì¨¨??"/>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New times roman">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B75"/>
    <w:rsid w:val="000760DF"/>
    <w:rsid w:val="00193A19"/>
    <w:rsid w:val="001C57BC"/>
    <w:rsid w:val="001F61FB"/>
    <w:rsid w:val="00272374"/>
    <w:rsid w:val="002B270D"/>
    <w:rsid w:val="00336B75"/>
    <w:rsid w:val="00360901"/>
    <w:rsid w:val="006E2EA6"/>
    <w:rsid w:val="00765D4B"/>
    <w:rsid w:val="00792B54"/>
    <w:rsid w:val="00A14223"/>
    <w:rsid w:val="00AF467B"/>
    <w:rsid w:val="00B4636D"/>
    <w:rsid w:val="00C4755A"/>
    <w:rsid w:val="00D17B4A"/>
    <w:rsid w:val="00D93525"/>
    <w:rsid w:val="00D97EB1"/>
    <w:rsid w:val="00EF12D8"/>
    <w:rsid w:val="00F207F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32C7DBBADF4655AD7F23904431335E">
    <w:name w:val="0132C7DBBADF4655AD7F23904431335E"/>
    <w:rsid w:val="00336B75"/>
  </w:style>
  <w:style w:type="paragraph" w:customStyle="1" w:styleId="2C112547F8134A08BE97318808299B97">
    <w:name w:val="2C112547F8134A08BE97318808299B97"/>
    <w:rsid w:val="00336B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F5EB34-244C-4806-800D-76AE23FA1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52</Pages>
  <Words>15157</Words>
  <Characters>86397</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Exploring the efficacy of various dietary approaches on glycated hemoglobin for the treatment and management in people diagnosed with type two (2) diabetes mellitus</vt:lpstr>
    </vt:vector>
  </TitlesOfParts>
  <Company>SUPERVISED BY: GERAINT FOSTER</Company>
  <LinksUpToDate>false</LinksUpToDate>
  <CharactersWithSpaces>101352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the efficacy of various dietary approaches to improve glycated hemoglobin for the treatiment and management of people diagnosed with type two (2) diabetes mellitus</dc:title>
  <dc:subject>Lanique Pompey</dc:subject>
  <dc:creator>Lanique Pompey (2113724)</dc:creator>
  <cp:keywords/>
  <dc:description/>
  <cp:lastModifiedBy>Lanique Pompey (2113724)</cp:lastModifiedBy>
  <cp:revision>8</cp:revision>
  <cp:lastPrinted>2024-04-18T18:33:00Z</cp:lastPrinted>
  <dcterms:created xsi:type="dcterms:W3CDTF">2024-04-18T21:57:00Z</dcterms:created>
  <dcterms:modified xsi:type="dcterms:W3CDTF">2024-04-18T22:28:00Z</dcterms:modified>
</cp:coreProperties>
</file>