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278A9" w14:textId="4403A8B8" w:rsidR="00590D70" w:rsidRPr="00431B1D" w:rsidRDefault="00590D70" w:rsidP="00FC5D74">
      <w:pPr>
        <w:jc w:val="center"/>
        <w:rPr>
          <w:b/>
          <w:bCs/>
          <w:i/>
          <w:iCs/>
          <w:sz w:val="28"/>
          <w:szCs w:val="28"/>
        </w:rPr>
      </w:pPr>
      <w:r w:rsidRPr="00431B1D">
        <w:rPr>
          <w:b/>
          <w:bCs/>
          <w:i/>
          <w:iCs/>
          <w:sz w:val="28"/>
          <w:szCs w:val="28"/>
        </w:rPr>
        <w:t>University of Wales Trinity Saint David</w:t>
      </w:r>
      <w:r w:rsidR="00431B1D">
        <w:rPr>
          <w:b/>
          <w:bCs/>
          <w:i/>
          <w:iCs/>
          <w:sz w:val="28"/>
          <w:szCs w:val="28"/>
        </w:rPr>
        <w:t xml:space="preserve"> Birmingham</w:t>
      </w:r>
    </w:p>
    <w:p w14:paraId="1187A109" w14:textId="62D8E9A3" w:rsidR="002458D7" w:rsidRDefault="00590D70" w:rsidP="00FC5D74">
      <w:pPr>
        <w:jc w:val="center"/>
        <w:rPr>
          <w:i/>
          <w:iCs/>
          <w:sz w:val="24"/>
          <w:szCs w:val="24"/>
        </w:rPr>
      </w:pPr>
      <w:r w:rsidRPr="00B5769B">
        <w:rPr>
          <w:i/>
          <w:iCs/>
          <w:sz w:val="24"/>
          <w:szCs w:val="24"/>
        </w:rPr>
        <w:t>BA (Hons) Business Management</w:t>
      </w:r>
    </w:p>
    <w:p w14:paraId="4C6AEFEE" w14:textId="77777777" w:rsidR="00007A9D" w:rsidRDefault="00007A9D" w:rsidP="00007A9D">
      <w:pPr>
        <w:jc w:val="center"/>
        <w:rPr>
          <w:i/>
          <w:iCs/>
          <w:sz w:val="24"/>
          <w:szCs w:val="24"/>
        </w:rPr>
      </w:pPr>
      <w:r w:rsidRPr="00B5769B">
        <w:rPr>
          <w:i/>
          <w:iCs/>
          <w:sz w:val="24"/>
          <w:szCs w:val="24"/>
        </w:rPr>
        <w:t xml:space="preserve">Accounting fundamentals                                                 </w:t>
      </w:r>
    </w:p>
    <w:p w14:paraId="0A0A6901" w14:textId="77777777" w:rsidR="00007A9D" w:rsidRDefault="00007A9D" w:rsidP="00FC5D74">
      <w:pPr>
        <w:jc w:val="center"/>
        <w:rPr>
          <w:i/>
          <w:iCs/>
          <w:sz w:val="24"/>
          <w:szCs w:val="24"/>
        </w:rPr>
      </w:pPr>
    </w:p>
    <w:p w14:paraId="7A3ED572" w14:textId="77777777" w:rsidR="00007A9D" w:rsidRDefault="00007A9D" w:rsidP="00FC5D74">
      <w:pPr>
        <w:jc w:val="center"/>
        <w:rPr>
          <w:i/>
          <w:iCs/>
          <w:sz w:val="24"/>
          <w:szCs w:val="24"/>
        </w:rPr>
      </w:pPr>
    </w:p>
    <w:p w14:paraId="3536A39D" w14:textId="77777777" w:rsidR="00007A9D" w:rsidRDefault="00007A9D" w:rsidP="00FC5D74">
      <w:pPr>
        <w:jc w:val="center"/>
        <w:rPr>
          <w:i/>
          <w:iCs/>
          <w:sz w:val="24"/>
          <w:szCs w:val="24"/>
        </w:rPr>
      </w:pPr>
    </w:p>
    <w:p w14:paraId="163EBC71" w14:textId="77777777" w:rsidR="00007A9D" w:rsidRDefault="00007A9D" w:rsidP="00FC5D74">
      <w:pPr>
        <w:jc w:val="center"/>
        <w:rPr>
          <w:i/>
          <w:iCs/>
          <w:sz w:val="24"/>
          <w:szCs w:val="24"/>
        </w:rPr>
      </w:pPr>
    </w:p>
    <w:p w14:paraId="68549353" w14:textId="48FFB265" w:rsidR="00007A9D" w:rsidRPr="00572253" w:rsidRDefault="00D7350E" w:rsidP="00FC5D74">
      <w:pPr>
        <w:jc w:val="center"/>
        <w:rPr>
          <w:b/>
          <w:bCs/>
          <w:sz w:val="48"/>
          <w:szCs w:val="48"/>
        </w:rPr>
      </w:pPr>
      <w:r w:rsidRPr="00572253">
        <w:rPr>
          <w:b/>
          <w:bCs/>
          <w:sz w:val="48"/>
          <w:szCs w:val="48"/>
        </w:rPr>
        <w:t>Assessment:</w:t>
      </w:r>
    </w:p>
    <w:p w14:paraId="3D57843D" w14:textId="1FA8DF61" w:rsidR="00007A9D" w:rsidRPr="00E6425B" w:rsidRDefault="00D7350E" w:rsidP="00D7350E">
      <w:pPr>
        <w:spacing w:after="0" w:line="240" w:lineRule="auto"/>
        <w:jc w:val="center"/>
        <w:rPr>
          <w:rFonts w:ascii="Times New Roman" w:hAnsi="Times New Roman" w:cs="Times New Roman"/>
          <w:b/>
          <w:bCs/>
          <w:i/>
          <w:iCs/>
          <w:sz w:val="28"/>
          <w:szCs w:val="28"/>
        </w:rPr>
      </w:pPr>
      <w:r w:rsidRPr="00E6425B">
        <w:rPr>
          <w:rFonts w:ascii="Times New Roman" w:hAnsi="Times New Roman" w:cs="Times New Roman"/>
          <w:b/>
          <w:bCs/>
          <w:sz w:val="28"/>
          <w:szCs w:val="28"/>
        </w:rPr>
        <w:t xml:space="preserve">Part 1: Case study (Statement of Profit or Loss, </w:t>
      </w:r>
      <w:r w:rsidRPr="00E6425B">
        <w:rPr>
          <w:rFonts w:ascii="Times New Roman" w:eastAsia="Times New Roman" w:hAnsi="Times New Roman" w:cs="Times New Roman"/>
          <w:b/>
          <w:bCs/>
          <w:color w:val="000000"/>
          <w:sz w:val="28"/>
          <w:szCs w:val="28"/>
          <w:lang w:eastAsia="en-GB"/>
        </w:rPr>
        <w:t>Statement of Financial Position</w:t>
      </w:r>
      <w:r w:rsidRPr="00E6425B">
        <w:rPr>
          <w:rFonts w:ascii="Times New Roman" w:hAnsi="Times New Roman" w:cs="Times New Roman"/>
          <w:b/>
          <w:bCs/>
          <w:i/>
          <w:iCs/>
          <w:sz w:val="28"/>
          <w:szCs w:val="28"/>
        </w:rPr>
        <w:t>)</w:t>
      </w:r>
    </w:p>
    <w:p w14:paraId="2690BD33" w14:textId="0BFDCCA0" w:rsidR="00D7350E" w:rsidRPr="00E6425B" w:rsidRDefault="00D7350E" w:rsidP="00D7350E">
      <w:pPr>
        <w:spacing w:after="0" w:line="276" w:lineRule="auto"/>
        <w:jc w:val="center"/>
        <w:rPr>
          <w:rFonts w:ascii="Times New Roman" w:hAnsi="Times New Roman" w:cs="Times New Roman"/>
          <w:b/>
          <w:bCs/>
          <w:sz w:val="28"/>
          <w:szCs w:val="28"/>
        </w:rPr>
      </w:pPr>
      <w:r w:rsidRPr="00E6425B">
        <w:rPr>
          <w:rFonts w:ascii="Times New Roman" w:hAnsi="Times New Roman" w:cs="Times New Roman"/>
          <w:b/>
          <w:bCs/>
          <w:sz w:val="28"/>
          <w:szCs w:val="28"/>
        </w:rPr>
        <w:t>Part 2:</w:t>
      </w:r>
      <w:r w:rsidRPr="00E6425B">
        <w:rPr>
          <w:rFonts w:ascii="Times New Roman" w:hAnsi="Times New Roman" w:cs="Times New Roman"/>
          <w:b/>
          <w:bCs/>
          <w:i/>
          <w:iCs/>
          <w:sz w:val="28"/>
          <w:szCs w:val="28"/>
        </w:rPr>
        <w:t xml:space="preserve"> </w:t>
      </w:r>
      <w:r w:rsidRPr="00E6425B">
        <w:rPr>
          <w:rFonts w:ascii="Times New Roman" w:hAnsi="Times New Roman" w:cs="Times New Roman"/>
          <w:b/>
          <w:bCs/>
          <w:sz w:val="28"/>
          <w:szCs w:val="28"/>
        </w:rPr>
        <w:t>Essay (The importance of accounting principles in preparing financial statements)</w:t>
      </w:r>
    </w:p>
    <w:p w14:paraId="68713E2D" w14:textId="19B7122A" w:rsidR="00D7350E" w:rsidRPr="00E6425B" w:rsidRDefault="00D7350E" w:rsidP="00D7350E">
      <w:pPr>
        <w:spacing w:after="0" w:line="240" w:lineRule="auto"/>
        <w:jc w:val="center"/>
        <w:rPr>
          <w:rFonts w:ascii="Times New Roman" w:hAnsi="Times New Roman" w:cs="Times New Roman"/>
          <w:b/>
          <w:bCs/>
          <w:sz w:val="24"/>
          <w:szCs w:val="24"/>
        </w:rPr>
      </w:pPr>
    </w:p>
    <w:p w14:paraId="1E93E05A" w14:textId="77777777" w:rsidR="002458D7" w:rsidRDefault="00590D70" w:rsidP="00590D70">
      <w:pPr>
        <w:rPr>
          <w:i/>
          <w:iCs/>
          <w:sz w:val="24"/>
          <w:szCs w:val="24"/>
        </w:rPr>
      </w:pPr>
      <w:r w:rsidRPr="00B5769B">
        <w:rPr>
          <w:i/>
          <w:iCs/>
          <w:sz w:val="24"/>
          <w:szCs w:val="24"/>
        </w:rPr>
        <w:t xml:space="preserve">                           </w:t>
      </w:r>
    </w:p>
    <w:p w14:paraId="27D81B23" w14:textId="77777777" w:rsidR="002458D7" w:rsidRDefault="002458D7" w:rsidP="00590D70">
      <w:pPr>
        <w:rPr>
          <w:i/>
          <w:iCs/>
          <w:sz w:val="24"/>
          <w:szCs w:val="24"/>
        </w:rPr>
      </w:pPr>
    </w:p>
    <w:p w14:paraId="19F5CA0D" w14:textId="77777777" w:rsidR="00FC5D74" w:rsidRDefault="00FC5D74" w:rsidP="00590D70">
      <w:pPr>
        <w:rPr>
          <w:i/>
          <w:iCs/>
          <w:sz w:val="24"/>
          <w:szCs w:val="24"/>
        </w:rPr>
      </w:pPr>
    </w:p>
    <w:p w14:paraId="6DF18EF3" w14:textId="77777777" w:rsidR="004B0BCC" w:rsidRDefault="004B0BCC" w:rsidP="00590D70">
      <w:pPr>
        <w:rPr>
          <w:i/>
          <w:iCs/>
          <w:sz w:val="24"/>
          <w:szCs w:val="24"/>
        </w:rPr>
      </w:pPr>
    </w:p>
    <w:p w14:paraId="6B16CE65" w14:textId="77777777" w:rsidR="004B0BCC" w:rsidRDefault="004B0BCC" w:rsidP="00590D70">
      <w:pPr>
        <w:rPr>
          <w:i/>
          <w:iCs/>
          <w:sz w:val="24"/>
          <w:szCs w:val="24"/>
        </w:rPr>
      </w:pPr>
    </w:p>
    <w:p w14:paraId="3D20EA25" w14:textId="77777777" w:rsidR="004B0BCC" w:rsidRDefault="004B0BCC" w:rsidP="00590D70">
      <w:pPr>
        <w:rPr>
          <w:i/>
          <w:iCs/>
          <w:sz w:val="24"/>
          <w:szCs w:val="24"/>
        </w:rPr>
      </w:pPr>
    </w:p>
    <w:p w14:paraId="0CE82C22" w14:textId="77777777" w:rsidR="004B0BCC" w:rsidRDefault="004B0BCC" w:rsidP="00590D70">
      <w:pPr>
        <w:rPr>
          <w:i/>
          <w:iCs/>
          <w:sz w:val="24"/>
          <w:szCs w:val="24"/>
        </w:rPr>
      </w:pPr>
    </w:p>
    <w:p w14:paraId="75CDA7B1" w14:textId="77777777" w:rsidR="004B0BCC" w:rsidRDefault="004B0BCC" w:rsidP="00590D70">
      <w:pPr>
        <w:rPr>
          <w:i/>
          <w:iCs/>
          <w:sz w:val="24"/>
          <w:szCs w:val="24"/>
        </w:rPr>
      </w:pPr>
    </w:p>
    <w:p w14:paraId="3EAABBA6" w14:textId="77777777" w:rsidR="004B0BCC" w:rsidRDefault="004B0BCC" w:rsidP="00590D70">
      <w:pPr>
        <w:rPr>
          <w:i/>
          <w:iCs/>
          <w:sz w:val="24"/>
          <w:szCs w:val="24"/>
        </w:rPr>
      </w:pPr>
    </w:p>
    <w:p w14:paraId="53E3E01E" w14:textId="77777777" w:rsidR="004B0BCC" w:rsidRDefault="004B0BCC" w:rsidP="00590D70">
      <w:pPr>
        <w:rPr>
          <w:i/>
          <w:iCs/>
          <w:sz w:val="24"/>
          <w:szCs w:val="24"/>
        </w:rPr>
      </w:pPr>
    </w:p>
    <w:p w14:paraId="3D4CC248" w14:textId="77777777" w:rsidR="004B0BCC" w:rsidRDefault="004B0BCC" w:rsidP="00590D70">
      <w:pPr>
        <w:rPr>
          <w:i/>
          <w:iCs/>
          <w:sz w:val="24"/>
          <w:szCs w:val="24"/>
        </w:rPr>
      </w:pPr>
    </w:p>
    <w:p w14:paraId="57CE3CBC" w14:textId="642FB75C" w:rsidR="00EC15FB" w:rsidRPr="00C249D0" w:rsidRDefault="00C249D0" w:rsidP="004B0BCC">
      <w:pPr>
        <w:rPr>
          <w:sz w:val="24"/>
          <w:szCs w:val="24"/>
        </w:rPr>
      </w:pPr>
      <w:r w:rsidRPr="00C249D0">
        <w:rPr>
          <w:sz w:val="24"/>
          <w:szCs w:val="24"/>
        </w:rPr>
        <w:t>A</w:t>
      </w:r>
      <w:r w:rsidR="004B0BCC" w:rsidRPr="00C249D0">
        <w:rPr>
          <w:sz w:val="24"/>
          <w:szCs w:val="24"/>
        </w:rPr>
        <w:t xml:space="preserve">uthor: </w:t>
      </w:r>
      <w:r w:rsidR="00D43AAF" w:rsidRPr="00C249D0">
        <w:rPr>
          <w:sz w:val="24"/>
          <w:szCs w:val="24"/>
        </w:rPr>
        <w:t xml:space="preserve">  </w:t>
      </w:r>
      <w:r w:rsidR="00590D70" w:rsidRPr="00C249D0">
        <w:rPr>
          <w:sz w:val="24"/>
          <w:szCs w:val="24"/>
        </w:rPr>
        <w:t>Elena Turcanu</w:t>
      </w:r>
      <w:r w:rsidR="004B0BCC" w:rsidRPr="00C249D0">
        <w:rPr>
          <w:sz w:val="24"/>
          <w:szCs w:val="24"/>
        </w:rPr>
        <w:t xml:space="preserve">, </w:t>
      </w:r>
      <w:r w:rsidR="00590D70" w:rsidRPr="00C249D0">
        <w:rPr>
          <w:sz w:val="24"/>
          <w:szCs w:val="24"/>
        </w:rPr>
        <w:t>Student nr 2127547</w:t>
      </w:r>
    </w:p>
    <w:p w14:paraId="1A7F4232" w14:textId="35BC1DEE" w:rsidR="004B0BCC" w:rsidRPr="00C249D0" w:rsidRDefault="00EA5FEF" w:rsidP="004B0BCC">
      <w:pPr>
        <w:rPr>
          <w:sz w:val="24"/>
          <w:szCs w:val="24"/>
        </w:rPr>
      </w:pPr>
      <w:r w:rsidRPr="00C249D0">
        <w:rPr>
          <w:sz w:val="24"/>
          <w:szCs w:val="24"/>
        </w:rPr>
        <w:t xml:space="preserve">Lecturer: </w:t>
      </w:r>
      <w:proofErr w:type="spellStart"/>
      <w:r w:rsidRPr="00C249D0">
        <w:rPr>
          <w:sz w:val="24"/>
          <w:szCs w:val="24"/>
        </w:rPr>
        <w:t>Zameer</w:t>
      </w:r>
      <w:proofErr w:type="spellEnd"/>
      <w:r w:rsidRPr="00C249D0">
        <w:rPr>
          <w:sz w:val="24"/>
          <w:szCs w:val="24"/>
        </w:rPr>
        <w:t xml:space="preserve"> Hussain</w:t>
      </w:r>
    </w:p>
    <w:p w14:paraId="05E2C83A" w14:textId="77777777" w:rsidR="00EC15FB" w:rsidRDefault="00EC15FB" w:rsidP="00826A6A">
      <w:pPr>
        <w:jc w:val="center"/>
        <w:rPr>
          <w:b/>
          <w:bCs/>
          <w:sz w:val="44"/>
          <w:szCs w:val="44"/>
        </w:rPr>
      </w:pPr>
    </w:p>
    <w:p w14:paraId="3E9935C3" w14:textId="4F0909DF" w:rsidR="00C249D0" w:rsidRDefault="00740070" w:rsidP="0056234F">
      <w:pPr>
        <w:jc w:val="center"/>
        <w:rPr>
          <w:b/>
          <w:bCs/>
          <w:sz w:val="44"/>
          <w:szCs w:val="44"/>
        </w:rPr>
      </w:pPr>
      <w:r>
        <w:rPr>
          <w:b/>
          <w:bCs/>
          <w:sz w:val="44"/>
          <w:szCs w:val="44"/>
        </w:rPr>
        <w:t xml:space="preserve">                       </w:t>
      </w:r>
    </w:p>
    <w:p w14:paraId="521A4F59" w14:textId="0486B34D" w:rsidR="0054598C" w:rsidRPr="001C5E1F" w:rsidRDefault="001C5E1F" w:rsidP="00C249D0">
      <w:pPr>
        <w:jc w:val="center"/>
        <w:rPr>
          <w:b/>
          <w:bCs/>
          <w:sz w:val="44"/>
          <w:szCs w:val="44"/>
        </w:rPr>
      </w:pPr>
      <w:r w:rsidRPr="001C5E1F">
        <w:rPr>
          <w:b/>
          <w:bCs/>
          <w:sz w:val="44"/>
          <w:szCs w:val="44"/>
        </w:rPr>
        <w:lastRenderedPageBreak/>
        <w:t>Case Study</w:t>
      </w:r>
    </w:p>
    <w:p w14:paraId="1E3E82AD" w14:textId="035D21C4" w:rsidR="0054598C" w:rsidRDefault="0054598C">
      <w:r>
        <w:t>Angela’s accounting records show the following totals at her year end of 31 December 2021:</w:t>
      </w:r>
    </w:p>
    <w:tbl>
      <w:tblPr>
        <w:tblW w:w="9938" w:type="dxa"/>
        <w:tblInd w:w="-5" w:type="dxa"/>
        <w:tblLook w:val="04A0" w:firstRow="1" w:lastRow="0" w:firstColumn="1" w:lastColumn="0" w:noHBand="0" w:noVBand="1"/>
      </w:tblPr>
      <w:tblGrid>
        <w:gridCol w:w="4832"/>
        <w:gridCol w:w="1217"/>
        <w:gridCol w:w="3889"/>
      </w:tblGrid>
      <w:tr w:rsidR="00432064" w:rsidRPr="00432064" w14:paraId="341159C7" w14:textId="77777777" w:rsidTr="0054598C">
        <w:trPr>
          <w:trHeight w:val="480"/>
        </w:trPr>
        <w:tc>
          <w:tcPr>
            <w:tcW w:w="4832"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BE7C31B" w14:textId="77777777" w:rsidR="00432064" w:rsidRPr="00432064" w:rsidRDefault="00432064" w:rsidP="00432064">
            <w:pPr>
              <w:spacing w:after="0" w:line="240" w:lineRule="auto"/>
              <w:rPr>
                <w:rFonts w:ascii="Arial" w:eastAsia="Times New Roman" w:hAnsi="Arial" w:cs="Arial"/>
                <w:b/>
                <w:bCs/>
                <w:color w:val="000000"/>
                <w:lang w:eastAsia="en-GB"/>
              </w:rPr>
            </w:pPr>
            <w:r w:rsidRPr="00432064">
              <w:rPr>
                <w:rFonts w:ascii="Arial" w:eastAsia="Times New Roman" w:hAnsi="Arial" w:cs="Arial"/>
                <w:b/>
                <w:bCs/>
                <w:color w:val="000000"/>
                <w:lang w:eastAsia="en-GB"/>
              </w:rPr>
              <w:t>Angela’s Accounting records at 31.12.2021</w:t>
            </w:r>
          </w:p>
        </w:tc>
        <w:tc>
          <w:tcPr>
            <w:tcW w:w="1217" w:type="dxa"/>
            <w:tcBorders>
              <w:top w:val="single" w:sz="4" w:space="0" w:color="auto"/>
              <w:left w:val="nil"/>
              <w:bottom w:val="single" w:sz="4" w:space="0" w:color="auto"/>
              <w:right w:val="single" w:sz="4" w:space="0" w:color="auto"/>
            </w:tcBorders>
            <w:shd w:val="clear" w:color="auto" w:fill="auto"/>
            <w:vAlign w:val="bottom"/>
            <w:hideMark/>
          </w:tcPr>
          <w:p w14:paraId="1534C1BF" w14:textId="77777777" w:rsidR="00432064" w:rsidRPr="00432064" w:rsidRDefault="00432064" w:rsidP="00432064">
            <w:pPr>
              <w:spacing w:after="0" w:line="240" w:lineRule="auto"/>
              <w:rPr>
                <w:rFonts w:ascii="Arial" w:eastAsia="Times New Roman" w:hAnsi="Arial" w:cs="Arial"/>
                <w:b/>
                <w:bCs/>
                <w:color w:val="000000"/>
                <w:lang w:eastAsia="en-GB"/>
              </w:rPr>
            </w:pPr>
            <w:r w:rsidRPr="00432064">
              <w:rPr>
                <w:rFonts w:ascii="Arial" w:eastAsia="Times New Roman" w:hAnsi="Arial" w:cs="Arial"/>
                <w:b/>
                <w:bCs/>
                <w:color w:val="000000"/>
                <w:lang w:eastAsia="en-GB"/>
              </w:rPr>
              <w:t>£</w:t>
            </w:r>
          </w:p>
        </w:tc>
        <w:tc>
          <w:tcPr>
            <w:tcW w:w="3889" w:type="dxa"/>
            <w:tcBorders>
              <w:top w:val="single" w:sz="4" w:space="0" w:color="auto"/>
              <w:left w:val="nil"/>
              <w:bottom w:val="single" w:sz="4" w:space="0" w:color="auto"/>
              <w:right w:val="single" w:sz="4" w:space="0" w:color="auto"/>
            </w:tcBorders>
            <w:shd w:val="clear" w:color="auto" w:fill="auto"/>
            <w:vAlign w:val="bottom"/>
            <w:hideMark/>
          </w:tcPr>
          <w:p w14:paraId="23F9752F" w14:textId="77777777" w:rsidR="00432064" w:rsidRPr="00432064" w:rsidRDefault="00432064" w:rsidP="00432064">
            <w:pPr>
              <w:spacing w:after="0" w:line="240" w:lineRule="auto"/>
              <w:rPr>
                <w:rFonts w:ascii="Arial" w:eastAsia="Times New Roman" w:hAnsi="Arial" w:cs="Arial"/>
                <w:b/>
                <w:bCs/>
                <w:color w:val="000000"/>
                <w:lang w:eastAsia="en-GB"/>
              </w:rPr>
            </w:pPr>
            <w:r w:rsidRPr="00432064">
              <w:rPr>
                <w:rFonts w:ascii="Arial" w:eastAsia="Times New Roman" w:hAnsi="Arial" w:cs="Arial"/>
                <w:b/>
                <w:bCs/>
                <w:color w:val="000000"/>
                <w:lang w:eastAsia="en-GB"/>
              </w:rPr>
              <w:t>accounting item</w:t>
            </w:r>
          </w:p>
        </w:tc>
      </w:tr>
      <w:tr w:rsidR="00432064" w:rsidRPr="00432064" w14:paraId="13015EF6"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18ADE8A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Sundry expenses</w:t>
            </w:r>
          </w:p>
        </w:tc>
        <w:tc>
          <w:tcPr>
            <w:tcW w:w="1217" w:type="dxa"/>
            <w:tcBorders>
              <w:top w:val="nil"/>
              <w:left w:val="nil"/>
              <w:bottom w:val="single" w:sz="4" w:space="0" w:color="auto"/>
              <w:right w:val="single" w:sz="4" w:space="0" w:color="auto"/>
            </w:tcBorders>
            <w:shd w:val="clear" w:color="auto" w:fill="auto"/>
            <w:vAlign w:val="bottom"/>
            <w:hideMark/>
          </w:tcPr>
          <w:p w14:paraId="62C25150"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2,250</w:t>
            </w:r>
          </w:p>
        </w:tc>
        <w:tc>
          <w:tcPr>
            <w:tcW w:w="3889" w:type="dxa"/>
            <w:tcBorders>
              <w:top w:val="nil"/>
              <w:left w:val="nil"/>
              <w:bottom w:val="single" w:sz="4" w:space="0" w:color="auto"/>
              <w:right w:val="single" w:sz="4" w:space="0" w:color="auto"/>
            </w:tcBorders>
            <w:shd w:val="clear" w:color="auto" w:fill="auto"/>
            <w:vAlign w:val="bottom"/>
            <w:hideMark/>
          </w:tcPr>
          <w:p w14:paraId="53B6485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3489E17E"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36A4CFCC"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Delivery van at cost </w:t>
            </w:r>
          </w:p>
        </w:tc>
        <w:tc>
          <w:tcPr>
            <w:tcW w:w="1217" w:type="dxa"/>
            <w:tcBorders>
              <w:top w:val="nil"/>
              <w:left w:val="nil"/>
              <w:bottom w:val="single" w:sz="4" w:space="0" w:color="auto"/>
              <w:right w:val="single" w:sz="4" w:space="0" w:color="auto"/>
            </w:tcBorders>
            <w:shd w:val="clear" w:color="auto" w:fill="auto"/>
            <w:vAlign w:val="bottom"/>
            <w:hideMark/>
          </w:tcPr>
          <w:p w14:paraId="6BC48313"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35,580</w:t>
            </w:r>
          </w:p>
        </w:tc>
        <w:tc>
          <w:tcPr>
            <w:tcW w:w="3889" w:type="dxa"/>
            <w:tcBorders>
              <w:top w:val="nil"/>
              <w:left w:val="nil"/>
              <w:bottom w:val="single" w:sz="4" w:space="0" w:color="auto"/>
              <w:right w:val="single" w:sz="4" w:space="0" w:color="auto"/>
            </w:tcBorders>
            <w:shd w:val="clear" w:color="auto" w:fill="auto"/>
            <w:vAlign w:val="bottom"/>
            <w:hideMark/>
          </w:tcPr>
          <w:p w14:paraId="6CE5520E"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motor vehicle, assets</w:t>
            </w:r>
          </w:p>
        </w:tc>
      </w:tr>
      <w:tr w:rsidR="00432064" w:rsidRPr="00432064" w14:paraId="61D1C375"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289C62BC"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Delivery van - accumulated depreciation at 1 January 2021</w:t>
            </w:r>
          </w:p>
        </w:tc>
        <w:tc>
          <w:tcPr>
            <w:tcW w:w="1217" w:type="dxa"/>
            <w:tcBorders>
              <w:top w:val="nil"/>
              <w:left w:val="nil"/>
              <w:bottom w:val="single" w:sz="4" w:space="0" w:color="auto"/>
              <w:right w:val="single" w:sz="4" w:space="0" w:color="auto"/>
            </w:tcBorders>
            <w:shd w:val="clear" w:color="auto" w:fill="auto"/>
            <w:vAlign w:val="bottom"/>
            <w:hideMark/>
          </w:tcPr>
          <w:p w14:paraId="12849679"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12,520</w:t>
            </w:r>
          </w:p>
        </w:tc>
        <w:tc>
          <w:tcPr>
            <w:tcW w:w="3889" w:type="dxa"/>
            <w:tcBorders>
              <w:top w:val="nil"/>
              <w:left w:val="nil"/>
              <w:bottom w:val="single" w:sz="4" w:space="0" w:color="auto"/>
              <w:right w:val="single" w:sz="4" w:space="0" w:color="auto"/>
            </w:tcBorders>
            <w:shd w:val="clear" w:color="auto" w:fill="auto"/>
            <w:vAlign w:val="bottom"/>
            <w:hideMark/>
          </w:tcPr>
          <w:p w14:paraId="038D611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motor vehicle, assets</w:t>
            </w:r>
          </w:p>
        </w:tc>
      </w:tr>
      <w:tr w:rsidR="00432064" w:rsidRPr="00432064" w14:paraId="4D9D47BD"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7444A20"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Shop fittings at cost</w:t>
            </w:r>
          </w:p>
        </w:tc>
        <w:tc>
          <w:tcPr>
            <w:tcW w:w="1217" w:type="dxa"/>
            <w:tcBorders>
              <w:top w:val="nil"/>
              <w:left w:val="nil"/>
              <w:bottom w:val="single" w:sz="4" w:space="0" w:color="auto"/>
              <w:right w:val="single" w:sz="4" w:space="0" w:color="auto"/>
            </w:tcBorders>
            <w:shd w:val="clear" w:color="auto" w:fill="auto"/>
            <w:vAlign w:val="bottom"/>
            <w:hideMark/>
          </w:tcPr>
          <w:p w14:paraId="21DC99AC"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12,200</w:t>
            </w:r>
          </w:p>
        </w:tc>
        <w:tc>
          <w:tcPr>
            <w:tcW w:w="3889" w:type="dxa"/>
            <w:tcBorders>
              <w:top w:val="nil"/>
              <w:left w:val="nil"/>
              <w:bottom w:val="single" w:sz="4" w:space="0" w:color="auto"/>
              <w:right w:val="single" w:sz="4" w:space="0" w:color="auto"/>
            </w:tcBorders>
            <w:shd w:val="clear" w:color="auto" w:fill="auto"/>
            <w:vAlign w:val="bottom"/>
            <w:hideMark/>
          </w:tcPr>
          <w:p w14:paraId="2700327A"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Fixtures and fittings, assets</w:t>
            </w:r>
          </w:p>
        </w:tc>
      </w:tr>
      <w:tr w:rsidR="00432064" w:rsidRPr="00432064" w14:paraId="31F25867"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25D5FA3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Shop fittings – accumulated depreciation at 1 January 2021</w:t>
            </w:r>
          </w:p>
        </w:tc>
        <w:tc>
          <w:tcPr>
            <w:tcW w:w="1217" w:type="dxa"/>
            <w:tcBorders>
              <w:top w:val="nil"/>
              <w:left w:val="nil"/>
              <w:bottom w:val="single" w:sz="4" w:space="0" w:color="auto"/>
              <w:right w:val="single" w:sz="4" w:space="0" w:color="auto"/>
            </w:tcBorders>
            <w:shd w:val="clear" w:color="auto" w:fill="auto"/>
            <w:vAlign w:val="bottom"/>
            <w:hideMark/>
          </w:tcPr>
          <w:p w14:paraId="1CEC3685"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7,320</w:t>
            </w:r>
          </w:p>
        </w:tc>
        <w:tc>
          <w:tcPr>
            <w:tcW w:w="3889" w:type="dxa"/>
            <w:tcBorders>
              <w:top w:val="nil"/>
              <w:left w:val="nil"/>
              <w:bottom w:val="single" w:sz="4" w:space="0" w:color="auto"/>
              <w:right w:val="single" w:sz="4" w:space="0" w:color="auto"/>
            </w:tcBorders>
            <w:shd w:val="clear" w:color="auto" w:fill="auto"/>
            <w:vAlign w:val="bottom"/>
            <w:hideMark/>
          </w:tcPr>
          <w:p w14:paraId="2CF44470"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Fixtures and fittings, assets</w:t>
            </w:r>
          </w:p>
        </w:tc>
      </w:tr>
      <w:tr w:rsidR="00432064" w:rsidRPr="00432064" w14:paraId="4A124C36"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3936277B"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Trade Debtors</w:t>
            </w:r>
          </w:p>
        </w:tc>
        <w:tc>
          <w:tcPr>
            <w:tcW w:w="1217" w:type="dxa"/>
            <w:tcBorders>
              <w:top w:val="nil"/>
              <w:left w:val="nil"/>
              <w:bottom w:val="single" w:sz="4" w:space="0" w:color="auto"/>
              <w:right w:val="single" w:sz="4" w:space="0" w:color="auto"/>
            </w:tcBorders>
            <w:shd w:val="clear" w:color="auto" w:fill="auto"/>
            <w:vAlign w:val="bottom"/>
            <w:hideMark/>
          </w:tcPr>
          <w:p w14:paraId="6D957F22"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6,860</w:t>
            </w:r>
          </w:p>
        </w:tc>
        <w:tc>
          <w:tcPr>
            <w:tcW w:w="3889" w:type="dxa"/>
            <w:tcBorders>
              <w:top w:val="nil"/>
              <w:left w:val="nil"/>
              <w:bottom w:val="single" w:sz="4" w:space="0" w:color="auto"/>
              <w:right w:val="single" w:sz="4" w:space="0" w:color="auto"/>
            </w:tcBorders>
            <w:shd w:val="clear" w:color="auto" w:fill="auto"/>
            <w:vAlign w:val="bottom"/>
            <w:hideMark/>
          </w:tcPr>
          <w:p w14:paraId="1B3B394F"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Trade and other receivables, assets</w:t>
            </w:r>
          </w:p>
        </w:tc>
      </w:tr>
      <w:tr w:rsidR="00432064" w:rsidRPr="00432064" w14:paraId="26175FCB"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3B029C84"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Rental and insurance costs</w:t>
            </w:r>
          </w:p>
        </w:tc>
        <w:tc>
          <w:tcPr>
            <w:tcW w:w="1217" w:type="dxa"/>
            <w:tcBorders>
              <w:top w:val="nil"/>
              <w:left w:val="nil"/>
              <w:bottom w:val="single" w:sz="4" w:space="0" w:color="auto"/>
              <w:right w:val="single" w:sz="4" w:space="0" w:color="auto"/>
            </w:tcBorders>
            <w:shd w:val="clear" w:color="auto" w:fill="auto"/>
            <w:vAlign w:val="bottom"/>
            <w:hideMark/>
          </w:tcPr>
          <w:p w14:paraId="6E3B592E"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19,200</w:t>
            </w:r>
          </w:p>
        </w:tc>
        <w:tc>
          <w:tcPr>
            <w:tcW w:w="3889" w:type="dxa"/>
            <w:tcBorders>
              <w:top w:val="nil"/>
              <w:left w:val="nil"/>
              <w:bottom w:val="single" w:sz="4" w:space="0" w:color="auto"/>
              <w:right w:val="single" w:sz="4" w:space="0" w:color="auto"/>
            </w:tcBorders>
            <w:shd w:val="clear" w:color="auto" w:fill="auto"/>
            <w:vAlign w:val="bottom"/>
            <w:hideMark/>
          </w:tcPr>
          <w:p w14:paraId="75D922C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7229A78F"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69C2B73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Administration expenses</w:t>
            </w:r>
          </w:p>
        </w:tc>
        <w:tc>
          <w:tcPr>
            <w:tcW w:w="1217" w:type="dxa"/>
            <w:tcBorders>
              <w:top w:val="nil"/>
              <w:left w:val="nil"/>
              <w:bottom w:val="single" w:sz="4" w:space="0" w:color="auto"/>
              <w:right w:val="single" w:sz="4" w:space="0" w:color="auto"/>
            </w:tcBorders>
            <w:shd w:val="clear" w:color="auto" w:fill="auto"/>
            <w:vAlign w:val="bottom"/>
            <w:hideMark/>
          </w:tcPr>
          <w:p w14:paraId="6DFB122A"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2,772</w:t>
            </w:r>
          </w:p>
        </w:tc>
        <w:tc>
          <w:tcPr>
            <w:tcW w:w="3889" w:type="dxa"/>
            <w:tcBorders>
              <w:top w:val="nil"/>
              <w:left w:val="nil"/>
              <w:bottom w:val="single" w:sz="4" w:space="0" w:color="auto"/>
              <w:right w:val="single" w:sz="4" w:space="0" w:color="auto"/>
            </w:tcBorders>
            <w:shd w:val="clear" w:color="auto" w:fill="auto"/>
            <w:vAlign w:val="bottom"/>
            <w:hideMark/>
          </w:tcPr>
          <w:p w14:paraId="53F4D20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743D0CEB"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30E1D6C"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Creditor for VAT</w:t>
            </w:r>
          </w:p>
        </w:tc>
        <w:tc>
          <w:tcPr>
            <w:tcW w:w="1217" w:type="dxa"/>
            <w:tcBorders>
              <w:top w:val="nil"/>
              <w:left w:val="nil"/>
              <w:bottom w:val="single" w:sz="4" w:space="0" w:color="auto"/>
              <w:right w:val="single" w:sz="4" w:space="0" w:color="auto"/>
            </w:tcBorders>
            <w:shd w:val="clear" w:color="auto" w:fill="auto"/>
            <w:vAlign w:val="bottom"/>
            <w:hideMark/>
          </w:tcPr>
          <w:p w14:paraId="0F8B9779"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7,729</w:t>
            </w:r>
          </w:p>
        </w:tc>
        <w:tc>
          <w:tcPr>
            <w:tcW w:w="3889" w:type="dxa"/>
            <w:tcBorders>
              <w:top w:val="nil"/>
              <w:left w:val="nil"/>
              <w:bottom w:val="single" w:sz="4" w:space="0" w:color="auto"/>
              <w:right w:val="single" w:sz="4" w:space="0" w:color="auto"/>
            </w:tcBorders>
            <w:shd w:val="clear" w:color="auto" w:fill="auto"/>
            <w:vAlign w:val="bottom"/>
            <w:hideMark/>
          </w:tcPr>
          <w:p w14:paraId="793EAB4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Trade payables, liabilities</w:t>
            </w:r>
          </w:p>
        </w:tc>
      </w:tr>
      <w:tr w:rsidR="00432064" w:rsidRPr="00432064" w14:paraId="2E6B8151"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65257CA5"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Capital at 1 January 2021</w:t>
            </w:r>
          </w:p>
        </w:tc>
        <w:tc>
          <w:tcPr>
            <w:tcW w:w="1217" w:type="dxa"/>
            <w:tcBorders>
              <w:top w:val="nil"/>
              <w:left w:val="nil"/>
              <w:bottom w:val="single" w:sz="4" w:space="0" w:color="auto"/>
              <w:right w:val="single" w:sz="4" w:space="0" w:color="auto"/>
            </w:tcBorders>
            <w:shd w:val="clear" w:color="auto" w:fill="auto"/>
            <w:vAlign w:val="bottom"/>
            <w:hideMark/>
          </w:tcPr>
          <w:p w14:paraId="6A2BA7B8"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4,993</w:t>
            </w:r>
          </w:p>
        </w:tc>
        <w:tc>
          <w:tcPr>
            <w:tcW w:w="3889" w:type="dxa"/>
            <w:tcBorders>
              <w:top w:val="nil"/>
              <w:left w:val="nil"/>
              <w:bottom w:val="single" w:sz="4" w:space="0" w:color="auto"/>
              <w:right w:val="single" w:sz="4" w:space="0" w:color="auto"/>
            </w:tcBorders>
            <w:shd w:val="clear" w:color="auto" w:fill="auto"/>
            <w:vAlign w:val="bottom"/>
            <w:hideMark/>
          </w:tcPr>
          <w:p w14:paraId="27CE3F9F"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capital</w:t>
            </w:r>
          </w:p>
        </w:tc>
      </w:tr>
      <w:tr w:rsidR="00432064" w:rsidRPr="00432064" w14:paraId="556A9305"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6D4CCFFF"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Salaries and wages</w:t>
            </w:r>
          </w:p>
        </w:tc>
        <w:tc>
          <w:tcPr>
            <w:tcW w:w="1217" w:type="dxa"/>
            <w:tcBorders>
              <w:top w:val="nil"/>
              <w:left w:val="nil"/>
              <w:bottom w:val="single" w:sz="4" w:space="0" w:color="auto"/>
              <w:right w:val="single" w:sz="4" w:space="0" w:color="auto"/>
            </w:tcBorders>
            <w:shd w:val="clear" w:color="auto" w:fill="auto"/>
            <w:vAlign w:val="bottom"/>
            <w:hideMark/>
          </w:tcPr>
          <w:p w14:paraId="36D46618"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35,804</w:t>
            </w:r>
          </w:p>
        </w:tc>
        <w:tc>
          <w:tcPr>
            <w:tcW w:w="3889" w:type="dxa"/>
            <w:tcBorders>
              <w:top w:val="nil"/>
              <w:left w:val="nil"/>
              <w:bottom w:val="single" w:sz="4" w:space="0" w:color="auto"/>
              <w:right w:val="single" w:sz="4" w:space="0" w:color="auto"/>
            </w:tcBorders>
            <w:shd w:val="clear" w:color="auto" w:fill="auto"/>
            <w:vAlign w:val="bottom"/>
            <w:hideMark/>
          </w:tcPr>
          <w:p w14:paraId="0D5D755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2BA1892B"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7497048C"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Cash at bank</w:t>
            </w:r>
          </w:p>
        </w:tc>
        <w:tc>
          <w:tcPr>
            <w:tcW w:w="1217" w:type="dxa"/>
            <w:tcBorders>
              <w:top w:val="nil"/>
              <w:left w:val="nil"/>
              <w:bottom w:val="single" w:sz="4" w:space="0" w:color="auto"/>
              <w:right w:val="single" w:sz="4" w:space="0" w:color="auto"/>
            </w:tcBorders>
            <w:shd w:val="clear" w:color="auto" w:fill="auto"/>
            <w:vAlign w:val="bottom"/>
            <w:hideMark/>
          </w:tcPr>
          <w:p w14:paraId="609677FA"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82</w:t>
            </w:r>
          </w:p>
        </w:tc>
        <w:tc>
          <w:tcPr>
            <w:tcW w:w="3889" w:type="dxa"/>
            <w:tcBorders>
              <w:top w:val="nil"/>
              <w:left w:val="nil"/>
              <w:bottom w:val="single" w:sz="4" w:space="0" w:color="auto"/>
              <w:right w:val="single" w:sz="4" w:space="0" w:color="auto"/>
            </w:tcBorders>
            <w:shd w:val="clear" w:color="auto" w:fill="auto"/>
            <w:vAlign w:val="bottom"/>
            <w:hideMark/>
          </w:tcPr>
          <w:p w14:paraId="07859B40"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bank, assets</w:t>
            </w:r>
          </w:p>
        </w:tc>
      </w:tr>
      <w:tr w:rsidR="00432064" w:rsidRPr="00432064" w14:paraId="0F82B901"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6F1802D2"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Drawings</w:t>
            </w:r>
          </w:p>
        </w:tc>
        <w:tc>
          <w:tcPr>
            <w:tcW w:w="1217" w:type="dxa"/>
            <w:tcBorders>
              <w:top w:val="nil"/>
              <w:left w:val="nil"/>
              <w:bottom w:val="single" w:sz="4" w:space="0" w:color="auto"/>
              <w:right w:val="single" w:sz="4" w:space="0" w:color="auto"/>
            </w:tcBorders>
            <w:shd w:val="clear" w:color="auto" w:fill="auto"/>
            <w:vAlign w:val="bottom"/>
            <w:hideMark/>
          </w:tcPr>
          <w:p w14:paraId="07312815"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18,270</w:t>
            </w:r>
          </w:p>
        </w:tc>
        <w:tc>
          <w:tcPr>
            <w:tcW w:w="3889" w:type="dxa"/>
            <w:tcBorders>
              <w:top w:val="nil"/>
              <w:left w:val="nil"/>
              <w:bottom w:val="single" w:sz="4" w:space="0" w:color="auto"/>
              <w:right w:val="single" w:sz="4" w:space="0" w:color="auto"/>
            </w:tcBorders>
            <w:shd w:val="clear" w:color="auto" w:fill="auto"/>
            <w:vAlign w:val="bottom"/>
            <w:hideMark/>
          </w:tcPr>
          <w:p w14:paraId="03DB4F6D"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capital</w:t>
            </w:r>
          </w:p>
        </w:tc>
      </w:tr>
      <w:tr w:rsidR="00432064" w:rsidRPr="00432064" w14:paraId="27D90115"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25001BE1"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Sales</w:t>
            </w:r>
          </w:p>
        </w:tc>
        <w:tc>
          <w:tcPr>
            <w:tcW w:w="1217" w:type="dxa"/>
            <w:tcBorders>
              <w:top w:val="nil"/>
              <w:left w:val="nil"/>
              <w:bottom w:val="single" w:sz="4" w:space="0" w:color="auto"/>
              <w:right w:val="single" w:sz="4" w:space="0" w:color="auto"/>
            </w:tcBorders>
            <w:shd w:val="clear" w:color="auto" w:fill="auto"/>
            <w:vAlign w:val="bottom"/>
            <w:hideMark/>
          </w:tcPr>
          <w:p w14:paraId="103A4947"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310,423</w:t>
            </w:r>
          </w:p>
        </w:tc>
        <w:tc>
          <w:tcPr>
            <w:tcW w:w="3889" w:type="dxa"/>
            <w:tcBorders>
              <w:top w:val="nil"/>
              <w:left w:val="nil"/>
              <w:bottom w:val="single" w:sz="4" w:space="0" w:color="auto"/>
              <w:right w:val="single" w:sz="4" w:space="0" w:color="auto"/>
            </w:tcBorders>
            <w:shd w:val="clear" w:color="auto" w:fill="auto"/>
            <w:vAlign w:val="bottom"/>
            <w:hideMark/>
          </w:tcPr>
          <w:p w14:paraId="2719E7A9"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The income statement</w:t>
            </w:r>
          </w:p>
        </w:tc>
      </w:tr>
      <w:tr w:rsidR="00432064" w:rsidRPr="00432064" w14:paraId="46AD46AA"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B0B4F6E"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Stock at 1 January 2021</w:t>
            </w:r>
          </w:p>
        </w:tc>
        <w:tc>
          <w:tcPr>
            <w:tcW w:w="1217" w:type="dxa"/>
            <w:tcBorders>
              <w:top w:val="nil"/>
              <w:left w:val="nil"/>
              <w:bottom w:val="single" w:sz="4" w:space="0" w:color="auto"/>
              <w:right w:val="single" w:sz="4" w:space="0" w:color="auto"/>
            </w:tcBorders>
            <w:shd w:val="clear" w:color="auto" w:fill="auto"/>
            <w:vAlign w:val="bottom"/>
            <w:hideMark/>
          </w:tcPr>
          <w:p w14:paraId="0BF30FC6"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30,222</w:t>
            </w:r>
          </w:p>
        </w:tc>
        <w:tc>
          <w:tcPr>
            <w:tcW w:w="3889" w:type="dxa"/>
            <w:tcBorders>
              <w:top w:val="nil"/>
              <w:left w:val="nil"/>
              <w:bottom w:val="single" w:sz="4" w:space="0" w:color="auto"/>
              <w:right w:val="single" w:sz="4" w:space="0" w:color="auto"/>
            </w:tcBorders>
            <w:shd w:val="clear" w:color="auto" w:fill="auto"/>
            <w:vAlign w:val="bottom"/>
            <w:hideMark/>
          </w:tcPr>
          <w:p w14:paraId="06B0C61F"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opening inventory, the income statement</w:t>
            </w:r>
          </w:p>
        </w:tc>
      </w:tr>
      <w:tr w:rsidR="00432064" w:rsidRPr="00432064" w14:paraId="72C04E17"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007CB277"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Trade creditors/payables</w:t>
            </w:r>
          </w:p>
        </w:tc>
        <w:tc>
          <w:tcPr>
            <w:tcW w:w="1217" w:type="dxa"/>
            <w:tcBorders>
              <w:top w:val="nil"/>
              <w:left w:val="nil"/>
              <w:bottom w:val="single" w:sz="4" w:space="0" w:color="auto"/>
              <w:right w:val="single" w:sz="4" w:space="0" w:color="auto"/>
            </w:tcBorders>
            <w:shd w:val="clear" w:color="auto" w:fill="auto"/>
            <w:vAlign w:val="bottom"/>
            <w:hideMark/>
          </w:tcPr>
          <w:p w14:paraId="4AD73661"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34,420</w:t>
            </w:r>
          </w:p>
        </w:tc>
        <w:tc>
          <w:tcPr>
            <w:tcW w:w="3889" w:type="dxa"/>
            <w:tcBorders>
              <w:top w:val="nil"/>
              <w:left w:val="nil"/>
              <w:bottom w:val="single" w:sz="4" w:space="0" w:color="auto"/>
              <w:right w:val="single" w:sz="4" w:space="0" w:color="auto"/>
            </w:tcBorders>
            <w:shd w:val="clear" w:color="auto" w:fill="auto"/>
            <w:vAlign w:val="bottom"/>
            <w:hideMark/>
          </w:tcPr>
          <w:p w14:paraId="3D4DF517"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Trade payables, liabilities</w:t>
            </w:r>
          </w:p>
        </w:tc>
      </w:tr>
      <w:tr w:rsidR="00432064" w:rsidRPr="00432064" w14:paraId="49B95EBA"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5680C748"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Purchases </w:t>
            </w:r>
          </w:p>
        </w:tc>
        <w:tc>
          <w:tcPr>
            <w:tcW w:w="1217" w:type="dxa"/>
            <w:tcBorders>
              <w:top w:val="nil"/>
              <w:left w:val="nil"/>
              <w:bottom w:val="single" w:sz="4" w:space="0" w:color="auto"/>
              <w:right w:val="single" w:sz="4" w:space="0" w:color="auto"/>
            </w:tcBorders>
            <w:shd w:val="clear" w:color="auto" w:fill="auto"/>
            <w:vAlign w:val="bottom"/>
            <w:hideMark/>
          </w:tcPr>
          <w:p w14:paraId="256A09F9"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214,165</w:t>
            </w:r>
          </w:p>
        </w:tc>
        <w:tc>
          <w:tcPr>
            <w:tcW w:w="3889" w:type="dxa"/>
            <w:tcBorders>
              <w:top w:val="nil"/>
              <w:left w:val="nil"/>
              <w:bottom w:val="single" w:sz="4" w:space="0" w:color="auto"/>
              <w:right w:val="single" w:sz="4" w:space="0" w:color="auto"/>
            </w:tcBorders>
            <w:shd w:val="clear" w:color="auto" w:fill="auto"/>
            <w:vAlign w:val="bottom"/>
            <w:hideMark/>
          </w:tcPr>
          <w:p w14:paraId="700D4FC0"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The income statement</w:t>
            </w:r>
          </w:p>
        </w:tc>
      </w:tr>
      <w:tr w:rsidR="00432064" w:rsidRPr="00432064" w14:paraId="5C5016F4" w14:textId="77777777" w:rsidTr="0054598C">
        <w:trPr>
          <w:trHeight w:val="420"/>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6773E7A6"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1217" w:type="dxa"/>
            <w:tcBorders>
              <w:top w:val="nil"/>
              <w:left w:val="nil"/>
              <w:bottom w:val="single" w:sz="4" w:space="0" w:color="auto"/>
              <w:right w:val="single" w:sz="4" w:space="0" w:color="auto"/>
            </w:tcBorders>
            <w:shd w:val="clear" w:color="auto" w:fill="auto"/>
            <w:vAlign w:val="bottom"/>
            <w:hideMark/>
          </w:tcPr>
          <w:p w14:paraId="648AC297"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3889" w:type="dxa"/>
            <w:tcBorders>
              <w:top w:val="nil"/>
              <w:left w:val="nil"/>
              <w:bottom w:val="single" w:sz="4" w:space="0" w:color="auto"/>
              <w:right w:val="single" w:sz="4" w:space="0" w:color="auto"/>
            </w:tcBorders>
            <w:shd w:val="clear" w:color="auto" w:fill="auto"/>
            <w:vAlign w:val="bottom"/>
            <w:hideMark/>
          </w:tcPr>
          <w:p w14:paraId="3A57FB4A"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r>
      <w:tr w:rsidR="00432064" w:rsidRPr="00432064" w14:paraId="5E9F358F" w14:textId="77777777" w:rsidTr="0054598C">
        <w:trPr>
          <w:trHeight w:val="264"/>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078D7D04"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Notes: </w:t>
            </w:r>
          </w:p>
        </w:tc>
        <w:tc>
          <w:tcPr>
            <w:tcW w:w="1217" w:type="dxa"/>
            <w:tcBorders>
              <w:top w:val="nil"/>
              <w:left w:val="nil"/>
              <w:bottom w:val="single" w:sz="4" w:space="0" w:color="auto"/>
              <w:right w:val="single" w:sz="4" w:space="0" w:color="auto"/>
            </w:tcBorders>
            <w:shd w:val="clear" w:color="auto" w:fill="auto"/>
            <w:vAlign w:val="bottom"/>
            <w:hideMark/>
          </w:tcPr>
          <w:p w14:paraId="5A01A4EB"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3889" w:type="dxa"/>
            <w:tcBorders>
              <w:top w:val="nil"/>
              <w:left w:val="nil"/>
              <w:bottom w:val="single" w:sz="4" w:space="0" w:color="auto"/>
              <w:right w:val="single" w:sz="4" w:space="0" w:color="auto"/>
            </w:tcBorders>
            <w:shd w:val="clear" w:color="auto" w:fill="auto"/>
            <w:vAlign w:val="bottom"/>
            <w:hideMark/>
          </w:tcPr>
          <w:p w14:paraId="0C20BA7E"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r>
      <w:tr w:rsidR="00432064" w:rsidRPr="00432064" w14:paraId="630EC980" w14:textId="77777777" w:rsidTr="0054598C">
        <w:trPr>
          <w:trHeight w:val="480"/>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1CD69B39"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1217" w:type="dxa"/>
            <w:tcBorders>
              <w:top w:val="nil"/>
              <w:left w:val="nil"/>
              <w:bottom w:val="single" w:sz="4" w:space="0" w:color="auto"/>
              <w:right w:val="single" w:sz="4" w:space="0" w:color="auto"/>
            </w:tcBorders>
            <w:shd w:val="clear" w:color="auto" w:fill="auto"/>
            <w:vAlign w:val="bottom"/>
            <w:hideMark/>
          </w:tcPr>
          <w:p w14:paraId="700D9F3D"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3889" w:type="dxa"/>
            <w:tcBorders>
              <w:top w:val="nil"/>
              <w:left w:val="nil"/>
              <w:bottom w:val="single" w:sz="4" w:space="0" w:color="auto"/>
              <w:right w:val="single" w:sz="4" w:space="0" w:color="auto"/>
            </w:tcBorders>
            <w:shd w:val="clear" w:color="auto" w:fill="auto"/>
            <w:vAlign w:val="bottom"/>
            <w:hideMark/>
          </w:tcPr>
          <w:p w14:paraId="55A2D694"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r>
      <w:tr w:rsidR="00432064" w:rsidRPr="00432064" w14:paraId="5270BE6E" w14:textId="77777777" w:rsidTr="0054598C">
        <w:trPr>
          <w:trHeight w:val="528"/>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9551641"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 The stock at 31 December 2021 has been valued at</w:t>
            </w:r>
          </w:p>
        </w:tc>
        <w:tc>
          <w:tcPr>
            <w:tcW w:w="1217" w:type="dxa"/>
            <w:tcBorders>
              <w:top w:val="nil"/>
              <w:left w:val="nil"/>
              <w:bottom w:val="single" w:sz="4" w:space="0" w:color="auto"/>
              <w:right w:val="single" w:sz="4" w:space="0" w:color="auto"/>
            </w:tcBorders>
            <w:shd w:val="clear" w:color="auto" w:fill="auto"/>
            <w:vAlign w:val="bottom"/>
            <w:hideMark/>
          </w:tcPr>
          <w:p w14:paraId="6043A4E3"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£25,164.00</w:t>
            </w:r>
          </w:p>
        </w:tc>
        <w:tc>
          <w:tcPr>
            <w:tcW w:w="3889" w:type="dxa"/>
            <w:tcBorders>
              <w:top w:val="nil"/>
              <w:left w:val="nil"/>
              <w:bottom w:val="single" w:sz="4" w:space="0" w:color="auto"/>
              <w:right w:val="single" w:sz="4" w:space="0" w:color="auto"/>
            </w:tcBorders>
            <w:shd w:val="clear" w:color="auto" w:fill="auto"/>
            <w:vAlign w:val="bottom"/>
            <w:hideMark/>
          </w:tcPr>
          <w:p w14:paraId="1E197A2C"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closing inventory (the income statement); Inventories (assets)</w:t>
            </w:r>
          </w:p>
        </w:tc>
      </w:tr>
      <w:tr w:rsidR="00432064" w:rsidRPr="00432064" w14:paraId="1BD18065" w14:textId="77777777" w:rsidTr="0054598C">
        <w:trPr>
          <w:trHeight w:val="528"/>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A4650A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2. A customer has gone into liquidation and will not be able to pay their outstanding debt of </w:t>
            </w:r>
          </w:p>
        </w:tc>
        <w:tc>
          <w:tcPr>
            <w:tcW w:w="1217" w:type="dxa"/>
            <w:tcBorders>
              <w:top w:val="nil"/>
              <w:left w:val="nil"/>
              <w:bottom w:val="single" w:sz="4" w:space="0" w:color="auto"/>
              <w:right w:val="single" w:sz="4" w:space="0" w:color="auto"/>
            </w:tcBorders>
            <w:shd w:val="clear" w:color="auto" w:fill="auto"/>
            <w:vAlign w:val="bottom"/>
            <w:hideMark/>
          </w:tcPr>
          <w:p w14:paraId="06904C6B"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£980.00</w:t>
            </w:r>
          </w:p>
        </w:tc>
        <w:tc>
          <w:tcPr>
            <w:tcW w:w="3889" w:type="dxa"/>
            <w:tcBorders>
              <w:top w:val="nil"/>
              <w:left w:val="nil"/>
              <w:bottom w:val="single" w:sz="4" w:space="0" w:color="auto"/>
              <w:right w:val="single" w:sz="4" w:space="0" w:color="auto"/>
            </w:tcBorders>
            <w:shd w:val="clear" w:color="auto" w:fill="auto"/>
            <w:vAlign w:val="bottom"/>
            <w:hideMark/>
          </w:tcPr>
          <w:p w14:paraId="68D0581F"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336A52AE" w14:textId="77777777" w:rsidTr="0054598C">
        <w:trPr>
          <w:trHeight w:val="528"/>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4F376215"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3. Depreciation is calculated at 30% on the reducing balance basis for the delivery van. </w:t>
            </w:r>
          </w:p>
        </w:tc>
        <w:tc>
          <w:tcPr>
            <w:tcW w:w="1217" w:type="dxa"/>
            <w:tcBorders>
              <w:top w:val="nil"/>
              <w:left w:val="nil"/>
              <w:bottom w:val="single" w:sz="4" w:space="0" w:color="auto"/>
              <w:right w:val="single" w:sz="4" w:space="0" w:color="auto"/>
            </w:tcBorders>
            <w:shd w:val="clear" w:color="auto" w:fill="auto"/>
            <w:vAlign w:val="bottom"/>
            <w:hideMark/>
          </w:tcPr>
          <w:p w14:paraId="1ABA8CBC"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6918</w:t>
            </w:r>
          </w:p>
        </w:tc>
        <w:tc>
          <w:tcPr>
            <w:tcW w:w="3889" w:type="dxa"/>
            <w:tcBorders>
              <w:top w:val="nil"/>
              <w:left w:val="nil"/>
              <w:bottom w:val="single" w:sz="4" w:space="0" w:color="auto"/>
              <w:right w:val="single" w:sz="4" w:space="0" w:color="auto"/>
            </w:tcBorders>
            <w:shd w:val="clear" w:color="auto" w:fill="auto"/>
            <w:vAlign w:val="bottom"/>
            <w:hideMark/>
          </w:tcPr>
          <w:p w14:paraId="01B5B841"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42BEE724" w14:textId="77777777" w:rsidTr="0054598C">
        <w:trPr>
          <w:trHeight w:val="792"/>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10F2B87B"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 4. Depreciation is calculated on the straight line basis at 10% of cost for the shop fittings. It is assumed that the shop fittings will have NIL value at the end of their ten year useful life.</w:t>
            </w:r>
          </w:p>
        </w:tc>
        <w:tc>
          <w:tcPr>
            <w:tcW w:w="1217" w:type="dxa"/>
            <w:tcBorders>
              <w:top w:val="nil"/>
              <w:left w:val="nil"/>
              <w:bottom w:val="single" w:sz="4" w:space="0" w:color="auto"/>
              <w:right w:val="single" w:sz="4" w:space="0" w:color="auto"/>
            </w:tcBorders>
            <w:shd w:val="clear" w:color="auto" w:fill="auto"/>
            <w:vAlign w:val="bottom"/>
            <w:hideMark/>
          </w:tcPr>
          <w:p w14:paraId="4A9BF3F1" w14:textId="77777777" w:rsidR="00432064" w:rsidRPr="00432064" w:rsidRDefault="00432064" w:rsidP="00432064">
            <w:pPr>
              <w:spacing w:after="0" w:line="240" w:lineRule="auto"/>
              <w:jc w:val="right"/>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1220</w:t>
            </w:r>
          </w:p>
        </w:tc>
        <w:tc>
          <w:tcPr>
            <w:tcW w:w="3889" w:type="dxa"/>
            <w:tcBorders>
              <w:top w:val="nil"/>
              <w:left w:val="nil"/>
              <w:bottom w:val="single" w:sz="4" w:space="0" w:color="auto"/>
              <w:right w:val="single" w:sz="4" w:space="0" w:color="auto"/>
            </w:tcBorders>
            <w:shd w:val="clear" w:color="auto" w:fill="auto"/>
            <w:vAlign w:val="bottom"/>
            <w:hideMark/>
          </w:tcPr>
          <w:p w14:paraId="5BEA334D"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expenses, The income statement</w:t>
            </w:r>
          </w:p>
        </w:tc>
      </w:tr>
      <w:tr w:rsidR="00432064" w:rsidRPr="00432064" w14:paraId="6BE2796D" w14:textId="77777777" w:rsidTr="0054598C">
        <w:trPr>
          <w:trHeight w:val="528"/>
        </w:trPr>
        <w:tc>
          <w:tcPr>
            <w:tcW w:w="4832" w:type="dxa"/>
            <w:tcBorders>
              <w:top w:val="nil"/>
              <w:left w:val="single" w:sz="4" w:space="0" w:color="auto"/>
              <w:bottom w:val="single" w:sz="4" w:space="0" w:color="auto"/>
              <w:right w:val="single" w:sz="4" w:space="0" w:color="auto"/>
            </w:tcBorders>
            <w:shd w:val="clear" w:color="auto" w:fill="auto"/>
            <w:vAlign w:val="bottom"/>
            <w:hideMark/>
          </w:tcPr>
          <w:p w14:paraId="30B62593"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xml:space="preserve">  5. There were no acquisitions or disposals of fixed assets during the year.</w:t>
            </w:r>
          </w:p>
        </w:tc>
        <w:tc>
          <w:tcPr>
            <w:tcW w:w="1217" w:type="dxa"/>
            <w:tcBorders>
              <w:top w:val="nil"/>
              <w:left w:val="nil"/>
              <w:bottom w:val="single" w:sz="4" w:space="0" w:color="auto"/>
              <w:right w:val="single" w:sz="4" w:space="0" w:color="auto"/>
            </w:tcBorders>
            <w:shd w:val="clear" w:color="auto" w:fill="auto"/>
            <w:vAlign w:val="bottom"/>
            <w:hideMark/>
          </w:tcPr>
          <w:p w14:paraId="56CC358B"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c>
          <w:tcPr>
            <w:tcW w:w="3889" w:type="dxa"/>
            <w:tcBorders>
              <w:top w:val="nil"/>
              <w:left w:val="nil"/>
              <w:bottom w:val="single" w:sz="4" w:space="0" w:color="auto"/>
              <w:right w:val="single" w:sz="4" w:space="0" w:color="auto"/>
            </w:tcBorders>
            <w:shd w:val="clear" w:color="auto" w:fill="auto"/>
            <w:vAlign w:val="bottom"/>
            <w:hideMark/>
          </w:tcPr>
          <w:p w14:paraId="732EF7B9" w14:textId="77777777" w:rsidR="00432064" w:rsidRPr="00432064" w:rsidRDefault="00432064" w:rsidP="00432064">
            <w:pPr>
              <w:spacing w:after="0" w:line="240" w:lineRule="auto"/>
              <w:rPr>
                <w:rFonts w:ascii="Arial" w:eastAsia="Times New Roman" w:hAnsi="Arial" w:cs="Arial"/>
                <w:color w:val="000000"/>
                <w:sz w:val="20"/>
                <w:szCs w:val="20"/>
                <w:lang w:eastAsia="en-GB"/>
              </w:rPr>
            </w:pPr>
            <w:r w:rsidRPr="00432064">
              <w:rPr>
                <w:rFonts w:ascii="Arial" w:eastAsia="Times New Roman" w:hAnsi="Arial" w:cs="Arial"/>
                <w:color w:val="000000"/>
                <w:sz w:val="20"/>
                <w:szCs w:val="20"/>
                <w:lang w:eastAsia="en-GB"/>
              </w:rPr>
              <w:t> </w:t>
            </w:r>
          </w:p>
        </w:tc>
      </w:tr>
    </w:tbl>
    <w:p w14:paraId="680C4F75" w14:textId="77777777" w:rsidR="00432064" w:rsidRDefault="00432064" w:rsidP="006A2C98">
      <w:pPr>
        <w:spacing w:after="0" w:line="276" w:lineRule="auto"/>
        <w:rPr>
          <w:rFonts w:ascii="Times New Roman" w:hAnsi="Times New Roman" w:cs="Times New Roman"/>
          <w:b/>
          <w:bCs/>
          <w:sz w:val="28"/>
          <w:szCs w:val="28"/>
        </w:rPr>
      </w:pPr>
    </w:p>
    <w:p w14:paraId="33250631" w14:textId="77777777" w:rsidR="00432064" w:rsidRDefault="00432064" w:rsidP="00EB106E">
      <w:pPr>
        <w:spacing w:after="0" w:line="276" w:lineRule="auto"/>
        <w:jc w:val="center"/>
        <w:rPr>
          <w:rFonts w:ascii="Times New Roman" w:hAnsi="Times New Roman" w:cs="Times New Roman"/>
          <w:b/>
          <w:bCs/>
          <w:sz w:val="28"/>
          <w:szCs w:val="28"/>
        </w:rPr>
      </w:pPr>
    </w:p>
    <w:p w14:paraId="648C52ED" w14:textId="77777777" w:rsidR="00432064" w:rsidRDefault="00432064" w:rsidP="00EB106E">
      <w:pPr>
        <w:spacing w:after="0" w:line="276" w:lineRule="auto"/>
        <w:jc w:val="center"/>
        <w:rPr>
          <w:rFonts w:ascii="Times New Roman" w:hAnsi="Times New Roman" w:cs="Times New Roman"/>
          <w:b/>
          <w:bCs/>
          <w:sz w:val="28"/>
          <w:szCs w:val="28"/>
        </w:rPr>
      </w:pPr>
    </w:p>
    <w:p w14:paraId="3BBA01D7" w14:textId="77777777" w:rsidR="00EA181A" w:rsidRDefault="00EA181A" w:rsidP="00EB106E">
      <w:pPr>
        <w:spacing w:after="0" w:line="276" w:lineRule="auto"/>
        <w:jc w:val="center"/>
        <w:rPr>
          <w:rFonts w:ascii="Times New Roman" w:hAnsi="Times New Roman" w:cs="Times New Roman"/>
          <w:b/>
          <w:bCs/>
          <w:sz w:val="28"/>
          <w:szCs w:val="28"/>
        </w:rPr>
      </w:pPr>
    </w:p>
    <w:p w14:paraId="64CAD6E3" w14:textId="77777777" w:rsidR="00432064" w:rsidRDefault="00432064" w:rsidP="00EB106E">
      <w:pPr>
        <w:spacing w:after="0" w:line="276" w:lineRule="auto"/>
        <w:jc w:val="center"/>
        <w:rPr>
          <w:rFonts w:ascii="Times New Roman" w:hAnsi="Times New Roman" w:cs="Times New Roman"/>
          <w:b/>
          <w:bCs/>
          <w:sz w:val="28"/>
          <w:szCs w:val="28"/>
        </w:rPr>
      </w:pPr>
    </w:p>
    <w:p w14:paraId="149D7812" w14:textId="77777777" w:rsidR="003511DE" w:rsidRDefault="003511DE" w:rsidP="00EB106E">
      <w:pPr>
        <w:spacing w:after="0" w:line="276" w:lineRule="auto"/>
        <w:jc w:val="center"/>
        <w:rPr>
          <w:rFonts w:ascii="Times New Roman" w:hAnsi="Times New Roman" w:cs="Times New Roman"/>
          <w:b/>
          <w:bCs/>
          <w:sz w:val="28"/>
          <w:szCs w:val="28"/>
        </w:rPr>
      </w:pPr>
    </w:p>
    <w:tbl>
      <w:tblPr>
        <w:tblW w:w="9100" w:type="dxa"/>
        <w:tblLook w:val="04A0" w:firstRow="1" w:lastRow="0" w:firstColumn="1" w:lastColumn="0" w:noHBand="0" w:noVBand="1"/>
      </w:tblPr>
      <w:tblGrid>
        <w:gridCol w:w="5520"/>
        <w:gridCol w:w="1740"/>
        <w:gridCol w:w="1840"/>
      </w:tblGrid>
      <w:tr w:rsidR="005D0908" w:rsidRPr="005D0908" w14:paraId="47CE15E6" w14:textId="77777777" w:rsidTr="005D0908">
        <w:trPr>
          <w:trHeight w:val="855"/>
        </w:trPr>
        <w:tc>
          <w:tcPr>
            <w:tcW w:w="91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17A97E" w14:textId="77777777" w:rsidR="005D0908" w:rsidRPr="005D0908" w:rsidRDefault="005D0908" w:rsidP="005D0908">
            <w:pPr>
              <w:spacing w:after="0" w:line="240" w:lineRule="auto"/>
              <w:jc w:val="center"/>
              <w:rPr>
                <w:rFonts w:ascii="Arial" w:eastAsia="Times New Roman" w:hAnsi="Arial" w:cs="Arial"/>
                <w:b/>
                <w:bCs/>
                <w:color w:val="000000"/>
                <w:sz w:val="32"/>
                <w:szCs w:val="32"/>
                <w:lang w:eastAsia="en-GB"/>
              </w:rPr>
            </w:pPr>
            <w:r w:rsidRPr="005D0908">
              <w:rPr>
                <w:rFonts w:ascii="Arial" w:eastAsia="Times New Roman" w:hAnsi="Arial" w:cs="Arial"/>
                <w:b/>
                <w:bCs/>
                <w:color w:val="000000"/>
                <w:sz w:val="32"/>
                <w:szCs w:val="32"/>
                <w:lang w:eastAsia="en-GB"/>
              </w:rPr>
              <w:lastRenderedPageBreak/>
              <w:t>#Angela shop#</w:t>
            </w:r>
          </w:p>
        </w:tc>
      </w:tr>
      <w:tr w:rsidR="005D0908" w:rsidRPr="005D0908" w14:paraId="318DEAC8" w14:textId="77777777" w:rsidTr="005D0908">
        <w:trPr>
          <w:trHeight w:val="450"/>
        </w:trPr>
        <w:tc>
          <w:tcPr>
            <w:tcW w:w="91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2AEB33" w14:textId="77777777" w:rsidR="005D0908" w:rsidRPr="005D0908" w:rsidRDefault="005D0908" w:rsidP="005D0908">
            <w:pPr>
              <w:spacing w:after="0" w:line="240" w:lineRule="auto"/>
              <w:jc w:val="center"/>
              <w:rPr>
                <w:rFonts w:ascii="Arial" w:eastAsia="Times New Roman" w:hAnsi="Arial" w:cs="Arial"/>
                <w:b/>
                <w:bCs/>
                <w:color w:val="000000"/>
                <w:sz w:val="32"/>
                <w:szCs w:val="32"/>
                <w:lang w:eastAsia="en-GB"/>
              </w:rPr>
            </w:pPr>
            <w:r w:rsidRPr="005D0908">
              <w:rPr>
                <w:rFonts w:ascii="Arial" w:eastAsia="Times New Roman" w:hAnsi="Arial" w:cs="Arial"/>
                <w:b/>
                <w:bCs/>
                <w:color w:val="000000"/>
                <w:sz w:val="32"/>
                <w:szCs w:val="32"/>
                <w:lang w:eastAsia="en-GB"/>
              </w:rPr>
              <w:t xml:space="preserve">Statement of profit or loss </w:t>
            </w:r>
          </w:p>
        </w:tc>
      </w:tr>
      <w:tr w:rsidR="005D0908" w:rsidRPr="005D0908" w14:paraId="1503CC1C" w14:textId="77777777" w:rsidTr="005D0908">
        <w:trPr>
          <w:trHeight w:val="240"/>
        </w:trPr>
        <w:tc>
          <w:tcPr>
            <w:tcW w:w="91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74B9AC" w14:textId="77777777" w:rsidR="005D0908" w:rsidRPr="005D0908" w:rsidRDefault="005D0908" w:rsidP="005D0908">
            <w:pPr>
              <w:spacing w:after="0" w:line="240" w:lineRule="auto"/>
              <w:jc w:val="center"/>
              <w:rPr>
                <w:rFonts w:ascii="Arial" w:eastAsia="Times New Roman" w:hAnsi="Arial" w:cs="Arial"/>
                <w:b/>
                <w:bCs/>
                <w:color w:val="000000"/>
                <w:sz w:val="18"/>
                <w:szCs w:val="18"/>
                <w:lang w:eastAsia="en-GB"/>
              </w:rPr>
            </w:pPr>
            <w:r w:rsidRPr="005D0908">
              <w:rPr>
                <w:rFonts w:ascii="Arial" w:eastAsia="Times New Roman" w:hAnsi="Arial" w:cs="Arial"/>
                <w:b/>
                <w:bCs/>
                <w:color w:val="000000"/>
                <w:sz w:val="18"/>
                <w:szCs w:val="18"/>
                <w:lang w:eastAsia="en-GB"/>
              </w:rPr>
              <w:t>for the period 1 January 2021 to 31 December 2021</w:t>
            </w:r>
          </w:p>
        </w:tc>
      </w:tr>
      <w:tr w:rsidR="005D0908" w:rsidRPr="005D0908" w14:paraId="3FE26226" w14:textId="77777777" w:rsidTr="005D0908">
        <w:trPr>
          <w:trHeight w:val="360"/>
        </w:trPr>
        <w:tc>
          <w:tcPr>
            <w:tcW w:w="5520" w:type="dxa"/>
            <w:tcBorders>
              <w:top w:val="nil"/>
              <w:left w:val="single" w:sz="4" w:space="0" w:color="auto"/>
              <w:bottom w:val="single" w:sz="4" w:space="0" w:color="auto"/>
              <w:right w:val="single" w:sz="4" w:space="0" w:color="auto"/>
            </w:tcBorders>
            <w:shd w:val="clear" w:color="auto" w:fill="auto"/>
            <w:hideMark/>
          </w:tcPr>
          <w:p w14:paraId="4DBA12BB" w14:textId="77777777" w:rsidR="005D0908" w:rsidRPr="005D0908" w:rsidRDefault="005D0908" w:rsidP="005D0908">
            <w:pPr>
              <w:spacing w:after="0" w:line="240" w:lineRule="auto"/>
              <w:rPr>
                <w:rFonts w:ascii="Arial" w:eastAsia="Times New Roman" w:hAnsi="Arial" w:cs="Arial"/>
                <w:b/>
                <w:bCs/>
                <w:color w:val="000000"/>
                <w:sz w:val="28"/>
                <w:szCs w:val="28"/>
                <w:u w:val="single"/>
                <w:lang w:eastAsia="en-GB"/>
              </w:rPr>
            </w:pPr>
            <w:r w:rsidRPr="005D0908">
              <w:rPr>
                <w:rFonts w:ascii="Arial" w:eastAsia="Times New Roman" w:hAnsi="Arial" w:cs="Arial"/>
                <w:b/>
                <w:bCs/>
                <w:color w:val="000000"/>
                <w:sz w:val="28"/>
                <w:szCs w:val="28"/>
                <w:u w:val="single"/>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766D717D"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5FA7B548"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w:t>
            </w:r>
          </w:p>
        </w:tc>
      </w:tr>
      <w:tr w:rsidR="005D0908" w:rsidRPr="005D0908" w14:paraId="6A4E43BA" w14:textId="77777777" w:rsidTr="005D0908">
        <w:trPr>
          <w:trHeight w:val="375"/>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6ADC2138" w14:textId="121D7AD1"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xml:space="preserve">Sales (Less return </w:t>
            </w:r>
            <w:r w:rsidR="00097AAB">
              <w:rPr>
                <w:rFonts w:ascii="Arial" w:eastAsia="Times New Roman" w:hAnsi="Arial" w:cs="Arial"/>
                <w:color w:val="000000"/>
                <w:sz w:val="18"/>
                <w:szCs w:val="18"/>
                <w:lang w:eastAsia="en-GB"/>
              </w:rPr>
              <w:t>outward</w:t>
            </w:r>
            <w:r w:rsidRPr="005D0908">
              <w:rPr>
                <w:rFonts w:ascii="Arial" w:eastAsia="Times New Roman" w:hAnsi="Arial" w:cs="Arial"/>
                <w:color w:val="000000"/>
                <w:sz w:val="18"/>
                <w:szCs w:val="18"/>
                <w:lang w:eastAsia="en-GB"/>
              </w:rPr>
              <w:t>)</w:t>
            </w:r>
          </w:p>
        </w:tc>
        <w:tc>
          <w:tcPr>
            <w:tcW w:w="1740" w:type="dxa"/>
            <w:tcBorders>
              <w:top w:val="nil"/>
              <w:left w:val="nil"/>
              <w:bottom w:val="single" w:sz="4" w:space="0" w:color="auto"/>
              <w:right w:val="single" w:sz="4" w:space="0" w:color="auto"/>
            </w:tcBorders>
            <w:shd w:val="clear" w:color="auto" w:fill="auto"/>
            <w:vAlign w:val="bottom"/>
            <w:hideMark/>
          </w:tcPr>
          <w:p w14:paraId="19F3643F"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295984F4"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£310,423.00</w:t>
            </w:r>
          </w:p>
        </w:tc>
      </w:tr>
      <w:tr w:rsidR="005D0908" w:rsidRPr="005D0908" w14:paraId="48E69762"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57893486"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Less cost of Sales:</w:t>
            </w:r>
          </w:p>
        </w:tc>
        <w:tc>
          <w:tcPr>
            <w:tcW w:w="1740" w:type="dxa"/>
            <w:tcBorders>
              <w:top w:val="nil"/>
              <w:left w:val="nil"/>
              <w:bottom w:val="single" w:sz="4" w:space="0" w:color="auto"/>
              <w:right w:val="single" w:sz="4" w:space="0" w:color="auto"/>
            </w:tcBorders>
            <w:shd w:val="clear" w:color="auto" w:fill="auto"/>
            <w:vAlign w:val="bottom"/>
            <w:hideMark/>
          </w:tcPr>
          <w:p w14:paraId="45B0DF7B"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2D7A539E"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2D4281F5"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514A7347"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xml:space="preserve">             Opening inventory </w:t>
            </w:r>
          </w:p>
        </w:tc>
        <w:tc>
          <w:tcPr>
            <w:tcW w:w="1740" w:type="dxa"/>
            <w:tcBorders>
              <w:top w:val="nil"/>
              <w:left w:val="nil"/>
              <w:bottom w:val="single" w:sz="4" w:space="0" w:color="auto"/>
              <w:right w:val="single" w:sz="4" w:space="0" w:color="auto"/>
            </w:tcBorders>
            <w:shd w:val="clear" w:color="auto" w:fill="auto"/>
            <w:vAlign w:val="bottom"/>
            <w:hideMark/>
          </w:tcPr>
          <w:p w14:paraId="30353B1E"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£30,222.00</w:t>
            </w:r>
          </w:p>
        </w:tc>
        <w:tc>
          <w:tcPr>
            <w:tcW w:w="1840" w:type="dxa"/>
            <w:tcBorders>
              <w:top w:val="nil"/>
              <w:left w:val="nil"/>
              <w:bottom w:val="single" w:sz="4" w:space="0" w:color="auto"/>
              <w:right w:val="single" w:sz="4" w:space="0" w:color="auto"/>
            </w:tcBorders>
            <w:shd w:val="clear" w:color="auto" w:fill="auto"/>
            <w:hideMark/>
          </w:tcPr>
          <w:p w14:paraId="0529BCF4"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59A90873"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6B805903"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xml:space="preserve">        </w:t>
            </w:r>
            <w:r w:rsidRPr="005D0908">
              <w:rPr>
                <w:rFonts w:ascii="Arial" w:eastAsia="Times New Roman" w:hAnsi="Arial" w:cs="Arial"/>
                <w:b/>
                <w:bCs/>
                <w:color w:val="000000"/>
                <w:sz w:val="18"/>
                <w:szCs w:val="18"/>
                <w:lang w:eastAsia="en-GB"/>
              </w:rPr>
              <w:t xml:space="preserve">+ </w:t>
            </w:r>
            <w:r w:rsidRPr="005D0908">
              <w:rPr>
                <w:rFonts w:ascii="Arial" w:eastAsia="Times New Roman" w:hAnsi="Arial" w:cs="Arial"/>
                <w:color w:val="000000"/>
                <w:sz w:val="18"/>
                <w:szCs w:val="18"/>
                <w:lang w:eastAsia="en-GB"/>
              </w:rPr>
              <w:t xml:space="preserve">  Purchases (+ carriage inwards - returns outward)</w:t>
            </w:r>
          </w:p>
        </w:tc>
        <w:tc>
          <w:tcPr>
            <w:tcW w:w="1740" w:type="dxa"/>
            <w:tcBorders>
              <w:top w:val="nil"/>
              <w:left w:val="nil"/>
              <w:bottom w:val="single" w:sz="4" w:space="0" w:color="auto"/>
              <w:right w:val="single" w:sz="4" w:space="0" w:color="auto"/>
            </w:tcBorders>
            <w:shd w:val="clear" w:color="auto" w:fill="auto"/>
            <w:vAlign w:val="bottom"/>
            <w:hideMark/>
          </w:tcPr>
          <w:p w14:paraId="35E3AD18"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£214,165.00</w:t>
            </w:r>
          </w:p>
        </w:tc>
        <w:tc>
          <w:tcPr>
            <w:tcW w:w="1840" w:type="dxa"/>
            <w:tcBorders>
              <w:top w:val="nil"/>
              <w:left w:val="nil"/>
              <w:bottom w:val="single" w:sz="4" w:space="0" w:color="auto"/>
              <w:right w:val="single" w:sz="4" w:space="0" w:color="auto"/>
            </w:tcBorders>
            <w:shd w:val="clear" w:color="auto" w:fill="auto"/>
            <w:hideMark/>
          </w:tcPr>
          <w:p w14:paraId="7A7445DC"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54F1AFE8"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44B6039C"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xml:space="preserve">       </w:t>
            </w:r>
            <w:r w:rsidRPr="005D0908">
              <w:rPr>
                <w:rFonts w:ascii="Arial" w:eastAsia="Times New Roman" w:hAnsi="Arial" w:cs="Arial"/>
                <w:b/>
                <w:bCs/>
                <w:color w:val="000000"/>
                <w:sz w:val="18"/>
                <w:szCs w:val="18"/>
                <w:lang w:eastAsia="en-GB"/>
              </w:rPr>
              <w:t xml:space="preserve"> -</w:t>
            </w:r>
            <w:r w:rsidRPr="005D0908">
              <w:rPr>
                <w:rFonts w:ascii="Arial" w:eastAsia="Times New Roman" w:hAnsi="Arial" w:cs="Arial"/>
                <w:color w:val="000000"/>
                <w:sz w:val="18"/>
                <w:szCs w:val="18"/>
                <w:lang w:eastAsia="en-GB"/>
              </w:rPr>
              <w:t xml:space="preserve">    Closing inventory</w:t>
            </w:r>
          </w:p>
        </w:tc>
        <w:tc>
          <w:tcPr>
            <w:tcW w:w="1740" w:type="dxa"/>
            <w:tcBorders>
              <w:top w:val="nil"/>
              <w:left w:val="nil"/>
              <w:bottom w:val="single" w:sz="4" w:space="0" w:color="auto"/>
              <w:right w:val="single" w:sz="4" w:space="0" w:color="auto"/>
            </w:tcBorders>
            <w:shd w:val="clear" w:color="auto" w:fill="auto"/>
            <w:vAlign w:val="bottom"/>
            <w:hideMark/>
          </w:tcPr>
          <w:p w14:paraId="15B55DBA" w14:textId="77777777" w:rsidR="005D0908" w:rsidRPr="005D0908" w:rsidRDefault="005D0908" w:rsidP="005D0908">
            <w:pPr>
              <w:spacing w:after="0" w:line="240" w:lineRule="auto"/>
              <w:jc w:val="right"/>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£25,164.00</w:t>
            </w:r>
          </w:p>
        </w:tc>
        <w:tc>
          <w:tcPr>
            <w:tcW w:w="1840" w:type="dxa"/>
            <w:tcBorders>
              <w:top w:val="nil"/>
              <w:left w:val="nil"/>
              <w:bottom w:val="single" w:sz="4" w:space="0" w:color="auto"/>
              <w:right w:val="single" w:sz="4" w:space="0" w:color="auto"/>
            </w:tcBorders>
            <w:shd w:val="clear" w:color="auto" w:fill="auto"/>
            <w:hideMark/>
          </w:tcPr>
          <w:p w14:paraId="69D96B2E"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3807C737"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56F63C35"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3F70B0CB"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613B3908"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£219,223.00</w:t>
            </w:r>
          </w:p>
        </w:tc>
      </w:tr>
      <w:tr w:rsidR="005D0908" w:rsidRPr="005D0908" w14:paraId="60DABE91"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1D72649F"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488AE0DB"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12E11B23"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25494CCA"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42CDAB00" w14:textId="77777777" w:rsidR="005D0908" w:rsidRPr="005D0908" w:rsidRDefault="005D0908" w:rsidP="005D0908">
            <w:pPr>
              <w:spacing w:after="0" w:line="240" w:lineRule="auto"/>
              <w:rPr>
                <w:rFonts w:ascii="Arial" w:eastAsia="Times New Roman" w:hAnsi="Arial" w:cs="Arial"/>
                <w:b/>
                <w:bCs/>
                <w:color w:val="000000"/>
                <w:sz w:val="20"/>
                <w:szCs w:val="20"/>
                <w:lang w:eastAsia="en-GB"/>
              </w:rPr>
            </w:pPr>
            <w:r w:rsidRPr="005D0908">
              <w:rPr>
                <w:rFonts w:ascii="Arial" w:eastAsia="Times New Roman" w:hAnsi="Arial" w:cs="Arial"/>
                <w:b/>
                <w:bCs/>
                <w:color w:val="000000"/>
                <w:sz w:val="20"/>
                <w:szCs w:val="20"/>
                <w:lang w:eastAsia="en-GB"/>
              </w:rPr>
              <w:t>Gross Profit</w:t>
            </w:r>
          </w:p>
        </w:tc>
        <w:tc>
          <w:tcPr>
            <w:tcW w:w="1740" w:type="dxa"/>
            <w:tcBorders>
              <w:top w:val="nil"/>
              <w:left w:val="nil"/>
              <w:bottom w:val="single" w:sz="4" w:space="0" w:color="auto"/>
              <w:right w:val="single" w:sz="4" w:space="0" w:color="auto"/>
            </w:tcBorders>
            <w:shd w:val="clear" w:color="auto" w:fill="auto"/>
            <w:vAlign w:val="bottom"/>
            <w:hideMark/>
          </w:tcPr>
          <w:p w14:paraId="6725EF2C"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35555276"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£91,200.00</w:t>
            </w:r>
          </w:p>
        </w:tc>
      </w:tr>
      <w:tr w:rsidR="005D0908" w:rsidRPr="005D0908" w14:paraId="2EF53165"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0813A5A5"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74C6709F"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7BDB811D"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701FBDCC"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0F74ACE9"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Add other Income</w:t>
            </w:r>
          </w:p>
        </w:tc>
        <w:tc>
          <w:tcPr>
            <w:tcW w:w="1740" w:type="dxa"/>
            <w:tcBorders>
              <w:top w:val="nil"/>
              <w:left w:val="nil"/>
              <w:bottom w:val="single" w:sz="4" w:space="0" w:color="auto"/>
              <w:right w:val="single" w:sz="4" w:space="0" w:color="auto"/>
            </w:tcBorders>
            <w:shd w:val="clear" w:color="auto" w:fill="auto"/>
            <w:vAlign w:val="bottom"/>
            <w:hideMark/>
          </w:tcPr>
          <w:p w14:paraId="0A1A297C"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hideMark/>
          </w:tcPr>
          <w:p w14:paraId="28B62E6C"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r>
      <w:tr w:rsidR="005D0908" w:rsidRPr="005D0908" w14:paraId="21980ED4" w14:textId="77777777" w:rsidTr="005D0908">
        <w:trPr>
          <w:trHeight w:val="375"/>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0CC12FC7" w14:textId="77777777" w:rsidR="005D0908" w:rsidRPr="005D0908" w:rsidRDefault="005D0908" w:rsidP="005D0908">
            <w:pPr>
              <w:spacing w:after="0" w:line="240" w:lineRule="auto"/>
              <w:rPr>
                <w:rFonts w:ascii="Arial" w:eastAsia="Times New Roman" w:hAnsi="Arial" w:cs="Arial"/>
                <w:b/>
                <w:bCs/>
                <w:color w:val="000000"/>
                <w:sz w:val="20"/>
                <w:szCs w:val="20"/>
                <w:lang w:eastAsia="en-GB"/>
              </w:rPr>
            </w:pPr>
            <w:r w:rsidRPr="005D0908">
              <w:rPr>
                <w:rFonts w:ascii="Arial" w:eastAsia="Times New Roman" w:hAnsi="Arial" w:cs="Arial"/>
                <w:b/>
                <w:bCs/>
                <w:color w:val="000000"/>
                <w:sz w:val="20"/>
                <w:szCs w:val="20"/>
                <w:lang w:eastAsia="en-GB"/>
              </w:rPr>
              <w:t>Total Income</w:t>
            </w:r>
          </w:p>
        </w:tc>
        <w:tc>
          <w:tcPr>
            <w:tcW w:w="1740" w:type="dxa"/>
            <w:tcBorders>
              <w:top w:val="nil"/>
              <w:left w:val="nil"/>
              <w:bottom w:val="single" w:sz="4" w:space="0" w:color="auto"/>
              <w:right w:val="single" w:sz="4" w:space="0" w:color="auto"/>
            </w:tcBorders>
            <w:shd w:val="clear" w:color="auto" w:fill="auto"/>
            <w:vAlign w:val="bottom"/>
            <w:hideMark/>
          </w:tcPr>
          <w:p w14:paraId="6A5291B9"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7CAD5B64"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£91,200.00</w:t>
            </w:r>
          </w:p>
        </w:tc>
      </w:tr>
      <w:tr w:rsidR="005D0908" w:rsidRPr="005D0908" w14:paraId="560AC52B" w14:textId="77777777" w:rsidTr="005D0908">
        <w:trPr>
          <w:trHeight w:val="375"/>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617DAC76"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2D4E15B7"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27A3E812"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4DB9B0B9" w14:textId="77777777" w:rsidTr="005D0908">
        <w:trPr>
          <w:trHeight w:val="360"/>
        </w:trPr>
        <w:tc>
          <w:tcPr>
            <w:tcW w:w="5520" w:type="dxa"/>
            <w:tcBorders>
              <w:top w:val="nil"/>
              <w:left w:val="single" w:sz="4" w:space="0" w:color="auto"/>
              <w:bottom w:val="single" w:sz="4" w:space="0" w:color="auto"/>
              <w:right w:val="single" w:sz="4" w:space="0" w:color="auto"/>
            </w:tcBorders>
            <w:shd w:val="clear" w:color="auto" w:fill="auto"/>
            <w:hideMark/>
          </w:tcPr>
          <w:p w14:paraId="763AD929" w14:textId="77777777" w:rsidR="005D0908" w:rsidRPr="005D0908" w:rsidRDefault="005D0908" w:rsidP="005D0908">
            <w:pPr>
              <w:spacing w:after="0" w:line="240" w:lineRule="auto"/>
              <w:rPr>
                <w:rFonts w:ascii="Arial" w:eastAsia="Times New Roman" w:hAnsi="Arial" w:cs="Arial"/>
                <w:b/>
                <w:bCs/>
                <w:color w:val="000000"/>
                <w:sz w:val="28"/>
                <w:szCs w:val="28"/>
                <w:u w:val="single"/>
                <w:lang w:eastAsia="en-GB"/>
              </w:rPr>
            </w:pPr>
            <w:r w:rsidRPr="005D0908">
              <w:rPr>
                <w:rFonts w:ascii="Arial" w:eastAsia="Times New Roman" w:hAnsi="Arial" w:cs="Arial"/>
                <w:b/>
                <w:bCs/>
                <w:color w:val="000000"/>
                <w:sz w:val="28"/>
                <w:szCs w:val="28"/>
                <w:u w:val="single"/>
                <w:lang w:eastAsia="en-GB"/>
              </w:rPr>
              <w:t>Expenses</w:t>
            </w:r>
          </w:p>
        </w:tc>
        <w:tc>
          <w:tcPr>
            <w:tcW w:w="1740" w:type="dxa"/>
            <w:tcBorders>
              <w:top w:val="nil"/>
              <w:left w:val="nil"/>
              <w:bottom w:val="single" w:sz="4" w:space="0" w:color="auto"/>
              <w:right w:val="single" w:sz="4" w:space="0" w:color="auto"/>
            </w:tcBorders>
            <w:shd w:val="clear" w:color="auto" w:fill="auto"/>
            <w:vAlign w:val="bottom"/>
            <w:hideMark/>
          </w:tcPr>
          <w:p w14:paraId="4AA9F23B"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74BE907B"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08801AC4" w14:textId="77777777" w:rsidTr="005D0908">
        <w:trPr>
          <w:trHeight w:val="375"/>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67BD94BA"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Rental and insurance costs</w:t>
            </w:r>
          </w:p>
        </w:tc>
        <w:tc>
          <w:tcPr>
            <w:tcW w:w="1740" w:type="dxa"/>
            <w:tcBorders>
              <w:top w:val="nil"/>
              <w:left w:val="nil"/>
              <w:bottom w:val="single" w:sz="4" w:space="0" w:color="auto"/>
              <w:right w:val="single" w:sz="4" w:space="0" w:color="auto"/>
            </w:tcBorders>
            <w:shd w:val="clear" w:color="auto" w:fill="auto"/>
            <w:noWrap/>
            <w:vAlign w:val="bottom"/>
            <w:hideMark/>
          </w:tcPr>
          <w:p w14:paraId="6EFF9682"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£19,200.00</w:t>
            </w:r>
          </w:p>
        </w:tc>
        <w:tc>
          <w:tcPr>
            <w:tcW w:w="1840" w:type="dxa"/>
            <w:tcBorders>
              <w:top w:val="nil"/>
              <w:left w:val="nil"/>
              <w:bottom w:val="single" w:sz="4" w:space="0" w:color="auto"/>
              <w:right w:val="single" w:sz="4" w:space="0" w:color="auto"/>
            </w:tcBorders>
            <w:shd w:val="clear" w:color="auto" w:fill="auto"/>
            <w:vAlign w:val="bottom"/>
            <w:hideMark/>
          </w:tcPr>
          <w:p w14:paraId="5E3DEB7E"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0300E29E"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358F8A73"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Administration expenses</w:t>
            </w:r>
          </w:p>
        </w:tc>
        <w:tc>
          <w:tcPr>
            <w:tcW w:w="1740" w:type="dxa"/>
            <w:tcBorders>
              <w:top w:val="nil"/>
              <w:left w:val="nil"/>
              <w:bottom w:val="single" w:sz="4" w:space="0" w:color="auto"/>
              <w:right w:val="single" w:sz="4" w:space="0" w:color="auto"/>
            </w:tcBorders>
            <w:shd w:val="clear" w:color="auto" w:fill="auto"/>
            <w:hideMark/>
          </w:tcPr>
          <w:p w14:paraId="5EBF2EEC"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£2,772.00</w:t>
            </w:r>
          </w:p>
        </w:tc>
        <w:tc>
          <w:tcPr>
            <w:tcW w:w="1840" w:type="dxa"/>
            <w:tcBorders>
              <w:top w:val="nil"/>
              <w:left w:val="nil"/>
              <w:bottom w:val="single" w:sz="4" w:space="0" w:color="auto"/>
              <w:right w:val="single" w:sz="4" w:space="0" w:color="auto"/>
            </w:tcBorders>
            <w:shd w:val="clear" w:color="auto" w:fill="auto"/>
            <w:vAlign w:val="bottom"/>
            <w:hideMark/>
          </w:tcPr>
          <w:p w14:paraId="67780912"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54D13D21"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54026A2A"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Sundry expenses</w:t>
            </w:r>
          </w:p>
        </w:tc>
        <w:tc>
          <w:tcPr>
            <w:tcW w:w="1740" w:type="dxa"/>
            <w:tcBorders>
              <w:top w:val="nil"/>
              <w:left w:val="nil"/>
              <w:bottom w:val="single" w:sz="4" w:space="0" w:color="auto"/>
              <w:right w:val="single" w:sz="4" w:space="0" w:color="auto"/>
            </w:tcBorders>
            <w:shd w:val="clear" w:color="auto" w:fill="auto"/>
            <w:hideMark/>
          </w:tcPr>
          <w:p w14:paraId="7BAFB1E3"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£2,250.00</w:t>
            </w:r>
          </w:p>
        </w:tc>
        <w:tc>
          <w:tcPr>
            <w:tcW w:w="1840" w:type="dxa"/>
            <w:tcBorders>
              <w:top w:val="nil"/>
              <w:left w:val="nil"/>
              <w:bottom w:val="single" w:sz="4" w:space="0" w:color="auto"/>
              <w:right w:val="single" w:sz="4" w:space="0" w:color="auto"/>
            </w:tcBorders>
            <w:shd w:val="clear" w:color="auto" w:fill="auto"/>
            <w:vAlign w:val="bottom"/>
            <w:hideMark/>
          </w:tcPr>
          <w:p w14:paraId="1E484023"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48ADB372"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7A230096"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Salaries and wages</w:t>
            </w:r>
          </w:p>
        </w:tc>
        <w:tc>
          <w:tcPr>
            <w:tcW w:w="1740" w:type="dxa"/>
            <w:tcBorders>
              <w:top w:val="nil"/>
              <w:left w:val="nil"/>
              <w:bottom w:val="single" w:sz="4" w:space="0" w:color="auto"/>
              <w:right w:val="single" w:sz="4" w:space="0" w:color="auto"/>
            </w:tcBorders>
            <w:shd w:val="clear" w:color="auto" w:fill="auto"/>
            <w:hideMark/>
          </w:tcPr>
          <w:p w14:paraId="2BDA8663"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£35,804.00</w:t>
            </w:r>
          </w:p>
        </w:tc>
        <w:tc>
          <w:tcPr>
            <w:tcW w:w="1840" w:type="dxa"/>
            <w:tcBorders>
              <w:top w:val="nil"/>
              <w:left w:val="nil"/>
              <w:bottom w:val="single" w:sz="4" w:space="0" w:color="auto"/>
              <w:right w:val="single" w:sz="4" w:space="0" w:color="auto"/>
            </w:tcBorders>
            <w:shd w:val="clear" w:color="auto" w:fill="auto"/>
            <w:vAlign w:val="bottom"/>
            <w:hideMark/>
          </w:tcPr>
          <w:p w14:paraId="79623C3C"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5DF79F09"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4AC9FAC0"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Bad debt</w:t>
            </w:r>
          </w:p>
        </w:tc>
        <w:tc>
          <w:tcPr>
            <w:tcW w:w="1740" w:type="dxa"/>
            <w:tcBorders>
              <w:top w:val="nil"/>
              <w:left w:val="nil"/>
              <w:bottom w:val="single" w:sz="4" w:space="0" w:color="auto"/>
              <w:right w:val="single" w:sz="4" w:space="0" w:color="auto"/>
            </w:tcBorders>
            <w:shd w:val="clear" w:color="auto" w:fill="auto"/>
            <w:hideMark/>
          </w:tcPr>
          <w:p w14:paraId="41A56587"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£980.00</w:t>
            </w:r>
          </w:p>
        </w:tc>
        <w:tc>
          <w:tcPr>
            <w:tcW w:w="1840" w:type="dxa"/>
            <w:tcBorders>
              <w:top w:val="nil"/>
              <w:left w:val="nil"/>
              <w:bottom w:val="single" w:sz="4" w:space="0" w:color="auto"/>
              <w:right w:val="single" w:sz="4" w:space="0" w:color="auto"/>
            </w:tcBorders>
            <w:shd w:val="clear" w:color="auto" w:fill="auto"/>
            <w:vAlign w:val="bottom"/>
            <w:hideMark/>
          </w:tcPr>
          <w:p w14:paraId="0134B45A"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58C42044"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7F9CFAE7"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Depreciation</w:t>
            </w:r>
          </w:p>
        </w:tc>
        <w:tc>
          <w:tcPr>
            <w:tcW w:w="1740" w:type="dxa"/>
            <w:tcBorders>
              <w:top w:val="nil"/>
              <w:left w:val="nil"/>
              <w:bottom w:val="single" w:sz="4" w:space="0" w:color="auto"/>
              <w:right w:val="single" w:sz="4" w:space="0" w:color="auto"/>
            </w:tcBorders>
            <w:shd w:val="clear" w:color="auto" w:fill="auto"/>
            <w:hideMark/>
          </w:tcPr>
          <w:p w14:paraId="44526508"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£8,138.00</w:t>
            </w:r>
          </w:p>
        </w:tc>
        <w:tc>
          <w:tcPr>
            <w:tcW w:w="1840" w:type="dxa"/>
            <w:tcBorders>
              <w:top w:val="nil"/>
              <w:left w:val="nil"/>
              <w:bottom w:val="single" w:sz="4" w:space="0" w:color="auto"/>
              <w:right w:val="single" w:sz="4" w:space="0" w:color="auto"/>
            </w:tcBorders>
            <w:shd w:val="clear" w:color="auto" w:fill="auto"/>
            <w:vAlign w:val="bottom"/>
            <w:hideMark/>
          </w:tcPr>
          <w:p w14:paraId="27FABA27"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677B5751"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7716B015" w14:textId="77777777" w:rsidR="005D0908" w:rsidRPr="005D0908" w:rsidRDefault="005D0908" w:rsidP="005D0908">
            <w:pPr>
              <w:spacing w:after="0" w:line="240" w:lineRule="auto"/>
              <w:rPr>
                <w:rFonts w:ascii="Arial" w:eastAsia="Times New Roman" w:hAnsi="Arial" w:cs="Arial"/>
                <w:b/>
                <w:bCs/>
                <w:color w:val="000000"/>
                <w:sz w:val="20"/>
                <w:szCs w:val="20"/>
                <w:lang w:eastAsia="en-GB"/>
              </w:rPr>
            </w:pPr>
            <w:r w:rsidRPr="005D0908">
              <w:rPr>
                <w:rFonts w:ascii="Arial" w:eastAsia="Times New Roman" w:hAnsi="Arial" w:cs="Arial"/>
                <w:b/>
                <w:bCs/>
                <w:color w:val="000000"/>
                <w:sz w:val="20"/>
                <w:szCs w:val="20"/>
                <w:lang w:eastAsia="en-GB"/>
              </w:rPr>
              <w:t>Total Expenses</w:t>
            </w:r>
          </w:p>
        </w:tc>
        <w:tc>
          <w:tcPr>
            <w:tcW w:w="1740" w:type="dxa"/>
            <w:tcBorders>
              <w:top w:val="nil"/>
              <w:left w:val="nil"/>
              <w:bottom w:val="single" w:sz="4" w:space="0" w:color="auto"/>
              <w:right w:val="single" w:sz="4" w:space="0" w:color="auto"/>
            </w:tcBorders>
            <w:shd w:val="clear" w:color="auto" w:fill="auto"/>
            <w:vAlign w:val="bottom"/>
            <w:hideMark/>
          </w:tcPr>
          <w:p w14:paraId="3C6E1E99"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6798AEEB" w14:textId="77777777" w:rsidR="005D0908" w:rsidRPr="005D0908" w:rsidRDefault="005D0908" w:rsidP="005D0908">
            <w:pPr>
              <w:spacing w:after="0" w:line="240" w:lineRule="auto"/>
              <w:jc w:val="right"/>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£69,144.00</w:t>
            </w:r>
          </w:p>
        </w:tc>
      </w:tr>
      <w:tr w:rsidR="005D0908" w:rsidRPr="005D0908" w14:paraId="5875231F"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hideMark/>
          </w:tcPr>
          <w:p w14:paraId="01D1B87D" w14:textId="77777777" w:rsidR="005D0908" w:rsidRPr="005D0908" w:rsidRDefault="005D0908" w:rsidP="005D0908">
            <w:pPr>
              <w:spacing w:after="0" w:line="240" w:lineRule="auto"/>
              <w:rPr>
                <w:rFonts w:ascii="Arial" w:eastAsia="Times New Roman" w:hAnsi="Arial" w:cs="Arial"/>
                <w:color w:val="000000"/>
                <w:sz w:val="18"/>
                <w:szCs w:val="18"/>
                <w:lang w:eastAsia="en-GB"/>
              </w:rPr>
            </w:pPr>
            <w:r w:rsidRPr="005D0908">
              <w:rPr>
                <w:rFonts w:ascii="Arial" w:eastAsia="Times New Roman" w:hAnsi="Arial" w:cs="Arial"/>
                <w:color w:val="000000"/>
                <w:sz w:val="18"/>
                <w:szCs w:val="18"/>
                <w:lang w:eastAsia="en-GB"/>
              </w:rPr>
              <w:t> </w:t>
            </w:r>
          </w:p>
        </w:tc>
        <w:tc>
          <w:tcPr>
            <w:tcW w:w="1740" w:type="dxa"/>
            <w:tcBorders>
              <w:top w:val="nil"/>
              <w:left w:val="nil"/>
              <w:bottom w:val="single" w:sz="4" w:space="0" w:color="auto"/>
              <w:right w:val="single" w:sz="4" w:space="0" w:color="auto"/>
            </w:tcBorders>
            <w:shd w:val="clear" w:color="auto" w:fill="auto"/>
            <w:vAlign w:val="bottom"/>
            <w:hideMark/>
          </w:tcPr>
          <w:p w14:paraId="659F42C3"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29D12B41"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r>
      <w:tr w:rsidR="005D0908" w:rsidRPr="005D0908" w14:paraId="3B556233" w14:textId="77777777" w:rsidTr="005D0908">
        <w:trPr>
          <w:trHeight w:val="240"/>
        </w:trPr>
        <w:tc>
          <w:tcPr>
            <w:tcW w:w="5520" w:type="dxa"/>
            <w:tcBorders>
              <w:top w:val="nil"/>
              <w:left w:val="single" w:sz="4" w:space="0" w:color="auto"/>
              <w:bottom w:val="single" w:sz="4" w:space="0" w:color="auto"/>
              <w:right w:val="single" w:sz="4" w:space="0" w:color="auto"/>
            </w:tcBorders>
            <w:shd w:val="clear" w:color="auto" w:fill="auto"/>
            <w:vAlign w:val="bottom"/>
            <w:hideMark/>
          </w:tcPr>
          <w:p w14:paraId="20D1332E" w14:textId="77777777" w:rsidR="005D0908" w:rsidRPr="005D0908" w:rsidRDefault="005D0908" w:rsidP="005D0908">
            <w:pPr>
              <w:spacing w:after="0" w:line="240" w:lineRule="auto"/>
              <w:rPr>
                <w:rFonts w:ascii="Arial" w:eastAsia="Times New Roman" w:hAnsi="Arial" w:cs="Arial"/>
                <w:b/>
                <w:bCs/>
                <w:color w:val="000000"/>
                <w:sz w:val="24"/>
                <w:szCs w:val="24"/>
                <w:lang w:eastAsia="en-GB"/>
              </w:rPr>
            </w:pPr>
            <w:r w:rsidRPr="005D0908">
              <w:rPr>
                <w:rFonts w:ascii="Arial" w:eastAsia="Times New Roman" w:hAnsi="Arial" w:cs="Arial"/>
                <w:b/>
                <w:bCs/>
                <w:color w:val="000000"/>
                <w:sz w:val="24"/>
                <w:szCs w:val="24"/>
                <w:lang w:eastAsia="en-GB"/>
              </w:rPr>
              <w:t>Net Profit / (Loss)</w:t>
            </w:r>
          </w:p>
        </w:tc>
        <w:tc>
          <w:tcPr>
            <w:tcW w:w="1740" w:type="dxa"/>
            <w:tcBorders>
              <w:top w:val="nil"/>
              <w:left w:val="nil"/>
              <w:bottom w:val="single" w:sz="4" w:space="0" w:color="auto"/>
              <w:right w:val="single" w:sz="4" w:space="0" w:color="auto"/>
            </w:tcBorders>
            <w:shd w:val="clear" w:color="auto" w:fill="auto"/>
            <w:vAlign w:val="bottom"/>
            <w:hideMark/>
          </w:tcPr>
          <w:p w14:paraId="14A53A2A" w14:textId="77777777" w:rsidR="005D0908" w:rsidRPr="005D0908" w:rsidRDefault="005D0908" w:rsidP="005D0908">
            <w:pPr>
              <w:spacing w:after="0" w:line="240" w:lineRule="auto"/>
              <w:rPr>
                <w:rFonts w:ascii="Arial" w:eastAsia="Times New Roman" w:hAnsi="Arial" w:cs="Arial"/>
                <w:color w:val="000000"/>
                <w:sz w:val="20"/>
                <w:szCs w:val="20"/>
                <w:lang w:eastAsia="en-GB"/>
              </w:rPr>
            </w:pPr>
            <w:r w:rsidRPr="005D0908">
              <w:rPr>
                <w:rFonts w:ascii="Arial" w:eastAsia="Times New Roman" w:hAnsi="Arial" w:cs="Arial"/>
                <w:color w:val="000000"/>
                <w:sz w:val="20"/>
                <w:szCs w:val="20"/>
                <w:lang w:eastAsia="en-GB"/>
              </w:rPr>
              <w:t> </w:t>
            </w:r>
          </w:p>
        </w:tc>
        <w:tc>
          <w:tcPr>
            <w:tcW w:w="1840" w:type="dxa"/>
            <w:tcBorders>
              <w:top w:val="nil"/>
              <w:left w:val="nil"/>
              <w:bottom w:val="single" w:sz="4" w:space="0" w:color="auto"/>
              <w:right w:val="single" w:sz="4" w:space="0" w:color="auto"/>
            </w:tcBorders>
            <w:shd w:val="clear" w:color="auto" w:fill="auto"/>
            <w:vAlign w:val="bottom"/>
            <w:hideMark/>
          </w:tcPr>
          <w:p w14:paraId="21B5178E" w14:textId="77777777" w:rsidR="005D0908" w:rsidRPr="005D0908" w:rsidRDefault="005D0908" w:rsidP="005D0908">
            <w:pPr>
              <w:spacing w:after="0" w:line="240" w:lineRule="auto"/>
              <w:jc w:val="right"/>
              <w:rPr>
                <w:rFonts w:ascii="Arial" w:eastAsia="Times New Roman" w:hAnsi="Arial" w:cs="Arial"/>
                <w:b/>
                <w:bCs/>
                <w:color w:val="000000"/>
                <w:sz w:val="20"/>
                <w:szCs w:val="20"/>
                <w:lang w:eastAsia="en-GB"/>
              </w:rPr>
            </w:pPr>
            <w:r w:rsidRPr="005D0908">
              <w:rPr>
                <w:rFonts w:ascii="Arial" w:eastAsia="Times New Roman" w:hAnsi="Arial" w:cs="Arial"/>
                <w:b/>
                <w:bCs/>
                <w:color w:val="000000"/>
                <w:sz w:val="20"/>
                <w:szCs w:val="20"/>
                <w:lang w:eastAsia="en-GB"/>
              </w:rPr>
              <w:t>£22,056.00</w:t>
            </w:r>
          </w:p>
        </w:tc>
      </w:tr>
    </w:tbl>
    <w:p w14:paraId="322FCF30" w14:textId="77777777" w:rsidR="003511DE" w:rsidRDefault="003511DE" w:rsidP="00EB106E">
      <w:pPr>
        <w:spacing w:after="0" w:line="276" w:lineRule="auto"/>
        <w:jc w:val="center"/>
        <w:rPr>
          <w:rFonts w:ascii="Times New Roman" w:hAnsi="Times New Roman" w:cs="Times New Roman"/>
          <w:b/>
          <w:bCs/>
          <w:sz w:val="28"/>
          <w:szCs w:val="28"/>
        </w:rPr>
      </w:pPr>
    </w:p>
    <w:p w14:paraId="0BCBE498" w14:textId="77777777" w:rsidR="003511DE" w:rsidRDefault="003511DE" w:rsidP="00EB106E">
      <w:pPr>
        <w:spacing w:after="0" w:line="276" w:lineRule="auto"/>
        <w:jc w:val="center"/>
        <w:rPr>
          <w:rFonts w:ascii="Times New Roman" w:hAnsi="Times New Roman" w:cs="Times New Roman"/>
          <w:b/>
          <w:bCs/>
          <w:sz w:val="28"/>
          <w:szCs w:val="28"/>
        </w:rPr>
      </w:pPr>
    </w:p>
    <w:p w14:paraId="226B4A82" w14:textId="77777777" w:rsidR="003511DE" w:rsidRDefault="003511DE" w:rsidP="00EB106E">
      <w:pPr>
        <w:spacing w:after="0" w:line="276" w:lineRule="auto"/>
        <w:jc w:val="center"/>
        <w:rPr>
          <w:rFonts w:ascii="Times New Roman" w:hAnsi="Times New Roman" w:cs="Times New Roman"/>
          <w:b/>
          <w:bCs/>
          <w:sz w:val="28"/>
          <w:szCs w:val="28"/>
        </w:rPr>
      </w:pPr>
    </w:p>
    <w:p w14:paraId="3348A47D" w14:textId="77777777" w:rsidR="003511DE" w:rsidRDefault="003511DE" w:rsidP="00EB106E">
      <w:pPr>
        <w:spacing w:after="0" w:line="276" w:lineRule="auto"/>
        <w:jc w:val="center"/>
        <w:rPr>
          <w:rFonts w:ascii="Times New Roman" w:hAnsi="Times New Roman" w:cs="Times New Roman"/>
          <w:b/>
          <w:bCs/>
          <w:sz w:val="28"/>
          <w:szCs w:val="28"/>
        </w:rPr>
      </w:pPr>
    </w:p>
    <w:p w14:paraId="64D064AE" w14:textId="77777777" w:rsidR="003511DE" w:rsidRDefault="003511DE" w:rsidP="00EB106E">
      <w:pPr>
        <w:spacing w:after="0" w:line="276" w:lineRule="auto"/>
        <w:jc w:val="center"/>
        <w:rPr>
          <w:rFonts w:ascii="Times New Roman" w:hAnsi="Times New Roman" w:cs="Times New Roman"/>
          <w:b/>
          <w:bCs/>
          <w:sz w:val="28"/>
          <w:szCs w:val="28"/>
        </w:rPr>
      </w:pPr>
    </w:p>
    <w:p w14:paraId="61F7E629" w14:textId="77777777" w:rsidR="003511DE" w:rsidRDefault="003511DE" w:rsidP="00EB106E">
      <w:pPr>
        <w:spacing w:after="0" w:line="276" w:lineRule="auto"/>
        <w:jc w:val="center"/>
        <w:rPr>
          <w:rFonts w:ascii="Times New Roman" w:hAnsi="Times New Roman" w:cs="Times New Roman"/>
          <w:b/>
          <w:bCs/>
          <w:sz w:val="28"/>
          <w:szCs w:val="28"/>
        </w:rPr>
      </w:pPr>
    </w:p>
    <w:p w14:paraId="51BE25B8" w14:textId="77777777" w:rsidR="003511DE" w:rsidRDefault="003511DE" w:rsidP="00EB106E">
      <w:pPr>
        <w:spacing w:after="0" w:line="276" w:lineRule="auto"/>
        <w:jc w:val="center"/>
        <w:rPr>
          <w:rFonts w:ascii="Times New Roman" w:hAnsi="Times New Roman" w:cs="Times New Roman"/>
          <w:b/>
          <w:bCs/>
          <w:sz w:val="28"/>
          <w:szCs w:val="28"/>
        </w:rPr>
      </w:pPr>
    </w:p>
    <w:p w14:paraId="06981F9A" w14:textId="77777777" w:rsidR="00C249D0" w:rsidRDefault="00C249D0" w:rsidP="00EB106E">
      <w:pPr>
        <w:spacing w:after="0" w:line="276" w:lineRule="auto"/>
        <w:jc w:val="center"/>
        <w:rPr>
          <w:rFonts w:ascii="Times New Roman" w:hAnsi="Times New Roman" w:cs="Times New Roman"/>
          <w:b/>
          <w:bCs/>
          <w:sz w:val="28"/>
          <w:szCs w:val="28"/>
        </w:rPr>
      </w:pPr>
    </w:p>
    <w:p w14:paraId="62BA9142" w14:textId="77777777" w:rsidR="00C249D0" w:rsidRDefault="00C249D0" w:rsidP="00EB106E">
      <w:pPr>
        <w:spacing w:after="0" w:line="276" w:lineRule="auto"/>
        <w:jc w:val="center"/>
        <w:rPr>
          <w:rFonts w:ascii="Times New Roman" w:hAnsi="Times New Roman" w:cs="Times New Roman"/>
          <w:b/>
          <w:bCs/>
          <w:sz w:val="28"/>
          <w:szCs w:val="28"/>
        </w:rPr>
      </w:pPr>
    </w:p>
    <w:p w14:paraId="48440934" w14:textId="77777777" w:rsidR="00C249D0" w:rsidRDefault="00C249D0" w:rsidP="00EB106E">
      <w:pPr>
        <w:spacing w:after="0" w:line="276" w:lineRule="auto"/>
        <w:jc w:val="center"/>
        <w:rPr>
          <w:rFonts w:ascii="Times New Roman" w:hAnsi="Times New Roman" w:cs="Times New Roman"/>
          <w:b/>
          <w:bCs/>
          <w:sz w:val="28"/>
          <w:szCs w:val="28"/>
        </w:rPr>
      </w:pPr>
    </w:p>
    <w:p w14:paraId="5B7441AC" w14:textId="77777777" w:rsidR="00C249D0" w:rsidRDefault="00C249D0" w:rsidP="00EB106E">
      <w:pPr>
        <w:spacing w:after="0" w:line="276" w:lineRule="auto"/>
        <w:jc w:val="center"/>
        <w:rPr>
          <w:rFonts w:ascii="Times New Roman" w:hAnsi="Times New Roman" w:cs="Times New Roman"/>
          <w:b/>
          <w:bCs/>
          <w:sz w:val="28"/>
          <w:szCs w:val="28"/>
        </w:rPr>
      </w:pPr>
    </w:p>
    <w:p w14:paraId="26E42CEF" w14:textId="77777777" w:rsidR="003511DE" w:rsidRDefault="003511DE" w:rsidP="00EB106E">
      <w:pPr>
        <w:spacing w:after="0" w:line="276" w:lineRule="auto"/>
        <w:jc w:val="center"/>
        <w:rPr>
          <w:rFonts w:ascii="Times New Roman" w:hAnsi="Times New Roman" w:cs="Times New Roman"/>
          <w:b/>
          <w:bCs/>
          <w:sz w:val="28"/>
          <w:szCs w:val="28"/>
        </w:rPr>
      </w:pPr>
    </w:p>
    <w:p w14:paraId="02DB85AA" w14:textId="77777777" w:rsidR="003511DE" w:rsidRDefault="003511DE" w:rsidP="00EB106E">
      <w:pPr>
        <w:spacing w:after="0" w:line="276" w:lineRule="auto"/>
        <w:jc w:val="center"/>
        <w:rPr>
          <w:rFonts w:ascii="Times New Roman" w:hAnsi="Times New Roman" w:cs="Times New Roman"/>
          <w:b/>
          <w:bCs/>
          <w:sz w:val="28"/>
          <w:szCs w:val="28"/>
        </w:rPr>
      </w:pPr>
    </w:p>
    <w:p w14:paraId="2B9C2794" w14:textId="77777777" w:rsidR="003511DE" w:rsidRDefault="003511DE" w:rsidP="00EB106E">
      <w:pPr>
        <w:spacing w:after="0" w:line="276" w:lineRule="auto"/>
        <w:jc w:val="center"/>
        <w:rPr>
          <w:rFonts w:ascii="Times New Roman" w:hAnsi="Times New Roman" w:cs="Times New Roman"/>
          <w:b/>
          <w:bCs/>
          <w:sz w:val="28"/>
          <w:szCs w:val="28"/>
        </w:rPr>
      </w:pPr>
    </w:p>
    <w:p w14:paraId="7017FFC3" w14:textId="77777777" w:rsidR="003511DE" w:rsidRDefault="003511DE" w:rsidP="006A2C98">
      <w:pPr>
        <w:spacing w:after="0" w:line="276" w:lineRule="auto"/>
        <w:rPr>
          <w:rFonts w:ascii="Times New Roman" w:hAnsi="Times New Roman" w:cs="Times New Roman"/>
          <w:b/>
          <w:bCs/>
          <w:sz w:val="28"/>
          <w:szCs w:val="28"/>
        </w:rPr>
      </w:pPr>
    </w:p>
    <w:tbl>
      <w:tblPr>
        <w:tblW w:w="7120" w:type="dxa"/>
        <w:tblInd w:w="944" w:type="dxa"/>
        <w:tblLook w:val="04A0" w:firstRow="1" w:lastRow="0" w:firstColumn="1" w:lastColumn="0" w:noHBand="0" w:noVBand="1"/>
      </w:tblPr>
      <w:tblGrid>
        <w:gridCol w:w="4994"/>
        <w:gridCol w:w="2126"/>
      </w:tblGrid>
      <w:tr w:rsidR="006C13C6" w:rsidRPr="006C13C6" w14:paraId="4F8BA6C9" w14:textId="77777777" w:rsidTr="006A2C98">
        <w:trPr>
          <w:trHeight w:val="312"/>
        </w:trPr>
        <w:tc>
          <w:tcPr>
            <w:tcW w:w="71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683A27" w14:textId="77777777" w:rsidR="006C13C6" w:rsidRPr="006C13C6" w:rsidRDefault="006C13C6" w:rsidP="006C13C6">
            <w:pPr>
              <w:spacing w:after="0" w:line="240" w:lineRule="auto"/>
              <w:jc w:val="center"/>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lastRenderedPageBreak/>
              <w:t>Statement of Financial Position as at 31st December 2021</w:t>
            </w:r>
          </w:p>
        </w:tc>
      </w:tr>
      <w:tr w:rsidR="006C13C6" w:rsidRPr="006C13C6" w14:paraId="346D7090"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3B8A44D6" w14:textId="77777777" w:rsidR="006C13C6" w:rsidRPr="006C13C6" w:rsidRDefault="006C13C6" w:rsidP="006C13C6">
            <w:pPr>
              <w:spacing w:after="0" w:line="240" w:lineRule="auto"/>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427F9B16"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6B281033"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584086C" w14:textId="77777777" w:rsidR="006C13C6" w:rsidRPr="006C13C6" w:rsidRDefault="006C13C6" w:rsidP="006C13C6">
            <w:pPr>
              <w:spacing w:after="0" w:line="240" w:lineRule="auto"/>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1543F559"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w:t>
            </w:r>
          </w:p>
        </w:tc>
      </w:tr>
      <w:tr w:rsidR="006C13C6" w:rsidRPr="006C13C6" w14:paraId="4080780F"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7B026F8E" w14:textId="77777777" w:rsidR="006C13C6" w:rsidRPr="006C13C6" w:rsidRDefault="006C13C6" w:rsidP="006C13C6">
            <w:pPr>
              <w:spacing w:after="0" w:line="240" w:lineRule="auto"/>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Assets</w:t>
            </w:r>
          </w:p>
        </w:tc>
        <w:tc>
          <w:tcPr>
            <w:tcW w:w="2126" w:type="dxa"/>
            <w:tcBorders>
              <w:top w:val="nil"/>
              <w:left w:val="nil"/>
              <w:bottom w:val="single" w:sz="4" w:space="0" w:color="auto"/>
              <w:right w:val="single" w:sz="4" w:space="0" w:color="auto"/>
            </w:tcBorders>
            <w:shd w:val="clear" w:color="auto" w:fill="auto"/>
            <w:noWrap/>
            <w:vAlign w:val="bottom"/>
            <w:hideMark/>
          </w:tcPr>
          <w:p w14:paraId="277EA4AE"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6B735085"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1B8AB0EB" w14:textId="77777777" w:rsidR="006C13C6" w:rsidRPr="006C13C6" w:rsidRDefault="006C13C6" w:rsidP="006C13C6">
            <w:pPr>
              <w:spacing w:after="0" w:line="240" w:lineRule="auto"/>
              <w:rPr>
                <w:rFonts w:ascii="Times New Roman" w:eastAsia="Times New Roman" w:hAnsi="Times New Roman" w:cs="Times New Roman"/>
                <w:i/>
                <w:iCs/>
                <w:color w:val="000000"/>
                <w:sz w:val="24"/>
                <w:szCs w:val="24"/>
                <w:lang w:eastAsia="en-GB"/>
              </w:rPr>
            </w:pPr>
            <w:r w:rsidRPr="006C13C6">
              <w:rPr>
                <w:rFonts w:ascii="Times New Roman" w:eastAsia="Times New Roman" w:hAnsi="Times New Roman" w:cs="Times New Roman"/>
                <w:i/>
                <w:iCs/>
                <w:color w:val="000000"/>
                <w:sz w:val="24"/>
                <w:szCs w:val="24"/>
                <w:lang w:eastAsia="en-GB"/>
              </w:rPr>
              <w:t>Non-current assets:</w:t>
            </w:r>
          </w:p>
        </w:tc>
        <w:tc>
          <w:tcPr>
            <w:tcW w:w="2126" w:type="dxa"/>
            <w:tcBorders>
              <w:top w:val="nil"/>
              <w:left w:val="nil"/>
              <w:bottom w:val="single" w:sz="4" w:space="0" w:color="auto"/>
              <w:right w:val="single" w:sz="4" w:space="0" w:color="auto"/>
            </w:tcBorders>
            <w:shd w:val="clear" w:color="auto" w:fill="auto"/>
            <w:noWrap/>
            <w:vAlign w:val="bottom"/>
            <w:hideMark/>
          </w:tcPr>
          <w:p w14:paraId="32B1D634"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1743FFDB"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41E4F108"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Land and buildings</w:t>
            </w:r>
          </w:p>
        </w:tc>
        <w:tc>
          <w:tcPr>
            <w:tcW w:w="2126" w:type="dxa"/>
            <w:tcBorders>
              <w:top w:val="nil"/>
              <w:left w:val="nil"/>
              <w:bottom w:val="single" w:sz="4" w:space="0" w:color="auto"/>
              <w:right w:val="single" w:sz="4" w:space="0" w:color="auto"/>
            </w:tcBorders>
            <w:shd w:val="clear" w:color="auto" w:fill="auto"/>
            <w:vAlign w:val="bottom"/>
            <w:hideMark/>
          </w:tcPr>
          <w:p w14:paraId="06FF9D58" w14:textId="77777777" w:rsidR="006C13C6" w:rsidRPr="006C13C6" w:rsidRDefault="006C13C6" w:rsidP="006C13C6">
            <w:pPr>
              <w:spacing w:after="0" w:line="240" w:lineRule="auto"/>
              <w:jc w:val="right"/>
              <w:rPr>
                <w:rFonts w:ascii="Arial" w:eastAsia="Times New Roman" w:hAnsi="Arial" w:cs="Arial"/>
                <w:color w:val="000000"/>
                <w:sz w:val="20"/>
                <w:szCs w:val="20"/>
                <w:lang w:eastAsia="en-GB"/>
              </w:rPr>
            </w:pPr>
            <w:r w:rsidRPr="006C13C6">
              <w:rPr>
                <w:rFonts w:ascii="Arial" w:eastAsia="Times New Roman" w:hAnsi="Arial" w:cs="Arial"/>
                <w:color w:val="000000"/>
                <w:sz w:val="20"/>
                <w:szCs w:val="20"/>
                <w:lang w:eastAsia="en-GB"/>
              </w:rPr>
              <w:t>0</w:t>
            </w:r>
          </w:p>
        </w:tc>
      </w:tr>
      <w:tr w:rsidR="006C13C6" w:rsidRPr="006C13C6" w14:paraId="6B650E57"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6BB2198"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Plant and Machinery</w:t>
            </w:r>
          </w:p>
        </w:tc>
        <w:tc>
          <w:tcPr>
            <w:tcW w:w="2126" w:type="dxa"/>
            <w:tcBorders>
              <w:top w:val="nil"/>
              <w:left w:val="nil"/>
              <w:bottom w:val="single" w:sz="4" w:space="0" w:color="auto"/>
              <w:right w:val="single" w:sz="4" w:space="0" w:color="auto"/>
            </w:tcBorders>
            <w:shd w:val="clear" w:color="auto" w:fill="auto"/>
            <w:noWrap/>
            <w:vAlign w:val="bottom"/>
            <w:hideMark/>
          </w:tcPr>
          <w:p w14:paraId="74047E0F"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0</w:t>
            </w:r>
          </w:p>
        </w:tc>
      </w:tr>
      <w:tr w:rsidR="006C13C6" w:rsidRPr="006C13C6" w14:paraId="45137125"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1EE41A6A"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xml:space="preserve">Office </w:t>
            </w:r>
            <w:proofErr w:type="spellStart"/>
            <w:r w:rsidRPr="006C13C6">
              <w:rPr>
                <w:rFonts w:ascii="Times New Roman" w:eastAsia="Times New Roman" w:hAnsi="Times New Roman" w:cs="Times New Roman"/>
                <w:color w:val="000000"/>
                <w:sz w:val="24"/>
                <w:szCs w:val="24"/>
                <w:lang w:eastAsia="en-GB"/>
              </w:rPr>
              <w:t>equipments</w:t>
            </w:r>
            <w:proofErr w:type="spellEnd"/>
            <w:r w:rsidRPr="006C13C6">
              <w:rPr>
                <w:rFonts w:ascii="Times New Roman" w:eastAsia="Times New Roman" w:hAnsi="Times New Roman" w:cs="Times New Roman"/>
                <w:color w:val="000000"/>
                <w:sz w:val="24"/>
                <w:szCs w:val="24"/>
                <w:lang w:eastAsia="en-GB"/>
              </w:rPr>
              <w:t xml:space="preserve"> </w:t>
            </w:r>
          </w:p>
        </w:tc>
        <w:tc>
          <w:tcPr>
            <w:tcW w:w="2126" w:type="dxa"/>
            <w:tcBorders>
              <w:top w:val="nil"/>
              <w:left w:val="nil"/>
              <w:bottom w:val="single" w:sz="4" w:space="0" w:color="auto"/>
              <w:right w:val="single" w:sz="4" w:space="0" w:color="auto"/>
            </w:tcBorders>
            <w:shd w:val="clear" w:color="auto" w:fill="auto"/>
            <w:noWrap/>
            <w:vAlign w:val="bottom"/>
            <w:hideMark/>
          </w:tcPr>
          <w:p w14:paraId="2FD62342"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0</w:t>
            </w:r>
          </w:p>
        </w:tc>
      </w:tr>
      <w:tr w:rsidR="006C13C6" w:rsidRPr="006C13C6" w14:paraId="557971BF"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15E86DF0"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Motor vehicle</w:t>
            </w:r>
          </w:p>
        </w:tc>
        <w:tc>
          <w:tcPr>
            <w:tcW w:w="2126" w:type="dxa"/>
            <w:tcBorders>
              <w:top w:val="nil"/>
              <w:left w:val="nil"/>
              <w:bottom w:val="single" w:sz="4" w:space="0" w:color="auto"/>
              <w:right w:val="single" w:sz="4" w:space="0" w:color="auto"/>
            </w:tcBorders>
            <w:shd w:val="clear" w:color="auto" w:fill="auto"/>
            <w:noWrap/>
            <w:vAlign w:val="bottom"/>
            <w:hideMark/>
          </w:tcPr>
          <w:p w14:paraId="10CE4D55"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16,142</w:t>
            </w:r>
          </w:p>
        </w:tc>
      </w:tr>
      <w:tr w:rsidR="006C13C6" w:rsidRPr="006C13C6" w14:paraId="673F7916"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F0D8B3F"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Fixtures and fittings</w:t>
            </w:r>
          </w:p>
        </w:tc>
        <w:tc>
          <w:tcPr>
            <w:tcW w:w="2126" w:type="dxa"/>
            <w:tcBorders>
              <w:top w:val="nil"/>
              <w:left w:val="nil"/>
              <w:bottom w:val="single" w:sz="4" w:space="0" w:color="auto"/>
              <w:right w:val="single" w:sz="4" w:space="0" w:color="auto"/>
            </w:tcBorders>
            <w:shd w:val="clear" w:color="auto" w:fill="auto"/>
            <w:noWrap/>
            <w:vAlign w:val="bottom"/>
            <w:hideMark/>
          </w:tcPr>
          <w:p w14:paraId="35A3C814"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3,660</w:t>
            </w:r>
          </w:p>
        </w:tc>
      </w:tr>
      <w:tr w:rsidR="006C13C6" w:rsidRPr="006C13C6" w14:paraId="43A3536E"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09152852"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0BB897C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7F47436D"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BC48E42" w14:textId="77777777" w:rsidR="006C13C6" w:rsidRPr="006C13C6" w:rsidRDefault="006C13C6" w:rsidP="006C13C6">
            <w:pPr>
              <w:spacing w:after="0" w:line="240" w:lineRule="auto"/>
              <w:rPr>
                <w:rFonts w:ascii="Times New Roman" w:eastAsia="Times New Roman" w:hAnsi="Times New Roman" w:cs="Times New Roman"/>
                <w:i/>
                <w:iCs/>
                <w:color w:val="000000"/>
                <w:sz w:val="24"/>
                <w:szCs w:val="24"/>
                <w:lang w:eastAsia="en-GB"/>
              </w:rPr>
            </w:pPr>
            <w:r w:rsidRPr="006C13C6">
              <w:rPr>
                <w:rFonts w:ascii="Times New Roman" w:eastAsia="Times New Roman" w:hAnsi="Times New Roman" w:cs="Times New Roman"/>
                <w:i/>
                <w:iCs/>
                <w:color w:val="000000"/>
                <w:sz w:val="24"/>
                <w:szCs w:val="24"/>
                <w:lang w:eastAsia="en-GB"/>
              </w:rPr>
              <w:t>Current assets:</w:t>
            </w:r>
          </w:p>
        </w:tc>
        <w:tc>
          <w:tcPr>
            <w:tcW w:w="2126" w:type="dxa"/>
            <w:tcBorders>
              <w:top w:val="nil"/>
              <w:left w:val="nil"/>
              <w:bottom w:val="single" w:sz="4" w:space="0" w:color="auto"/>
              <w:right w:val="single" w:sz="4" w:space="0" w:color="auto"/>
            </w:tcBorders>
            <w:shd w:val="clear" w:color="auto" w:fill="auto"/>
            <w:noWrap/>
            <w:vAlign w:val="bottom"/>
            <w:hideMark/>
          </w:tcPr>
          <w:p w14:paraId="6E925802"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24E88A08"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BF2B2CB"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Inventories</w:t>
            </w:r>
          </w:p>
        </w:tc>
        <w:tc>
          <w:tcPr>
            <w:tcW w:w="2126" w:type="dxa"/>
            <w:tcBorders>
              <w:top w:val="nil"/>
              <w:left w:val="nil"/>
              <w:bottom w:val="single" w:sz="4" w:space="0" w:color="auto"/>
              <w:right w:val="single" w:sz="4" w:space="0" w:color="auto"/>
            </w:tcBorders>
            <w:shd w:val="clear" w:color="auto" w:fill="auto"/>
            <w:noWrap/>
            <w:vAlign w:val="bottom"/>
            <w:hideMark/>
          </w:tcPr>
          <w:p w14:paraId="58C1FBDF"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25,164</w:t>
            </w:r>
          </w:p>
        </w:tc>
      </w:tr>
      <w:tr w:rsidR="006C13C6" w:rsidRPr="006C13C6" w14:paraId="2E248AE1"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08041D9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Trade and other receivables</w:t>
            </w:r>
          </w:p>
        </w:tc>
        <w:tc>
          <w:tcPr>
            <w:tcW w:w="2126" w:type="dxa"/>
            <w:tcBorders>
              <w:top w:val="nil"/>
              <w:left w:val="nil"/>
              <w:bottom w:val="single" w:sz="4" w:space="0" w:color="auto"/>
              <w:right w:val="single" w:sz="4" w:space="0" w:color="auto"/>
            </w:tcBorders>
            <w:shd w:val="clear" w:color="auto" w:fill="auto"/>
            <w:noWrap/>
            <w:vAlign w:val="bottom"/>
            <w:hideMark/>
          </w:tcPr>
          <w:p w14:paraId="20EFE4AD"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6,860</w:t>
            </w:r>
          </w:p>
        </w:tc>
      </w:tr>
      <w:tr w:rsidR="006C13C6" w:rsidRPr="006C13C6" w14:paraId="5CE7A641"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4AF09EE6"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Prepayments</w:t>
            </w:r>
          </w:p>
        </w:tc>
        <w:tc>
          <w:tcPr>
            <w:tcW w:w="2126" w:type="dxa"/>
            <w:tcBorders>
              <w:top w:val="nil"/>
              <w:left w:val="nil"/>
              <w:bottom w:val="single" w:sz="4" w:space="0" w:color="auto"/>
              <w:right w:val="single" w:sz="4" w:space="0" w:color="auto"/>
            </w:tcBorders>
            <w:shd w:val="clear" w:color="auto" w:fill="auto"/>
            <w:noWrap/>
            <w:vAlign w:val="bottom"/>
            <w:hideMark/>
          </w:tcPr>
          <w:p w14:paraId="0C0CAA23"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166AC2D8"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3DE1E58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Bank</w:t>
            </w:r>
          </w:p>
        </w:tc>
        <w:tc>
          <w:tcPr>
            <w:tcW w:w="2126" w:type="dxa"/>
            <w:tcBorders>
              <w:top w:val="nil"/>
              <w:left w:val="nil"/>
              <w:bottom w:val="single" w:sz="4" w:space="0" w:color="auto"/>
              <w:right w:val="single" w:sz="4" w:space="0" w:color="auto"/>
            </w:tcBorders>
            <w:shd w:val="clear" w:color="auto" w:fill="auto"/>
            <w:noWrap/>
            <w:vAlign w:val="bottom"/>
            <w:hideMark/>
          </w:tcPr>
          <w:p w14:paraId="1E2F44AF"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3D3CD44D"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18C1A712"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Cash and cash equivalents</w:t>
            </w:r>
          </w:p>
        </w:tc>
        <w:tc>
          <w:tcPr>
            <w:tcW w:w="2126" w:type="dxa"/>
            <w:tcBorders>
              <w:top w:val="nil"/>
              <w:left w:val="nil"/>
              <w:bottom w:val="single" w:sz="4" w:space="0" w:color="auto"/>
              <w:right w:val="single" w:sz="4" w:space="0" w:color="auto"/>
            </w:tcBorders>
            <w:shd w:val="clear" w:color="auto" w:fill="auto"/>
            <w:noWrap/>
            <w:vAlign w:val="bottom"/>
            <w:hideMark/>
          </w:tcPr>
          <w:p w14:paraId="583325C5"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5C66D82D"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1A970BA"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other assets</w:t>
            </w:r>
          </w:p>
        </w:tc>
        <w:tc>
          <w:tcPr>
            <w:tcW w:w="2126" w:type="dxa"/>
            <w:tcBorders>
              <w:top w:val="nil"/>
              <w:left w:val="nil"/>
              <w:bottom w:val="single" w:sz="4" w:space="0" w:color="auto"/>
              <w:right w:val="single" w:sz="4" w:space="0" w:color="auto"/>
            </w:tcBorders>
            <w:shd w:val="clear" w:color="auto" w:fill="auto"/>
            <w:noWrap/>
            <w:vAlign w:val="bottom"/>
            <w:hideMark/>
          </w:tcPr>
          <w:p w14:paraId="3C5678D8"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35,642</w:t>
            </w:r>
          </w:p>
        </w:tc>
      </w:tr>
      <w:tr w:rsidR="006C13C6" w:rsidRPr="006C13C6" w14:paraId="3656EA96"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70800ACA"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Total assets</w:t>
            </w:r>
          </w:p>
        </w:tc>
        <w:tc>
          <w:tcPr>
            <w:tcW w:w="2126" w:type="dxa"/>
            <w:tcBorders>
              <w:top w:val="nil"/>
              <w:left w:val="nil"/>
              <w:bottom w:val="single" w:sz="4" w:space="0" w:color="auto"/>
              <w:right w:val="single" w:sz="4" w:space="0" w:color="auto"/>
            </w:tcBorders>
            <w:shd w:val="clear" w:color="auto" w:fill="auto"/>
            <w:noWrap/>
            <w:vAlign w:val="bottom"/>
            <w:hideMark/>
          </w:tcPr>
          <w:p w14:paraId="7B2ADC6B" w14:textId="77777777" w:rsidR="006C13C6" w:rsidRPr="006C13C6" w:rsidRDefault="006C13C6" w:rsidP="006C13C6">
            <w:pPr>
              <w:spacing w:after="0" w:line="240" w:lineRule="auto"/>
              <w:jc w:val="right"/>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87,468</w:t>
            </w:r>
          </w:p>
        </w:tc>
      </w:tr>
      <w:tr w:rsidR="006C13C6" w:rsidRPr="006C13C6" w14:paraId="588A6A79"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3F723DC1"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1CB7F6F9"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115C9463"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512390C1" w14:textId="77777777" w:rsidR="006C13C6" w:rsidRPr="006C13C6" w:rsidRDefault="006C13C6" w:rsidP="006C13C6">
            <w:pPr>
              <w:spacing w:after="0" w:line="240" w:lineRule="auto"/>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 xml:space="preserve">Capital &amp; Liabilities </w:t>
            </w:r>
          </w:p>
        </w:tc>
        <w:tc>
          <w:tcPr>
            <w:tcW w:w="2126" w:type="dxa"/>
            <w:tcBorders>
              <w:top w:val="nil"/>
              <w:left w:val="nil"/>
              <w:bottom w:val="single" w:sz="4" w:space="0" w:color="auto"/>
              <w:right w:val="single" w:sz="4" w:space="0" w:color="auto"/>
            </w:tcBorders>
            <w:shd w:val="clear" w:color="auto" w:fill="auto"/>
            <w:noWrap/>
            <w:vAlign w:val="bottom"/>
            <w:hideMark/>
          </w:tcPr>
          <w:p w14:paraId="5C750C0F"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65515A31"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7B553E3" w14:textId="77777777" w:rsidR="006C13C6" w:rsidRPr="006C13C6" w:rsidRDefault="006C13C6" w:rsidP="006C13C6">
            <w:pPr>
              <w:spacing w:after="0" w:line="240" w:lineRule="auto"/>
              <w:rPr>
                <w:rFonts w:ascii="Times New Roman" w:eastAsia="Times New Roman" w:hAnsi="Times New Roman" w:cs="Times New Roman"/>
                <w:i/>
                <w:iCs/>
                <w:color w:val="000000"/>
                <w:sz w:val="24"/>
                <w:szCs w:val="24"/>
                <w:lang w:eastAsia="en-GB"/>
              </w:rPr>
            </w:pPr>
            <w:r w:rsidRPr="006C13C6">
              <w:rPr>
                <w:rFonts w:ascii="Times New Roman" w:eastAsia="Times New Roman" w:hAnsi="Times New Roman" w:cs="Times New Roman"/>
                <w:i/>
                <w:iCs/>
                <w:color w:val="000000"/>
                <w:sz w:val="24"/>
                <w:szCs w:val="24"/>
                <w:lang w:eastAsia="en-GB"/>
              </w:rPr>
              <w:t>Capital</w:t>
            </w:r>
          </w:p>
        </w:tc>
        <w:tc>
          <w:tcPr>
            <w:tcW w:w="2126" w:type="dxa"/>
            <w:tcBorders>
              <w:top w:val="nil"/>
              <w:left w:val="nil"/>
              <w:bottom w:val="single" w:sz="4" w:space="0" w:color="auto"/>
              <w:right w:val="single" w:sz="4" w:space="0" w:color="auto"/>
            </w:tcBorders>
            <w:shd w:val="clear" w:color="auto" w:fill="auto"/>
            <w:noWrap/>
            <w:vAlign w:val="bottom"/>
            <w:hideMark/>
          </w:tcPr>
          <w:p w14:paraId="725FEE99"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5982869C"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7CFDF851"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Capital</w:t>
            </w:r>
          </w:p>
        </w:tc>
        <w:tc>
          <w:tcPr>
            <w:tcW w:w="2126" w:type="dxa"/>
            <w:tcBorders>
              <w:top w:val="nil"/>
              <w:left w:val="nil"/>
              <w:bottom w:val="single" w:sz="4" w:space="0" w:color="auto"/>
              <w:right w:val="single" w:sz="4" w:space="0" w:color="auto"/>
            </w:tcBorders>
            <w:shd w:val="clear" w:color="auto" w:fill="auto"/>
            <w:noWrap/>
            <w:vAlign w:val="bottom"/>
            <w:hideMark/>
          </w:tcPr>
          <w:p w14:paraId="362C388F"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4,993</w:t>
            </w:r>
          </w:p>
        </w:tc>
      </w:tr>
      <w:tr w:rsidR="006C13C6" w:rsidRPr="006C13C6" w14:paraId="79E4E67D"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7F730581"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Profit for the period</w:t>
            </w:r>
          </w:p>
        </w:tc>
        <w:tc>
          <w:tcPr>
            <w:tcW w:w="2126" w:type="dxa"/>
            <w:tcBorders>
              <w:top w:val="nil"/>
              <w:left w:val="nil"/>
              <w:bottom w:val="single" w:sz="4" w:space="0" w:color="auto"/>
              <w:right w:val="single" w:sz="4" w:space="0" w:color="auto"/>
            </w:tcBorders>
            <w:shd w:val="clear" w:color="auto" w:fill="auto"/>
            <w:noWrap/>
            <w:vAlign w:val="bottom"/>
            <w:hideMark/>
          </w:tcPr>
          <w:p w14:paraId="7AA72936"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22,056</w:t>
            </w:r>
          </w:p>
        </w:tc>
      </w:tr>
      <w:tr w:rsidR="006C13C6" w:rsidRPr="006C13C6" w14:paraId="6DB42909"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5D6B3C93"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Drawings</w:t>
            </w:r>
          </w:p>
        </w:tc>
        <w:tc>
          <w:tcPr>
            <w:tcW w:w="2126" w:type="dxa"/>
            <w:tcBorders>
              <w:top w:val="nil"/>
              <w:left w:val="nil"/>
              <w:bottom w:val="single" w:sz="4" w:space="0" w:color="auto"/>
              <w:right w:val="single" w:sz="4" w:space="0" w:color="auto"/>
            </w:tcBorders>
            <w:shd w:val="clear" w:color="auto" w:fill="auto"/>
            <w:noWrap/>
            <w:vAlign w:val="bottom"/>
            <w:hideMark/>
          </w:tcPr>
          <w:p w14:paraId="75FFB448"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18,270</w:t>
            </w:r>
          </w:p>
        </w:tc>
      </w:tr>
      <w:tr w:rsidR="006C13C6" w:rsidRPr="006C13C6" w14:paraId="5A96A4DF"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33973A4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4BA380F2"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45,319</w:t>
            </w:r>
          </w:p>
        </w:tc>
      </w:tr>
      <w:tr w:rsidR="006C13C6" w:rsidRPr="006C13C6" w14:paraId="11C1DBA3"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03FDA7F" w14:textId="77777777" w:rsidR="006C13C6" w:rsidRPr="006C13C6" w:rsidRDefault="006C13C6" w:rsidP="006C13C6">
            <w:pPr>
              <w:spacing w:after="0" w:line="240" w:lineRule="auto"/>
              <w:rPr>
                <w:rFonts w:ascii="Times New Roman" w:eastAsia="Times New Roman" w:hAnsi="Times New Roman" w:cs="Times New Roman"/>
                <w:i/>
                <w:iCs/>
                <w:color w:val="000000"/>
                <w:sz w:val="24"/>
                <w:szCs w:val="24"/>
                <w:lang w:eastAsia="en-GB"/>
              </w:rPr>
            </w:pPr>
            <w:r w:rsidRPr="006C13C6">
              <w:rPr>
                <w:rFonts w:ascii="Times New Roman" w:eastAsia="Times New Roman" w:hAnsi="Times New Roman" w:cs="Times New Roman"/>
                <w:i/>
                <w:iCs/>
                <w:color w:val="000000"/>
                <w:sz w:val="24"/>
                <w:szCs w:val="24"/>
                <w:lang w:eastAsia="en-GB"/>
              </w:rPr>
              <w:t>Non-current liabilities:</w:t>
            </w:r>
          </w:p>
        </w:tc>
        <w:tc>
          <w:tcPr>
            <w:tcW w:w="2126" w:type="dxa"/>
            <w:tcBorders>
              <w:top w:val="nil"/>
              <w:left w:val="nil"/>
              <w:bottom w:val="single" w:sz="4" w:space="0" w:color="auto"/>
              <w:right w:val="single" w:sz="4" w:space="0" w:color="auto"/>
            </w:tcBorders>
            <w:shd w:val="clear" w:color="auto" w:fill="auto"/>
            <w:noWrap/>
            <w:vAlign w:val="bottom"/>
            <w:hideMark/>
          </w:tcPr>
          <w:p w14:paraId="0CAE320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52AD8EC4"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5513AC51"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Bank loans</w:t>
            </w:r>
          </w:p>
        </w:tc>
        <w:tc>
          <w:tcPr>
            <w:tcW w:w="2126" w:type="dxa"/>
            <w:tcBorders>
              <w:top w:val="nil"/>
              <w:left w:val="nil"/>
              <w:bottom w:val="single" w:sz="4" w:space="0" w:color="auto"/>
              <w:right w:val="single" w:sz="4" w:space="0" w:color="auto"/>
            </w:tcBorders>
            <w:shd w:val="clear" w:color="auto" w:fill="auto"/>
            <w:noWrap/>
            <w:vAlign w:val="bottom"/>
            <w:hideMark/>
          </w:tcPr>
          <w:p w14:paraId="6EC690CA"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36EFD514"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674AD8EE"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c>
          <w:tcPr>
            <w:tcW w:w="2126" w:type="dxa"/>
            <w:tcBorders>
              <w:top w:val="nil"/>
              <w:left w:val="nil"/>
              <w:bottom w:val="single" w:sz="4" w:space="0" w:color="auto"/>
              <w:right w:val="single" w:sz="4" w:space="0" w:color="auto"/>
            </w:tcBorders>
            <w:shd w:val="clear" w:color="auto" w:fill="auto"/>
            <w:noWrap/>
            <w:vAlign w:val="bottom"/>
            <w:hideMark/>
          </w:tcPr>
          <w:p w14:paraId="3D711999"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46DE35D7"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9CE3995" w14:textId="77777777" w:rsidR="006C13C6" w:rsidRPr="006C13C6" w:rsidRDefault="006C13C6" w:rsidP="006C13C6">
            <w:pPr>
              <w:spacing w:after="0" w:line="240" w:lineRule="auto"/>
              <w:rPr>
                <w:rFonts w:ascii="Times New Roman" w:eastAsia="Times New Roman" w:hAnsi="Times New Roman" w:cs="Times New Roman"/>
                <w:i/>
                <w:iCs/>
                <w:color w:val="000000"/>
                <w:sz w:val="24"/>
                <w:szCs w:val="24"/>
                <w:lang w:eastAsia="en-GB"/>
              </w:rPr>
            </w:pPr>
            <w:r w:rsidRPr="006C13C6">
              <w:rPr>
                <w:rFonts w:ascii="Times New Roman" w:eastAsia="Times New Roman" w:hAnsi="Times New Roman" w:cs="Times New Roman"/>
                <w:i/>
                <w:iCs/>
                <w:color w:val="000000"/>
                <w:sz w:val="24"/>
                <w:szCs w:val="24"/>
                <w:lang w:eastAsia="en-GB"/>
              </w:rPr>
              <w:t>Current liabilities:</w:t>
            </w:r>
          </w:p>
        </w:tc>
        <w:tc>
          <w:tcPr>
            <w:tcW w:w="2126" w:type="dxa"/>
            <w:tcBorders>
              <w:top w:val="nil"/>
              <w:left w:val="nil"/>
              <w:bottom w:val="single" w:sz="4" w:space="0" w:color="auto"/>
              <w:right w:val="single" w:sz="4" w:space="0" w:color="auto"/>
            </w:tcBorders>
            <w:shd w:val="clear" w:color="auto" w:fill="auto"/>
            <w:noWrap/>
            <w:vAlign w:val="bottom"/>
            <w:hideMark/>
          </w:tcPr>
          <w:p w14:paraId="6783D062"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6281BFA7"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55C444B5"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Bank loans and overdrafts</w:t>
            </w:r>
          </w:p>
        </w:tc>
        <w:tc>
          <w:tcPr>
            <w:tcW w:w="2126" w:type="dxa"/>
            <w:tcBorders>
              <w:top w:val="nil"/>
              <w:left w:val="nil"/>
              <w:bottom w:val="single" w:sz="4" w:space="0" w:color="auto"/>
              <w:right w:val="single" w:sz="4" w:space="0" w:color="auto"/>
            </w:tcBorders>
            <w:shd w:val="clear" w:color="auto" w:fill="auto"/>
            <w:noWrap/>
            <w:vAlign w:val="bottom"/>
            <w:hideMark/>
          </w:tcPr>
          <w:p w14:paraId="658CB828"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 </w:t>
            </w:r>
          </w:p>
        </w:tc>
      </w:tr>
      <w:tr w:rsidR="006C13C6" w:rsidRPr="006C13C6" w14:paraId="079CCED3"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6A263CE"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Accruals</w:t>
            </w:r>
          </w:p>
        </w:tc>
        <w:tc>
          <w:tcPr>
            <w:tcW w:w="2126" w:type="dxa"/>
            <w:tcBorders>
              <w:top w:val="nil"/>
              <w:left w:val="nil"/>
              <w:bottom w:val="single" w:sz="4" w:space="0" w:color="auto"/>
              <w:right w:val="single" w:sz="4" w:space="0" w:color="auto"/>
            </w:tcBorders>
            <w:shd w:val="clear" w:color="auto" w:fill="auto"/>
            <w:noWrap/>
            <w:vAlign w:val="bottom"/>
            <w:hideMark/>
          </w:tcPr>
          <w:p w14:paraId="3EDB8C29"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0</w:t>
            </w:r>
          </w:p>
        </w:tc>
      </w:tr>
      <w:tr w:rsidR="006C13C6" w:rsidRPr="006C13C6" w14:paraId="13AE9109"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5B72489"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Trade payables</w:t>
            </w:r>
          </w:p>
        </w:tc>
        <w:tc>
          <w:tcPr>
            <w:tcW w:w="2126" w:type="dxa"/>
            <w:tcBorders>
              <w:top w:val="nil"/>
              <w:left w:val="nil"/>
              <w:bottom w:val="single" w:sz="4" w:space="0" w:color="auto"/>
              <w:right w:val="single" w:sz="4" w:space="0" w:color="auto"/>
            </w:tcBorders>
            <w:shd w:val="clear" w:color="auto" w:fill="auto"/>
            <w:noWrap/>
            <w:vAlign w:val="bottom"/>
            <w:hideMark/>
          </w:tcPr>
          <w:p w14:paraId="7E0151DD" w14:textId="77777777" w:rsidR="006C13C6" w:rsidRPr="006C13C6" w:rsidRDefault="006C13C6" w:rsidP="006C13C6">
            <w:pPr>
              <w:spacing w:after="0" w:line="240" w:lineRule="auto"/>
              <w:jc w:val="right"/>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42,149</w:t>
            </w:r>
          </w:p>
        </w:tc>
      </w:tr>
      <w:tr w:rsidR="006C13C6" w:rsidRPr="006C13C6" w14:paraId="4BEC35F0" w14:textId="77777777" w:rsidTr="006A2C98">
        <w:trPr>
          <w:trHeight w:val="312"/>
        </w:trPr>
        <w:tc>
          <w:tcPr>
            <w:tcW w:w="4994" w:type="dxa"/>
            <w:tcBorders>
              <w:top w:val="nil"/>
              <w:left w:val="single" w:sz="4" w:space="0" w:color="auto"/>
              <w:bottom w:val="single" w:sz="4" w:space="0" w:color="auto"/>
              <w:right w:val="single" w:sz="4" w:space="0" w:color="auto"/>
            </w:tcBorders>
            <w:shd w:val="clear" w:color="auto" w:fill="auto"/>
            <w:noWrap/>
            <w:vAlign w:val="bottom"/>
            <w:hideMark/>
          </w:tcPr>
          <w:p w14:paraId="2AFEC297" w14:textId="77777777" w:rsidR="006C13C6" w:rsidRPr="006C13C6" w:rsidRDefault="006C13C6" w:rsidP="006C13C6">
            <w:pPr>
              <w:spacing w:after="0" w:line="240" w:lineRule="auto"/>
              <w:rPr>
                <w:rFonts w:ascii="Times New Roman" w:eastAsia="Times New Roman" w:hAnsi="Times New Roman" w:cs="Times New Roman"/>
                <w:color w:val="000000"/>
                <w:sz w:val="24"/>
                <w:szCs w:val="24"/>
                <w:lang w:eastAsia="en-GB"/>
              </w:rPr>
            </w:pPr>
            <w:r w:rsidRPr="006C13C6">
              <w:rPr>
                <w:rFonts w:ascii="Times New Roman" w:eastAsia="Times New Roman" w:hAnsi="Times New Roman" w:cs="Times New Roman"/>
                <w:color w:val="000000"/>
                <w:sz w:val="24"/>
                <w:szCs w:val="24"/>
                <w:lang w:eastAsia="en-GB"/>
              </w:rPr>
              <w:t>Total capital and liabilities</w:t>
            </w:r>
          </w:p>
        </w:tc>
        <w:tc>
          <w:tcPr>
            <w:tcW w:w="2126" w:type="dxa"/>
            <w:tcBorders>
              <w:top w:val="nil"/>
              <w:left w:val="nil"/>
              <w:bottom w:val="single" w:sz="4" w:space="0" w:color="auto"/>
              <w:right w:val="single" w:sz="4" w:space="0" w:color="auto"/>
            </w:tcBorders>
            <w:shd w:val="clear" w:color="auto" w:fill="auto"/>
            <w:noWrap/>
            <w:vAlign w:val="bottom"/>
            <w:hideMark/>
          </w:tcPr>
          <w:p w14:paraId="0A7BD6CD" w14:textId="77777777" w:rsidR="006C13C6" w:rsidRPr="006C13C6" w:rsidRDefault="006C13C6" w:rsidP="006C13C6">
            <w:pPr>
              <w:spacing w:after="0" w:line="240" w:lineRule="auto"/>
              <w:jc w:val="right"/>
              <w:rPr>
                <w:rFonts w:ascii="Times New Roman" w:eastAsia="Times New Roman" w:hAnsi="Times New Roman" w:cs="Times New Roman"/>
                <w:b/>
                <w:bCs/>
                <w:color w:val="000000"/>
                <w:sz w:val="24"/>
                <w:szCs w:val="24"/>
                <w:lang w:eastAsia="en-GB"/>
              </w:rPr>
            </w:pPr>
            <w:r w:rsidRPr="006C13C6">
              <w:rPr>
                <w:rFonts w:ascii="Times New Roman" w:eastAsia="Times New Roman" w:hAnsi="Times New Roman" w:cs="Times New Roman"/>
                <w:b/>
                <w:bCs/>
                <w:color w:val="000000"/>
                <w:sz w:val="24"/>
                <w:szCs w:val="24"/>
                <w:lang w:eastAsia="en-GB"/>
              </w:rPr>
              <w:t>87,468</w:t>
            </w:r>
          </w:p>
        </w:tc>
      </w:tr>
    </w:tbl>
    <w:p w14:paraId="72D1DBB7" w14:textId="77777777" w:rsidR="00432064" w:rsidRDefault="00432064" w:rsidP="00B5769B">
      <w:pPr>
        <w:spacing w:after="0" w:line="276" w:lineRule="auto"/>
        <w:rPr>
          <w:rFonts w:ascii="Times New Roman" w:hAnsi="Times New Roman" w:cs="Times New Roman"/>
          <w:b/>
          <w:bCs/>
          <w:sz w:val="28"/>
          <w:szCs w:val="28"/>
        </w:rPr>
      </w:pPr>
    </w:p>
    <w:p w14:paraId="7394576B" w14:textId="77777777" w:rsidR="00432064" w:rsidRDefault="00432064" w:rsidP="00EB106E">
      <w:pPr>
        <w:spacing w:after="0" w:line="276" w:lineRule="auto"/>
        <w:jc w:val="center"/>
        <w:rPr>
          <w:rFonts w:ascii="Times New Roman" w:hAnsi="Times New Roman" w:cs="Times New Roman"/>
          <w:b/>
          <w:bCs/>
          <w:sz w:val="28"/>
          <w:szCs w:val="28"/>
        </w:rPr>
      </w:pPr>
    </w:p>
    <w:p w14:paraId="572CD9A6" w14:textId="77777777" w:rsidR="00C249D0" w:rsidRDefault="00C249D0" w:rsidP="00EB106E">
      <w:pPr>
        <w:spacing w:after="0" w:line="276" w:lineRule="auto"/>
        <w:jc w:val="center"/>
        <w:rPr>
          <w:rFonts w:ascii="Times New Roman" w:hAnsi="Times New Roman" w:cs="Times New Roman"/>
          <w:b/>
          <w:bCs/>
          <w:sz w:val="28"/>
          <w:szCs w:val="28"/>
        </w:rPr>
      </w:pPr>
    </w:p>
    <w:p w14:paraId="08AB7AA6" w14:textId="77777777" w:rsidR="00C249D0" w:rsidRDefault="00C249D0" w:rsidP="00EB106E">
      <w:pPr>
        <w:spacing w:after="0" w:line="276" w:lineRule="auto"/>
        <w:jc w:val="center"/>
        <w:rPr>
          <w:rFonts w:ascii="Times New Roman" w:hAnsi="Times New Roman" w:cs="Times New Roman"/>
          <w:b/>
          <w:bCs/>
          <w:sz w:val="28"/>
          <w:szCs w:val="28"/>
        </w:rPr>
      </w:pPr>
    </w:p>
    <w:p w14:paraId="4AA0388E" w14:textId="77777777" w:rsidR="0056234F" w:rsidRDefault="0056234F" w:rsidP="00EB106E">
      <w:pPr>
        <w:spacing w:after="0" w:line="276" w:lineRule="auto"/>
        <w:jc w:val="center"/>
        <w:rPr>
          <w:rFonts w:ascii="Times New Roman" w:hAnsi="Times New Roman" w:cs="Times New Roman"/>
          <w:b/>
          <w:bCs/>
          <w:sz w:val="28"/>
          <w:szCs w:val="28"/>
        </w:rPr>
      </w:pPr>
    </w:p>
    <w:p w14:paraId="3202CB75" w14:textId="77777777" w:rsidR="0056234F" w:rsidRDefault="0056234F" w:rsidP="00EB106E">
      <w:pPr>
        <w:spacing w:after="0" w:line="276" w:lineRule="auto"/>
        <w:jc w:val="center"/>
        <w:rPr>
          <w:rFonts w:ascii="Times New Roman" w:hAnsi="Times New Roman" w:cs="Times New Roman"/>
          <w:b/>
          <w:bCs/>
          <w:sz w:val="28"/>
          <w:szCs w:val="28"/>
        </w:rPr>
      </w:pPr>
    </w:p>
    <w:p w14:paraId="7A3DF0FB" w14:textId="77777777" w:rsidR="00C249D0" w:rsidRDefault="00C249D0" w:rsidP="00EB106E">
      <w:pPr>
        <w:spacing w:after="0" w:line="276" w:lineRule="auto"/>
        <w:jc w:val="center"/>
        <w:rPr>
          <w:rFonts w:ascii="Times New Roman" w:hAnsi="Times New Roman" w:cs="Times New Roman"/>
          <w:b/>
          <w:bCs/>
          <w:sz w:val="28"/>
          <w:szCs w:val="28"/>
        </w:rPr>
      </w:pPr>
    </w:p>
    <w:p w14:paraId="412308CE" w14:textId="77777777" w:rsidR="00C249D0" w:rsidRDefault="00C249D0" w:rsidP="00EB106E">
      <w:pPr>
        <w:spacing w:after="0" w:line="276" w:lineRule="auto"/>
        <w:jc w:val="center"/>
        <w:rPr>
          <w:rFonts w:ascii="Times New Roman" w:hAnsi="Times New Roman" w:cs="Times New Roman"/>
          <w:b/>
          <w:bCs/>
          <w:sz w:val="28"/>
          <w:szCs w:val="28"/>
        </w:rPr>
      </w:pPr>
    </w:p>
    <w:p w14:paraId="2AACDFAC" w14:textId="77E6FD67" w:rsidR="007A5EFD" w:rsidRDefault="00EB106E" w:rsidP="0056234F">
      <w:pPr>
        <w:spacing w:after="0" w:line="276" w:lineRule="auto"/>
        <w:jc w:val="center"/>
        <w:rPr>
          <w:rFonts w:ascii="Times New Roman" w:hAnsi="Times New Roman" w:cs="Times New Roman"/>
          <w:b/>
          <w:bCs/>
          <w:sz w:val="28"/>
          <w:szCs w:val="28"/>
        </w:rPr>
      </w:pPr>
      <w:r w:rsidRPr="00EB106E">
        <w:rPr>
          <w:rFonts w:ascii="Times New Roman" w:hAnsi="Times New Roman" w:cs="Times New Roman"/>
          <w:b/>
          <w:bCs/>
          <w:sz w:val="28"/>
          <w:szCs w:val="28"/>
        </w:rPr>
        <w:lastRenderedPageBreak/>
        <w:t>Essay</w:t>
      </w:r>
    </w:p>
    <w:p w14:paraId="4B6B5D98" w14:textId="77777777" w:rsidR="00EB106E" w:rsidRPr="00EB106E" w:rsidRDefault="00EB106E" w:rsidP="00EB106E">
      <w:pPr>
        <w:spacing w:after="0" w:line="276" w:lineRule="auto"/>
        <w:jc w:val="center"/>
        <w:rPr>
          <w:rFonts w:ascii="Times New Roman" w:hAnsi="Times New Roman" w:cs="Times New Roman"/>
          <w:b/>
          <w:bCs/>
          <w:sz w:val="28"/>
          <w:szCs w:val="28"/>
        </w:rPr>
      </w:pPr>
    </w:p>
    <w:p w14:paraId="7A346D39" w14:textId="1B6CF500" w:rsidR="00EB106E" w:rsidRDefault="00EB106E" w:rsidP="00EB106E">
      <w:pPr>
        <w:spacing w:after="0" w:line="276" w:lineRule="auto"/>
        <w:jc w:val="center"/>
        <w:rPr>
          <w:rFonts w:ascii="Times New Roman" w:hAnsi="Times New Roman" w:cs="Times New Roman"/>
          <w:b/>
          <w:bCs/>
          <w:i/>
          <w:iCs/>
          <w:sz w:val="28"/>
          <w:szCs w:val="28"/>
        </w:rPr>
      </w:pPr>
      <w:r w:rsidRPr="00EB106E">
        <w:rPr>
          <w:rFonts w:ascii="Times New Roman" w:hAnsi="Times New Roman" w:cs="Times New Roman"/>
          <w:b/>
          <w:bCs/>
          <w:i/>
          <w:iCs/>
          <w:sz w:val="28"/>
          <w:szCs w:val="28"/>
        </w:rPr>
        <w:t>The importance of accounting principles in preparing financial statements</w:t>
      </w:r>
    </w:p>
    <w:p w14:paraId="20CFBC9F" w14:textId="77777777" w:rsidR="00EB106E" w:rsidRPr="00EB106E" w:rsidRDefault="00EB106E" w:rsidP="00EB106E">
      <w:pPr>
        <w:spacing w:after="0" w:line="276" w:lineRule="auto"/>
        <w:jc w:val="center"/>
        <w:rPr>
          <w:rFonts w:ascii="Times New Roman" w:hAnsi="Times New Roman" w:cs="Times New Roman"/>
          <w:b/>
          <w:bCs/>
          <w:i/>
          <w:iCs/>
          <w:sz w:val="28"/>
          <w:szCs w:val="28"/>
        </w:rPr>
      </w:pPr>
    </w:p>
    <w:p w14:paraId="656735CF" w14:textId="5C83DEA0" w:rsidR="0042466D" w:rsidRDefault="00EB106E" w:rsidP="00EB106E">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E2204" w:rsidRPr="007A5EFD">
        <w:rPr>
          <w:rFonts w:ascii="Times New Roman" w:hAnsi="Times New Roman" w:cs="Times New Roman"/>
          <w:sz w:val="24"/>
          <w:szCs w:val="24"/>
        </w:rPr>
        <w:t>The accounting principles contain a set of rules of economic conduct extending the notion of valuation from assets and financial relations to the valuation of potential, valuation of performance, valuation of prospects, etc., and only in this broadened sense the provision of I.A.S. no. 1 that "the valuation of the items included in the quarterly and annual financial statements is carried out in accordance with certain infallible principles" gives value and meaning to accounting as a system and economic model of financial management of each legal entity</w:t>
      </w:r>
      <w:r w:rsidR="002C0210" w:rsidRPr="007A5EFD">
        <w:rPr>
          <w:rFonts w:ascii="Times New Roman" w:hAnsi="Times New Roman" w:cs="Times New Roman"/>
          <w:sz w:val="24"/>
          <w:szCs w:val="24"/>
        </w:rPr>
        <w:t>.</w:t>
      </w:r>
    </w:p>
    <w:p w14:paraId="72586C07" w14:textId="42A9ECA3" w:rsidR="00B21C40" w:rsidRDefault="00B21C40" w:rsidP="00EB106E">
      <w:pPr>
        <w:spacing w:after="0" w:line="276" w:lineRule="auto"/>
        <w:jc w:val="both"/>
        <w:rPr>
          <w:rFonts w:ascii="Times New Roman" w:hAnsi="Times New Roman" w:cs="Times New Roman"/>
          <w:sz w:val="24"/>
          <w:szCs w:val="24"/>
        </w:rPr>
      </w:pPr>
      <w:r w:rsidRPr="00B21C40">
        <w:rPr>
          <w:rFonts w:ascii="Times New Roman" w:hAnsi="Times New Roman" w:cs="Times New Roman"/>
          <w:sz w:val="24"/>
          <w:szCs w:val="24"/>
        </w:rPr>
        <w:t xml:space="preserve">Consequently, the valuation of the </w:t>
      </w:r>
      <w:r w:rsidR="004A4B3A">
        <w:rPr>
          <w:rFonts w:ascii="Times New Roman" w:hAnsi="Times New Roman" w:cs="Times New Roman"/>
          <w:sz w:val="24"/>
          <w:szCs w:val="24"/>
        </w:rPr>
        <w:t>positions</w:t>
      </w:r>
      <w:r w:rsidRPr="00B21C40">
        <w:rPr>
          <w:rFonts w:ascii="Times New Roman" w:hAnsi="Times New Roman" w:cs="Times New Roman"/>
          <w:sz w:val="24"/>
          <w:szCs w:val="24"/>
        </w:rPr>
        <w:t xml:space="preserve"> included in the financial statements and which come from the current accounting accounts, but also the dimensioning of the elements that each of them follows daily and synthesizes periodically, must be carried out in accordance with the established accounting principles</w:t>
      </w:r>
      <w:r w:rsidR="00325A80">
        <w:rPr>
          <w:rFonts w:ascii="Times New Roman" w:hAnsi="Times New Roman" w:cs="Times New Roman"/>
          <w:sz w:val="24"/>
          <w:szCs w:val="24"/>
        </w:rPr>
        <w:t>.</w:t>
      </w:r>
    </w:p>
    <w:p w14:paraId="1EA21B26" w14:textId="77777777" w:rsidR="00325A80" w:rsidRPr="0054470C" w:rsidRDefault="00325A80" w:rsidP="00EB106E">
      <w:pPr>
        <w:spacing w:after="0" w:line="276" w:lineRule="auto"/>
        <w:jc w:val="both"/>
        <w:rPr>
          <w:rFonts w:ascii="Times New Roman" w:hAnsi="Times New Roman" w:cs="Times New Roman"/>
          <w:sz w:val="24"/>
          <w:szCs w:val="24"/>
        </w:rPr>
      </w:pPr>
    </w:p>
    <w:p w14:paraId="3F5750AE" w14:textId="77777777" w:rsidR="00EB106E" w:rsidRDefault="0054470C" w:rsidP="00EB106E">
      <w:pPr>
        <w:spacing w:after="0" w:line="276" w:lineRule="auto"/>
        <w:jc w:val="both"/>
        <w:rPr>
          <w:rFonts w:ascii="Times New Roman" w:hAnsi="Times New Roman" w:cs="Times New Roman"/>
          <w:sz w:val="24"/>
          <w:szCs w:val="24"/>
        </w:rPr>
      </w:pPr>
      <w:r w:rsidRPr="0054470C">
        <w:rPr>
          <w:rFonts w:ascii="Times New Roman" w:hAnsi="Times New Roman" w:cs="Times New Roman"/>
          <w:sz w:val="24"/>
          <w:szCs w:val="24"/>
        </w:rPr>
        <w:t>Some of the most fundamental accounting principles include the following:</w:t>
      </w:r>
      <w:r w:rsidR="00EB106E">
        <w:rPr>
          <w:rFonts w:ascii="Times New Roman" w:hAnsi="Times New Roman" w:cs="Times New Roman"/>
          <w:sz w:val="24"/>
          <w:szCs w:val="24"/>
        </w:rPr>
        <w:t xml:space="preserve"> </w:t>
      </w:r>
    </w:p>
    <w:p w14:paraId="09B27377" w14:textId="5FB50A41"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Accrual principle</w:t>
      </w:r>
    </w:p>
    <w:p w14:paraId="1E046177"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Conservatism principle</w:t>
      </w:r>
    </w:p>
    <w:p w14:paraId="291BE5C7"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Consistency principle</w:t>
      </w:r>
    </w:p>
    <w:p w14:paraId="2E4ACB13"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Cost principle</w:t>
      </w:r>
    </w:p>
    <w:p w14:paraId="065D7232"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Economic entity principle</w:t>
      </w:r>
    </w:p>
    <w:p w14:paraId="49F296EB"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Full disclosure principle</w:t>
      </w:r>
    </w:p>
    <w:p w14:paraId="7A949C65"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Going concern principle</w:t>
      </w:r>
    </w:p>
    <w:p w14:paraId="3240C587"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Matching principle</w:t>
      </w:r>
    </w:p>
    <w:p w14:paraId="79E6A92D"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Materiality principle</w:t>
      </w:r>
    </w:p>
    <w:p w14:paraId="20F51B16"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Monetary unit principle</w:t>
      </w:r>
    </w:p>
    <w:p w14:paraId="761CD8A8" w14:textId="77777777" w:rsidR="0054470C" w:rsidRPr="00EB106E" w:rsidRDefault="0054470C" w:rsidP="00EB106E">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Reliability principle</w:t>
      </w:r>
    </w:p>
    <w:p w14:paraId="07ED6F53" w14:textId="77777777" w:rsidR="008C2DDF" w:rsidRDefault="0054470C" w:rsidP="00062739">
      <w:pPr>
        <w:pStyle w:val="ListParagraph"/>
        <w:numPr>
          <w:ilvl w:val="0"/>
          <w:numId w:val="3"/>
        </w:numPr>
        <w:spacing w:after="0" w:line="276" w:lineRule="auto"/>
        <w:jc w:val="both"/>
        <w:rPr>
          <w:rFonts w:ascii="Times New Roman" w:hAnsi="Times New Roman" w:cs="Times New Roman"/>
          <w:sz w:val="24"/>
          <w:szCs w:val="24"/>
        </w:rPr>
      </w:pPr>
      <w:r w:rsidRPr="00EB106E">
        <w:rPr>
          <w:rFonts w:ascii="Times New Roman" w:hAnsi="Times New Roman" w:cs="Times New Roman"/>
          <w:sz w:val="24"/>
          <w:szCs w:val="24"/>
        </w:rPr>
        <w:t>Revenue recognition principle</w:t>
      </w:r>
    </w:p>
    <w:p w14:paraId="4FD1825F" w14:textId="199BC551" w:rsidR="0054470C" w:rsidRPr="008C2DDF" w:rsidRDefault="0054470C" w:rsidP="00062739">
      <w:pPr>
        <w:pStyle w:val="ListParagraph"/>
        <w:numPr>
          <w:ilvl w:val="0"/>
          <w:numId w:val="3"/>
        </w:numPr>
        <w:spacing w:after="0" w:line="276" w:lineRule="auto"/>
        <w:jc w:val="both"/>
        <w:rPr>
          <w:rFonts w:ascii="Times New Roman" w:hAnsi="Times New Roman" w:cs="Times New Roman"/>
          <w:sz w:val="24"/>
          <w:szCs w:val="24"/>
        </w:rPr>
      </w:pPr>
      <w:r w:rsidRPr="008C2DDF">
        <w:rPr>
          <w:rFonts w:ascii="Times New Roman" w:hAnsi="Times New Roman" w:cs="Times New Roman"/>
          <w:sz w:val="24"/>
          <w:szCs w:val="24"/>
        </w:rPr>
        <w:t>Time period principle</w:t>
      </w:r>
      <w:r w:rsidR="00E873C6" w:rsidRPr="008C2DDF">
        <w:rPr>
          <w:rFonts w:ascii="Times New Roman" w:hAnsi="Times New Roman" w:cs="Times New Roman"/>
          <w:sz w:val="24"/>
          <w:szCs w:val="24"/>
        </w:rPr>
        <w:t xml:space="preserve"> </w:t>
      </w:r>
      <w:r w:rsidR="00277DB9" w:rsidRPr="008C2DDF">
        <w:rPr>
          <w:rFonts w:ascii="Times New Roman" w:hAnsi="Times New Roman" w:cs="Times New Roman"/>
          <w:sz w:val="24"/>
          <w:szCs w:val="24"/>
        </w:rPr>
        <w:t>(</w:t>
      </w:r>
      <w:hyperlink r:id="rId7" w:history="1">
        <w:r w:rsidR="002D1E1B" w:rsidRPr="008C2DDF">
          <w:rPr>
            <w:rFonts w:ascii="Times New Roman" w:hAnsi="Times New Roman" w:cs="Times New Roman"/>
            <w:sz w:val="24"/>
            <w:szCs w:val="24"/>
          </w:rPr>
          <w:t>ALICIA TUOVILA</w:t>
        </w:r>
      </w:hyperlink>
      <w:r w:rsidR="00062739" w:rsidRPr="008C2DDF">
        <w:rPr>
          <w:rFonts w:ascii="Times New Roman" w:hAnsi="Times New Roman" w:cs="Times New Roman"/>
          <w:sz w:val="24"/>
          <w:szCs w:val="24"/>
        </w:rPr>
        <w:t>,</w:t>
      </w:r>
      <w:r w:rsidR="00472900" w:rsidRPr="008C2DDF">
        <w:rPr>
          <w:rFonts w:ascii="Times New Roman" w:hAnsi="Times New Roman" w:cs="Times New Roman"/>
          <w:sz w:val="24"/>
          <w:szCs w:val="24"/>
        </w:rPr>
        <w:t xml:space="preserve"> </w:t>
      </w:r>
      <w:r w:rsidR="00472900">
        <w:t>2021</w:t>
      </w:r>
      <w:r w:rsidR="00E854E2" w:rsidRPr="008C2DDF">
        <w:rPr>
          <w:rFonts w:ascii="Times New Roman" w:hAnsi="Times New Roman" w:cs="Times New Roman"/>
          <w:sz w:val="24"/>
          <w:szCs w:val="24"/>
        </w:rPr>
        <w:t>)</w:t>
      </w:r>
    </w:p>
    <w:p w14:paraId="33835F43" w14:textId="73BCF277" w:rsidR="0054470C" w:rsidRDefault="0054470C" w:rsidP="00EB106E">
      <w:pPr>
        <w:spacing w:after="0" w:line="276" w:lineRule="auto"/>
        <w:jc w:val="both"/>
        <w:rPr>
          <w:rFonts w:ascii="Times New Roman" w:hAnsi="Times New Roman" w:cs="Times New Roman"/>
          <w:sz w:val="24"/>
          <w:szCs w:val="24"/>
        </w:rPr>
      </w:pPr>
      <w:r w:rsidRPr="0054470C">
        <w:rPr>
          <w:rFonts w:ascii="Times New Roman" w:hAnsi="Times New Roman" w:cs="Times New Roman"/>
          <w:sz w:val="24"/>
          <w:szCs w:val="24"/>
        </w:rPr>
        <w:t xml:space="preserve">There are a number of principles, but some of the most notable include </w:t>
      </w:r>
      <w:r w:rsidR="00EE386C" w:rsidRPr="002C0210">
        <w:rPr>
          <w:rFonts w:ascii="Times New Roman" w:hAnsi="Times New Roman" w:cs="Times New Roman"/>
          <w:sz w:val="24"/>
          <w:szCs w:val="24"/>
        </w:rPr>
        <w:t>consistency, materiality, monetary unit, accrual and going concern</w:t>
      </w:r>
      <w:r w:rsidR="009A6A63" w:rsidRPr="002C0210">
        <w:rPr>
          <w:rFonts w:ascii="Times New Roman" w:hAnsi="Times New Roman" w:cs="Times New Roman"/>
          <w:sz w:val="24"/>
          <w:szCs w:val="24"/>
        </w:rPr>
        <w:t>.</w:t>
      </w:r>
    </w:p>
    <w:p w14:paraId="0BF79FF6" w14:textId="77777777" w:rsidR="00325A80" w:rsidRPr="007A5EFD" w:rsidRDefault="00325A80" w:rsidP="00EB106E">
      <w:pPr>
        <w:spacing w:after="0" w:line="276" w:lineRule="auto"/>
        <w:jc w:val="both"/>
        <w:rPr>
          <w:rFonts w:ascii="Times New Roman" w:hAnsi="Times New Roman" w:cs="Times New Roman"/>
          <w:sz w:val="24"/>
          <w:szCs w:val="24"/>
        </w:rPr>
      </w:pPr>
    </w:p>
    <w:p w14:paraId="28AF38A8" w14:textId="2304DFCE" w:rsidR="00CF0E25" w:rsidRPr="007C472A" w:rsidRDefault="009E524E" w:rsidP="007C472A">
      <w:pPr>
        <w:pStyle w:val="ListParagraph"/>
        <w:numPr>
          <w:ilvl w:val="0"/>
          <w:numId w:val="4"/>
        </w:numPr>
        <w:spacing w:after="0" w:line="276" w:lineRule="auto"/>
        <w:jc w:val="both"/>
        <w:rPr>
          <w:rFonts w:ascii="Times New Roman" w:hAnsi="Times New Roman" w:cs="Times New Roman"/>
          <w:sz w:val="24"/>
          <w:szCs w:val="24"/>
        </w:rPr>
      </w:pPr>
      <w:r w:rsidRPr="007C472A">
        <w:rPr>
          <w:rFonts w:ascii="Times New Roman" w:hAnsi="Times New Roman" w:cs="Times New Roman"/>
          <w:sz w:val="24"/>
          <w:szCs w:val="24"/>
        </w:rPr>
        <w:t>G</w:t>
      </w:r>
      <w:r w:rsidR="00CF0E25" w:rsidRPr="007C472A">
        <w:rPr>
          <w:rFonts w:ascii="Times New Roman" w:hAnsi="Times New Roman" w:cs="Times New Roman"/>
          <w:sz w:val="24"/>
          <w:szCs w:val="24"/>
        </w:rPr>
        <w:t xml:space="preserve">oing concern </w:t>
      </w:r>
      <w:r w:rsidR="00E6328D">
        <w:rPr>
          <w:rFonts w:ascii="Times New Roman" w:hAnsi="Times New Roman" w:cs="Times New Roman"/>
          <w:sz w:val="24"/>
          <w:szCs w:val="24"/>
        </w:rPr>
        <w:t>principle</w:t>
      </w:r>
    </w:p>
    <w:p w14:paraId="2B12F90A" w14:textId="64605FE6" w:rsidR="00CF0E25" w:rsidRDefault="00CF0E25"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 xml:space="preserve">This presupposes that the company normally continues its operation in the foreseeable future, without being unable to continue the activity or without significantly reducing it. If the entity's administrators have become aware of some elements of uncertainty related to certain events that may lead to the inability of the institution (enterprise) to continue its activity, these elements must be presented in the explanatory notes. If the financial statements are not prepared on a going concern basis, this information must be presented with explanations of how the financial reporting is prepared and the reasons for the decision that the legal entity may no longer operate. The continuity or cessation of activity must be understood in a financial sense </w:t>
      </w:r>
      <w:r w:rsidRPr="007A5EFD">
        <w:rPr>
          <w:rFonts w:ascii="Times New Roman" w:hAnsi="Times New Roman" w:cs="Times New Roman"/>
          <w:sz w:val="24"/>
          <w:szCs w:val="24"/>
        </w:rPr>
        <w:lastRenderedPageBreak/>
        <w:t xml:space="preserve">because any "dead" institution can be kept alive by </w:t>
      </w:r>
      <w:proofErr w:type="spellStart"/>
      <w:r w:rsidR="00CB0E1A">
        <w:rPr>
          <w:rFonts w:ascii="Times New Roman" w:hAnsi="Times New Roman" w:cs="Times New Roman"/>
          <w:sz w:val="24"/>
          <w:szCs w:val="24"/>
        </w:rPr>
        <w:t>hemorrhagic</w:t>
      </w:r>
      <w:proofErr w:type="spellEnd"/>
      <w:r w:rsidRPr="007A5EFD">
        <w:rPr>
          <w:rFonts w:ascii="Times New Roman" w:hAnsi="Times New Roman" w:cs="Times New Roman"/>
          <w:sz w:val="24"/>
          <w:szCs w:val="24"/>
        </w:rPr>
        <w:t xml:space="preserve"> financing, but, today, no one proposes such a thing.</w:t>
      </w:r>
    </w:p>
    <w:p w14:paraId="4FBF9303" w14:textId="77777777" w:rsidR="003D4D94" w:rsidRPr="003D4D94" w:rsidRDefault="003D4D94" w:rsidP="003D4D94">
      <w:p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Among the major events that could affect an entity's activity in the foreseeable future or that could significantly change the results of the activity and / or the accounting methods we list:</w:t>
      </w:r>
    </w:p>
    <w:p w14:paraId="0377B655" w14:textId="77777777" w:rsidR="003D4D94" w:rsidRPr="003D4D94" w:rsidRDefault="003D4D94" w:rsidP="003D4D94">
      <w:pPr>
        <w:spacing w:after="0" w:line="276" w:lineRule="auto"/>
        <w:jc w:val="both"/>
        <w:rPr>
          <w:rFonts w:ascii="Times New Roman" w:hAnsi="Times New Roman" w:cs="Times New Roman"/>
          <w:sz w:val="24"/>
          <w:szCs w:val="24"/>
        </w:rPr>
      </w:pPr>
    </w:p>
    <w:p w14:paraId="229A7EFF"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listing on the stock exchange;</w:t>
      </w:r>
    </w:p>
    <w:p w14:paraId="1C06C53F"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entering into insolvency or dissolving it;</w:t>
      </w:r>
    </w:p>
    <w:p w14:paraId="4AC9B5BD"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division (into two or more new entities);</w:t>
      </w:r>
    </w:p>
    <w:p w14:paraId="374DE1D0"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merger with one or more entities (by merger or absorption);</w:t>
      </w:r>
    </w:p>
    <w:p w14:paraId="41DCAD59"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significant change of shareholding, object of activity or geographical area of action;</w:t>
      </w:r>
    </w:p>
    <w:p w14:paraId="49F2FF6E" w14:textId="77777777"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changing the object of activity, extending or reducing it;</w:t>
      </w:r>
    </w:p>
    <w:p w14:paraId="3702E3DA" w14:textId="0A3DFF79" w:rsidR="003D4D94" w:rsidRPr="003D4D94" w:rsidRDefault="003D4D94" w:rsidP="003D4D94">
      <w:pPr>
        <w:pStyle w:val="ListParagraph"/>
        <w:numPr>
          <w:ilvl w:val="0"/>
          <w:numId w:val="5"/>
        </w:numPr>
        <w:spacing w:after="0" w:line="276" w:lineRule="auto"/>
        <w:jc w:val="both"/>
        <w:rPr>
          <w:rFonts w:ascii="Times New Roman" w:hAnsi="Times New Roman" w:cs="Times New Roman"/>
          <w:sz w:val="24"/>
          <w:szCs w:val="24"/>
        </w:rPr>
      </w:pPr>
      <w:r w:rsidRPr="003D4D94">
        <w:rPr>
          <w:rFonts w:ascii="Times New Roman" w:hAnsi="Times New Roman" w:cs="Times New Roman"/>
          <w:sz w:val="24"/>
          <w:szCs w:val="24"/>
        </w:rPr>
        <w:t>initiating a strategic partnership or forming a group.</w:t>
      </w:r>
    </w:p>
    <w:p w14:paraId="2EEA30CE" w14:textId="77777777" w:rsidR="00325A80" w:rsidRPr="007A5EFD" w:rsidRDefault="00325A80" w:rsidP="00EB106E">
      <w:pPr>
        <w:spacing w:after="0" w:line="276" w:lineRule="auto"/>
        <w:jc w:val="both"/>
        <w:rPr>
          <w:rFonts w:ascii="Times New Roman" w:hAnsi="Times New Roman" w:cs="Times New Roman"/>
          <w:sz w:val="24"/>
          <w:szCs w:val="24"/>
        </w:rPr>
      </w:pPr>
    </w:p>
    <w:p w14:paraId="272CBD05" w14:textId="055A9A61" w:rsidR="00E6328D" w:rsidRDefault="009E524E" w:rsidP="00E6328D">
      <w:pPr>
        <w:pStyle w:val="ListParagraph"/>
        <w:numPr>
          <w:ilvl w:val="0"/>
          <w:numId w:val="4"/>
        </w:numPr>
        <w:spacing w:after="0" w:line="276" w:lineRule="auto"/>
        <w:jc w:val="both"/>
        <w:rPr>
          <w:rFonts w:ascii="Times New Roman" w:hAnsi="Times New Roman" w:cs="Times New Roman"/>
          <w:sz w:val="24"/>
          <w:szCs w:val="24"/>
        </w:rPr>
      </w:pPr>
      <w:r w:rsidRPr="007C472A">
        <w:rPr>
          <w:rFonts w:ascii="Times New Roman" w:hAnsi="Times New Roman" w:cs="Times New Roman"/>
          <w:sz w:val="24"/>
          <w:szCs w:val="24"/>
        </w:rPr>
        <w:t>Consistency</w:t>
      </w:r>
      <w:r w:rsidR="00E6328D">
        <w:rPr>
          <w:rFonts w:ascii="Times New Roman" w:hAnsi="Times New Roman" w:cs="Times New Roman"/>
          <w:sz w:val="24"/>
          <w:szCs w:val="24"/>
        </w:rPr>
        <w:t xml:space="preserve"> principle</w:t>
      </w:r>
    </w:p>
    <w:p w14:paraId="3B1CD88F" w14:textId="08C92212" w:rsidR="009E524E" w:rsidRPr="00E6328D" w:rsidRDefault="009E524E" w:rsidP="00E6328D">
      <w:pPr>
        <w:spacing w:after="0" w:line="276" w:lineRule="auto"/>
        <w:jc w:val="both"/>
        <w:rPr>
          <w:rFonts w:ascii="Times New Roman" w:hAnsi="Times New Roman" w:cs="Times New Roman"/>
          <w:sz w:val="24"/>
          <w:szCs w:val="24"/>
        </w:rPr>
      </w:pPr>
      <w:r w:rsidRPr="00E6328D">
        <w:rPr>
          <w:rFonts w:ascii="Times New Roman" w:hAnsi="Times New Roman" w:cs="Times New Roman"/>
          <w:sz w:val="24"/>
          <w:szCs w:val="24"/>
        </w:rPr>
        <w:t xml:space="preserve"> This is a principle of permanence of methods, according to which it is mandatory the continuity of the application of the same rules and norms regarding the evaluation, registration in accounting</w:t>
      </w:r>
      <w:r w:rsidR="00AE07DE" w:rsidRPr="00E6328D">
        <w:rPr>
          <w:rFonts w:ascii="Times New Roman" w:hAnsi="Times New Roman" w:cs="Times New Roman"/>
          <w:sz w:val="24"/>
          <w:szCs w:val="24"/>
        </w:rPr>
        <w:t>,</w:t>
      </w:r>
      <w:r w:rsidRPr="00E6328D">
        <w:rPr>
          <w:rFonts w:ascii="Times New Roman" w:hAnsi="Times New Roman" w:cs="Times New Roman"/>
          <w:sz w:val="24"/>
          <w:szCs w:val="24"/>
        </w:rPr>
        <w:t xml:space="preserve"> and presentation of patrimonial elements and results, ensuring the comparability in time of accounting information.</w:t>
      </w:r>
    </w:p>
    <w:p w14:paraId="34D0C2B3" w14:textId="4BA48EAA" w:rsidR="001F55F5" w:rsidRDefault="009E524E"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Changes in accounting policy are permitted only if they are required by law, an accounting standard or result in more relevant or credible information about the company's operations. It is very important to mention in the explanatory notes any changes in accounting policies</w:t>
      </w:r>
      <w:r w:rsidR="002C0210" w:rsidRPr="007A5EFD">
        <w:rPr>
          <w:rFonts w:ascii="Times New Roman" w:hAnsi="Times New Roman" w:cs="Times New Roman"/>
          <w:sz w:val="24"/>
          <w:szCs w:val="24"/>
        </w:rPr>
        <w:t>,</w:t>
      </w:r>
      <w:r w:rsidRPr="007A5EFD">
        <w:rPr>
          <w:rFonts w:ascii="Times New Roman" w:hAnsi="Times New Roman" w:cs="Times New Roman"/>
          <w:sz w:val="24"/>
          <w:szCs w:val="24"/>
        </w:rPr>
        <w:t xml:space="preserve"> so that users can assess: whether the new accounting policy has been chosen appropriately; the effect of the change on the reported results of the period and the actual trend of the company's results.</w:t>
      </w:r>
    </w:p>
    <w:p w14:paraId="773E1532" w14:textId="77777777" w:rsidR="00894A08" w:rsidRPr="00894A08" w:rsidRDefault="00894A08" w:rsidP="00894A08">
      <w:pPr>
        <w:spacing w:after="0" w:line="276" w:lineRule="auto"/>
        <w:jc w:val="both"/>
        <w:rPr>
          <w:rFonts w:ascii="Times New Roman" w:hAnsi="Times New Roman" w:cs="Times New Roman"/>
          <w:sz w:val="24"/>
          <w:szCs w:val="24"/>
        </w:rPr>
      </w:pPr>
      <w:r w:rsidRPr="00894A08">
        <w:rPr>
          <w:rFonts w:ascii="Times New Roman" w:hAnsi="Times New Roman" w:cs="Times New Roman"/>
          <w:sz w:val="24"/>
          <w:szCs w:val="24"/>
        </w:rPr>
        <w:t>Changing accounting policies can be done by:</w:t>
      </w:r>
    </w:p>
    <w:p w14:paraId="23C0267D" w14:textId="77777777" w:rsidR="00894A08" w:rsidRPr="00894A08" w:rsidRDefault="00894A08" w:rsidP="00894A08">
      <w:pPr>
        <w:spacing w:after="0" w:line="276" w:lineRule="auto"/>
        <w:jc w:val="both"/>
        <w:rPr>
          <w:rFonts w:ascii="Times New Roman" w:hAnsi="Times New Roman" w:cs="Times New Roman"/>
          <w:sz w:val="24"/>
          <w:szCs w:val="24"/>
        </w:rPr>
      </w:pPr>
    </w:p>
    <w:p w14:paraId="1D913EB0" w14:textId="77777777" w:rsidR="00894A08" w:rsidRPr="00894A08" w:rsidRDefault="00894A08" w:rsidP="00894A08">
      <w:pPr>
        <w:pStyle w:val="ListParagraph"/>
        <w:numPr>
          <w:ilvl w:val="0"/>
          <w:numId w:val="7"/>
        </w:numPr>
        <w:spacing w:after="0" w:line="276" w:lineRule="auto"/>
        <w:jc w:val="both"/>
        <w:rPr>
          <w:rFonts w:ascii="Times New Roman" w:hAnsi="Times New Roman" w:cs="Times New Roman"/>
          <w:sz w:val="24"/>
          <w:szCs w:val="24"/>
        </w:rPr>
      </w:pPr>
      <w:r w:rsidRPr="00894A08">
        <w:rPr>
          <w:rFonts w:ascii="Times New Roman" w:hAnsi="Times New Roman" w:cs="Times New Roman"/>
          <w:sz w:val="24"/>
          <w:szCs w:val="24"/>
        </w:rPr>
        <w:t>the entity's initiative, if it results in more relevant or credible information about its operations, in which case that change must be justified in the explanatory notes;</w:t>
      </w:r>
    </w:p>
    <w:p w14:paraId="0E5F0265" w14:textId="681E9F08" w:rsidR="00325A80" w:rsidRDefault="00894A08" w:rsidP="00894A08">
      <w:pPr>
        <w:pStyle w:val="ListParagraph"/>
        <w:numPr>
          <w:ilvl w:val="0"/>
          <w:numId w:val="7"/>
        </w:numPr>
        <w:spacing w:after="0" w:line="276" w:lineRule="auto"/>
        <w:jc w:val="both"/>
        <w:rPr>
          <w:rFonts w:ascii="Times New Roman" w:hAnsi="Times New Roman" w:cs="Times New Roman"/>
          <w:sz w:val="24"/>
          <w:szCs w:val="24"/>
        </w:rPr>
      </w:pPr>
      <w:r w:rsidRPr="00894A08">
        <w:rPr>
          <w:rFonts w:ascii="Times New Roman" w:hAnsi="Times New Roman" w:cs="Times New Roman"/>
          <w:sz w:val="24"/>
          <w:szCs w:val="24"/>
        </w:rPr>
        <w:t>the decision of the competent authorities, in which case the change does not have to be justified in the explanatory notes, being imposed by amending the accounting regulations.</w:t>
      </w:r>
    </w:p>
    <w:p w14:paraId="3FCF1764" w14:textId="77777777" w:rsidR="00894A08" w:rsidRPr="00894A08" w:rsidRDefault="00894A08" w:rsidP="00894A08">
      <w:pPr>
        <w:pStyle w:val="ListParagraph"/>
        <w:spacing w:after="0" w:line="276" w:lineRule="auto"/>
        <w:jc w:val="both"/>
        <w:rPr>
          <w:rFonts w:ascii="Times New Roman" w:hAnsi="Times New Roman" w:cs="Times New Roman"/>
          <w:sz w:val="24"/>
          <w:szCs w:val="24"/>
        </w:rPr>
      </w:pPr>
    </w:p>
    <w:p w14:paraId="19FEFC3F" w14:textId="10E4B991" w:rsidR="00E6328D" w:rsidRPr="00E6328D" w:rsidRDefault="00E6328D" w:rsidP="00E6328D">
      <w:pPr>
        <w:pStyle w:val="ListParagraph"/>
        <w:numPr>
          <w:ilvl w:val="0"/>
          <w:numId w:val="4"/>
        </w:numPr>
        <w:spacing w:after="0" w:line="276" w:lineRule="auto"/>
        <w:jc w:val="both"/>
        <w:rPr>
          <w:rFonts w:ascii="Times New Roman" w:hAnsi="Times New Roman" w:cs="Times New Roman"/>
          <w:sz w:val="24"/>
          <w:szCs w:val="24"/>
        </w:rPr>
      </w:pPr>
      <w:r w:rsidRPr="00E6328D">
        <w:rPr>
          <w:rFonts w:ascii="Times New Roman" w:hAnsi="Times New Roman" w:cs="Times New Roman"/>
          <w:sz w:val="24"/>
          <w:szCs w:val="24"/>
        </w:rPr>
        <w:t>Materiality principle</w:t>
      </w:r>
    </w:p>
    <w:p w14:paraId="11C48CF1" w14:textId="13908ACD" w:rsidR="00890FAB" w:rsidRPr="007A5EFD" w:rsidRDefault="00890FAB" w:rsidP="00EB106E">
      <w:pPr>
        <w:spacing w:after="0" w:line="276" w:lineRule="auto"/>
        <w:jc w:val="both"/>
        <w:rPr>
          <w:rFonts w:ascii="Times New Roman" w:hAnsi="Times New Roman" w:cs="Times New Roman"/>
          <w:sz w:val="24"/>
          <w:szCs w:val="24"/>
        </w:rPr>
      </w:pPr>
      <w:r w:rsidRPr="002C0210">
        <w:rPr>
          <w:rFonts w:ascii="Times New Roman" w:hAnsi="Times New Roman" w:cs="Times New Roman"/>
          <w:sz w:val="24"/>
          <w:szCs w:val="24"/>
        </w:rPr>
        <w:t xml:space="preserve"> </w:t>
      </w:r>
      <w:r w:rsidRPr="007A5EFD">
        <w:rPr>
          <w:rFonts w:ascii="Times New Roman" w:hAnsi="Times New Roman" w:cs="Times New Roman"/>
          <w:sz w:val="24"/>
          <w:szCs w:val="24"/>
        </w:rPr>
        <w:t xml:space="preserve">The materiality principle assumes that accounting operations for insignificant amounts can be neglected, as long as their influence in </w:t>
      </w:r>
      <w:r w:rsidR="009A6A63" w:rsidRPr="007A5EFD">
        <w:rPr>
          <w:rFonts w:ascii="Times New Roman" w:hAnsi="Times New Roman" w:cs="Times New Roman"/>
          <w:sz w:val="24"/>
          <w:szCs w:val="24"/>
        </w:rPr>
        <w:t>decision-making</w:t>
      </w:r>
      <w:r w:rsidRPr="007A5EFD">
        <w:rPr>
          <w:rFonts w:ascii="Times New Roman" w:hAnsi="Times New Roman" w:cs="Times New Roman"/>
          <w:sz w:val="24"/>
          <w:szCs w:val="24"/>
        </w:rPr>
        <w:t xml:space="preserve"> is minimal and does not mislead the users of the Financial Statements, even if a certain accounting standard is violated.</w:t>
      </w:r>
    </w:p>
    <w:p w14:paraId="16FC204C" w14:textId="1E01C635" w:rsidR="00727301" w:rsidRPr="00727301" w:rsidRDefault="00727301" w:rsidP="00727301">
      <w:pPr>
        <w:spacing w:after="0" w:line="276" w:lineRule="auto"/>
        <w:jc w:val="both"/>
        <w:rPr>
          <w:rFonts w:ascii="Times New Roman" w:hAnsi="Times New Roman" w:cs="Times New Roman"/>
          <w:sz w:val="24"/>
          <w:szCs w:val="24"/>
        </w:rPr>
      </w:pPr>
      <w:r w:rsidRPr="00727301">
        <w:rPr>
          <w:rFonts w:ascii="Times New Roman" w:hAnsi="Times New Roman" w:cs="Times New Roman"/>
          <w:sz w:val="24"/>
          <w:szCs w:val="24"/>
        </w:rPr>
        <w:t xml:space="preserve">According to generally accepted accounting principles (GAAP), the </w:t>
      </w:r>
      <w:r w:rsidR="00FA59EF" w:rsidRPr="00FA59EF">
        <w:rPr>
          <w:rFonts w:ascii="Times New Roman" w:hAnsi="Times New Roman" w:cs="Times New Roman"/>
          <w:sz w:val="24"/>
          <w:szCs w:val="24"/>
        </w:rPr>
        <w:t>stipulations</w:t>
      </w:r>
      <w:r w:rsidRPr="00727301">
        <w:rPr>
          <w:rFonts w:ascii="Times New Roman" w:hAnsi="Times New Roman" w:cs="Times New Roman"/>
          <w:sz w:val="24"/>
          <w:szCs w:val="24"/>
        </w:rPr>
        <w:t xml:space="preserve"> of an accounting standard may be neglected if an item is insignificant. Since this definition </w:t>
      </w:r>
      <w:r w:rsidR="00F11893">
        <w:rPr>
          <w:rFonts w:ascii="Times New Roman" w:hAnsi="Times New Roman" w:cs="Times New Roman"/>
          <w:sz w:val="24"/>
          <w:szCs w:val="24"/>
        </w:rPr>
        <w:t xml:space="preserve">does not </w:t>
      </w:r>
      <w:r w:rsidRPr="00727301">
        <w:rPr>
          <w:rFonts w:ascii="Times New Roman" w:hAnsi="Times New Roman" w:cs="Times New Roman"/>
          <w:sz w:val="24"/>
          <w:szCs w:val="24"/>
        </w:rPr>
        <w:t>give concrete specifications on how to differentiate significant information from immaterial information, the accountant or user of the Accounting Statements is put in a position to do a reasoning exercise to decide whether the transaction is significant or not.</w:t>
      </w:r>
    </w:p>
    <w:p w14:paraId="004E9B93" w14:textId="7BA4AA91" w:rsidR="00325A80" w:rsidRDefault="00727301" w:rsidP="00727301">
      <w:pPr>
        <w:spacing w:after="0" w:line="276" w:lineRule="auto"/>
        <w:jc w:val="both"/>
        <w:rPr>
          <w:rFonts w:ascii="Times New Roman" w:hAnsi="Times New Roman" w:cs="Times New Roman"/>
          <w:sz w:val="24"/>
          <w:szCs w:val="24"/>
        </w:rPr>
      </w:pPr>
      <w:r w:rsidRPr="00727301">
        <w:rPr>
          <w:rFonts w:ascii="Times New Roman" w:hAnsi="Times New Roman" w:cs="Times New Roman"/>
          <w:sz w:val="24"/>
          <w:szCs w:val="24"/>
        </w:rPr>
        <w:t xml:space="preserve">The concept of materiality varies depending on the size of the entity. For example, for a company with annual sales of 1 billion pounds, an accounting item worth 10,000 pounds can </w:t>
      </w:r>
      <w:r w:rsidRPr="00727301">
        <w:rPr>
          <w:rFonts w:ascii="Times New Roman" w:hAnsi="Times New Roman" w:cs="Times New Roman"/>
          <w:sz w:val="24"/>
          <w:szCs w:val="24"/>
        </w:rPr>
        <w:lastRenderedPageBreak/>
        <w:t xml:space="preserve">be considered insignificant. </w:t>
      </w:r>
      <w:r w:rsidR="00800E8E">
        <w:rPr>
          <w:rFonts w:ascii="Times New Roman" w:hAnsi="Times New Roman" w:cs="Times New Roman"/>
          <w:sz w:val="24"/>
          <w:szCs w:val="24"/>
        </w:rPr>
        <w:t>While</w:t>
      </w:r>
      <w:r w:rsidRPr="00727301">
        <w:rPr>
          <w:rFonts w:ascii="Times New Roman" w:hAnsi="Times New Roman" w:cs="Times New Roman"/>
          <w:sz w:val="24"/>
          <w:szCs w:val="24"/>
        </w:rPr>
        <w:t xml:space="preserve"> for a small </w:t>
      </w:r>
      <w:r w:rsidR="00DA15C0">
        <w:rPr>
          <w:rFonts w:ascii="Times New Roman" w:hAnsi="Times New Roman" w:cs="Times New Roman"/>
          <w:sz w:val="24"/>
          <w:szCs w:val="24"/>
        </w:rPr>
        <w:t>business</w:t>
      </w:r>
      <w:r w:rsidRPr="00727301">
        <w:rPr>
          <w:rFonts w:ascii="Times New Roman" w:hAnsi="Times New Roman" w:cs="Times New Roman"/>
          <w:sz w:val="24"/>
          <w:szCs w:val="24"/>
        </w:rPr>
        <w:t xml:space="preserve">, which has annual </w:t>
      </w:r>
      <w:r w:rsidR="00DA15C0">
        <w:rPr>
          <w:rFonts w:ascii="Times New Roman" w:hAnsi="Times New Roman" w:cs="Times New Roman"/>
          <w:sz w:val="24"/>
          <w:szCs w:val="24"/>
        </w:rPr>
        <w:t>sales</w:t>
      </w:r>
      <w:r w:rsidRPr="00727301">
        <w:rPr>
          <w:rFonts w:ascii="Times New Roman" w:hAnsi="Times New Roman" w:cs="Times New Roman"/>
          <w:sz w:val="24"/>
          <w:szCs w:val="24"/>
        </w:rPr>
        <w:t xml:space="preserve"> of 50,000 pounds, the error of 10,000 pounds is significant and influences the decision-making process.</w:t>
      </w:r>
    </w:p>
    <w:p w14:paraId="3499ADB0" w14:textId="77777777" w:rsidR="00FA59EF" w:rsidRPr="007A5EFD" w:rsidRDefault="00FA59EF" w:rsidP="00727301">
      <w:pPr>
        <w:spacing w:after="0" w:line="276" w:lineRule="auto"/>
        <w:jc w:val="both"/>
        <w:rPr>
          <w:rFonts w:ascii="Times New Roman" w:hAnsi="Times New Roman" w:cs="Times New Roman"/>
          <w:sz w:val="24"/>
          <w:szCs w:val="24"/>
        </w:rPr>
      </w:pPr>
    </w:p>
    <w:p w14:paraId="6E169C47" w14:textId="2718BC06" w:rsidR="007834FC" w:rsidRPr="007834FC" w:rsidRDefault="007834FC" w:rsidP="007834FC">
      <w:pPr>
        <w:pStyle w:val="ListParagraph"/>
        <w:numPr>
          <w:ilvl w:val="0"/>
          <w:numId w:val="4"/>
        </w:numPr>
        <w:spacing w:after="0" w:line="276" w:lineRule="auto"/>
        <w:jc w:val="both"/>
        <w:rPr>
          <w:rFonts w:ascii="Times New Roman" w:hAnsi="Times New Roman" w:cs="Times New Roman"/>
          <w:sz w:val="24"/>
          <w:szCs w:val="24"/>
        </w:rPr>
      </w:pPr>
      <w:r w:rsidRPr="007834FC">
        <w:rPr>
          <w:rFonts w:ascii="Times New Roman" w:hAnsi="Times New Roman" w:cs="Times New Roman"/>
          <w:sz w:val="24"/>
          <w:szCs w:val="24"/>
        </w:rPr>
        <w:t>Monetary unit principle</w:t>
      </w:r>
    </w:p>
    <w:p w14:paraId="48F79CE6" w14:textId="6E1DF0A0" w:rsidR="00AA2293" w:rsidRPr="007A5EFD" w:rsidRDefault="00AA2293"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 xml:space="preserve"> The monetary unit principle provides for the recording in accounting operations only those elements that can be quantified in terms of currency. At the same time, this principle requires us to disregard intangible assets that cannot be valued </w:t>
      </w:r>
      <w:r w:rsidR="004D5E73">
        <w:rPr>
          <w:rFonts w:ascii="Times New Roman" w:hAnsi="Times New Roman" w:cs="Times New Roman"/>
          <w:sz w:val="24"/>
          <w:szCs w:val="24"/>
        </w:rPr>
        <w:t>monetarily</w:t>
      </w:r>
      <w:r w:rsidRPr="007A5EFD">
        <w:rPr>
          <w:rFonts w:ascii="Times New Roman" w:hAnsi="Times New Roman" w:cs="Times New Roman"/>
          <w:sz w:val="24"/>
          <w:szCs w:val="24"/>
        </w:rPr>
        <w:t>, such as the level of qualification of employees, their ingenuity or a motivational speech of the team leader.</w:t>
      </w:r>
    </w:p>
    <w:p w14:paraId="5E4AFE71" w14:textId="77777777" w:rsidR="00AA2293" w:rsidRPr="007A5EFD" w:rsidRDefault="00AA2293"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The monetary unit principle also assumes that the value of the currency unit in which you record transactions remains relatively stable over time.</w:t>
      </w:r>
    </w:p>
    <w:p w14:paraId="268FC0A0" w14:textId="1DFE351F" w:rsidR="00D216A4" w:rsidRPr="007A5EFD" w:rsidRDefault="00AA2293"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However, this principle is distorted by monetary inflation in the economies of most countries. So a pound invested 10 years ago to buy a machine is more valuable than a pound invested today.</w:t>
      </w:r>
      <w:r w:rsidR="004D5E73">
        <w:rPr>
          <w:rFonts w:ascii="Times New Roman" w:hAnsi="Times New Roman" w:cs="Times New Roman"/>
          <w:sz w:val="24"/>
          <w:szCs w:val="24"/>
        </w:rPr>
        <w:t xml:space="preserve"> </w:t>
      </w:r>
      <w:r w:rsidRPr="007A5EFD">
        <w:rPr>
          <w:rFonts w:ascii="Times New Roman" w:hAnsi="Times New Roman" w:cs="Times New Roman"/>
          <w:sz w:val="24"/>
          <w:szCs w:val="24"/>
        </w:rPr>
        <w:t>The assumption fails completely if an entity records transactions in the currency of a hyperinflationary economy. When there is hyperinflation, it is necessary to restate the company's financial statements on a regular basis.</w:t>
      </w:r>
      <w:r w:rsidR="00FD34ED">
        <w:rPr>
          <w:rFonts w:ascii="Times New Roman" w:hAnsi="Times New Roman" w:cs="Times New Roman"/>
          <w:sz w:val="24"/>
          <w:szCs w:val="24"/>
        </w:rPr>
        <w:t xml:space="preserve"> (</w:t>
      </w:r>
      <w:proofErr w:type="spellStart"/>
      <w:r w:rsidR="00FD34ED">
        <w:rPr>
          <w:rFonts w:ascii="proxima-nova" w:hAnsi="proxima-nova"/>
          <w:color w:val="151414"/>
          <w:spacing w:val="5"/>
          <w:sz w:val="23"/>
          <w:szCs w:val="23"/>
          <w:shd w:val="clear" w:color="auto" w:fill="FFFFFF"/>
        </w:rPr>
        <w:t>AccountingTools</w:t>
      </w:r>
      <w:proofErr w:type="spellEnd"/>
      <w:r w:rsidR="00FD34ED">
        <w:rPr>
          <w:rFonts w:ascii="proxima-nova" w:hAnsi="proxima-nova"/>
          <w:color w:val="151414"/>
          <w:spacing w:val="5"/>
          <w:sz w:val="23"/>
          <w:szCs w:val="23"/>
          <w:shd w:val="clear" w:color="auto" w:fill="FFFFFF"/>
        </w:rPr>
        <w:t>, Inc.</w:t>
      </w:r>
      <w:r w:rsidR="00FD34ED">
        <w:rPr>
          <w:rFonts w:ascii="proxima-nova" w:hAnsi="proxima-nova"/>
          <w:color w:val="151414"/>
          <w:spacing w:val="5"/>
          <w:sz w:val="23"/>
          <w:szCs w:val="23"/>
          <w:shd w:val="clear" w:color="auto" w:fill="FFFFFF"/>
        </w:rPr>
        <w:t>,</w:t>
      </w:r>
      <w:r w:rsidR="006B6D15">
        <w:rPr>
          <w:rFonts w:ascii="proxima-nova" w:hAnsi="proxima-nova"/>
          <w:color w:val="151414"/>
          <w:spacing w:val="5"/>
          <w:sz w:val="23"/>
          <w:szCs w:val="23"/>
          <w:shd w:val="clear" w:color="auto" w:fill="FFFFFF"/>
        </w:rPr>
        <w:t xml:space="preserve"> 2022)</w:t>
      </w:r>
    </w:p>
    <w:p w14:paraId="6A5B69AB" w14:textId="77777777" w:rsidR="007834FC" w:rsidRDefault="007834FC" w:rsidP="00EB106E">
      <w:pPr>
        <w:spacing w:after="0" w:line="276" w:lineRule="auto"/>
        <w:jc w:val="both"/>
        <w:rPr>
          <w:rFonts w:ascii="Times New Roman" w:hAnsi="Times New Roman" w:cs="Times New Roman"/>
          <w:sz w:val="24"/>
          <w:szCs w:val="24"/>
        </w:rPr>
      </w:pPr>
    </w:p>
    <w:p w14:paraId="31E8BC07" w14:textId="3E7678A4" w:rsidR="00FA3CA2" w:rsidRDefault="00D216A4" w:rsidP="00EB106E">
      <w:pPr>
        <w:spacing w:after="0" w:line="276" w:lineRule="auto"/>
        <w:jc w:val="both"/>
        <w:rPr>
          <w:rFonts w:ascii="Times New Roman" w:hAnsi="Times New Roman" w:cs="Times New Roman"/>
          <w:sz w:val="24"/>
          <w:szCs w:val="24"/>
        </w:rPr>
      </w:pPr>
      <w:r w:rsidRPr="007A5EFD">
        <w:rPr>
          <w:rFonts w:ascii="Times New Roman" w:hAnsi="Times New Roman" w:cs="Times New Roman"/>
          <w:sz w:val="24"/>
          <w:szCs w:val="24"/>
        </w:rPr>
        <w:t>The accounting principles aim to generate truthful, accurate, comparable, consistent and complete information for the company's information users.</w:t>
      </w:r>
      <w:r w:rsidR="0055507E">
        <w:rPr>
          <w:rFonts w:ascii="Times New Roman" w:hAnsi="Times New Roman" w:cs="Times New Roman"/>
          <w:sz w:val="24"/>
          <w:szCs w:val="24"/>
        </w:rPr>
        <w:t xml:space="preserve"> </w:t>
      </w:r>
      <w:r w:rsidR="000A77DD" w:rsidRPr="002C0210">
        <w:rPr>
          <w:rFonts w:ascii="Times New Roman" w:hAnsi="Times New Roman" w:cs="Times New Roman"/>
          <w:sz w:val="24"/>
          <w:szCs w:val="24"/>
        </w:rPr>
        <w:t>The accounting principles aim to generate truthful, accurate, comparable, consistent and complete information for the company's information users.</w:t>
      </w:r>
      <w:r w:rsidR="00FA3CA2" w:rsidRPr="002C0210">
        <w:rPr>
          <w:rFonts w:ascii="Times New Roman" w:hAnsi="Times New Roman" w:cs="Times New Roman"/>
          <w:sz w:val="24"/>
          <w:szCs w:val="24"/>
        </w:rPr>
        <w:t xml:space="preserve"> It also facilitates the comparison of financial information across different companies. </w:t>
      </w:r>
      <w:r w:rsidR="00BF6771" w:rsidRPr="002C0210">
        <w:rPr>
          <w:rFonts w:ascii="Times New Roman" w:hAnsi="Times New Roman" w:cs="Times New Roman"/>
          <w:sz w:val="24"/>
          <w:szCs w:val="24"/>
        </w:rPr>
        <w:t>Accounting principles also help tax workers to detect tax fraud and taxpayer deviations from rules and laws!</w:t>
      </w:r>
    </w:p>
    <w:p w14:paraId="44853D00" w14:textId="77777777" w:rsidR="006C1F6C" w:rsidRDefault="006C1F6C" w:rsidP="00EB106E">
      <w:pPr>
        <w:spacing w:after="0" w:line="276" w:lineRule="auto"/>
        <w:jc w:val="both"/>
        <w:rPr>
          <w:rFonts w:ascii="Times New Roman" w:hAnsi="Times New Roman" w:cs="Times New Roman"/>
          <w:sz w:val="24"/>
          <w:szCs w:val="24"/>
        </w:rPr>
      </w:pPr>
    </w:p>
    <w:p w14:paraId="06EFCA0C" w14:textId="41F47A7A" w:rsidR="006C1F6C" w:rsidRDefault="006C1F6C" w:rsidP="00EB106E">
      <w:pPr>
        <w:spacing w:after="0" w:line="276" w:lineRule="auto"/>
        <w:jc w:val="both"/>
        <w:rPr>
          <w:rFonts w:ascii="Times New Roman" w:hAnsi="Times New Roman" w:cs="Times New Roman"/>
          <w:sz w:val="24"/>
          <w:szCs w:val="24"/>
        </w:rPr>
      </w:pPr>
      <w:r>
        <w:rPr>
          <w:rFonts w:ascii="Times New Roman" w:hAnsi="Times New Roman" w:cs="Times New Roman"/>
          <w:sz w:val="24"/>
          <w:szCs w:val="24"/>
        </w:rPr>
        <w:t>Referen</w:t>
      </w:r>
      <w:r w:rsidR="00FD2CA9">
        <w:rPr>
          <w:rFonts w:ascii="Times New Roman" w:hAnsi="Times New Roman" w:cs="Times New Roman"/>
          <w:sz w:val="24"/>
          <w:szCs w:val="24"/>
        </w:rPr>
        <w:t>cing list:</w:t>
      </w:r>
    </w:p>
    <w:p w14:paraId="578F55FC" w14:textId="1BC8EF0E" w:rsidR="008404CB" w:rsidRPr="00200944" w:rsidRDefault="000501BF" w:rsidP="00200944">
      <w:pPr>
        <w:pStyle w:val="Heading1"/>
        <w:numPr>
          <w:ilvl w:val="0"/>
          <w:numId w:val="10"/>
        </w:numPr>
        <w:shd w:val="clear" w:color="auto" w:fill="FFFFFF"/>
        <w:rPr>
          <w:rFonts w:ascii="Times New Roman" w:hAnsi="Times New Roman" w:cs="Times New Roman"/>
          <w:sz w:val="24"/>
          <w:szCs w:val="24"/>
        </w:rPr>
      </w:pPr>
      <w:hyperlink r:id="rId8" w:history="1">
        <w:r w:rsidRPr="00DA55B7">
          <w:rPr>
            <w:rStyle w:val="Hyperlink"/>
            <w:rFonts w:ascii="Times New Roman" w:hAnsi="Times New Roman" w:cs="Times New Roman"/>
            <w:sz w:val="24"/>
            <w:szCs w:val="24"/>
          </w:rPr>
          <w:t>TUOVILA</w:t>
        </w:r>
      </w:hyperlink>
      <w:r w:rsidR="004832B2" w:rsidRPr="004832B2">
        <w:rPr>
          <w:rFonts w:ascii="Times New Roman" w:hAnsi="Times New Roman" w:cs="Times New Roman"/>
          <w:sz w:val="24"/>
          <w:szCs w:val="24"/>
        </w:rPr>
        <w:t>,</w:t>
      </w:r>
      <w:r w:rsidR="008404CB" w:rsidRPr="004832B2">
        <w:rPr>
          <w:rFonts w:ascii="Times New Roman" w:hAnsi="Times New Roman" w:cs="Times New Roman"/>
          <w:sz w:val="24"/>
          <w:szCs w:val="24"/>
        </w:rPr>
        <w:t xml:space="preserve"> A.</w:t>
      </w:r>
      <w:r w:rsidR="00FD2CA9" w:rsidRPr="004832B2">
        <w:rPr>
          <w:rFonts w:ascii="Times New Roman" w:hAnsi="Times New Roman" w:cs="Times New Roman"/>
          <w:sz w:val="24"/>
          <w:szCs w:val="24"/>
        </w:rPr>
        <w:t xml:space="preserve"> </w:t>
      </w:r>
      <w:r w:rsidR="001F2FA4" w:rsidRPr="004832B2">
        <w:rPr>
          <w:rFonts w:ascii="Times New Roman" w:hAnsi="Times New Roman" w:cs="Times New Roman"/>
          <w:sz w:val="24"/>
          <w:szCs w:val="24"/>
        </w:rPr>
        <w:t>(</w:t>
      </w:r>
      <w:r w:rsidR="00FD2CA9" w:rsidRPr="004832B2">
        <w:rPr>
          <w:rFonts w:ascii="Times New Roman" w:hAnsi="Times New Roman" w:cs="Times New Roman"/>
          <w:sz w:val="24"/>
          <w:szCs w:val="24"/>
        </w:rPr>
        <w:t>2021</w:t>
      </w:r>
      <w:r w:rsidR="001F2FA4" w:rsidRPr="004832B2">
        <w:rPr>
          <w:rFonts w:ascii="Times New Roman" w:hAnsi="Times New Roman" w:cs="Times New Roman"/>
          <w:sz w:val="24"/>
          <w:szCs w:val="24"/>
        </w:rPr>
        <w:t>)</w:t>
      </w:r>
      <w:r w:rsidR="004832B2" w:rsidRPr="004832B2">
        <w:rPr>
          <w:rFonts w:ascii="Times New Roman" w:hAnsi="Times New Roman" w:cs="Times New Roman"/>
          <w:sz w:val="24"/>
          <w:szCs w:val="24"/>
        </w:rPr>
        <w:t>.</w:t>
      </w:r>
      <w:r w:rsidR="008404CB" w:rsidRPr="004832B2">
        <w:rPr>
          <w:rFonts w:ascii="Times New Roman" w:hAnsi="Times New Roman" w:cs="Times New Roman"/>
          <w:sz w:val="24"/>
          <w:szCs w:val="24"/>
        </w:rPr>
        <w:t xml:space="preserve"> </w:t>
      </w:r>
      <w:r w:rsidR="008404CB" w:rsidRPr="004832B2">
        <w:rPr>
          <w:rFonts w:ascii="Times New Roman" w:hAnsi="Times New Roman" w:cs="Times New Roman"/>
          <w:color w:val="111111"/>
          <w:spacing w:val="1"/>
          <w:sz w:val="24"/>
          <w:szCs w:val="24"/>
        </w:rPr>
        <w:t>Accounting Principles</w:t>
      </w:r>
      <w:r w:rsidR="001F2FA4" w:rsidRPr="004832B2">
        <w:rPr>
          <w:rFonts w:ascii="Times New Roman" w:hAnsi="Times New Roman" w:cs="Times New Roman"/>
          <w:color w:val="111111"/>
          <w:spacing w:val="1"/>
          <w:sz w:val="24"/>
          <w:szCs w:val="24"/>
        </w:rPr>
        <w:t>.</w:t>
      </w:r>
      <w:r w:rsidR="004832B2" w:rsidRPr="004832B2">
        <w:rPr>
          <w:rFonts w:ascii="Times New Roman" w:hAnsi="Times New Roman" w:cs="Times New Roman"/>
          <w:color w:val="111111"/>
          <w:spacing w:val="1"/>
          <w:sz w:val="24"/>
          <w:szCs w:val="24"/>
        </w:rPr>
        <w:t xml:space="preserve"> </w:t>
      </w:r>
      <w:hyperlink r:id="rId9" w:history="1">
        <w:r w:rsidR="0076699A" w:rsidRPr="00DA55B7">
          <w:rPr>
            <w:rStyle w:val="Hyperlink"/>
            <w:rFonts w:ascii="Times New Roman" w:hAnsi="Times New Roman" w:cs="Times New Roman"/>
            <w:spacing w:val="1"/>
            <w:sz w:val="24"/>
            <w:szCs w:val="24"/>
          </w:rPr>
          <w:t>https://www.investopedia.com/</w:t>
        </w:r>
      </w:hyperlink>
    </w:p>
    <w:p w14:paraId="45848474" w14:textId="703C0B24" w:rsidR="0076699A" w:rsidRDefault="0076699A" w:rsidP="00200944">
      <w:pPr>
        <w:pStyle w:val="Heading1"/>
        <w:numPr>
          <w:ilvl w:val="0"/>
          <w:numId w:val="10"/>
        </w:numPr>
        <w:shd w:val="clear" w:color="auto" w:fill="FFFFFF"/>
        <w:rPr>
          <w:rFonts w:ascii="Times New Roman" w:hAnsi="Times New Roman" w:cs="Times New Roman"/>
          <w:color w:val="111111"/>
          <w:spacing w:val="1"/>
          <w:sz w:val="24"/>
          <w:szCs w:val="24"/>
        </w:rPr>
      </w:pPr>
      <w:proofErr w:type="spellStart"/>
      <w:r w:rsidRPr="000501BF">
        <w:rPr>
          <w:rFonts w:ascii="Times New Roman" w:hAnsi="Times New Roman" w:cs="Times New Roman"/>
          <w:color w:val="111111"/>
          <w:spacing w:val="1"/>
          <w:sz w:val="24"/>
          <w:szCs w:val="24"/>
        </w:rPr>
        <w:t>AccountingTools</w:t>
      </w:r>
      <w:proofErr w:type="spellEnd"/>
      <w:r w:rsidRPr="000501BF">
        <w:rPr>
          <w:rFonts w:ascii="Times New Roman" w:hAnsi="Times New Roman" w:cs="Times New Roman"/>
          <w:color w:val="111111"/>
          <w:spacing w:val="1"/>
          <w:sz w:val="24"/>
          <w:szCs w:val="24"/>
        </w:rPr>
        <w:t>, Inc.</w:t>
      </w:r>
      <w:r w:rsidRPr="000501BF">
        <w:rPr>
          <w:rFonts w:ascii="Times New Roman" w:hAnsi="Times New Roman" w:cs="Times New Roman"/>
          <w:color w:val="111111"/>
          <w:spacing w:val="1"/>
          <w:sz w:val="24"/>
          <w:szCs w:val="24"/>
        </w:rPr>
        <w:t xml:space="preserve"> (2022). </w:t>
      </w:r>
      <w:hyperlink r:id="rId10" w:history="1">
        <w:r w:rsidR="000501BF" w:rsidRPr="000501BF">
          <w:rPr>
            <w:rFonts w:ascii="Times New Roman" w:hAnsi="Times New Roman" w:cs="Times New Roman"/>
            <w:color w:val="111111"/>
            <w:spacing w:val="1"/>
            <w:sz w:val="24"/>
            <w:szCs w:val="24"/>
          </w:rPr>
          <w:t>The monetary unit principle</w:t>
        </w:r>
      </w:hyperlink>
      <w:r w:rsidR="000501BF">
        <w:rPr>
          <w:rFonts w:ascii="Times New Roman" w:hAnsi="Times New Roman" w:cs="Times New Roman"/>
          <w:color w:val="111111"/>
          <w:spacing w:val="1"/>
          <w:sz w:val="24"/>
          <w:szCs w:val="24"/>
        </w:rPr>
        <w:t xml:space="preserve">. </w:t>
      </w:r>
      <w:hyperlink r:id="rId11" w:history="1">
        <w:r w:rsidR="00AF4855" w:rsidRPr="00DA55B7">
          <w:rPr>
            <w:rStyle w:val="Hyperlink"/>
            <w:rFonts w:ascii="Times New Roman" w:hAnsi="Times New Roman" w:cs="Times New Roman"/>
            <w:spacing w:val="1"/>
            <w:sz w:val="24"/>
            <w:szCs w:val="24"/>
          </w:rPr>
          <w:t>https://www.accountingtools.com/</w:t>
        </w:r>
      </w:hyperlink>
    </w:p>
    <w:p w14:paraId="50DD545F" w14:textId="08DA85EC" w:rsidR="00AF4855" w:rsidRDefault="00AF4855" w:rsidP="00AF4855">
      <w:pPr>
        <w:pStyle w:val="Heading1"/>
        <w:numPr>
          <w:ilvl w:val="0"/>
          <w:numId w:val="10"/>
        </w:numPr>
        <w:shd w:val="clear" w:color="auto" w:fill="FFFFFF"/>
        <w:rPr>
          <w:rFonts w:ascii="Times New Roman" w:hAnsi="Times New Roman" w:cs="Times New Roman"/>
          <w:color w:val="111111"/>
          <w:spacing w:val="1"/>
          <w:sz w:val="24"/>
          <w:szCs w:val="24"/>
        </w:rPr>
      </w:pPr>
      <w:proofErr w:type="spellStart"/>
      <w:r w:rsidRPr="000501BF">
        <w:rPr>
          <w:rFonts w:ascii="Times New Roman" w:hAnsi="Times New Roman" w:cs="Times New Roman"/>
          <w:color w:val="111111"/>
          <w:spacing w:val="1"/>
          <w:sz w:val="24"/>
          <w:szCs w:val="24"/>
        </w:rPr>
        <w:t>AccountingTools</w:t>
      </w:r>
      <w:proofErr w:type="spellEnd"/>
      <w:r w:rsidRPr="000501BF">
        <w:rPr>
          <w:rFonts w:ascii="Times New Roman" w:hAnsi="Times New Roman" w:cs="Times New Roman"/>
          <w:color w:val="111111"/>
          <w:spacing w:val="1"/>
          <w:sz w:val="24"/>
          <w:szCs w:val="24"/>
        </w:rPr>
        <w:t xml:space="preserve">, Inc. (2022). </w:t>
      </w:r>
      <w:hyperlink r:id="rId12" w:history="1">
        <w:r w:rsidR="002E68FD" w:rsidRPr="00DA55B7">
          <w:rPr>
            <w:rStyle w:val="Hyperlink"/>
            <w:rFonts w:ascii="Times New Roman" w:hAnsi="Times New Roman" w:cs="Times New Roman"/>
            <w:spacing w:val="1"/>
            <w:sz w:val="24"/>
            <w:szCs w:val="24"/>
          </w:rPr>
          <w:t>Basic</w:t>
        </w:r>
      </w:hyperlink>
      <w:r>
        <w:rPr>
          <w:rFonts w:ascii="Times New Roman" w:hAnsi="Times New Roman" w:cs="Times New Roman"/>
          <w:color w:val="111111"/>
          <w:spacing w:val="1"/>
          <w:sz w:val="24"/>
          <w:szCs w:val="24"/>
        </w:rPr>
        <w:t xml:space="preserve"> Ac</w:t>
      </w:r>
      <w:r w:rsidR="002E68FD">
        <w:rPr>
          <w:rFonts w:ascii="Times New Roman" w:hAnsi="Times New Roman" w:cs="Times New Roman"/>
          <w:color w:val="111111"/>
          <w:spacing w:val="1"/>
          <w:sz w:val="24"/>
          <w:szCs w:val="24"/>
        </w:rPr>
        <w:t>c</w:t>
      </w:r>
      <w:r>
        <w:rPr>
          <w:rFonts w:ascii="Times New Roman" w:hAnsi="Times New Roman" w:cs="Times New Roman"/>
          <w:color w:val="111111"/>
          <w:spacing w:val="1"/>
          <w:sz w:val="24"/>
          <w:szCs w:val="24"/>
        </w:rPr>
        <w:t>ounting</w:t>
      </w:r>
      <w:r w:rsidR="002E68FD">
        <w:rPr>
          <w:rFonts w:ascii="Times New Roman" w:hAnsi="Times New Roman" w:cs="Times New Roman"/>
          <w:color w:val="111111"/>
          <w:spacing w:val="1"/>
          <w:sz w:val="24"/>
          <w:szCs w:val="24"/>
        </w:rPr>
        <w:t xml:space="preserve"> Principles</w:t>
      </w:r>
      <w:r>
        <w:rPr>
          <w:rFonts w:ascii="Times New Roman" w:hAnsi="Times New Roman" w:cs="Times New Roman"/>
          <w:color w:val="111111"/>
          <w:spacing w:val="1"/>
          <w:sz w:val="24"/>
          <w:szCs w:val="24"/>
        </w:rPr>
        <w:t xml:space="preserve">. </w:t>
      </w:r>
      <w:hyperlink r:id="rId13" w:history="1">
        <w:r w:rsidR="00D66494" w:rsidRPr="00DA55B7">
          <w:rPr>
            <w:rStyle w:val="Hyperlink"/>
            <w:rFonts w:ascii="Times New Roman" w:hAnsi="Times New Roman" w:cs="Times New Roman"/>
            <w:spacing w:val="1"/>
            <w:sz w:val="24"/>
            <w:szCs w:val="24"/>
          </w:rPr>
          <w:t>https://www.accountingtools.com/</w:t>
        </w:r>
      </w:hyperlink>
    </w:p>
    <w:p w14:paraId="0778BEA1" w14:textId="765ECBA1" w:rsidR="00D66494" w:rsidRPr="00D66494" w:rsidRDefault="00D66494" w:rsidP="0086406A">
      <w:pPr>
        <w:pStyle w:val="ListParagraph"/>
      </w:pPr>
    </w:p>
    <w:p w14:paraId="55FAAC1C" w14:textId="77777777" w:rsidR="00AF4855" w:rsidRPr="002C0210" w:rsidRDefault="00AF4855" w:rsidP="00AF4855">
      <w:pPr>
        <w:spacing w:after="0" w:line="276" w:lineRule="auto"/>
        <w:jc w:val="both"/>
        <w:rPr>
          <w:rFonts w:ascii="Times New Roman" w:hAnsi="Times New Roman" w:cs="Times New Roman"/>
          <w:sz w:val="24"/>
          <w:szCs w:val="24"/>
        </w:rPr>
      </w:pPr>
    </w:p>
    <w:p w14:paraId="12ED24C7" w14:textId="77777777" w:rsidR="00AF4855" w:rsidRPr="00AF4855" w:rsidRDefault="00AF4855" w:rsidP="00AF4855"/>
    <w:p w14:paraId="6165D237" w14:textId="30E28342" w:rsidR="00FD2CA9" w:rsidRPr="002C0210" w:rsidRDefault="00FD2CA9" w:rsidP="00EB106E">
      <w:pPr>
        <w:spacing w:after="0" w:line="276" w:lineRule="auto"/>
        <w:jc w:val="both"/>
        <w:rPr>
          <w:rFonts w:ascii="Times New Roman" w:hAnsi="Times New Roman" w:cs="Times New Roman"/>
          <w:sz w:val="24"/>
          <w:szCs w:val="24"/>
        </w:rPr>
      </w:pPr>
    </w:p>
    <w:sectPr w:rsidR="00FD2CA9" w:rsidRPr="002C021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A3C08" w14:textId="77777777" w:rsidR="00BC64E5" w:rsidRDefault="00BC64E5" w:rsidP="0054598C">
      <w:pPr>
        <w:spacing w:after="0" w:line="240" w:lineRule="auto"/>
      </w:pPr>
      <w:r>
        <w:separator/>
      </w:r>
    </w:p>
  </w:endnote>
  <w:endnote w:type="continuationSeparator" w:id="0">
    <w:p w14:paraId="298CFFE1" w14:textId="77777777" w:rsidR="00BC64E5" w:rsidRDefault="00BC64E5" w:rsidP="00545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nov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AD73A" w14:textId="77777777" w:rsidR="00BC64E5" w:rsidRDefault="00BC64E5" w:rsidP="0054598C">
      <w:pPr>
        <w:spacing w:after="0" w:line="240" w:lineRule="auto"/>
      </w:pPr>
      <w:r>
        <w:separator/>
      </w:r>
    </w:p>
  </w:footnote>
  <w:footnote w:type="continuationSeparator" w:id="0">
    <w:p w14:paraId="7FD7AA6A" w14:textId="77777777" w:rsidR="00BC64E5" w:rsidRDefault="00BC64E5" w:rsidP="00545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16E71" w14:textId="318487AA" w:rsidR="00826A6A" w:rsidRPr="00826A6A" w:rsidRDefault="006A2C98" w:rsidP="006A2C98">
    <w:pPr>
      <w:jc w:val="right"/>
      <w:rPr>
        <w:sz w:val="24"/>
        <w:szCs w:val="24"/>
      </w:rPr>
    </w:pPr>
    <w:r>
      <w:rPr>
        <w:sz w:val="24"/>
        <w:szCs w:val="24"/>
      </w:rPr>
      <w:tab/>
    </w:r>
    <w:r w:rsidR="00826A6A" w:rsidRPr="00826A6A">
      <w:rPr>
        <w:sz w:val="24"/>
        <w:szCs w:val="24"/>
      </w:rPr>
      <w:t xml:space="preserve"> </w:t>
    </w:r>
  </w:p>
  <w:p w14:paraId="7306E79B" w14:textId="77777777" w:rsidR="00826A6A" w:rsidRDefault="00826A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2037"/>
    <w:multiLevelType w:val="hybridMultilevel"/>
    <w:tmpl w:val="07CA49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3005F"/>
    <w:multiLevelType w:val="hybridMultilevel"/>
    <w:tmpl w:val="89F4F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542FCA"/>
    <w:multiLevelType w:val="hybridMultilevel"/>
    <w:tmpl w:val="0DC488DC"/>
    <w:lvl w:ilvl="0" w:tplc="11DEB9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187303"/>
    <w:multiLevelType w:val="hybridMultilevel"/>
    <w:tmpl w:val="62DE577A"/>
    <w:lvl w:ilvl="0" w:tplc="7794F0AA">
      <w:start w:val="1"/>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F715C9"/>
    <w:multiLevelType w:val="hybridMultilevel"/>
    <w:tmpl w:val="0A34C188"/>
    <w:lvl w:ilvl="0" w:tplc="2ACAE8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D50B8C"/>
    <w:multiLevelType w:val="multilevel"/>
    <w:tmpl w:val="5E00A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2B39BE"/>
    <w:multiLevelType w:val="hybridMultilevel"/>
    <w:tmpl w:val="C95201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C234E"/>
    <w:multiLevelType w:val="hybridMultilevel"/>
    <w:tmpl w:val="47108A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775DEA"/>
    <w:multiLevelType w:val="hybridMultilevel"/>
    <w:tmpl w:val="3A82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03CA8"/>
    <w:multiLevelType w:val="hybridMultilevel"/>
    <w:tmpl w:val="205CCD6A"/>
    <w:lvl w:ilvl="0" w:tplc="707A5B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4234659">
    <w:abstractNumId w:val="5"/>
  </w:num>
  <w:num w:numId="2" w16cid:durableId="1850218747">
    <w:abstractNumId w:val="2"/>
  </w:num>
  <w:num w:numId="3" w16cid:durableId="1523203062">
    <w:abstractNumId w:val="0"/>
  </w:num>
  <w:num w:numId="4" w16cid:durableId="1668553062">
    <w:abstractNumId w:val="1"/>
  </w:num>
  <w:num w:numId="5" w16cid:durableId="734209134">
    <w:abstractNumId w:val="6"/>
  </w:num>
  <w:num w:numId="6" w16cid:durableId="1157379618">
    <w:abstractNumId w:val="8"/>
  </w:num>
  <w:num w:numId="7" w16cid:durableId="133523631">
    <w:abstractNumId w:val="7"/>
  </w:num>
  <w:num w:numId="8" w16cid:durableId="1042634552">
    <w:abstractNumId w:val="9"/>
  </w:num>
  <w:num w:numId="9" w16cid:durableId="2130851624">
    <w:abstractNumId w:val="3"/>
  </w:num>
  <w:num w:numId="10" w16cid:durableId="20562687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BBF"/>
    <w:rsid w:val="00007A9D"/>
    <w:rsid w:val="00035BFF"/>
    <w:rsid w:val="000501BF"/>
    <w:rsid w:val="00062739"/>
    <w:rsid w:val="00097AAB"/>
    <w:rsid w:val="000A77DD"/>
    <w:rsid w:val="000B7E56"/>
    <w:rsid w:val="001058CD"/>
    <w:rsid w:val="00106D7B"/>
    <w:rsid w:val="001649D4"/>
    <w:rsid w:val="001C5E1F"/>
    <w:rsid w:val="001F2FA4"/>
    <w:rsid w:val="001F55F5"/>
    <w:rsid w:val="00200944"/>
    <w:rsid w:val="002458D7"/>
    <w:rsid w:val="00277DB9"/>
    <w:rsid w:val="002C0210"/>
    <w:rsid w:val="002C6DF7"/>
    <w:rsid w:val="002D1E1B"/>
    <w:rsid w:val="002E68FD"/>
    <w:rsid w:val="00325A80"/>
    <w:rsid w:val="003511DE"/>
    <w:rsid w:val="003C0CE1"/>
    <w:rsid w:val="003C4C75"/>
    <w:rsid w:val="003D4D94"/>
    <w:rsid w:val="003E00F1"/>
    <w:rsid w:val="0042466D"/>
    <w:rsid w:val="00431B1D"/>
    <w:rsid w:val="00432064"/>
    <w:rsid w:val="00472900"/>
    <w:rsid w:val="004832B2"/>
    <w:rsid w:val="004A4B3A"/>
    <w:rsid w:val="004B0BCC"/>
    <w:rsid w:val="004D5E73"/>
    <w:rsid w:val="00505D9B"/>
    <w:rsid w:val="0054470C"/>
    <w:rsid w:val="0054598C"/>
    <w:rsid w:val="0055507E"/>
    <w:rsid w:val="0056234F"/>
    <w:rsid w:val="00572253"/>
    <w:rsid w:val="00590D70"/>
    <w:rsid w:val="005B6376"/>
    <w:rsid w:val="005D0908"/>
    <w:rsid w:val="00651414"/>
    <w:rsid w:val="006A2C98"/>
    <w:rsid w:val="006B6D15"/>
    <w:rsid w:val="006C13C6"/>
    <w:rsid w:val="006C1F6C"/>
    <w:rsid w:val="00727301"/>
    <w:rsid w:val="00740070"/>
    <w:rsid w:val="0076699A"/>
    <w:rsid w:val="007834FC"/>
    <w:rsid w:val="007A5EFD"/>
    <w:rsid w:val="007C472A"/>
    <w:rsid w:val="00800E8E"/>
    <w:rsid w:val="00826A6A"/>
    <w:rsid w:val="008404CB"/>
    <w:rsid w:val="0086406A"/>
    <w:rsid w:val="00890FAB"/>
    <w:rsid w:val="00894A08"/>
    <w:rsid w:val="008C2DDF"/>
    <w:rsid w:val="00935B03"/>
    <w:rsid w:val="00993388"/>
    <w:rsid w:val="009A6A63"/>
    <w:rsid w:val="009E524E"/>
    <w:rsid w:val="00A94EC8"/>
    <w:rsid w:val="00AA2293"/>
    <w:rsid w:val="00AA5343"/>
    <w:rsid w:val="00AE07DE"/>
    <w:rsid w:val="00AE2204"/>
    <w:rsid w:val="00AF4855"/>
    <w:rsid w:val="00B21C40"/>
    <w:rsid w:val="00B33632"/>
    <w:rsid w:val="00B5769B"/>
    <w:rsid w:val="00BC64E5"/>
    <w:rsid w:val="00BD4D46"/>
    <w:rsid w:val="00BE5BBF"/>
    <w:rsid w:val="00BE7231"/>
    <w:rsid w:val="00BF6771"/>
    <w:rsid w:val="00C249D0"/>
    <w:rsid w:val="00CB0E1A"/>
    <w:rsid w:val="00CF0E25"/>
    <w:rsid w:val="00D17794"/>
    <w:rsid w:val="00D216A4"/>
    <w:rsid w:val="00D43AAF"/>
    <w:rsid w:val="00D66494"/>
    <w:rsid w:val="00D7350E"/>
    <w:rsid w:val="00DA15C0"/>
    <w:rsid w:val="00E1199F"/>
    <w:rsid w:val="00E6328D"/>
    <w:rsid w:val="00E6425B"/>
    <w:rsid w:val="00E854E2"/>
    <w:rsid w:val="00E873C6"/>
    <w:rsid w:val="00EA181A"/>
    <w:rsid w:val="00EA5FEF"/>
    <w:rsid w:val="00EB106E"/>
    <w:rsid w:val="00EC15FB"/>
    <w:rsid w:val="00ED70C0"/>
    <w:rsid w:val="00EE386C"/>
    <w:rsid w:val="00F11893"/>
    <w:rsid w:val="00FA3CA2"/>
    <w:rsid w:val="00FA59EF"/>
    <w:rsid w:val="00FC5D74"/>
    <w:rsid w:val="00FD2CA9"/>
    <w:rsid w:val="00FD34ED"/>
    <w:rsid w:val="00FE2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590EA3"/>
  <w15:chartTrackingRefBased/>
  <w15:docId w15:val="{FDBFDF1B-B40F-4A90-88B1-D45E7B9F0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4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447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470C"/>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54470C"/>
  </w:style>
  <w:style w:type="paragraph" w:customStyle="1" w:styleId="comp">
    <w:name w:val="comp"/>
    <w:basedOn w:val="Normal"/>
    <w:rsid w:val="005447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470C"/>
    <w:rPr>
      <w:color w:val="0000FF"/>
      <w:u w:val="single"/>
    </w:rPr>
  </w:style>
  <w:style w:type="character" w:customStyle="1" w:styleId="mntl-inline-citation">
    <w:name w:val="mntl-inline-citation"/>
    <w:basedOn w:val="DefaultParagraphFont"/>
    <w:rsid w:val="0054470C"/>
  </w:style>
  <w:style w:type="paragraph" w:styleId="ListParagraph">
    <w:name w:val="List Paragraph"/>
    <w:basedOn w:val="Normal"/>
    <w:uiPriority w:val="34"/>
    <w:qFormat/>
    <w:rsid w:val="00CF0E25"/>
    <w:pPr>
      <w:ind w:left="720"/>
      <w:contextualSpacing/>
    </w:pPr>
  </w:style>
  <w:style w:type="paragraph" w:styleId="Header">
    <w:name w:val="header"/>
    <w:basedOn w:val="Normal"/>
    <w:link w:val="HeaderChar"/>
    <w:uiPriority w:val="99"/>
    <w:unhideWhenUsed/>
    <w:rsid w:val="00545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98C"/>
  </w:style>
  <w:style w:type="paragraph" w:styleId="Footer">
    <w:name w:val="footer"/>
    <w:basedOn w:val="Normal"/>
    <w:link w:val="FooterChar"/>
    <w:uiPriority w:val="99"/>
    <w:unhideWhenUsed/>
    <w:rsid w:val="00545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98C"/>
  </w:style>
  <w:style w:type="character" w:customStyle="1" w:styleId="mntl-attributionitem-descriptor">
    <w:name w:val="mntl-attribution__item-descriptor"/>
    <w:basedOn w:val="DefaultParagraphFont"/>
    <w:rsid w:val="002D1E1B"/>
  </w:style>
  <w:style w:type="character" w:customStyle="1" w:styleId="Heading1Char">
    <w:name w:val="Heading 1 Char"/>
    <w:basedOn w:val="DefaultParagraphFont"/>
    <w:link w:val="Heading1"/>
    <w:uiPriority w:val="9"/>
    <w:rsid w:val="008404CB"/>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669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87655">
      <w:bodyDiv w:val="1"/>
      <w:marLeft w:val="0"/>
      <w:marRight w:val="0"/>
      <w:marTop w:val="0"/>
      <w:marBottom w:val="0"/>
      <w:divBdr>
        <w:top w:val="none" w:sz="0" w:space="0" w:color="auto"/>
        <w:left w:val="none" w:sz="0" w:space="0" w:color="auto"/>
        <w:bottom w:val="none" w:sz="0" w:space="0" w:color="auto"/>
        <w:right w:val="none" w:sz="0" w:space="0" w:color="auto"/>
      </w:divBdr>
    </w:div>
    <w:div w:id="385493269">
      <w:bodyDiv w:val="1"/>
      <w:marLeft w:val="0"/>
      <w:marRight w:val="0"/>
      <w:marTop w:val="0"/>
      <w:marBottom w:val="0"/>
      <w:divBdr>
        <w:top w:val="none" w:sz="0" w:space="0" w:color="auto"/>
        <w:left w:val="none" w:sz="0" w:space="0" w:color="auto"/>
        <w:bottom w:val="none" w:sz="0" w:space="0" w:color="auto"/>
        <w:right w:val="none" w:sz="0" w:space="0" w:color="auto"/>
      </w:divBdr>
    </w:div>
    <w:div w:id="646517583">
      <w:bodyDiv w:val="1"/>
      <w:marLeft w:val="0"/>
      <w:marRight w:val="0"/>
      <w:marTop w:val="0"/>
      <w:marBottom w:val="0"/>
      <w:divBdr>
        <w:top w:val="none" w:sz="0" w:space="0" w:color="auto"/>
        <w:left w:val="none" w:sz="0" w:space="0" w:color="auto"/>
        <w:bottom w:val="none" w:sz="0" w:space="0" w:color="auto"/>
        <w:right w:val="none" w:sz="0" w:space="0" w:color="auto"/>
      </w:divBdr>
    </w:div>
    <w:div w:id="988242880">
      <w:bodyDiv w:val="1"/>
      <w:marLeft w:val="0"/>
      <w:marRight w:val="0"/>
      <w:marTop w:val="0"/>
      <w:marBottom w:val="0"/>
      <w:divBdr>
        <w:top w:val="none" w:sz="0" w:space="0" w:color="auto"/>
        <w:left w:val="none" w:sz="0" w:space="0" w:color="auto"/>
        <w:bottom w:val="none" w:sz="0" w:space="0" w:color="auto"/>
        <w:right w:val="none" w:sz="0" w:space="0" w:color="auto"/>
      </w:divBdr>
    </w:div>
    <w:div w:id="1451897675">
      <w:bodyDiv w:val="1"/>
      <w:marLeft w:val="0"/>
      <w:marRight w:val="0"/>
      <w:marTop w:val="0"/>
      <w:marBottom w:val="0"/>
      <w:divBdr>
        <w:top w:val="none" w:sz="0" w:space="0" w:color="auto"/>
        <w:left w:val="none" w:sz="0" w:space="0" w:color="auto"/>
        <w:bottom w:val="none" w:sz="0" w:space="0" w:color="auto"/>
        <w:right w:val="none" w:sz="0" w:space="0" w:color="auto"/>
      </w:divBdr>
    </w:div>
    <w:div w:id="1637296676">
      <w:bodyDiv w:val="1"/>
      <w:marLeft w:val="0"/>
      <w:marRight w:val="0"/>
      <w:marTop w:val="0"/>
      <w:marBottom w:val="0"/>
      <w:divBdr>
        <w:top w:val="none" w:sz="0" w:space="0" w:color="auto"/>
        <w:left w:val="none" w:sz="0" w:space="0" w:color="auto"/>
        <w:bottom w:val="none" w:sz="0" w:space="0" w:color="auto"/>
        <w:right w:val="none" w:sz="0" w:space="0" w:color="auto"/>
      </w:divBdr>
    </w:div>
    <w:div w:id="1740324179">
      <w:bodyDiv w:val="1"/>
      <w:marLeft w:val="0"/>
      <w:marRight w:val="0"/>
      <w:marTop w:val="0"/>
      <w:marBottom w:val="0"/>
      <w:divBdr>
        <w:top w:val="none" w:sz="0" w:space="0" w:color="auto"/>
        <w:left w:val="none" w:sz="0" w:space="0" w:color="auto"/>
        <w:bottom w:val="none" w:sz="0" w:space="0" w:color="auto"/>
        <w:right w:val="none" w:sz="0" w:space="0" w:color="auto"/>
      </w:divBdr>
      <w:divsChild>
        <w:div w:id="1970087177">
          <w:marLeft w:val="0"/>
          <w:marRight w:val="0"/>
          <w:marTop w:val="0"/>
          <w:marBottom w:val="0"/>
          <w:divBdr>
            <w:top w:val="none" w:sz="0" w:space="0" w:color="auto"/>
            <w:left w:val="none" w:sz="0" w:space="0" w:color="auto"/>
            <w:bottom w:val="none" w:sz="0" w:space="0" w:color="auto"/>
            <w:right w:val="none" w:sz="0" w:space="0" w:color="auto"/>
          </w:divBdr>
        </w:div>
      </w:divsChild>
    </w:div>
    <w:div w:id="1888488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UOVILA" TargetMode="External"/><Relationship Id="rId13" Type="http://schemas.openxmlformats.org/officeDocument/2006/relationships/hyperlink" Target="https://www.accountingtools.com/" TargetMode="External"/><Relationship Id="rId3" Type="http://schemas.openxmlformats.org/officeDocument/2006/relationships/settings" Target="settings.xml"/><Relationship Id="rId7" Type="http://schemas.openxmlformats.org/officeDocument/2006/relationships/hyperlink" Target="https://www.investopedia.com/alicia-tuovila-4687215" TargetMode="External"/><Relationship Id="rId12" Type="http://schemas.openxmlformats.org/officeDocument/2006/relationships/hyperlink" Target="Basi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countingtool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ccountingtools.com/articles/the-monetary-unit-principle" TargetMode="External"/><Relationship Id="rId4" Type="http://schemas.openxmlformats.org/officeDocument/2006/relationships/webSettings" Target="webSettings.xml"/><Relationship Id="rId9" Type="http://schemas.openxmlformats.org/officeDocument/2006/relationships/hyperlink" Target="https://www.investopedia.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1660</Words>
  <Characters>9467</Characters>
  <Application>Microsoft Office Word</Application>
  <DocSecurity>0</DocSecurity>
  <Lines>78</Lines>
  <Paragraphs>22</Paragraphs>
  <ScaleCrop>false</ScaleCrop>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102</cp:revision>
  <dcterms:created xsi:type="dcterms:W3CDTF">2022-07-05T17:14:00Z</dcterms:created>
  <dcterms:modified xsi:type="dcterms:W3CDTF">2022-07-10T07:10:00Z</dcterms:modified>
</cp:coreProperties>
</file>