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2EE9B" w14:textId="77777777" w:rsidR="00625839" w:rsidRDefault="008E63C7" w:rsidP="008E63C7">
      <w:pPr>
        <w:pStyle w:val="Tytu"/>
        <w:jc w:val="center"/>
      </w:pPr>
      <w:r>
        <w:t>Statutory</w:t>
      </w:r>
      <w:r>
        <w:rPr>
          <w:rFonts w:cstheme="minorBidi"/>
        </w:rPr>
        <w:t xml:space="preserve"> interpretation </w:t>
      </w:r>
      <w:r>
        <w:t>diminishing legislation status within the UK</w:t>
      </w:r>
    </w:p>
    <w:p w14:paraId="2740A1B5" w14:textId="7588613C" w:rsidR="00625839" w:rsidRPr="00625839" w:rsidRDefault="008E63C7" w:rsidP="00625839">
      <w:pPr>
        <w:pStyle w:val="Tytu"/>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b w:val="0"/>
          <w:bCs w:val="0"/>
          <w:color w:val="auto"/>
          <w:sz w:val="22"/>
          <w:szCs w:val="22"/>
        </w:rPr>
        <w:id w:val="7553548"/>
        <w:docPartObj>
          <w:docPartGallery w:val="Table of Contents"/>
          <w:docPartUnique/>
        </w:docPartObj>
      </w:sdtPr>
      <w:sdtEndPr/>
      <w:sdtContent>
        <w:p w14:paraId="397D77C3" w14:textId="77777777" w:rsidR="008E63C7" w:rsidRDefault="008E63C7">
          <w:pPr>
            <w:pStyle w:val="Nagwekspisutreci"/>
          </w:pPr>
          <w:r>
            <w:t>Table of Contents</w:t>
          </w:r>
        </w:p>
        <w:p w14:paraId="1D68577F" w14:textId="77777777" w:rsidR="008E63C7" w:rsidRDefault="008E63C7">
          <w:pPr>
            <w:pStyle w:val="Spistreci1"/>
            <w:tabs>
              <w:tab w:val="right" w:leader="dot" w:pos="9350"/>
            </w:tabs>
            <w:rPr>
              <w:rFonts w:eastAsiaTheme="minorEastAsia"/>
              <w:noProof/>
            </w:rPr>
          </w:pPr>
          <w:r>
            <w:fldChar w:fldCharType="begin"/>
          </w:r>
          <w:r>
            <w:instrText xml:space="preserve"> TOC \o "1-3" \h \z \u </w:instrText>
          </w:r>
          <w:r>
            <w:fldChar w:fldCharType="separate"/>
          </w:r>
          <w:hyperlink w:anchor="_Toc102469060" w:history="1">
            <w:r w:rsidRPr="00920642">
              <w:rPr>
                <w:rStyle w:val="Hipercze"/>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_Toc102469060 \h </w:instrText>
            </w:r>
            <w:r>
              <w:rPr>
                <w:noProof/>
                <w:webHidden/>
              </w:rPr>
            </w:r>
            <w:r>
              <w:rPr>
                <w:noProof/>
                <w:webHidden/>
              </w:rPr>
              <w:fldChar w:fldCharType="separate"/>
            </w:r>
            <w:r>
              <w:rPr>
                <w:noProof/>
                <w:webHidden/>
              </w:rPr>
              <w:t>2</w:t>
            </w:r>
            <w:r>
              <w:rPr>
                <w:noProof/>
                <w:webHidden/>
              </w:rPr>
              <w:fldChar w:fldCharType="end"/>
            </w:r>
          </w:hyperlink>
        </w:p>
        <w:p w14:paraId="46F16CF1" w14:textId="77777777" w:rsidR="008E63C7" w:rsidRDefault="0014735C">
          <w:pPr>
            <w:pStyle w:val="Spistreci1"/>
            <w:tabs>
              <w:tab w:val="right" w:leader="dot" w:pos="9350"/>
            </w:tabs>
            <w:rPr>
              <w:rFonts w:eastAsiaTheme="minorEastAsia"/>
              <w:noProof/>
            </w:rPr>
          </w:pPr>
          <w:hyperlink w:anchor="_Toc102469061" w:history="1">
            <w:r w:rsidR="008E63C7" w:rsidRPr="00920642">
              <w:rPr>
                <w:rStyle w:val="Hipercze"/>
                <w:rFonts w:ascii="Times New Roman" w:hAnsi="Times New Roman" w:cs="Times New Roman"/>
                <w:noProof/>
              </w:rPr>
              <w:t>Main Body</w:t>
            </w:r>
            <w:r w:rsidR="008E63C7">
              <w:rPr>
                <w:noProof/>
                <w:webHidden/>
              </w:rPr>
              <w:tab/>
            </w:r>
            <w:r w:rsidR="008E63C7">
              <w:rPr>
                <w:noProof/>
                <w:webHidden/>
              </w:rPr>
              <w:fldChar w:fldCharType="begin"/>
            </w:r>
            <w:r w:rsidR="008E63C7">
              <w:rPr>
                <w:noProof/>
                <w:webHidden/>
              </w:rPr>
              <w:instrText xml:space="preserve"> PAGEREF _Toc102469061 \h </w:instrText>
            </w:r>
            <w:r w:rsidR="008E63C7">
              <w:rPr>
                <w:noProof/>
                <w:webHidden/>
              </w:rPr>
            </w:r>
            <w:r w:rsidR="008E63C7">
              <w:rPr>
                <w:noProof/>
                <w:webHidden/>
              </w:rPr>
              <w:fldChar w:fldCharType="separate"/>
            </w:r>
            <w:r w:rsidR="008E63C7">
              <w:rPr>
                <w:noProof/>
                <w:webHidden/>
              </w:rPr>
              <w:t>2</w:t>
            </w:r>
            <w:r w:rsidR="008E63C7">
              <w:rPr>
                <w:noProof/>
                <w:webHidden/>
              </w:rPr>
              <w:fldChar w:fldCharType="end"/>
            </w:r>
          </w:hyperlink>
        </w:p>
        <w:p w14:paraId="36ED302B" w14:textId="77777777" w:rsidR="008E63C7" w:rsidRDefault="0014735C">
          <w:pPr>
            <w:pStyle w:val="Spistreci1"/>
            <w:tabs>
              <w:tab w:val="right" w:leader="dot" w:pos="9350"/>
            </w:tabs>
            <w:rPr>
              <w:rFonts w:eastAsiaTheme="minorEastAsia"/>
              <w:noProof/>
            </w:rPr>
          </w:pPr>
          <w:hyperlink w:anchor="_Toc102469062" w:history="1">
            <w:r w:rsidR="008E63C7" w:rsidRPr="00920642">
              <w:rPr>
                <w:rStyle w:val="Hipercze"/>
                <w:rFonts w:ascii="Times New Roman" w:hAnsi="Times New Roman" w:cs="Times New Roman"/>
                <w:noProof/>
              </w:rPr>
              <w:t>Conclusion</w:t>
            </w:r>
            <w:r w:rsidR="008E63C7">
              <w:rPr>
                <w:noProof/>
                <w:webHidden/>
              </w:rPr>
              <w:tab/>
            </w:r>
            <w:r w:rsidR="008E63C7">
              <w:rPr>
                <w:noProof/>
                <w:webHidden/>
              </w:rPr>
              <w:fldChar w:fldCharType="begin"/>
            </w:r>
            <w:r w:rsidR="008E63C7">
              <w:rPr>
                <w:noProof/>
                <w:webHidden/>
              </w:rPr>
              <w:instrText xml:space="preserve"> PAGEREF _Toc102469062 \h </w:instrText>
            </w:r>
            <w:r w:rsidR="008E63C7">
              <w:rPr>
                <w:noProof/>
                <w:webHidden/>
              </w:rPr>
            </w:r>
            <w:r w:rsidR="008E63C7">
              <w:rPr>
                <w:noProof/>
                <w:webHidden/>
              </w:rPr>
              <w:fldChar w:fldCharType="separate"/>
            </w:r>
            <w:r w:rsidR="008E63C7">
              <w:rPr>
                <w:noProof/>
                <w:webHidden/>
              </w:rPr>
              <w:t>5</w:t>
            </w:r>
            <w:r w:rsidR="008E63C7">
              <w:rPr>
                <w:noProof/>
                <w:webHidden/>
              </w:rPr>
              <w:fldChar w:fldCharType="end"/>
            </w:r>
          </w:hyperlink>
        </w:p>
        <w:p w14:paraId="445DBA90" w14:textId="77777777" w:rsidR="008E63C7" w:rsidRDefault="0014735C">
          <w:pPr>
            <w:pStyle w:val="Spistreci1"/>
            <w:tabs>
              <w:tab w:val="right" w:leader="dot" w:pos="9350"/>
            </w:tabs>
            <w:rPr>
              <w:rFonts w:eastAsiaTheme="minorEastAsia"/>
              <w:noProof/>
            </w:rPr>
          </w:pPr>
          <w:hyperlink w:anchor="_Toc102469063" w:history="1">
            <w:r w:rsidR="008E63C7" w:rsidRPr="00920642">
              <w:rPr>
                <w:rStyle w:val="Hipercze"/>
                <w:rFonts w:ascii="Times New Roman" w:hAnsi="Times New Roman" w:cs="Times New Roman"/>
                <w:noProof/>
              </w:rPr>
              <w:t>References</w:t>
            </w:r>
            <w:r w:rsidR="008E63C7">
              <w:rPr>
                <w:noProof/>
                <w:webHidden/>
              </w:rPr>
              <w:tab/>
            </w:r>
            <w:r w:rsidR="008E63C7">
              <w:rPr>
                <w:noProof/>
                <w:webHidden/>
              </w:rPr>
              <w:fldChar w:fldCharType="begin"/>
            </w:r>
            <w:r w:rsidR="008E63C7">
              <w:rPr>
                <w:noProof/>
                <w:webHidden/>
              </w:rPr>
              <w:instrText xml:space="preserve"> PAGEREF _Toc102469063 \h </w:instrText>
            </w:r>
            <w:r w:rsidR="008E63C7">
              <w:rPr>
                <w:noProof/>
                <w:webHidden/>
              </w:rPr>
            </w:r>
            <w:r w:rsidR="008E63C7">
              <w:rPr>
                <w:noProof/>
                <w:webHidden/>
              </w:rPr>
              <w:fldChar w:fldCharType="separate"/>
            </w:r>
            <w:r w:rsidR="008E63C7">
              <w:rPr>
                <w:noProof/>
                <w:webHidden/>
              </w:rPr>
              <w:t>6</w:t>
            </w:r>
            <w:r w:rsidR="008E63C7">
              <w:rPr>
                <w:noProof/>
                <w:webHidden/>
              </w:rPr>
              <w:fldChar w:fldCharType="end"/>
            </w:r>
          </w:hyperlink>
        </w:p>
        <w:p w14:paraId="5ACAF117" w14:textId="77777777" w:rsidR="008E63C7" w:rsidRDefault="008E63C7">
          <w:r>
            <w:fldChar w:fldCharType="end"/>
          </w:r>
        </w:p>
      </w:sdtContent>
    </w:sdt>
    <w:p w14:paraId="368FE3D6" w14:textId="77777777" w:rsidR="008E63C7" w:rsidRDefault="008E63C7">
      <w:pPr>
        <w:rPr>
          <w:rFonts w:ascii="Times New Roman" w:eastAsiaTheme="majorEastAsia" w:hAnsi="Times New Roman" w:cs="Times New Roman"/>
          <w:b/>
          <w:bCs/>
          <w:color w:val="890A0A" w:themeColor="accent1" w:themeShade="BF"/>
          <w:sz w:val="24"/>
          <w:szCs w:val="24"/>
        </w:rPr>
      </w:pPr>
      <w:r>
        <w:rPr>
          <w:rFonts w:ascii="Times New Roman" w:hAnsi="Times New Roman" w:cs="Times New Roman"/>
          <w:sz w:val="24"/>
          <w:szCs w:val="24"/>
        </w:rPr>
        <w:br w:type="page"/>
      </w:r>
    </w:p>
    <w:p w14:paraId="49245279" w14:textId="77777777" w:rsidR="001E34F3" w:rsidRPr="008E63C7" w:rsidRDefault="007E021F" w:rsidP="008E63C7">
      <w:pPr>
        <w:pStyle w:val="Nagwek1"/>
        <w:spacing w:line="360" w:lineRule="auto"/>
        <w:jc w:val="both"/>
        <w:rPr>
          <w:rFonts w:ascii="Times New Roman" w:hAnsi="Times New Roman" w:cs="Times New Roman"/>
          <w:sz w:val="24"/>
          <w:szCs w:val="24"/>
        </w:rPr>
      </w:pPr>
      <w:bookmarkStart w:id="0" w:name="_Toc102469060"/>
      <w:r w:rsidRPr="008E63C7">
        <w:rPr>
          <w:rFonts w:ascii="Times New Roman" w:hAnsi="Times New Roman" w:cs="Times New Roman"/>
          <w:sz w:val="24"/>
          <w:szCs w:val="24"/>
        </w:rPr>
        <w:lastRenderedPageBreak/>
        <w:t>Introduction</w:t>
      </w:r>
      <w:bookmarkEnd w:id="0"/>
      <w:r w:rsidRPr="008E63C7">
        <w:rPr>
          <w:rFonts w:ascii="Times New Roman" w:hAnsi="Times New Roman" w:cs="Times New Roman"/>
          <w:sz w:val="24"/>
          <w:szCs w:val="24"/>
        </w:rPr>
        <w:t xml:space="preserve"> </w:t>
      </w:r>
    </w:p>
    <w:p w14:paraId="117CBB9C" w14:textId="77777777" w:rsidR="00322BFC" w:rsidRPr="008E63C7" w:rsidRDefault="007E021F"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t xml:space="preserve">The paper thoroughly evaluates the meaning of statutory interpretation and its importance. It showcases the clarity of lawmakers to express their prime intentions through statute. The vital issues that arise during the process of statutory interpretation have been mentioned. Apart from this, certain rules that take an essential part in underpinning statutory interpretation have also been highlighted and explained. Lastly, it provides arguments on whether statutory interpretation principles diminish legislation status as the key law source within the UK. There are repeated statements in relation to the common principles that govern statutory interpretation. It happens without any apparent disagreement within decisions undertaken by Australia’s High Court. It basically relates to the meaning derived from the policy, context and text's close consideration of specific contested provisions. </w:t>
      </w:r>
      <w:r w:rsidR="006173CA" w:rsidRPr="008E63C7">
        <w:rPr>
          <w:rFonts w:ascii="Times New Roman" w:hAnsi="Times New Roman" w:cs="Times New Roman"/>
          <w:sz w:val="24"/>
          <w:szCs w:val="24"/>
        </w:rPr>
        <w:t xml:space="preserve">Statutory interpretation also creates an impact on law-making. Precedence is taken over by the primary rule over other laws and indicates the interpretation of words within the statute should be done by knowing their actual meaning. </w:t>
      </w:r>
    </w:p>
    <w:p w14:paraId="7936065E" w14:textId="77777777" w:rsidR="002540CD" w:rsidRPr="008E63C7" w:rsidRDefault="007E021F" w:rsidP="008E63C7">
      <w:pPr>
        <w:pStyle w:val="Nagwek1"/>
        <w:spacing w:line="360" w:lineRule="auto"/>
        <w:jc w:val="both"/>
        <w:rPr>
          <w:rFonts w:ascii="Times New Roman" w:hAnsi="Times New Roman" w:cs="Times New Roman"/>
          <w:sz w:val="24"/>
          <w:szCs w:val="24"/>
        </w:rPr>
      </w:pPr>
      <w:bookmarkStart w:id="1" w:name="_Toc102469061"/>
      <w:r w:rsidRPr="008E63C7">
        <w:rPr>
          <w:rFonts w:ascii="Times New Roman" w:hAnsi="Times New Roman" w:cs="Times New Roman"/>
          <w:sz w:val="24"/>
          <w:szCs w:val="24"/>
        </w:rPr>
        <w:t>Main Body</w:t>
      </w:r>
      <w:bookmarkEnd w:id="1"/>
      <w:r w:rsidR="006173CA" w:rsidRPr="008E63C7">
        <w:rPr>
          <w:rFonts w:ascii="Times New Roman" w:hAnsi="Times New Roman" w:cs="Times New Roman"/>
          <w:sz w:val="24"/>
          <w:szCs w:val="24"/>
        </w:rPr>
        <w:t xml:space="preserve"> </w:t>
      </w:r>
    </w:p>
    <w:p w14:paraId="289F34EB" w14:textId="77777777" w:rsidR="008E63C7" w:rsidRPr="008E63C7" w:rsidRDefault="008E63C7" w:rsidP="008E63C7">
      <w:pPr>
        <w:spacing w:line="360" w:lineRule="auto"/>
        <w:jc w:val="both"/>
        <w:rPr>
          <w:rFonts w:ascii="Times New Roman" w:hAnsi="Times New Roman" w:cs="Times New Roman"/>
          <w:sz w:val="24"/>
          <w:szCs w:val="24"/>
          <w:lang w:val="en-GB"/>
        </w:rPr>
      </w:pPr>
      <w:r w:rsidRPr="008E63C7">
        <w:rPr>
          <w:rFonts w:ascii="Times New Roman" w:hAnsi="Times New Roman" w:cs="Times New Roman"/>
          <w:sz w:val="24"/>
          <w:szCs w:val="24"/>
          <w:lang w:val="en-GB"/>
        </w:rPr>
        <w:t>Statutory Interpretation and its effectiveness</w:t>
      </w:r>
    </w:p>
    <w:p w14:paraId="7EBDDD14" w14:textId="77777777" w:rsidR="008E63C7" w:rsidRPr="008E63C7" w:rsidRDefault="008E63C7" w:rsidP="008E63C7">
      <w:pPr>
        <w:spacing w:line="360" w:lineRule="auto"/>
        <w:jc w:val="both"/>
        <w:rPr>
          <w:rFonts w:ascii="Times New Roman" w:hAnsi="Times New Roman" w:cs="Times New Roman"/>
          <w:sz w:val="24"/>
          <w:szCs w:val="24"/>
          <w:lang w:val="en-GB"/>
        </w:rPr>
      </w:pPr>
      <w:r w:rsidRPr="008E63C7">
        <w:rPr>
          <w:rFonts w:ascii="Times New Roman" w:hAnsi="Times New Roman" w:cs="Times New Roman"/>
          <w:sz w:val="24"/>
          <w:szCs w:val="24"/>
          <w:lang w:val="en-GB"/>
        </w:rPr>
        <w:t>The process of interpreting and application of legislative laws by the courts is called statutory interpretation. The courts define the meaning of different laws passed by the legislative bodies. Statutory interpretation is necessary because it does not allow the courts to go outside the given rules and regulations. Whenever the judges encounter any problem regarding any difficult decisions, this interpretation binds the judges to follow the rules. This allows the smooth deliberation of justice. In the UK the Parliament is in charge of formulating the laws and the application of these laws is done by the courts. The ways by which statutory interpretation can be identified are the explanatory memorandum and explanatory statement. The interpretation of statutory rules follows certain rules like the Golden Rule, Literal Rule, and Mischief Rule (</w:t>
      </w:r>
      <w:proofErr w:type="spellStart"/>
      <w:r w:rsidRPr="008E63C7">
        <w:rPr>
          <w:rFonts w:ascii="Times New Roman" w:hAnsi="Times New Roman" w:cs="Times New Roman"/>
          <w:sz w:val="24"/>
          <w:szCs w:val="24"/>
          <w:lang w:val="en-GB"/>
        </w:rPr>
        <w:t>Lawteacher</w:t>
      </w:r>
      <w:proofErr w:type="spellEnd"/>
      <w:r w:rsidRPr="008E63C7">
        <w:rPr>
          <w:rFonts w:ascii="Times New Roman" w:hAnsi="Times New Roman" w:cs="Times New Roman"/>
          <w:sz w:val="24"/>
          <w:szCs w:val="24"/>
          <w:lang w:val="en-GB"/>
        </w:rPr>
        <w:t xml:space="preserve">, 2022). The judges can use their power in the way they think is appropriate. The statutory interpretation is necessary because it leads to a good outcome if the judge follows the legislation. The judges can do so by referring to external aids like Hansard, Royal Commissions Report for interpreting the laws of the legislation. </w:t>
      </w:r>
    </w:p>
    <w:p w14:paraId="54D753EE" w14:textId="77777777" w:rsidR="00322BFC" w:rsidRPr="008E63C7" w:rsidRDefault="007E021F"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t>Clarity of law-makers to express their motives through statute</w:t>
      </w:r>
    </w:p>
    <w:p w14:paraId="63BBC17A" w14:textId="77777777" w:rsidR="008E63C7" w:rsidRPr="008E63C7" w:rsidRDefault="007E021F"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lastRenderedPageBreak/>
        <w:t>For a justice system to be accessible within the UK, laws should be easily understood and clearer. This will take a vital part in UK’</w:t>
      </w:r>
      <w:r w:rsidR="005511D0" w:rsidRPr="008E63C7">
        <w:rPr>
          <w:rFonts w:ascii="Times New Roman" w:hAnsi="Times New Roman" w:cs="Times New Roman"/>
          <w:sz w:val="24"/>
          <w:szCs w:val="24"/>
        </w:rPr>
        <w:t xml:space="preserve">s justice system. However, it can be found that laws that are clearly written are usually better administered, complied and understood. </w:t>
      </w:r>
      <w:r w:rsidR="00A157B3" w:rsidRPr="008E63C7">
        <w:rPr>
          <w:rFonts w:ascii="Times New Roman" w:hAnsi="Times New Roman" w:cs="Times New Roman"/>
          <w:sz w:val="24"/>
          <w:szCs w:val="24"/>
        </w:rPr>
        <w:t xml:space="preserve">Uncertainties with regard to laws take part in creating complex legislation. Unnecessary burdens can be imposed due to this on business along with providing restrictions on the capability of individuals who get an adverse impact by different laws and legislation. This is essential for well-knowing the people's lawful obligations and rights. Various causes or drivers can be found with regard to complexity. Specifically, the developments within the legislation as well as the vital matters that the legislation covers are the key cause. Moreover, the real aspect is understood as more complexities within </w:t>
      </w:r>
      <w:r w:rsidR="00AB5C05" w:rsidRPr="008E63C7">
        <w:rPr>
          <w:rFonts w:ascii="Times New Roman" w:hAnsi="Times New Roman" w:cs="Times New Roman"/>
          <w:sz w:val="24"/>
          <w:szCs w:val="24"/>
        </w:rPr>
        <w:t>t</w:t>
      </w:r>
      <w:r w:rsidR="00A157B3" w:rsidRPr="008E63C7">
        <w:rPr>
          <w:rFonts w:ascii="Times New Roman" w:hAnsi="Times New Roman" w:cs="Times New Roman"/>
          <w:sz w:val="24"/>
          <w:szCs w:val="24"/>
        </w:rPr>
        <w:t>he policy further leading to difficult legislation for implementation. It is especially required by drafters, instructing agencies and policymakers to apply certain basic principles during the development time of Commonwealth legislation</w:t>
      </w:r>
      <w:r w:rsidR="008E63C7" w:rsidRPr="008E63C7">
        <w:rPr>
          <w:rFonts w:ascii="Times New Roman" w:hAnsi="Times New Roman" w:cs="Times New Roman"/>
          <w:sz w:val="24"/>
          <w:szCs w:val="24"/>
        </w:rPr>
        <w:t xml:space="preserve"> </w:t>
      </w:r>
      <w:r w:rsidR="008E63C7" w:rsidRPr="008E63C7">
        <w:rPr>
          <w:rFonts w:ascii="Times New Roman" w:hAnsi="Times New Roman" w:cs="Times New Roman"/>
          <w:color w:val="000000"/>
          <w:sz w:val="24"/>
          <w:szCs w:val="24"/>
          <w:shd w:val="clear" w:color="auto" w:fill="FFFFFF"/>
        </w:rPr>
        <w:t>(AG Gov, 2022)</w:t>
      </w:r>
      <w:r w:rsidR="00A157B3" w:rsidRPr="008E63C7">
        <w:rPr>
          <w:rFonts w:ascii="Times New Roman" w:hAnsi="Times New Roman" w:cs="Times New Roman"/>
          <w:sz w:val="24"/>
          <w:szCs w:val="24"/>
        </w:rPr>
        <w:t xml:space="preserve">.  Every kind of adoption option shall be considered and legislation should not be done when it is not necessary. Minimizing complexity must be a key consideration during the time of developing a policy. </w:t>
      </w:r>
    </w:p>
    <w:p w14:paraId="34FA545D" w14:textId="77777777" w:rsidR="008E63C7" w:rsidRPr="008E63C7" w:rsidRDefault="008E63C7" w:rsidP="008E63C7">
      <w:pPr>
        <w:spacing w:line="360" w:lineRule="auto"/>
        <w:jc w:val="both"/>
        <w:rPr>
          <w:rFonts w:ascii="Times New Roman" w:hAnsi="Times New Roman" w:cs="Times New Roman"/>
          <w:sz w:val="24"/>
          <w:szCs w:val="24"/>
          <w:lang w:val="en-GB"/>
        </w:rPr>
      </w:pPr>
      <w:r w:rsidRPr="008E63C7">
        <w:rPr>
          <w:rFonts w:ascii="Times New Roman" w:hAnsi="Times New Roman" w:cs="Times New Roman"/>
          <w:sz w:val="24"/>
          <w:szCs w:val="24"/>
          <w:lang w:val="en-GB"/>
        </w:rPr>
        <w:t>Problems of statutory Interpretation</w:t>
      </w:r>
    </w:p>
    <w:p w14:paraId="028354F9" w14:textId="77777777" w:rsidR="008E63C7" w:rsidRPr="008E63C7" w:rsidRDefault="008E63C7" w:rsidP="008E63C7">
      <w:pPr>
        <w:spacing w:line="360" w:lineRule="auto"/>
        <w:jc w:val="both"/>
        <w:rPr>
          <w:rFonts w:ascii="Times New Roman" w:hAnsi="Times New Roman" w:cs="Times New Roman"/>
          <w:sz w:val="24"/>
          <w:szCs w:val="24"/>
          <w:lang w:val="en-GB"/>
        </w:rPr>
      </w:pPr>
      <w:r w:rsidRPr="008E63C7">
        <w:rPr>
          <w:rFonts w:ascii="Times New Roman" w:hAnsi="Times New Roman" w:cs="Times New Roman"/>
          <w:sz w:val="24"/>
          <w:szCs w:val="24"/>
          <w:lang w:val="en-GB"/>
        </w:rPr>
        <w:t>The problems of statutory interpretation may arise due to the failure of the legislation to cover some important points. The errors while drafting, the introduction of new rules, and usage of different languages. The laws mentioned in the legislation are not always specific. The statutes which were drafted back in the 18</w:t>
      </w:r>
      <w:r w:rsidRPr="008E63C7">
        <w:rPr>
          <w:rFonts w:ascii="Times New Roman" w:hAnsi="Times New Roman" w:cs="Times New Roman"/>
          <w:sz w:val="24"/>
          <w:szCs w:val="24"/>
          <w:vertAlign w:val="superscript"/>
          <w:lang w:val="en-GB"/>
        </w:rPr>
        <w:t>th</w:t>
      </w:r>
      <w:r w:rsidRPr="008E63C7">
        <w:rPr>
          <w:rFonts w:ascii="Times New Roman" w:hAnsi="Times New Roman" w:cs="Times New Roman"/>
          <w:sz w:val="24"/>
          <w:szCs w:val="24"/>
          <w:lang w:val="en-GB"/>
        </w:rPr>
        <w:t xml:space="preserve"> century cannot be interpreted the same way as before. The literal Rule can make interpretation harder. The parliament's advice is not taken. In the case of the Golden Rule, the judges enjoy a special position and have extra powers. This is considered undemocratic. The circumstances are not judged carefully before taking any decision. The literal Rule also causes statutory interpretation. In this case, the judges who are not elected often formulate the laws which leads to unclear and confusing results. The process causes a wastage of money and time (</w:t>
      </w:r>
      <w:proofErr w:type="spellStart"/>
      <w:r w:rsidRPr="008E63C7">
        <w:rPr>
          <w:rFonts w:ascii="Times New Roman" w:hAnsi="Times New Roman" w:cs="Times New Roman"/>
          <w:sz w:val="24"/>
          <w:szCs w:val="24"/>
          <w:lang w:val="en-GB"/>
        </w:rPr>
        <w:t>Lawteacher</w:t>
      </w:r>
      <w:proofErr w:type="spellEnd"/>
      <w:r w:rsidRPr="008E63C7">
        <w:rPr>
          <w:rFonts w:ascii="Times New Roman" w:hAnsi="Times New Roman" w:cs="Times New Roman"/>
          <w:sz w:val="24"/>
          <w:szCs w:val="24"/>
          <w:lang w:val="en-GB"/>
        </w:rPr>
        <w:t xml:space="preserve">, 2022). The intention of the Parliament is also not clear in the Literal Rule. Another problem is caused by the Purposive Approach. In this scenario, the judges formulate the laws. The Separation of Powers Act is violated in this approach. Uniformity in the justice system is not found. It again leads to a waste of money and time. </w:t>
      </w:r>
    </w:p>
    <w:p w14:paraId="035F7820" w14:textId="77777777" w:rsidR="002540CD" w:rsidRPr="008E63C7" w:rsidRDefault="007E021F"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lastRenderedPageBreak/>
        <w:t>Ambiguity errors primarily take place within a statute. The UK court uses the long or extended title for interpreting specific provisions in relation to the statute. This will play a vital role to eliminate the act's confusion and ambiguity along with not providing conclusive aid in interpreting the statute's provision</w:t>
      </w:r>
      <w:r w:rsidR="008E63C7" w:rsidRPr="008E63C7">
        <w:rPr>
          <w:rFonts w:ascii="Times New Roman" w:hAnsi="Times New Roman" w:cs="Times New Roman"/>
          <w:sz w:val="24"/>
          <w:szCs w:val="24"/>
        </w:rPr>
        <w:t xml:space="preserve"> </w:t>
      </w:r>
      <w:r w:rsidR="008E63C7" w:rsidRPr="008E63C7">
        <w:rPr>
          <w:rFonts w:ascii="Times New Roman" w:hAnsi="Times New Roman" w:cs="Times New Roman"/>
          <w:color w:val="000000"/>
          <w:sz w:val="24"/>
          <w:szCs w:val="24"/>
          <w:shd w:val="clear" w:color="auto" w:fill="FFFFFF"/>
        </w:rPr>
        <w:t xml:space="preserve">(Classic </w:t>
      </w:r>
      <w:proofErr w:type="spellStart"/>
      <w:r w:rsidR="008E63C7" w:rsidRPr="008E63C7">
        <w:rPr>
          <w:rFonts w:ascii="Times New Roman" w:hAnsi="Times New Roman" w:cs="Times New Roman"/>
          <w:color w:val="000000"/>
          <w:sz w:val="24"/>
          <w:szCs w:val="24"/>
          <w:shd w:val="clear" w:color="auto" w:fill="FFFFFF"/>
        </w:rPr>
        <w:t>austlii</w:t>
      </w:r>
      <w:proofErr w:type="spellEnd"/>
      <w:r w:rsidR="008E63C7" w:rsidRPr="008E63C7">
        <w:rPr>
          <w:rFonts w:ascii="Times New Roman" w:hAnsi="Times New Roman" w:cs="Times New Roman"/>
          <w:color w:val="000000"/>
          <w:sz w:val="24"/>
          <w:szCs w:val="24"/>
          <w:shd w:val="clear" w:color="auto" w:fill="FFFFFF"/>
        </w:rPr>
        <w:t xml:space="preserve"> </w:t>
      </w:r>
      <w:proofErr w:type="spellStart"/>
      <w:r w:rsidR="008E63C7" w:rsidRPr="008E63C7">
        <w:rPr>
          <w:rFonts w:ascii="Times New Roman" w:hAnsi="Times New Roman" w:cs="Times New Roman"/>
          <w:color w:val="000000"/>
          <w:sz w:val="24"/>
          <w:szCs w:val="24"/>
          <w:shd w:val="clear" w:color="auto" w:fill="FFFFFF"/>
        </w:rPr>
        <w:t>edu</w:t>
      </w:r>
      <w:proofErr w:type="spellEnd"/>
      <w:r w:rsidR="008E63C7" w:rsidRPr="008E63C7">
        <w:rPr>
          <w:rFonts w:ascii="Times New Roman" w:hAnsi="Times New Roman" w:cs="Times New Roman"/>
          <w:color w:val="000000"/>
          <w:sz w:val="24"/>
          <w:szCs w:val="24"/>
          <w:shd w:val="clear" w:color="auto" w:fill="FFFFFF"/>
        </w:rPr>
        <w:t>, 2022)</w:t>
      </w:r>
      <w:r w:rsidRPr="008E63C7">
        <w:rPr>
          <w:rFonts w:ascii="Times New Roman" w:hAnsi="Times New Roman" w:cs="Times New Roman"/>
          <w:sz w:val="24"/>
          <w:szCs w:val="24"/>
        </w:rPr>
        <w:t>. In UK legislation, drafting errors also at times take place, but these errors are basically minor like incorrect capitalization or punctuation</w:t>
      </w:r>
      <w:r w:rsidR="0031532E" w:rsidRPr="008E63C7">
        <w:rPr>
          <w:rFonts w:ascii="Times New Roman" w:hAnsi="Times New Roman" w:cs="Times New Roman"/>
          <w:sz w:val="24"/>
          <w:szCs w:val="24"/>
        </w:rPr>
        <w:t xml:space="preserve"> but the actual meaning is not at all affected</w:t>
      </w:r>
      <w:r w:rsidRPr="008E63C7">
        <w:rPr>
          <w:rFonts w:ascii="Times New Roman" w:hAnsi="Times New Roman" w:cs="Times New Roman"/>
          <w:sz w:val="24"/>
          <w:szCs w:val="24"/>
        </w:rPr>
        <w:t xml:space="preserve">. </w:t>
      </w:r>
    </w:p>
    <w:p w14:paraId="009028CA" w14:textId="77777777" w:rsidR="00AB5C05" w:rsidRPr="008E63C7" w:rsidRDefault="007E021F"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t>Rules underpinning statutory interpretation</w:t>
      </w:r>
    </w:p>
    <w:p w14:paraId="35798A97" w14:textId="77777777" w:rsidR="008E63C7" w:rsidRPr="008E63C7" w:rsidRDefault="008E63C7" w:rsidP="008E63C7">
      <w:pPr>
        <w:spacing w:line="360" w:lineRule="auto"/>
        <w:jc w:val="both"/>
        <w:rPr>
          <w:rFonts w:ascii="Times New Roman" w:hAnsi="Times New Roman" w:cs="Times New Roman"/>
          <w:sz w:val="24"/>
          <w:szCs w:val="24"/>
          <w:lang w:val="en-GB"/>
        </w:rPr>
      </w:pPr>
      <w:r w:rsidRPr="008E63C7">
        <w:rPr>
          <w:rFonts w:ascii="Times New Roman" w:hAnsi="Times New Roman" w:cs="Times New Roman"/>
          <w:sz w:val="24"/>
          <w:szCs w:val="24"/>
          <w:lang w:val="en-GB"/>
        </w:rPr>
        <w:t xml:space="preserve">In the UK, the literal rule the courts need to work out the meaning of the different laws in simple terms. The Parliament's intention is not taken into consideration. The literal rule is often used in the UK. This is because the judges cannot make laws on their own. If they follow the rules accordingly the judges will not be implicated in improvising new laws. The positive aspect of the literal law is that it does not undermine the authority of the Parliament and follows the laws laid by the parliament. Even when some laws do not make sense the judges still follow them because it does not lead to the division of powers (Laver, 2022). By limiting the powers of the judges the verdicts given are equal and not biased. Loopholes are created as a negative impact of the literal rule. Dishonesty in the interpretation of the statutes because of language barriers is often experienced. The Parliament's intention has not been understood for this rule. In the case of </w:t>
      </w:r>
      <w:proofErr w:type="spellStart"/>
      <w:r w:rsidRPr="008E63C7">
        <w:rPr>
          <w:rFonts w:ascii="Times New Roman" w:hAnsi="Times New Roman" w:cs="Times New Roman"/>
          <w:sz w:val="24"/>
          <w:szCs w:val="24"/>
          <w:lang w:val="en-GB"/>
        </w:rPr>
        <w:t>Whiteley</w:t>
      </w:r>
      <w:proofErr w:type="spellEnd"/>
      <w:r w:rsidRPr="008E63C7">
        <w:rPr>
          <w:rFonts w:ascii="Times New Roman" w:hAnsi="Times New Roman" w:cs="Times New Roman"/>
          <w:sz w:val="24"/>
          <w:szCs w:val="24"/>
          <w:lang w:val="en-GB"/>
        </w:rPr>
        <w:t xml:space="preserve"> v. Chappell in 1868 the original motive of the Parliament has been defied. This rule can cause injustice, a drop in the faith in the law. The parliament should rectify the mistakes of this law. The Golden Rule is used in place of the actual laws. This is because the original laws will give absurd results. The laws in the statutes are checked to whether they convey the original intention of the Parliament or not. In any case, if a son killed his mother and the mother did not have a will but the son would inherit everything after her death (Laver, 2022). The son would gain from the death of his mother but that would be not fair. The son needs to be punished for his crimes. The judges should see to this and any errors in the legislative laws should be fixed. </w:t>
      </w:r>
    </w:p>
    <w:p w14:paraId="12C69CCD" w14:textId="77777777" w:rsidR="00AB5C05" w:rsidRPr="008E63C7" w:rsidRDefault="008E63C7" w:rsidP="008E63C7">
      <w:pPr>
        <w:spacing w:line="360" w:lineRule="auto"/>
        <w:jc w:val="both"/>
        <w:rPr>
          <w:rFonts w:ascii="Times New Roman" w:hAnsi="Times New Roman" w:cs="Times New Roman"/>
          <w:sz w:val="24"/>
          <w:szCs w:val="24"/>
          <w:lang w:val="en-GB"/>
        </w:rPr>
      </w:pPr>
      <w:r w:rsidRPr="008E63C7">
        <w:rPr>
          <w:rFonts w:ascii="Times New Roman" w:hAnsi="Times New Roman" w:cs="Times New Roman"/>
          <w:sz w:val="24"/>
          <w:szCs w:val="24"/>
          <w:lang w:val="en-GB"/>
        </w:rPr>
        <w:t xml:space="preserve">The use of </w:t>
      </w:r>
      <w:proofErr w:type="spellStart"/>
      <w:r w:rsidRPr="008E63C7">
        <w:rPr>
          <w:rFonts w:ascii="Times New Roman" w:hAnsi="Times New Roman" w:cs="Times New Roman"/>
          <w:sz w:val="24"/>
          <w:szCs w:val="24"/>
          <w:lang w:val="en-GB"/>
        </w:rPr>
        <w:t>commonsense</w:t>
      </w:r>
      <w:proofErr w:type="spellEnd"/>
      <w:r w:rsidRPr="008E63C7">
        <w:rPr>
          <w:rFonts w:ascii="Times New Roman" w:hAnsi="Times New Roman" w:cs="Times New Roman"/>
          <w:sz w:val="24"/>
          <w:szCs w:val="24"/>
          <w:lang w:val="en-GB"/>
        </w:rPr>
        <w:t xml:space="preserve"> by the judges for giving fair justice increases the confidence of the public. One disadvantage is that the judges can change the laws according to their wishes. The chances for Separation of Powers are thus increased. </w:t>
      </w:r>
      <w:r w:rsidR="007E021F" w:rsidRPr="008E63C7">
        <w:rPr>
          <w:rFonts w:ascii="Times New Roman" w:hAnsi="Times New Roman" w:cs="Times New Roman"/>
          <w:sz w:val="24"/>
          <w:szCs w:val="24"/>
        </w:rPr>
        <w:t xml:space="preserve">Then there is the mischief rule which is mainly utilized for interpreting gaps </w:t>
      </w:r>
      <w:r w:rsidR="002679D9" w:rsidRPr="008E63C7">
        <w:rPr>
          <w:rFonts w:ascii="Times New Roman" w:hAnsi="Times New Roman" w:cs="Times New Roman"/>
          <w:sz w:val="24"/>
          <w:szCs w:val="24"/>
        </w:rPr>
        <w:t xml:space="preserve">or ultra vires. In Corkery V Carpenter of 1951, this specific rule is elaborated. By staying under alcohol influence, a bicycle </w:t>
      </w:r>
      <w:r w:rsidR="007E021F" w:rsidRPr="008E63C7">
        <w:rPr>
          <w:rFonts w:ascii="Times New Roman" w:hAnsi="Times New Roman" w:cs="Times New Roman"/>
          <w:sz w:val="24"/>
          <w:szCs w:val="24"/>
        </w:rPr>
        <w:t xml:space="preserve">was ridden by the defendant. As </w:t>
      </w:r>
      <w:r w:rsidR="007E021F" w:rsidRPr="008E63C7">
        <w:rPr>
          <w:rFonts w:ascii="Times New Roman" w:hAnsi="Times New Roman" w:cs="Times New Roman"/>
          <w:sz w:val="24"/>
          <w:szCs w:val="24"/>
        </w:rPr>
        <w:lastRenderedPageBreak/>
        <w:t>per the Licensing Act 1872 section 12, this was considered an offense when the individual drank by staying in a carriage's charge. The act's intention charged the defendant with obstructing individuals to remain on transportation charges on public highways while being intoxicated</w:t>
      </w:r>
      <w:r w:rsidRPr="008E63C7">
        <w:rPr>
          <w:rFonts w:ascii="Times New Roman" w:hAnsi="Times New Roman" w:cs="Times New Roman"/>
          <w:sz w:val="24"/>
          <w:szCs w:val="24"/>
        </w:rPr>
        <w:t xml:space="preserve"> </w:t>
      </w:r>
      <w:r w:rsidRPr="008E63C7">
        <w:rPr>
          <w:rFonts w:ascii="Times New Roman" w:hAnsi="Times New Roman" w:cs="Times New Roman"/>
          <w:color w:val="000000"/>
          <w:sz w:val="24"/>
          <w:szCs w:val="24"/>
          <w:shd w:val="clear" w:color="auto" w:fill="FFFFFF"/>
        </w:rPr>
        <w:t>(</w:t>
      </w:r>
      <w:proofErr w:type="spellStart"/>
      <w:r w:rsidRPr="008E63C7">
        <w:rPr>
          <w:rFonts w:ascii="Times New Roman" w:hAnsi="Times New Roman" w:cs="Times New Roman"/>
          <w:color w:val="000000"/>
          <w:sz w:val="24"/>
          <w:szCs w:val="24"/>
          <w:shd w:val="clear" w:color="auto" w:fill="FFFFFF"/>
        </w:rPr>
        <w:t>Everycrsreport</w:t>
      </w:r>
      <w:proofErr w:type="spellEnd"/>
      <w:r w:rsidRPr="008E63C7">
        <w:rPr>
          <w:rFonts w:ascii="Times New Roman" w:hAnsi="Times New Roman" w:cs="Times New Roman"/>
          <w:color w:val="000000"/>
          <w:sz w:val="24"/>
          <w:szCs w:val="24"/>
          <w:shd w:val="clear" w:color="auto" w:fill="FFFFFF"/>
        </w:rPr>
        <w:t>, 2014)</w:t>
      </w:r>
      <w:r w:rsidR="007E021F" w:rsidRPr="008E63C7">
        <w:rPr>
          <w:rFonts w:ascii="Times New Roman" w:hAnsi="Times New Roman" w:cs="Times New Roman"/>
          <w:sz w:val="24"/>
          <w:szCs w:val="24"/>
        </w:rPr>
        <w:t>. Hence, this rule provides an allowance for statutes interpretation within a society that is progressing along with eliminating loopholes. However, the purposive approach is also adopted for making sure the ineffectiveness of the law as per the intention of the Parliament. Further, this can be applied during the interpretation time of EU Law as per Pickstone v Freeman's plc of 1989 AC 66</w:t>
      </w:r>
      <w:r w:rsidRPr="008E63C7">
        <w:rPr>
          <w:rFonts w:ascii="Times New Roman" w:hAnsi="Times New Roman" w:cs="Times New Roman"/>
          <w:sz w:val="24"/>
          <w:szCs w:val="24"/>
        </w:rPr>
        <w:t xml:space="preserve"> </w:t>
      </w:r>
      <w:r w:rsidRPr="008E63C7">
        <w:rPr>
          <w:rFonts w:ascii="Times New Roman" w:hAnsi="Times New Roman" w:cs="Times New Roman"/>
          <w:color w:val="000000"/>
          <w:sz w:val="24"/>
          <w:szCs w:val="24"/>
          <w:shd w:val="clear" w:color="auto" w:fill="FFFFFF"/>
        </w:rPr>
        <w:t>(</w:t>
      </w:r>
      <w:proofErr w:type="spellStart"/>
      <w:r w:rsidRPr="008E63C7">
        <w:rPr>
          <w:rFonts w:ascii="Times New Roman" w:hAnsi="Times New Roman" w:cs="Times New Roman"/>
          <w:color w:val="000000"/>
          <w:sz w:val="24"/>
          <w:szCs w:val="24"/>
          <w:shd w:val="clear" w:color="auto" w:fill="FFFFFF"/>
        </w:rPr>
        <w:t>Lawteacher</w:t>
      </w:r>
      <w:proofErr w:type="spellEnd"/>
      <w:r w:rsidRPr="008E63C7">
        <w:rPr>
          <w:rFonts w:ascii="Times New Roman" w:hAnsi="Times New Roman" w:cs="Times New Roman"/>
          <w:color w:val="000000"/>
          <w:sz w:val="24"/>
          <w:szCs w:val="24"/>
          <w:shd w:val="clear" w:color="auto" w:fill="FFFFFF"/>
        </w:rPr>
        <w:t>, 2022)</w:t>
      </w:r>
      <w:r w:rsidR="007E021F" w:rsidRPr="008E63C7">
        <w:rPr>
          <w:rFonts w:ascii="Times New Roman" w:hAnsi="Times New Roman" w:cs="Times New Roman"/>
          <w:sz w:val="24"/>
          <w:szCs w:val="24"/>
        </w:rPr>
        <w:t>.  Domestic law’s every kind of source is being</w:t>
      </w:r>
      <w:r w:rsidR="002540CD" w:rsidRPr="008E63C7">
        <w:rPr>
          <w:rFonts w:ascii="Times New Roman" w:hAnsi="Times New Roman" w:cs="Times New Roman"/>
          <w:sz w:val="24"/>
          <w:szCs w:val="24"/>
        </w:rPr>
        <w:t xml:space="preserve"> overridden by EU Law. It also mentions the fact that if the application of the literal rule had been done within this case, there could have been a significant breach of UK legislation's treaty obligations for providing actual effect to EU directives. </w:t>
      </w:r>
    </w:p>
    <w:p w14:paraId="687A29A1" w14:textId="77777777" w:rsidR="008E63C7" w:rsidRPr="008E63C7" w:rsidRDefault="008E63C7" w:rsidP="008E63C7">
      <w:pPr>
        <w:pStyle w:val="Nagwek1"/>
        <w:spacing w:line="360" w:lineRule="auto"/>
        <w:jc w:val="both"/>
        <w:rPr>
          <w:rFonts w:ascii="Times New Roman" w:hAnsi="Times New Roman" w:cs="Times New Roman"/>
          <w:sz w:val="24"/>
          <w:szCs w:val="24"/>
        </w:rPr>
      </w:pPr>
      <w:bookmarkStart w:id="2" w:name="_Toc102469062"/>
      <w:r w:rsidRPr="008E63C7">
        <w:rPr>
          <w:rFonts w:ascii="Times New Roman" w:hAnsi="Times New Roman" w:cs="Times New Roman"/>
          <w:sz w:val="24"/>
          <w:szCs w:val="24"/>
        </w:rPr>
        <w:t>Conclusion</w:t>
      </w:r>
      <w:bookmarkEnd w:id="2"/>
      <w:r w:rsidRPr="008E63C7">
        <w:rPr>
          <w:rFonts w:ascii="Times New Roman" w:hAnsi="Times New Roman" w:cs="Times New Roman"/>
          <w:sz w:val="24"/>
          <w:szCs w:val="24"/>
        </w:rPr>
        <w:t xml:space="preserve"> </w:t>
      </w:r>
    </w:p>
    <w:p w14:paraId="319BF86E" w14:textId="77777777" w:rsidR="008E63C7" w:rsidRPr="008E63C7" w:rsidRDefault="008E63C7"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t xml:space="preserve">For giving effect to a particular policy or procedure, it should be ensured by the UK government that laws passed are not much complex. In addition, legislation should provide allowance to the people who got a significant impact for well-knowing how the law or legislation is applicable to them. A law that is proposed must be clear and continually determined and interpreted from policy growth towards Parliament as well as the rule makers' consideration. It can take place in the form of legislative instruments or acts. The prime intention of the parliament is to apply and cover a ruling that provides a solution to the issues within ambiguous statutes. Drafting errors in statutory interpretation basically erode the textualist theory’s common tenet which also denotes the law must be followed by the courts. </w:t>
      </w:r>
    </w:p>
    <w:p w14:paraId="47965FDD" w14:textId="77777777" w:rsidR="008E63C7" w:rsidRPr="008E63C7" w:rsidRDefault="008E63C7"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br w:type="page"/>
      </w:r>
    </w:p>
    <w:p w14:paraId="6EE87B32" w14:textId="77777777" w:rsidR="008E63C7" w:rsidRPr="008E63C7" w:rsidRDefault="008E63C7" w:rsidP="008E63C7">
      <w:pPr>
        <w:pStyle w:val="Nagwek1"/>
        <w:spacing w:line="360" w:lineRule="auto"/>
        <w:jc w:val="both"/>
        <w:rPr>
          <w:rFonts w:ascii="Times New Roman" w:hAnsi="Times New Roman" w:cs="Times New Roman"/>
          <w:sz w:val="24"/>
          <w:szCs w:val="24"/>
        </w:rPr>
      </w:pPr>
      <w:bookmarkStart w:id="3" w:name="_Toc102469063"/>
      <w:r w:rsidRPr="008E63C7">
        <w:rPr>
          <w:rFonts w:ascii="Times New Roman" w:hAnsi="Times New Roman" w:cs="Times New Roman"/>
          <w:sz w:val="24"/>
          <w:szCs w:val="24"/>
        </w:rPr>
        <w:lastRenderedPageBreak/>
        <w:t>References</w:t>
      </w:r>
      <w:bookmarkEnd w:id="3"/>
    </w:p>
    <w:p w14:paraId="67CB2C2A" w14:textId="77777777" w:rsidR="008E63C7" w:rsidRPr="008E63C7" w:rsidRDefault="008E63C7"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t>AG Gov, 2022. </w:t>
      </w:r>
      <w:r w:rsidRPr="008E63C7">
        <w:rPr>
          <w:rFonts w:ascii="Times New Roman" w:hAnsi="Times New Roman" w:cs="Times New Roman"/>
          <w:i/>
          <w:iCs/>
          <w:sz w:val="24"/>
          <w:szCs w:val="24"/>
        </w:rPr>
        <w:t>Reducing the complexity of legislation</w:t>
      </w:r>
      <w:r w:rsidRPr="008E63C7">
        <w:rPr>
          <w:rFonts w:ascii="Times New Roman" w:hAnsi="Times New Roman" w:cs="Times New Roman"/>
          <w:sz w:val="24"/>
          <w:szCs w:val="24"/>
        </w:rPr>
        <w:t>. [online] www.ag.gov.au. Available at: &lt;https://www.ag.gov.au/legal-system/access-justice/reducing-complexity-legislation&gt; [Accessed 3 May 2022].</w:t>
      </w:r>
    </w:p>
    <w:p w14:paraId="786A42F6" w14:textId="77777777" w:rsidR="008E63C7" w:rsidRPr="008E63C7" w:rsidRDefault="008E63C7"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t xml:space="preserve">Classic </w:t>
      </w:r>
      <w:proofErr w:type="spellStart"/>
      <w:r w:rsidRPr="008E63C7">
        <w:rPr>
          <w:rFonts w:ascii="Times New Roman" w:hAnsi="Times New Roman" w:cs="Times New Roman"/>
          <w:sz w:val="24"/>
          <w:szCs w:val="24"/>
        </w:rPr>
        <w:t>austlii</w:t>
      </w:r>
      <w:proofErr w:type="spellEnd"/>
      <w:r w:rsidRPr="008E63C7">
        <w:rPr>
          <w:rFonts w:ascii="Times New Roman" w:hAnsi="Times New Roman" w:cs="Times New Roman"/>
          <w:sz w:val="24"/>
          <w:szCs w:val="24"/>
        </w:rPr>
        <w:t xml:space="preserve"> </w:t>
      </w:r>
      <w:proofErr w:type="spellStart"/>
      <w:r w:rsidRPr="008E63C7">
        <w:rPr>
          <w:rFonts w:ascii="Times New Roman" w:hAnsi="Times New Roman" w:cs="Times New Roman"/>
          <w:sz w:val="24"/>
          <w:szCs w:val="24"/>
        </w:rPr>
        <w:t>edu</w:t>
      </w:r>
      <w:proofErr w:type="spellEnd"/>
      <w:r w:rsidRPr="008E63C7">
        <w:rPr>
          <w:rFonts w:ascii="Times New Roman" w:hAnsi="Times New Roman" w:cs="Times New Roman"/>
          <w:sz w:val="24"/>
          <w:szCs w:val="24"/>
        </w:rPr>
        <w:t>, 2022. </w:t>
      </w:r>
      <w:r w:rsidRPr="008E63C7">
        <w:rPr>
          <w:rFonts w:ascii="Times New Roman" w:hAnsi="Times New Roman" w:cs="Times New Roman"/>
          <w:i/>
          <w:iCs/>
          <w:sz w:val="24"/>
          <w:szCs w:val="24"/>
        </w:rPr>
        <w:t>STATUTORY INTERPRETATION: THE MEANING OF MEANING</w:t>
      </w:r>
      <w:r w:rsidRPr="008E63C7">
        <w:rPr>
          <w:rFonts w:ascii="Times New Roman" w:hAnsi="Times New Roman" w:cs="Times New Roman"/>
          <w:sz w:val="24"/>
          <w:szCs w:val="24"/>
        </w:rPr>
        <w:t>. [online] http://classic.austlii.edu.au/. Available at: &lt;http://classic.austlii.edu.au/au/journals/MelbULawRw/2011/3.html&gt; [Accessed 3 May 2022].</w:t>
      </w:r>
    </w:p>
    <w:p w14:paraId="1F97D34D" w14:textId="77777777" w:rsidR="008E63C7" w:rsidRPr="008E63C7" w:rsidRDefault="008E63C7" w:rsidP="008E63C7">
      <w:pPr>
        <w:spacing w:line="360" w:lineRule="auto"/>
        <w:jc w:val="both"/>
        <w:rPr>
          <w:rFonts w:ascii="Times New Roman" w:hAnsi="Times New Roman" w:cs="Times New Roman"/>
          <w:sz w:val="24"/>
          <w:szCs w:val="24"/>
        </w:rPr>
      </w:pPr>
      <w:proofErr w:type="spellStart"/>
      <w:r w:rsidRPr="008E63C7">
        <w:rPr>
          <w:rFonts w:ascii="Times New Roman" w:hAnsi="Times New Roman" w:cs="Times New Roman"/>
          <w:sz w:val="24"/>
          <w:szCs w:val="24"/>
        </w:rPr>
        <w:t>Everycrsreport</w:t>
      </w:r>
      <w:proofErr w:type="spellEnd"/>
      <w:r w:rsidRPr="008E63C7">
        <w:rPr>
          <w:rFonts w:ascii="Times New Roman" w:hAnsi="Times New Roman" w:cs="Times New Roman"/>
          <w:sz w:val="24"/>
          <w:szCs w:val="24"/>
        </w:rPr>
        <w:t>, 2014. </w:t>
      </w:r>
      <w:r w:rsidRPr="008E63C7">
        <w:rPr>
          <w:rFonts w:ascii="Times New Roman" w:hAnsi="Times New Roman" w:cs="Times New Roman"/>
          <w:i/>
          <w:iCs/>
          <w:sz w:val="24"/>
          <w:szCs w:val="24"/>
        </w:rPr>
        <w:t>Statutory Interpretation: General Principles and Recent Trends</w:t>
      </w:r>
      <w:r w:rsidRPr="008E63C7">
        <w:rPr>
          <w:rFonts w:ascii="Times New Roman" w:hAnsi="Times New Roman" w:cs="Times New Roman"/>
          <w:sz w:val="24"/>
          <w:szCs w:val="24"/>
        </w:rPr>
        <w:t>. [online] Everycrsreport.com. Available at: &lt;https://www.everycrsreport.com/reports/97-589.html&gt; [Accessed 3 May 2022].</w:t>
      </w:r>
    </w:p>
    <w:p w14:paraId="1E91F53C" w14:textId="77777777" w:rsidR="008E63C7" w:rsidRPr="008E63C7" w:rsidRDefault="008E63C7" w:rsidP="008E63C7">
      <w:pPr>
        <w:spacing w:line="360" w:lineRule="auto"/>
        <w:jc w:val="both"/>
        <w:rPr>
          <w:rFonts w:ascii="Times New Roman" w:hAnsi="Times New Roman" w:cs="Times New Roman"/>
          <w:sz w:val="24"/>
          <w:szCs w:val="24"/>
        </w:rPr>
      </w:pPr>
      <w:proofErr w:type="spellStart"/>
      <w:r w:rsidRPr="008E63C7">
        <w:rPr>
          <w:rFonts w:ascii="Times New Roman" w:hAnsi="Times New Roman" w:cs="Times New Roman"/>
          <w:sz w:val="24"/>
          <w:szCs w:val="24"/>
        </w:rPr>
        <w:t>Getrevising</w:t>
      </w:r>
      <w:proofErr w:type="spellEnd"/>
      <w:r w:rsidRPr="008E63C7">
        <w:rPr>
          <w:rFonts w:ascii="Times New Roman" w:hAnsi="Times New Roman" w:cs="Times New Roman"/>
          <w:sz w:val="24"/>
          <w:szCs w:val="24"/>
        </w:rPr>
        <w:t>, 2022. </w:t>
      </w:r>
      <w:r w:rsidRPr="008E63C7">
        <w:rPr>
          <w:rFonts w:ascii="Times New Roman" w:hAnsi="Times New Roman" w:cs="Times New Roman"/>
          <w:i/>
          <w:iCs/>
          <w:sz w:val="24"/>
          <w:szCs w:val="24"/>
        </w:rPr>
        <w:t>Statutory Interpretation</w:t>
      </w:r>
      <w:r w:rsidRPr="008E63C7">
        <w:rPr>
          <w:rFonts w:ascii="Times New Roman" w:hAnsi="Times New Roman" w:cs="Times New Roman"/>
          <w:sz w:val="24"/>
          <w:szCs w:val="24"/>
        </w:rPr>
        <w:t>. [online] Getrevising.co.uk. Available at: &lt;https://getrevising.co.uk/grids/statutory-interpretation&gt; [Accessed 3 May 2022].</w:t>
      </w:r>
    </w:p>
    <w:p w14:paraId="6079C47B" w14:textId="77777777" w:rsidR="008E63C7" w:rsidRPr="008E63C7" w:rsidRDefault="008E63C7" w:rsidP="008E63C7">
      <w:pPr>
        <w:spacing w:line="360" w:lineRule="auto"/>
        <w:jc w:val="both"/>
        <w:rPr>
          <w:rFonts w:ascii="Times New Roman" w:hAnsi="Times New Roman" w:cs="Times New Roman"/>
          <w:sz w:val="24"/>
          <w:szCs w:val="24"/>
        </w:rPr>
      </w:pPr>
      <w:r w:rsidRPr="008E63C7">
        <w:rPr>
          <w:rFonts w:ascii="Times New Roman" w:hAnsi="Times New Roman" w:cs="Times New Roman"/>
          <w:sz w:val="24"/>
          <w:szCs w:val="24"/>
        </w:rPr>
        <w:t>Laver, N., 2022. </w:t>
      </w:r>
      <w:r w:rsidRPr="008E63C7">
        <w:rPr>
          <w:rFonts w:ascii="Times New Roman" w:hAnsi="Times New Roman" w:cs="Times New Roman"/>
          <w:i/>
          <w:iCs/>
          <w:sz w:val="24"/>
          <w:szCs w:val="24"/>
        </w:rPr>
        <w:t>Statutory Interpretation - InBrief.co.uk</w:t>
      </w:r>
      <w:r w:rsidRPr="008E63C7">
        <w:rPr>
          <w:rFonts w:ascii="Times New Roman" w:hAnsi="Times New Roman" w:cs="Times New Roman"/>
          <w:sz w:val="24"/>
          <w:szCs w:val="24"/>
        </w:rPr>
        <w:t>. [online] InBrief.co.uk. Available at: &lt;https://www.inbrief.co.uk/legal-system/statutory-interpretation/&gt; [Accessed 3 May 2022].</w:t>
      </w:r>
    </w:p>
    <w:p w14:paraId="3A7379AD" w14:textId="77777777" w:rsidR="008E63C7" w:rsidRPr="008E63C7" w:rsidRDefault="008E63C7" w:rsidP="008E63C7">
      <w:pPr>
        <w:spacing w:line="360" w:lineRule="auto"/>
        <w:jc w:val="both"/>
        <w:rPr>
          <w:rFonts w:ascii="Times New Roman" w:hAnsi="Times New Roman" w:cs="Times New Roman"/>
          <w:sz w:val="24"/>
          <w:szCs w:val="24"/>
        </w:rPr>
      </w:pPr>
      <w:proofErr w:type="spellStart"/>
      <w:r w:rsidRPr="008E63C7">
        <w:rPr>
          <w:rFonts w:ascii="Times New Roman" w:hAnsi="Times New Roman" w:cs="Times New Roman"/>
          <w:sz w:val="24"/>
          <w:szCs w:val="24"/>
        </w:rPr>
        <w:t>Lawteacher</w:t>
      </w:r>
      <w:proofErr w:type="spellEnd"/>
      <w:r w:rsidRPr="008E63C7">
        <w:rPr>
          <w:rFonts w:ascii="Times New Roman" w:hAnsi="Times New Roman" w:cs="Times New Roman"/>
          <w:sz w:val="24"/>
          <w:szCs w:val="24"/>
        </w:rPr>
        <w:t>, 2022. </w:t>
      </w:r>
      <w:r w:rsidRPr="008E63C7">
        <w:rPr>
          <w:rFonts w:ascii="Times New Roman" w:hAnsi="Times New Roman" w:cs="Times New Roman"/>
          <w:i/>
          <w:iCs/>
          <w:sz w:val="24"/>
          <w:szCs w:val="24"/>
        </w:rPr>
        <w:t>Judges Interpretation of Legislation</w:t>
      </w:r>
      <w:r w:rsidRPr="008E63C7">
        <w:rPr>
          <w:rFonts w:ascii="Times New Roman" w:hAnsi="Times New Roman" w:cs="Times New Roman"/>
          <w:sz w:val="24"/>
          <w:szCs w:val="24"/>
        </w:rPr>
        <w:t>. [online] Lawteacher.net. Available at: &lt;https://www.lawteacher.net/free-law-essays/constitutional-law/judges-interpretation-of-legislation-constitutional-law-essay.php&gt; [Accessed 3 May 2022].</w:t>
      </w:r>
    </w:p>
    <w:p w14:paraId="7B0FB743" w14:textId="77777777" w:rsidR="008E63C7" w:rsidRPr="008E63C7" w:rsidRDefault="008E63C7" w:rsidP="008E63C7">
      <w:pPr>
        <w:spacing w:line="360" w:lineRule="auto"/>
        <w:jc w:val="both"/>
        <w:rPr>
          <w:rFonts w:ascii="Times New Roman" w:hAnsi="Times New Roman" w:cs="Times New Roman"/>
          <w:sz w:val="24"/>
          <w:szCs w:val="24"/>
        </w:rPr>
      </w:pPr>
      <w:proofErr w:type="spellStart"/>
      <w:r w:rsidRPr="008E63C7">
        <w:rPr>
          <w:rFonts w:ascii="Times New Roman" w:hAnsi="Times New Roman" w:cs="Times New Roman"/>
          <w:sz w:val="24"/>
          <w:szCs w:val="24"/>
        </w:rPr>
        <w:t>Lawteacher</w:t>
      </w:r>
      <w:proofErr w:type="spellEnd"/>
      <w:r w:rsidRPr="008E63C7">
        <w:rPr>
          <w:rFonts w:ascii="Times New Roman" w:hAnsi="Times New Roman" w:cs="Times New Roman"/>
          <w:sz w:val="24"/>
          <w:szCs w:val="24"/>
        </w:rPr>
        <w:t>, 2022. </w:t>
      </w:r>
      <w:r w:rsidRPr="008E63C7">
        <w:rPr>
          <w:rFonts w:ascii="Times New Roman" w:hAnsi="Times New Roman" w:cs="Times New Roman"/>
          <w:i/>
          <w:iCs/>
          <w:sz w:val="24"/>
          <w:szCs w:val="24"/>
        </w:rPr>
        <w:t>The Rules Behind Statutory Interpretation</w:t>
      </w:r>
      <w:r w:rsidRPr="008E63C7">
        <w:rPr>
          <w:rFonts w:ascii="Times New Roman" w:hAnsi="Times New Roman" w:cs="Times New Roman"/>
          <w:sz w:val="24"/>
          <w:szCs w:val="24"/>
        </w:rPr>
        <w:t>. [online] Lawteacher.net. Available at: &lt;https://www.lawteacher.net/free-law-essays/administrative-law/the-rules-behind-statutory-interpretation-administrative-law-essay.php#:~:text=There%20are%20four%20Rules%20of,rule%20and%20the%20purposive%20approach&gt; [Accessed 3 May 2022].</w:t>
      </w:r>
    </w:p>
    <w:p w14:paraId="24F6883E" w14:textId="77777777" w:rsidR="008E63C7" w:rsidRPr="008E63C7" w:rsidRDefault="008E63C7" w:rsidP="008E63C7">
      <w:pPr>
        <w:spacing w:line="360" w:lineRule="auto"/>
        <w:ind w:left="720"/>
        <w:jc w:val="both"/>
        <w:rPr>
          <w:rFonts w:ascii="Times New Roman" w:hAnsi="Times New Roman" w:cs="Times New Roman"/>
          <w:sz w:val="24"/>
          <w:szCs w:val="24"/>
        </w:rPr>
      </w:pPr>
    </w:p>
    <w:p w14:paraId="20D57297" w14:textId="77777777" w:rsidR="008E63C7" w:rsidRPr="008E63C7" w:rsidRDefault="008E63C7" w:rsidP="008E63C7">
      <w:pPr>
        <w:spacing w:line="360" w:lineRule="auto"/>
        <w:jc w:val="both"/>
        <w:rPr>
          <w:rFonts w:ascii="Times New Roman" w:hAnsi="Times New Roman" w:cs="Times New Roman"/>
          <w:sz w:val="24"/>
          <w:szCs w:val="24"/>
        </w:rPr>
      </w:pPr>
    </w:p>
    <w:p w14:paraId="3799C9F2" w14:textId="77777777" w:rsidR="008E63C7" w:rsidRPr="008E63C7" w:rsidRDefault="008E63C7" w:rsidP="008E63C7">
      <w:pPr>
        <w:spacing w:line="360" w:lineRule="auto"/>
        <w:jc w:val="both"/>
        <w:rPr>
          <w:rFonts w:ascii="Times New Roman" w:hAnsi="Times New Roman" w:cs="Times New Roman"/>
          <w:sz w:val="24"/>
          <w:szCs w:val="24"/>
        </w:rPr>
      </w:pPr>
    </w:p>
    <w:sectPr w:rsidR="008E63C7" w:rsidRPr="008E63C7" w:rsidSect="008E63C7">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6566A" w14:textId="77777777" w:rsidR="0014735C" w:rsidRDefault="0014735C" w:rsidP="008E63C7">
      <w:pPr>
        <w:spacing w:after="0" w:line="240" w:lineRule="auto"/>
      </w:pPr>
      <w:r>
        <w:separator/>
      </w:r>
    </w:p>
  </w:endnote>
  <w:endnote w:type="continuationSeparator" w:id="0">
    <w:p w14:paraId="27250DAA" w14:textId="77777777" w:rsidR="0014735C" w:rsidRDefault="0014735C" w:rsidP="008E6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mpact">
    <w:panose1 w:val="020B080603090205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3547"/>
      <w:docPartObj>
        <w:docPartGallery w:val="Page Numbers (Bottom of Page)"/>
        <w:docPartUnique/>
      </w:docPartObj>
    </w:sdtPr>
    <w:sdtEndPr/>
    <w:sdtContent>
      <w:p w14:paraId="7614CCC6" w14:textId="77777777" w:rsidR="008E63C7" w:rsidRDefault="0014735C">
        <w:pPr>
          <w:pStyle w:val="Stopka"/>
          <w:jc w:val="right"/>
        </w:pPr>
        <w:r>
          <w:fldChar w:fldCharType="begin"/>
        </w:r>
        <w:r>
          <w:instrText xml:space="preserve"> PAGE   \* MERGEFORMAT </w:instrText>
        </w:r>
        <w:r>
          <w:fldChar w:fldCharType="separate"/>
        </w:r>
        <w:r w:rsidR="006D4F22">
          <w:rPr>
            <w:noProof/>
          </w:rPr>
          <w:t>6</w:t>
        </w:r>
        <w:r>
          <w:rPr>
            <w:noProof/>
          </w:rPr>
          <w:fldChar w:fldCharType="end"/>
        </w:r>
      </w:p>
    </w:sdtContent>
  </w:sdt>
  <w:p w14:paraId="1700AECF" w14:textId="77777777" w:rsidR="008E63C7" w:rsidRDefault="008E63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A17C2" w14:textId="77777777" w:rsidR="0014735C" w:rsidRDefault="0014735C" w:rsidP="008E63C7">
      <w:pPr>
        <w:spacing w:after="0" w:line="240" w:lineRule="auto"/>
      </w:pPr>
      <w:r>
        <w:separator/>
      </w:r>
    </w:p>
  </w:footnote>
  <w:footnote w:type="continuationSeparator" w:id="0">
    <w:p w14:paraId="1F72229D" w14:textId="77777777" w:rsidR="0014735C" w:rsidRDefault="0014735C" w:rsidP="008E63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7070"/>
    <w:rsid w:val="000D55A4"/>
    <w:rsid w:val="0014735C"/>
    <w:rsid w:val="00152903"/>
    <w:rsid w:val="001E34F3"/>
    <w:rsid w:val="002540CD"/>
    <w:rsid w:val="002679D9"/>
    <w:rsid w:val="0031532E"/>
    <w:rsid w:val="00322BFC"/>
    <w:rsid w:val="00483487"/>
    <w:rsid w:val="005511D0"/>
    <w:rsid w:val="00581C93"/>
    <w:rsid w:val="005B50BC"/>
    <w:rsid w:val="006173CA"/>
    <w:rsid w:val="00625839"/>
    <w:rsid w:val="006D4F22"/>
    <w:rsid w:val="007D3ACF"/>
    <w:rsid w:val="007E021F"/>
    <w:rsid w:val="007E6CCC"/>
    <w:rsid w:val="008665F9"/>
    <w:rsid w:val="008E63C7"/>
    <w:rsid w:val="00977070"/>
    <w:rsid w:val="00A157B3"/>
    <w:rsid w:val="00AB5C05"/>
    <w:rsid w:val="00AC19E7"/>
    <w:rsid w:val="00C922EB"/>
    <w:rsid w:val="00D75ADD"/>
    <w:rsid w:val="00DD4FDB"/>
    <w:rsid w:val="00E50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D55F0"/>
  <w15:docId w15:val="{5D920A43-C215-4BFC-950A-18EEA777B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34F3"/>
  </w:style>
  <w:style w:type="paragraph" w:styleId="Nagwek1">
    <w:name w:val="heading 1"/>
    <w:basedOn w:val="Normalny"/>
    <w:next w:val="Normalny"/>
    <w:link w:val="Nagwek1Znak"/>
    <w:uiPriority w:val="9"/>
    <w:qFormat/>
    <w:rsid w:val="008E63C7"/>
    <w:pPr>
      <w:keepNext/>
      <w:keepLines/>
      <w:spacing w:before="480" w:after="0"/>
      <w:outlineLvl w:val="0"/>
    </w:pPr>
    <w:rPr>
      <w:rFonts w:asciiTheme="majorHAnsi" w:eastAsiaTheme="majorEastAsia" w:hAnsiTheme="majorHAnsi" w:cstheme="majorBidi"/>
      <w:b/>
      <w:bCs/>
      <w:color w:val="890A0A"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1">
    <w:name w:val="toc 1"/>
    <w:basedOn w:val="Normalny"/>
    <w:next w:val="Normalny"/>
    <w:autoRedefine/>
    <w:uiPriority w:val="39"/>
    <w:unhideWhenUsed/>
    <w:rsid w:val="00AC19E7"/>
    <w:pPr>
      <w:spacing w:after="100"/>
    </w:pPr>
  </w:style>
  <w:style w:type="character" w:customStyle="1" w:styleId="Nagwek1Znak">
    <w:name w:val="Nagłówek 1 Znak"/>
    <w:basedOn w:val="Domylnaczcionkaakapitu"/>
    <w:link w:val="Nagwek1"/>
    <w:uiPriority w:val="9"/>
    <w:rsid w:val="008E63C7"/>
    <w:rPr>
      <w:rFonts w:asciiTheme="majorHAnsi" w:eastAsiaTheme="majorEastAsia" w:hAnsiTheme="majorHAnsi" w:cstheme="majorBidi"/>
      <w:b/>
      <w:bCs/>
      <w:color w:val="890A0A" w:themeColor="accent1" w:themeShade="BF"/>
      <w:sz w:val="28"/>
      <w:szCs w:val="28"/>
    </w:rPr>
  </w:style>
  <w:style w:type="paragraph" w:styleId="Nagwek">
    <w:name w:val="header"/>
    <w:basedOn w:val="Normalny"/>
    <w:link w:val="NagwekZnak"/>
    <w:uiPriority w:val="99"/>
    <w:semiHidden/>
    <w:unhideWhenUsed/>
    <w:rsid w:val="008E63C7"/>
    <w:pPr>
      <w:tabs>
        <w:tab w:val="center" w:pos="4680"/>
        <w:tab w:val="right" w:pos="9360"/>
      </w:tabs>
      <w:spacing w:after="0" w:line="240" w:lineRule="auto"/>
    </w:pPr>
  </w:style>
  <w:style w:type="character" w:customStyle="1" w:styleId="NagwekZnak">
    <w:name w:val="Nagłówek Znak"/>
    <w:basedOn w:val="Domylnaczcionkaakapitu"/>
    <w:link w:val="Nagwek"/>
    <w:uiPriority w:val="99"/>
    <w:semiHidden/>
    <w:rsid w:val="008E63C7"/>
  </w:style>
  <w:style w:type="paragraph" w:styleId="Stopka">
    <w:name w:val="footer"/>
    <w:basedOn w:val="Normalny"/>
    <w:link w:val="StopkaZnak"/>
    <w:uiPriority w:val="99"/>
    <w:unhideWhenUsed/>
    <w:rsid w:val="008E63C7"/>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8E63C7"/>
  </w:style>
  <w:style w:type="paragraph" w:styleId="Nagwekspisutreci">
    <w:name w:val="TOC Heading"/>
    <w:basedOn w:val="Nagwek1"/>
    <w:next w:val="Normalny"/>
    <w:uiPriority w:val="39"/>
    <w:semiHidden/>
    <w:unhideWhenUsed/>
    <w:qFormat/>
    <w:rsid w:val="008E63C7"/>
    <w:pPr>
      <w:outlineLvl w:val="9"/>
    </w:pPr>
  </w:style>
  <w:style w:type="character" w:styleId="Hipercze">
    <w:name w:val="Hyperlink"/>
    <w:basedOn w:val="Domylnaczcionkaakapitu"/>
    <w:uiPriority w:val="99"/>
    <w:unhideWhenUsed/>
    <w:rsid w:val="008E63C7"/>
    <w:rPr>
      <w:color w:val="F21213" w:themeColor="hyperlink"/>
      <w:u w:val="single"/>
    </w:rPr>
  </w:style>
  <w:style w:type="paragraph" w:styleId="Tekstdymka">
    <w:name w:val="Balloon Text"/>
    <w:basedOn w:val="Normalny"/>
    <w:link w:val="TekstdymkaZnak"/>
    <w:uiPriority w:val="99"/>
    <w:semiHidden/>
    <w:unhideWhenUsed/>
    <w:rsid w:val="008E63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E63C7"/>
    <w:rPr>
      <w:rFonts w:ascii="Tahoma" w:hAnsi="Tahoma" w:cs="Tahoma"/>
      <w:sz w:val="16"/>
      <w:szCs w:val="16"/>
    </w:rPr>
  </w:style>
  <w:style w:type="paragraph" w:styleId="Tytu">
    <w:name w:val="Title"/>
    <w:basedOn w:val="Normalny"/>
    <w:next w:val="Normalny"/>
    <w:link w:val="TytuZnak"/>
    <w:uiPriority w:val="10"/>
    <w:qFormat/>
    <w:rsid w:val="008E63C7"/>
    <w:pPr>
      <w:pBdr>
        <w:bottom w:val="single" w:sz="8" w:space="4" w:color="B80E0F" w:themeColor="accent1"/>
      </w:pBdr>
      <w:spacing w:after="300" w:line="240" w:lineRule="auto"/>
      <w:contextualSpacing/>
    </w:pPr>
    <w:rPr>
      <w:rFonts w:asciiTheme="majorHAnsi" w:eastAsiaTheme="majorEastAsia" w:hAnsiTheme="majorHAnsi" w:cstheme="majorBidi"/>
      <w:color w:val="313131" w:themeColor="text2" w:themeShade="BF"/>
      <w:spacing w:val="5"/>
      <w:kern w:val="28"/>
      <w:sz w:val="52"/>
      <w:szCs w:val="52"/>
    </w:rPr>
  </w:style>
  <w:style w:type="character" w:customStyle="1" w:styleId="TytuZnak">
    <w:name w:val="Tytuł Znak"/>
    <w:basedOn w:val="Domylnaczcionkaakapitu"/>
    <w:link w:val="Tytu"/>
    <w:uiPriority w:val="10"/>
    <w:rsid w:val="008E63C7"/>
    <w:rPr>
      <w:rFonts w:asciiTheme="majorHAnsi" w:eastAsiaTheme="majorEastAsia" w:hAnsiTheme="majorHAnsi" w:cstheme="majorBidi"/>
      <w:color w:val="313131"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02807">
      <w:bodyDiv w:val="1"/>
      <w:marLeft w:val="0"/>
      <w:marRight w:val="0"/>
      <w:marTop w:val="0"/>
      <w:marBottom w:val="0"/>
      <w:divBdr>
        <w:top w:val="none" w:sz="0" w:space="0" w:color="auto"/>
        <w:left w:val="none" w:sz="0" w:space="0" w:color="auto"/>
        <w:bottom w:val="none" w:sz="0" w:space="0" w:color="auto"/>
        <w:right w:val="none" w:sz="0" w:space="0" w:color="auto"/>
      </w:divBdr>
    </w:div>
    <w:div w:id="105493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Wydarzenie główne">
  <a:themeElements>
    <a:clrScheme name="Wydarzenie główne">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Wydarzenie główne">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ydarzenie główne">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ADA548-6FCF-4CD5-8ACB-7B55C351C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1748</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Michal</cp:lastModifiedBy>
  <cp:revision>2</cp:revision>
  <dcterms:created xsi:type="dcterms:W3CDTF">2022-05-03T05:48:00Z</dcterms:created>
  <dcterms:modified xsi:type="dcterms:W3CDTF">2022-05-03T23:02:00Z</dcterms:modified>
</cp:coreProperties>
</file>