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F4A390" w14:textId="367B5680" w:rsidR="00BA7719" w:rsidRDefault="00BA7719">
      <w:r>
        <w:t xml:space="preserve">  </w:t>
      </w:r>
    </w:p>
    <w:sdt>
      <w:sdtPr>
        <w:id w:val="-1973590680"/>
        <w:docPartObj>
          <w:docPartGallery w:val="Cover Pages"/>
          <w:docPartUnique/>
        </w:docPartObj>
      </w:sdtPr>
      <w:sdtEndPr/>
      <w:sdtContent>
        <w:p w14:paraId="65A95221" w14:textId="3376CF1F" w:rsidR="00766FB7" w:rsidRDefault="0083354B">
          <w:r>
            <w:rPr>
              <w:noProof/>
            </w:rPr>
            <w:pict w14:anchorId="5D263BAC">
              <v:shapetype id="_x0000_t202" coordsize="21600,21600" o:spt="202" path="m,l,21600r21600,l21600,xe">
                <v:stroke joinstyle="miter"/>
                <v:path gradientshapeok="t" o:connecttype="rect"/>
              </v:shapetype>
              <v:shape id="Text Box 465" o:spid="_x0000_s1031"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61C5A14A" w14:textId="17E20F5B" w:rsidR="00766FB7" w:rsidRDefault="0083354B">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766FB7">
                            <w:rPr>
                              <w:noProof/>
                              <w:color w:val="44546A" w:themeColor="text2"/>
                            </w:rPr>
                            <w:t xml:space="preserve">Kirsty </w:t>
                          </w:r>
                          <w:r w:rsidR="00120111">
                            <w:rPr>
                              <w:noProof/>
                              <w:color w:val="44546A" w:themeColor="text2"/>
                            </w:rPr>
                            <w:t>Lauren Jones-Higginson (1901468)</w:t>
                          </w:r>
                        </w:sdtContent>
                      </w:sdt>
                    </w:p>
                  </w:txbxContent>
                </v:textbox>
                <w10:wrap type="square" anchorx="page" anchory="page"/>
              </v:shape>
            </w:pict>
          </w:r>
          <w:r>
            <w:rPr>
              <w:noProof/>
            </w:rPr>
            <w:pict w14:anchorId="760F9F62">
              <v:rect id="Rectangle 466" o:spid="_x0000_s1030"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75C98D57" w14:textId="77777777" w:rsidR="00766FB7" w:rsidRDefault="00766FB7"/>
                  </w:txbxContent>
                </v:textbox>
                <w10:wrap anchorx="page" anchory="page"/>
              </v:rect>
            </w:pict>
          </w:r>
          <w:r>
            <w:rPr>
              <w:noProof/>
            </w:rPr>
            <w:pict w14:anchorId="1D4D524E">
              <v:rect id="Rectangle 467" o:spid="_x0000_s1029"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4916D5FD" w14:textId="14E8588D" w:rsidR="00766FB7" w:rsidRDefault="0083354B">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766FB7">
                            <w:rPr>
                              <w:color w:val="FFFFFF" w:themeColor="background1"/>
                            </w:rPr>
                            <w:t xml:space="preserve">     </w:t>
                          </w:r>
                        </w:sdtContent>
                      </w:sdt>
                    </w:p>
                  </w:txbxContent>
                </v:textbox>
                <w10:wrap anchorx="page" anchory="page"/>
              </v:rect>
            </w:pict>
          </w:r>
          <w:r>
            <w:rPr>
              <w:noProof/>
            </w:rPr>
            <w:pict w14:anchorId="5B1B4385">
              <v:rect id="Rectangle 468" o:spid="_x0000_s1028"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w:r>
          <w:r>
            <w:rPr>
              <w:noProof/>
            </w:rPr>
            <w:pict w14:anchorId="5AEC4B3A">
              <v:rect id="Rectangle 469" o:spid="_x0000_s1027"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w:r>
          <w:r>
            <w:rPr>
              <w:noProof/>
            </w:rPr>
            <w:pict w14:anchorId="356E94B1">
              <v:shape id="Text Box 470" o:spid="_x0000_s1026"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3ABAAFCB" w14:textId="539D9534" w:rsidR="00766FB7" w:rsidRDefault="00DB1D61">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Criminal law</w:t>
                          </w:r>
                        </w:p>
                      </w:sdtContent>
                    </w:sdt>
                  </w:txbxContent>
                </v:textbox>
                <w10:wrap type="square" anchorx="page" anchory="page"/>
              </v:shape>
            </w:pict>
          </w:r>
        </w:p>
        <w:p w14:paraId="1ED3DF76" w14:textId="4130809E" w:rsidR="008577CB" w:rsidRDefault="00766FB7">
          <w:r>
            <w:br w:type="page"/>
          </w:r>
        </w:p>
      </w:sdtContent>
    </w:sdt>
    <w:p w14:paraId="29A5B77F" w14:textId="549A474F" w:rsidR="00DB1D61" w:rsidRDefault="00817137">
      <w:r>
        <w:lastRenderedPageBreak/>
        <w:t>Firstly,</w:t>
      </w:r>
      <w:r w:rsidR="00F73C78">
        <w:t xml:space="preserve"> according to the office of national statistics, </w:t>
      </w:r>
      <w:r w:rsidR="007A132C">
        <w:t xml:space="preserve">the </w:t>
      </w:r>
      <w:r w:rsidR="008F70E3">
        <w:t xml:space="preserve">number of homicide victims at the end of the year </w:t>
      </w:r>
      <w:r w:rsidR="004078B3">
        <w:t>March</w:t>
      </w:r>
      <w:r w:rsidR="008F70E3">
        <w:t xml:space="preserve"> 2020 had shown an increase of </w:t>
      </w:r>
      <w:r w:rsidR="009729C1">
        <w:t>7%, showing a total of 695 victims to homicide.</w:t>
      </w:r>
      <w:r w:rsidR="00BE2E02">
        <w:t xml:space="preserve"> </w:t>
      </w:r>
      <w:r w:rsidR="00B43ED9">
        <w:t xml:space="preserve"> </w:t>
      </w:r>
      <w:r w:rsidR="002E561B">
        <w:t xml:space="preserve">Homicide can be defined in </w:t>
      </w:r>
      <w:proofErr w:type="gramStart"/>
      <w:r w:rsidR="002E561B">
        <w:t>a number of</w:t>
      </w:r>
      <w:proofErr w:type="gramEnd"/>
      <w:r w:rsidR="002E561B">
        <w:t xml:space="preserve"> ways</w:t>
      </w:r>
      <w:r w:rsidR="00D90E92">
        <w:t>.</w:t>
      </w:r>
      <w:r w:rsidR="00135F55">
        <w:t xml:space="preserve"> Stein and Marcus refer to homicide </w:t>
      </w:r>
      <w:r w:rsidR="00697874">
        <w:t xml:space="preserve">as </w:t>
      </w:r>
      <w:r w:rsidR="00EE18B1">
        <w:t>“</w:t>
      </w:r>
      <w:r w:rsidR="00697874">
        <w:t>the killing of one person by another</w:t>
      </w:r>
      <w:r w:rsidR="00EE18B1">
        <w:t>”</w:t>
      </w:r>
      <w:r w:rsidR="00334C4E">
        <w:t>. During a war a solider can be killed by one another this would not be an illegal crime and would be classed as homicide</w:t>
      </w:r>
      <w:r w:rsidR="00D54E82">
        <w:t xml:space="preserve"> but</w:t>
      </w:r>
      <w:r w:rsidR="00334C4E">
        <w:t xml:space="preserve"> legally (Stein </w:t>
      </w:r>
      <w:r w:rsidR="0068621C">
        <w:t>and Marcus</w:t>
      </w:r>
      <w:r w:rsidR="0067098D">
        <w:t>,</w:t>
      </w:r>
      <w:r w:rsidR="0068621C">
        <w:t xml:space="preserve"> </w:t>
      </w:r>
      <w:r w:rsidR="00641520">
        <w:t>2019).</w:t>
      </w:r>
      <w:r w:rsidR="0077106F">
        <w:t xml:space="preserve"> </w:t>
      </w:r>
      <w:r w:rsidR="00514103">
        <w:t xml:space="preserve">Sir Edwards Coke </w:t>
      </w:r>
      <w:r w:rsidR="00CF0C9A">
        <w:t>defined murder as</w:t>
      </w:r>
      <w:r w:rsidR="00D52D19">
        <w:t xml:space="preserve"> </w:t>
      </w:r>
      <w:r w:rsidR="00EE18B1">
        <w:t>“</w:t>
      </w:r>
      <w:r w:rsidR="0060651D">
        <w:t xml:space="preserve">unlawfully killing </w:t>
      </w:r>
      <w:r w:rsidR="00CF0C9A">
        <w:t xml:space="preserve">of a </w:t>
      </w:r>
      <w:r w:rsidR="009A54CB">
        <w:t>reasonable creature in being,</w:t>
      </w:r>
      <w:r w:rsidR="00692531">
        <w:t xml:space="preserve"> under the queen’s peace</w:t>
      </w:r>
      <w:r w:rsidR="00CB3052">
        <w:t xml:space="preserve">, with </w:t>
      </w:r>
      <w:r w:rsidR="00874184">
        <w:t xml:space="preserve">malice afterthought, which is either express or implied, death occurring </w:t>
      </w:r>
      <w:r w:rsidR="00421799">
        <w:t>within a year and a day</w:t>
      </w:r>
      <w:r w:rsidR="00EE18B1">
        <w:t>”</w:t>
      </w:r>
      <w:sdt>
        <w:sdtPr>
          <w:id w:val="413051046"/>
          <w:citation/>
        </w:sdtPr>
        <w:sdtEndPr/>
        <w:sdtContent>
          <w:r w:rsidR="00C87876">
            <w:fldChar w:fldCharType="begin"/>
          </w:r>
          <w:r w:rsidR="00C87876">
            <w:instrText xml:space="preserve"> CITATION Mit861 \l 2057 </w:instrText>
          </w:r>
          <w:r w:rsidR="00C87876">
            <w:fldChar w:fldCharType="separate"/>
          </w:r>
          <w:r w:rsidR="006469A1">
            <w:rPr>
              <w:noProof/>
            </w:rPr>
            <w:t xml:space="preserve"> (Mitchell, 1986)</w:t>
          </w:r>
          <w:r w:rsidR="00C87876">
            <w:fldChar w:fldCharType="end"/>
          </w:r>
        </w:sdtContent>
      </w:sdt>
      <w:r w:rsidR="00E70207">
        <w:t>.</w:t>
      </w:r>
      <w:r w:rsidR="005A1AC6">
        <w:t xml:space="preserve"> However due to the law reform act the definition for murder has slightly changed.</w:t>
      </w:r>
      <w:r w:rsidR="00C66EB7">
        <w:t xml:space="preserve"> The modern definition of murder </w:t>
      </w:r>
      <w:proofErr w:type="gramStart"/>
      <w:r w:rsidR="00C66EB7">
        <w:t>can be seen as</w:t>
      </w:r>
      <w:proofErr w:type="gramEnd"/>
      <w:r w:rsidR="00C66EB7">
        <w:t xml:space="preserve"> “</w:t>
      </w:r>
      <w:r w:rsidR="007C40A3">
        <w:t>to unlawfully kill another</w:t>
      </w:r>
      <w:r w:rsidR="00E0620C">
        <w:t xml:space="preserve"> person under the Queen’s peace, and to do s</w:t>
      </w:r>
      <w:r w:rsidR="00CF7F70">
        <w:t xml:space="preserve">o intending to kill or cause </w:t>
      </w:r>
      <w:r w:rsidR="00C20C63">
        <w:t>grievous bodily harm (GBH)</w:t>
      </w:r>
      <w:r w:rsidR="00AF2B32">
        <w:t>”</w:t>
      </w:r>
      <w:r w:rsidR="00C20C63">
        <w:t>.</w:t>
      </w:r>
      <w:r w:rsidR="00AF2B32">
        <w:t xml:space="preserve"> Showing that the rule o</w:t>
      </w:r>
      <w:r w:rsidR="00F7373B">
        <w:t xml:space="preserve">f  death occurring within a ‘year and a day’ has now been </w:t>
      </w:r>
      <w:r w:rsidR="00D31097">
        <w:t>removed from the legislation.</w:t>
      </w:r>
      <w:sdt>
        <w:sdtPr>
          <w:id w:val="283855213"/>
          <w:citation/>
        </w:sdtPr>
        <w:sdtEndPr/>
        <w:sdtContent>
          <w:r w:rsidR="00D31097">
            <w:fldChar w:fldCharType="begin"/>
          </w:r>
          <w:r w:rsidR="00D31097">
            <w:instrText xml:space="preserve"> CITATION Law96 \l 2057 </w:instrText>
          </w:r>
          <w:r w:rsidR="00D31097">
            <w:fldChar w:fldCharType="separate"/>
          </w:r>
          <w:r w:rsidR="006469A1">
            <w:rPr>
              <w:noProof/>
            </w:rPr>
            <w:t xml:space="preserve"> (Law Reform (year and a day rule) act 1996, 1996)</w:t>
          </w:r>
          <w:r w:rsidR="00D31097">
            <w:fldChar w:fldCharType="end"/>
          </w:r>
        </w:sdtContent>
      </w:sdt>
      <w:r w:rsidR="00D31097">
        <w:t>.</w:t>
      </w:r>
      <w:r w:rsidR="004E133C">
        <w:t xml:space="preserve"> Manslaughter</w:t>
      </w:r>
      <w:r w:rsidR="00EC7F57">
        <w:t xml:space="preserve"> is split into two different </w:t>
      </w:r>
      <w:r w:rsidR="0000383C">
        <w:t>sections</w:t>
      </w:r>
      <w:r w:rsidR="00136BEC">
        <w:t>, these include voluntary and involuntary manslaughter</w:t>
      </w:r>
      <w:r w:rsidR="0000383C">
        <w:t xml:space="preserve"> which is stated by</w:t>
      </w:r>
      <w:r w:rsidR="00D30F82">
        <w:t xml:space="preserve"> </w:t>
      </w:r>
      <w:sdt>
        <w:sdtPr>
          <w:id w:val="-664865634"/>
          <w:citation/>
        </w:sdtPr>
        <w:sdtEndPr/>
        <w:sdtContent>
          <w:r w:rsidR="00D30F82">
            <w:fldChar w:fldCharType="begin"/>
          </w:r>
          <w:r w:rsidR="00D30F82">
            <w:instrText xml:space="preserve"> CITATION Pop17 \l 2057 </w:instrText>
          </w:r>
          <w:r w:rsidR="00D30F82">
            <w:fldChar w:fldCharType="separate"/>
          </w:r>
          <w:r w:rsidR="006469A1">
            <w:rPr>
              <w:noProof/>
            </w:rPr>
            <w:t>(Pope, 2017)</w:t>
          </w:r>
          <w:r w:rsidR="00D30F82">
            <w:fldChar w:fldCharType="end"/>
          </w:r>
        </w:sdtContent>
      </w:sdt>
      <w:r w:rsidR="00D30F82">
        <w:t xml:space="preserve">. </w:t>
      </w:r>
      <w:r w:rsidR="004377A7">
        <w:t>Browne (2021)</w:t>
      </w:r>
      <w:r w:rsidR="00D54E82">
        <w:t xml:space="preserve"> </w:t>
      </w:r>
      <w:r w:rsidR="00710510">
        <w:t>claims</w:t>
      </w:r>
      <w:r w:rsidR="004377A7">
        <w:t xml:space="preserve"> involuntary manslaughter is where an unlawful killing has happened by was not done deliberately by the individual neither did the individual intend to cause serious bodily harm</w:t>
      </w:r>
      <w:r w:rsidR="002C7DBD">
        <w:t xml:space="preserve"> (Provocation)</w:t>
      </w:r>
      <w:r w:rsidR="004377A7">
        <w:t xml:space="preserve">. </w:t>
      </w:r>
      <w:r w:rsidR="00710510">
        <w:t>This type of manslaughter can be done through being reckless</w:t>
      </w:r>
      <w:r w:rsidR="008C3914">
        <w:t>,</w:t>
      </w:r>
      <w:r w:rsidR="00710510">
        <w:t xml:space="preserve"> through gross negligence</w:t>
      </w:r>
      <w:r w:rsidR="008C3914">
        <w:t xml:space="preserve"> or constructively</w:t>
      </w:r>
      <w:r w:rsidR="00710510">
        <w:t>.</w:t>
      </w:r>
      <w:r w:rsidR="003F0225">
        <w:t xml:space="preserve"> An example of gross negligence could be where an individual has not received the care they needed resulting in a death. Constructive </w:t>
      </w:r>
      <w:r w:rsidR="008C3914">
        <w:t xml:space="preserve">manslaughter has been referred to an unlawful act that has been done by the defendant causing serious harm to another person which has resulted in death. However, a risk must have been shown for this type of manslaughter to be considered as well as the </w:t>
      </w:r>
      <w:proofErr w:type="spellStart"/>
      <w:r w:rsidR="008C3914">
        <w:t>Mens</w:t>
      </w:r>
      <w:proofErr w:type="spellEnd"/>
      <w:r w:rsidR="008C3914">
        <w:t xml:space="preserve"> Rea being present </w:t>
      </w:r>
      <w:r w:rsidR="003F52F4">
        <w:t xml:space="preserve">in the case </w:t>
      </w:r>
      <w:r w:rsidR="008C3914">
        <w:t>which means the intent to do so.</w:t>
      </w:r>
      <w:sdt>
        <w:sdtPr>
          <w:id w:val="812452634"/>
          <w:citation/>
        </w:sdtPr>
        <w:sdtEndPr/>
        <w:sdtContent>
          <w:r w:rsidR="008C3914">
            <w:fldChar w:fldCharType="begin"/>
          </w:r>
          <w:r w:rsidR="008C3914">
            <w:instrText xml:space="preserve"> CITATION Tre21 \l 2057 </w:instrText>
          </w:r>
          <w:r w:rsidR="008C3914">
            <w:fldChar w:fldCharType="separate"/>
          </w:r>
          <w:r w:rsidR="006469A1">
            <w:rPr>
              <w:noProof/>
            </w:rPr>
            <w:t xml:space="preserve"> (Trevelyan, 2021)</w:t>
          </w:r>
          <w:r w:rsidR="008C3914">
            <w:fldChar w:fldCharType="end"/>
          </w:r>
        </w:sdtContent>
      </w:sdt>
      <w:r w:rsidR="00CA0ACC">
        <w:t>.</w:t>
      </w:r>
      <w:r w:rsidR="008E2F1C">
        <w:t xml:space="preserve"> Voluntary manslaughter is defined as a ‘provoked’ offense. This could be where the individual has been wound up and not had the ‘cool off’ period which has led the their actions causing an offense.</w:t>
      </w:r>
      <w:sdt>
        <w:sdtPr>
          <w:id w:val="-221442803"/>
          <w:citation/>
        </w:sdtPr>
        <w:sdtEndPr/>
        <w:sdtContent>
          <w:r w:rsidR="008E2F1C">
            <w:fldChar w:fldCharType="begin"/>
          </w:r>
          <w:r w:rsidR="008E2F1C">
            <w:instrText xml:space="preserve"> CITATION Ber21 \l 2057 </w:instrText>
          </w:r>
          <w:r w:rsidR="008E2F1C">
            <w:fldChar w:fldCharType="separate"/>
          </w:r>
          <w:r w:rsidR="006469A1">
            <w:rPr>
              <w:noProof/>
            </w:rPr>
            <w:t xml:space="preserve"> (Berman, 2021)</w:t>
          </w:r>
          <w:r w:rsidR="008E2F1C">
            <w:fldChar w:fldCharType="end"/>
          </w:r>
        </w:sdtContent>
      </w:sdt>
    </w:p>
    <w:p w14:paraId="5A9378A9" w14:textId="625C646E" w:rsidR="00002A00" w:rsidRDefault="00B00AA8">
      <w:pPr>
        <w:rPr>
          <w:noProof/>
        </w:rPr>
      </w:pPr>
      <w:r>
        <w:t>The current law governing homicide is Wales and England is the Common Law</w:t>
      </w:r>
      <w:r w:rsidR="00786F13">
        <w:t xml:space="preserve">, however the different types of homicide are governed by different </w:t>
      </w:r>
      <w:proofErr w:type="gramStart"/>
      <w:r w:rsidR="00786F13">
        <w:t>law’s</w:t>
      </w:r>
      <w:proofErr w:type="gramEnd"/>
      <w:r>
        <w:t>.</w:t>
      </w:r>
      <w:r w:rsidR="00CB0380">
        <w:t xml:space="preserve"> Murder </w:t>
      </w:r>
      <w:r w:rsidR="009169E1">
        <w:t xml:space="preserve">is followed by the common law. </w:t>
      </w:r>
      <w:r w:rsidR="00CB0380">
        <w:t>Voluntary Manslaughter can be found in section 2-3 of The Homicide Act 1957, however there has been a change with this homicide</w:t>
      </w:r>
      <w:r w:rsidR="00866426">
        <w:t xml:space="preserve">. (Health and social care </w:t>
      </w:r>
      <w:proofErr w:type="gramStart"/>
      <w:r w:rsidR="00866426">
        <w:t>act ,</w:t>
      </w:r>
      <w:proofErr w:type="gramEnd"/>
      <w:r w:rsidR="00866426">
        <w:t xml:space="preserve"> 2012).</w:t>
      </w:r>
      <w:r w:rsidR="00CB0380">
        <w:t xml:space="preserve"> Coroners and Justice Act (2009) have changed this type of homicide. </w:t>
      </w:r>
      <w:r w:rsidR="00507ABE">
        <w:t xml:space="preserve"> The Homicide Act 1957 </w:t>
      </w:r>
      <w:r w:rsidR="003F52F4">
        <w:t xml:space="preserve">chapter 11 </w:t>
      </w:r>
      <w:r w:rsidR="00507ABE">
        <w:t>has shown that the current homicide is believed to be stated as “</w:t>
      </w:r>
      <w:r w:rsidR="003F52F4">
        <w:t>a person kills another in a course or furtherance of some other offence, however, the killing should not amount to any killing unless it has been done with the same malice afterthought”</w:t>
      </w:r>
      <w:r w:rsidR="00EE47D3">
        <w:t>.</w:t>
      </w:r>
      <w:r w:rsidR="00786F13">
        <w:t xml:space="preserve"> </w:t>
      </w:r>
      <w:r w:rsidR="00EF0E79" w:rsidRPr="00EF0E79">
        <w:t>(Faulkner, 1957)</w:t>
      </w:r>
      <w:r w:rsidR="00EF0E79">
        <w:t>. The</w:t>
      </w:r>
      <w:r w:rsidR="00786F13">
        <w:t xml:space="preserve"> </w:t>
      </w:r>
      <w:r w:rsidR="00EF0E79">
        <w:t>h</w:t>
      </w:r>
      <w:r w:rsidR="00786F13">
        <w:t xml:space="preserve">omicide laws have been reconsidered a few times. </w:t>
      </w:r>
      <w:r w:rsidR="009169E1">
        <w:t xml:space="preserve">From the definition of </w:t>
      </w:r>
      <w:r w:rsidR="00EF0E79">
        <w:t>homicide,</w:t>
      </w:r>
      <w:r w:rsidR="009169E1">
        <w:t xml:space="preserve"> the Law reform (Year and a day rule) Act 1996 have found there needed to be a change, they re-considered and removed </w:t>
      </w:r>
      <w:r w:rsidR="00EF0E79">
        <w:t xml:space="preserve">this part </w:t>
      </w:r>
      <w:r w:rsidR="009169E1">
        <w:t>from the definition of homicide. Therefore, if the investigating of the crime exceeds this time the individual will still be charged for the type of homicide</w:t>
      </w:r>
      <w:r w:rsidR="00EF0E79">
        <w:t>.</w:t>
      </w:r>
      <w:r w:rsidR="00C97575">
        <w:rPr>
          <w:noProof/>
        </w:rPr>
        <w:t xml:space="preserve"> Chalk (2</w:t>
      </w:r>
      <w:r w:rsidR="00912C60">
        <w:rPr>
          <w:noProof/>
        </w:rPr>
        <w:t>0</w:t>
      </w:r>
      <w:r w:rsidR="00C97575">
        <w:rPr>
          <w:noProof/>
        </w:rPr>
        <w:t>16) provided an explanation for the homicide law as being a “mess”. From the research it can be seen that there is no structure to the law of homicide. The article states that the law creates “injutise to society” this shows that there is not a clear understanding to individuals in society of the homicide law</w:t>
      </w:r>
      <w:r w:rsidR="00002A00">
        <w:rPr>
          <w:noProof/>
        </w:rPr>
        <w:t xml:space="preserve"> therefore an indiction that the law needs a reform</w:t>
      </w:r>
      <w:r w:rsidR="00C97575">
        <w:rPr>
          <w:noProof/>
        </w:rPr>
        <w:t>.</w:t>
      </w:r>
      <w:r w:rsidR="00002A00">
        <w:rPr>
          <w:noProof/>
        </w:rPr>
        <w:t xml:space="preserve"> When the first proposal for changing the homicide law arised, the governemnt however, did not approve and therefore rejected the proposal. However, then later on agreed to the changes now that have been made to the partial defences </w:t>
      </w:r>
      <w:r w:rsidR="00002A00" w:rsidRPr="00002A00">
        <w:rPr>
          <w:noProof/>
        </w:rPr>
        <w:t>(Gibson &amp; Reed, 2018)</w:t>
      </w:r>
      <w:r w:rsidR="00002A00">
        <w:rPr>
          <w:noProof/>
        </w:rPr>
        <w:t xml:space="preserve">. </w:t>
      </w:r>
      <w:r w:rsidR="00912C60">
        <w:rPr>
          <w:noProof/>
        </w:rPr>
        <w:t>Through the changes that have been implimented by different acts, the Coroners and Justice act 2009 have confirmed that provocation has been replaced by the partial defence of loss of control</w:t>
      </w:r>
      <w:sdt>
        <w:sdtPr>
          <w:rPr>
            <w:noProof/>
          </w:rPr>
          <w:id w:val="586040537"/>
          <w:citation/>
        </w:sdtPr>
        <w:sdtEndPr/>
        <w:sdtContent>
          <w:r w:rsidR="00912C60">
            <w:rPr>
              <w:noProof/>
            </w:rPr>
            <w:fldChar w:fldCharType="begin"/>
          </w:r>
          <w:r w:rsidR="00912C60">
            <w:rPr>
              <w:noProof/>
            </w:rPr>
            <w:instrText xml:space="preserve"> CITATION Nic \l 2057 </w:instrText>
          </w:r>
          <w:r w:rsidR="00912C60">
            <w:rPr>
              <w:noProof/>
            </w:rPr>
            <w:fldChar w:fldCharType="separate"/>
          </w:r>
          <w:r w:rsidR="006469A1">
            <w:rPr>
              <w:noProof/>
            </w:rPr>
            <w:t xml:space="preserve"> (Laver, n.d.)</w:t>
          </w:r>
          <w:r w:rsidR="00912C60">
            <w:rPr>
              <w:noProof/>
            </w:rPr>
            <w:fldChar w:fldCharType="end"/>
          </w:r>
        </w:sdtContent>
      </w:sdt>
      <w:r w:rsidR="00002A00">
        <w:rPr>
          <w:noProof/>
        </w:rPr>
        <w:t xml:space="preserve">. </w:t>
      </w:r>
    </w:p>
    <w:p w14:paraId="274B9337" w14:textId="0447E473" w:rsidR="00DF001A" w:rsidRDefault="00866426">
      <w:pPr>
        <w:rPr>
          <w:noProof/>
        </w:rPr>
      </w:pPr>
      <w:r>
        <w:rPr>
          <w:noProof/>
        </w:rPr>
        <w:t>In 2006 a report was created by the law commission which suggest to the government they sh</w:t>
      </w:r>
      <w:r w:rsidR="00673937">
        <w:rPr>
          <w:noProof/>
        </w:rPr>
        <w:t>ould</w:t>
      </w:r>
      <w:r>
        <w:rPr>
          <w:noProof/>
        </w:rPr>
        <w:t xml:space="preserve"> consider a ‘Three tier system’. </w:t>
      </w:r>
      <w:r w:rsidR="00673937">
        <w:rPr>
          <w:noProof/>
        </w:rPr>
        <w:t xml:space="preserve">This included a first degree murder, second degree murder and manslaughter. First degree murder is the most serious offense where the ‘intent to kill; is involved </w:t>
      </w:r>
      <w:r w:rsidR="00673937">
        <w:rPr>
          <w:noProof/>
        </w:rPr>
        <w:lastRenderedPageBreak/>
        <w:t xml:space="preserve">which would lead the individual to a mandatory life sentence. Second degree murder shows the ‘intent to cause serious harm’which would result in a discretionary life sentence. Manslaughter would then receive the same sentence. </w:t>
      </w:r>
      <w:sdt>
        <w:sdtPr>
          <w:rPr>
            <w:noProof/>
          </w:rPr>
          <w:id w:val="-1982061547"/>
          <w:citation/>
        </w:sdtPr>
        <w:sdtEndPr/>
        <w:sdtContent>
          <w:r w:rsidR="00E349BF">
            <w:rPr>
              <w:noProof/>
            </w:rPr>
            <w:fldChar w:fldCharType="begin"/>
          </w:r>
          <w:r w:rsidR="00E349BF">
            <w:rPr>
              <w:noProof/>
            </w:rPr>
            <w:instrText xml:space="preserve"> CITATION JSH21 \l 2057 </w:instrText>
          </w:r>
          <w:r w:rsidR="00E349BF">
            <w:rPr>
              <w:noProof/>
            </w:rPr>
            <w:fldChar w:fldCharType="separate"/>
          </w:r>
          <w:r w:rsidR="006469A1">
            <w:rPr>
              <w:noProof/>
            </w:rPr>
            <w:t>(JSHRN briefings, 2021)</w:t>
          </w:r>
          <w:r w:rsidR="00E349BF">
            <w:rPr>
              <w:noProof/>
            </w:rPr>
            <w:fldChar w:fldCharType="end"/>
          </w:r>
        </w:sdtContent>
      </w:sdt>
      <w:r w:rsidR="00E349BF">
        <w:rPr>
          <w:noProof/>
        </w:rPr>
        <w:t xml:space="preserve"> </w:t>
      </w:r>
      <w:r w:rsidR="00682B24">
        <w:rPr>
          <w:noProof/>
        </w:rPr>
        <w:t>However, according to the guardian it can be seen that offenses that are being brought down to second degree murder can cause major problems to the public. As the public see murder as “the most serious crime”. However also shows that there are no current problems with how to law currently is. Since the reform the law has now been made to be seen as more understandable</w:t>
      </w:r>
      <w:sdt>
        <w:sdtPr>
          <w:rPr>
            <w:noProof/>
          </w:rPr>
          <w:id w:val="-592327854"/>
          <w:citation/>
        </w:sdtPr>
        <w:sdtEndPr/>
        <w:sdtContent>
          <w:r w:rsidR="00682B24">
            <w:rPr>
              <w:noProof/>
            </w:rPr>
            <w:fldChar w:fldCharType="begin"/>
          </w:r>
          <w:r w:rsidR="00682B24">
            <w:rPr>
              <w:noProof/>
            </w:rPr>
            <w:instrText xml:space="preserve"> CITATION Hed16 \l 2057 </w:instrText>
          </w:r>
          <w:r w:rsidR="00682B24">
            <w:rPr>
              <w:noProof/>
            </w:rPr>
            <w:fldChar w:fldCharType="separate"/>
          </w:r>
          <w:r w:rsidR="006469A1">
            <w:rPr>
              <w:noProof/>
            </w:rPr>
            <w:t xml:space="preserve"> (Hedd &amp; Travis, 2016)</w:t>
          </w:r>
          <w:r w:rsidR="00682B24">
            <w:rPr>
              <w:noProof/>
            </w:rPr>
            <w:fldChar w:fldCharType="end"/>
          </w:r>
        </w:sdtContent>
      </w:sdt>
    </w:p>
    <w:p w14:paraId="69C3F59E" w14:textId="45CFA1A8" w:rsidR="00515B13" w:rsidRDefault="00244710">
      <w:r>
        <w:t>There are key partial defences to murder the first one being diminished responsibility</w:t>
      </w:r>
      <w:r w:rsidR="000376CC">
        <w:t xml:space="preserve">. Diminished responsibility is stated in the homicide act (1957) as “a person kills or is in party to the killing of another”, this defence is only for murder </w:t>
      </w:r>
      <w:r w:rsidR="00D56A81">
        <w:t xml:space="preserve">not the attempt to murder </w:t>
      </w:r>
      <w:r w:rsidR="0083354B">
        <w:t>(</w:t>
      </w:r>
      <w:r w:rsidR="00D56A81">
        <w:t xml:space="preserve">Campbell </w:t>
      </w:r>
      <w:r w:rsidR="0083354B">
        <w:t>,</w:t>
      </w:r>
      <w:r w:rsidR="00D56A81">
        <w:t>1997)</w:t>
      </w:r>
      <w:r w:rsidR="000376CC">
        <w:t xml:space="preserve">. </w:t>
      </w:r>
      <w:r w:rsidR="00D56A81">
        <w:t>However,</w:t>
      </w:r>
      <w:r w:rsidR="000376CC">
        <w:t xml:space="preserve"> for an </w:t>
      </w:r>
      <w:r w:rsidR="00D56A81">
        <w:t>individual’s</w:t>
      </w:r>
      <w:r w:rsidR="000376CC">
        <w:t xml:space="preserve"> case to be identified with diminished responsibility there must be an indication </w:t>
      </w:r>
      <w:r w:rsidR="00D56A81">
        <w:t xml:space="preserve">of ‘abnormality of the mind’ which </w:t>
      </w:r>
      <w:r w:rsidR="00CD00CE">
        <w:t xml:space="preserve">includes metal illnesses like clinical depression, schizophrenia </w:t>
      </w:r>
      <w:r w:rsidR="006634B2">
        <w:t xml:space="preserve">which relates to the </w:t>
      </w:r>
      <w:r w:rsidR="0083354B">
        <w:t>(</w:t>
      </w:r>
      <w:r w:rsidR="006634B2">
        <w:t xml:space="preserve">Moyle </w:t>
      </w:r>
      <w:r w:rsidR="0083354B">
        <w:t>,</w:t>
      </w:r>
      <w:r w:rsidR="006634B2">
        <w:t>2008) case.</w:t>
      </w:r>
      <w:r w:rsidR="00E349BF">
        <w:t xml:space="preserve"> As previously stated, provocation was another partial defence but has now been replaced with a new partial defence of ‘loss of control’ under the Homicide Act 1957.</w:t>
      </w:r>
      <w:r w:rsidR="00854EB3">
        <w:t xml:space="preserve"> Provocation is seen to be where</w:t>
      </w:r>
      <w:r w:rsidR="008464C1">
        <w:t xml:space="preserve"> the</w:t>
      </w:r>
      <w:r w:rsidR="00854EB3">
        <w:t xml:space="preserve"> defendant (person charged) has been </w:t>
      </w:r>
      <w:r w:rsidR="008464C1">
        <w:t>pushed to their limit, this can be done through their actions as well as what the individual said in the moment</w:t>
      </w:r>
      <w:r w:rsidR="0083354B">
        <w:t xml:space="preserve">. </w:t>
      </w:r>
      <w:sdt>
        <w:sdtPr>
          <w:id w:val="-1592008325"/>
          <w:citation/>
        </w:sdtPr>
        <w:sdtContent>
          <w:r w:rsidR="0083354B">
            <w:fldChar w:fldCharType="begin"/>
          </w:r>
          <w:r w:rsidR="0083354B">
            <w:instrText xml:space="preserve">CITATION Vin10 \l 2057 </w:instrText>
          </w:r>
          <w:r w:rsidR="0083354B">
            <w:fldChar w:fldCharType="separate"/>
          </w:r>
          <w:r w:rsidR="0083354B">
            <w:rPr>
              <w:noProof/>
            </w:rPr>
            <w:t>(McAviney, 2010)</w:t>
          </w:r>
          <w:r w:rsidR="0083354B">
            <w:fldChar w:fldCharType="end"/>
          </w:r>
        </w:sdtContent>
      </w:sdt>
    </w:p>
    <w:p w14:paraId="68B65493" w14:textId="77777777" w:rsidR="00515B13" w:rsidRDefault="00515B13"/>
    <w:p w14:paraId="35B5BC75" w14:textId="180B9A44" w:rsidR="004078B3" w:rsidRDefault="004078B3"/>
    <w:p w14:paraId="1029DA4E" w14:textId="30A88D45" w:rsidR="004078B3" w:rsidRDefault="004078B3"/>
    <w:p w14:paraId="2D71ED0B" w14:textId="069F8A74" w:rsidR="004078B3" w:rsidRDefault="004078B3"/>
    <w:p w14:paraId="318F343F" w14:textId="5DD41FE3" w:rsidR="004078B3" w:rsidRDefault="004078B3"/>
    <w:p w14:paraId="2DD840DA" w14:textId="5C3CA88F" w:rsidR="004078B3" w:rsidRDefault="004078B3"/>
    <w:p w14:paraId="1E1B6D16" w14:textId="1D34B77E" w:rsidR="004078B3" w:rsidRDefault="004078B3"/>
    <w:p w14:paraId="0A700FBA" w14:textId="081819D5" w:rsidR="004078B3" w:rsidRDefault="004078B3"/>
    <w:p w14:paraId="1FA3A9E4" w14:textId="64B95B6E" w:rsidR="004078B3" w:rsidRDefault="004078B3"/>
    <w:p w14:paraId="35F56F5E" w14:textId="23BE2BE9" w:rsidR="004078B3" w:rsidRDefault="004078B3"/>
    <w:p w14:paraId="51A75D6A" w14:textId="1CB78832" w:rsidR="004078B3" w:rsidRDefault="004078B3"/>
    <w:p w14:paraId="47F0B417" w14:textId="0CD78165" w:rsidR="004078B3" w:rsidRDefault="004078B3">
      <w:pPr>
        <w:rPr>
          <w:b/>
          <w:bCs/>
          <w:sz w:val="24"/>
          <w:szCs w:val="24"/>
          <w:u w:val="single"/>
        </w:rPr>
      </w:pPr>
      <w:r w:rsidRPr="004078B3">
        <w:rPr>
          <w:b/>
          <w:bCs/>
          <w:sz w:val="24"/>
          <w:szCs w:val="24"/>
          <w:u w:val="single"/>
        </w:rPr>
        <w:t>References</w:t>
      </w:r>
    </w:p>
    <w:p w14:paraId="23C4D1A9" w14:textId="72CC2CD4" w:rsidR="00272BC2" w:rsidRPr="00272BC2" w:rsidRDefault="00272BC2" w:rsidP="00272BC2">
      <w:pPr>
        <w:tabs>
          <w:tab w:val="left" w:pos="1092"/>
        </w:tabs>
        <w:rPr>
          <w:sz w:val="24"/>
          <w:szCs w:val="24"/>
        </w:rPr>
      </w:pPr>
    </w:p>
    <w:sectPr w:rsidR="00272BC2" w:rsidRPr="00272BC2" w:rsidSect="00766FB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186A24"/>
    <w:rsid w:val="00002A00"/>
    <w:rsid w:val="0000383C"/>
    <w:rsid w:val="000207EF"/>
    <w:rsid w:val="000376CC"/>
    <w:rsid w:val="00047C7E"/>
    <w:rsid w:val="00055EAF"/>
    <w:rsid w:val="00120111"/>
    <w:rsid w:val="001300A8"/>
    <w:rsid w:val="0013319C"/>
    <w:rsid w:val="00135F55"/>
    <w:rsid w:val="00136BEC"/>
    <w:rsid w:val="00186A24"/>
    <w:rsid w:val="001D712D"/>
    <w:rsid w:val="00213F25"/>
    <w:rsid w:val="00244710"/>
    <w:rsid w:val="002542D3"/>
    <w:rsid w:val="00272BC2"/>
    <w:rsid w:val="002807FC"/>
    <w:rsid w:val="002965EE"/>
    <w:rsid w:val="00296669"/>
    <w:rsid w:val="002C7DBD"/>
    <w:rsid w:val="002E561B"/>
    <w:rsid w:val="00301C4B"/>
    <w:rsid w:val="003236BE"/>
    <w:rsid w:val="00334C4E"/>
    <w:rsid w:val="003848A0"/>
    <w:rsid w:val="003F0225"/>
    <w:rsid w:val="003F52F4"/>
    <w:rsid w:val="004078B3"/>
    <w:rsid w:val="00420134"/>
    <w:rsid w:val="00421799"/>
    <w:rsid w:val="004242E7"/>
    <w:rsid w:val="004377A7"/>
    <w:rsid w:val="00482642"/>
    <w:rsid w:val="004D2BE7"/>
    <w:rsid w:val="004E133C"/>
    <w:rsid w:val="00507ABE"/>
    <w:rsid w:val="00514103"/>
    <w:rsid w:val="00515B13"/>
    <w:rsid w:val="00533621"/>
    <w:rsid w:val="0054527C"/>
    <w:rsid w:val="005A1AC6"/>
    <w:rsid w:val="0060651D"/>
    <w:rsid w:val="0063698A"/>
    <w:rsid w:val="00641520"/>
    <w:rsid w:val="006469A1"/>
    <w:rsid w:val="006634B2"/>
    <w:rsid w:val="0067098D"/>
    <w:rsid w:val="00673937"/>
    <w:rsid w:val="00682B24"/>
    <w:rsid w:val="0068621C"/>
    <w:rsid w:val="00692531"/>
    <w:rsid w:val="00695599"/>
    <w:rsid w:val="00697874"/>
    <w:rsid w:val="00710510"/>
    <w:rsid w:val="00742BF6"/>
    <w:rsid w:val="00766FB7"/>
    <w:rsid w:val="0077106F"/>
    <w:rsid w:val="00786F13"/>
    <w:rsid w:val="007A132C"/>
    <w:rsid w:val="007C40A3"/>
    <w:rsid w:val="007E0DFF"/>
    <w:rsid w:val="00817137"/>
    <w:rsid w:val="0083354B"/>
    <w:rsid w:val="0084203D"/>
    <w:rsid w:val="00842629"/>
    <w:rsid w:val="008464C1"/>
    <w:rsid w:val="00854EB3"/>
    <w:rsid w:val="008577CB"/>
    <w:rsid w:val="00866426"/>
    <w:rsid w:val="00874184"/>
    <w:rsid w:val="008C3914"/>
    <w:rsid w:val="008E2F1C"/>
    <w:rsid w:val="008F70E3"/>
    <w:rsid w:val="00912C60"/>
    <w:rsid w:val="009169E1"/>
    <w:rsid w:val="00935A29"/>
    <w:rsid w:val="009729C1"/>
    <w:rsid w:val="00972AE6"/>
    <w:rsid w:val="009A54CB"/>
    <w:rsid w:val="00A04E33"/>
    <w:rsid w:val="00A451D4"/>
    <w:rsid w:val="00AF2B32"/>
    <w:rsid w:val="00AF62F5"/>
    <w:rsid w:val="00B00AA8"/>
    <w:rsid w:val="00B02BB3"/>
    <w:rsid w:val="00B43ED9"/>
    <w:rsid w:val="00BA7719"/>
    <w:rsid w:val="00BE2E02"/>
    <w:rsid w:val="00C20C63"/>
    <w:rsid w:val="00C66EB7"/>
    <w:rsid w:val="00C87876"/>
    <w:rsid w:val="00C97575"/>
    <w:rsid w:val="00CA0ACC"/>
    <w:rsid w:val="00CB0380"/>
    <w:rsid w:val="00CB3052"/>
    <w:rsid w:val="00CD00CE"/>
    <w:rsid w:val="00CF0C9A"/>
    <w:rsid w:val="00CF633A"/>
    <w:rsid w:val="00CF7F70"/>
    <w:rsid w:val="00D10402"/>
    <w:rsid w:val="00D30F82"/>
    <w:rsid w:val="00D31097"/>
    <w:rsid w:val="00D52D19"/>
    <w:rsid w:val="00D54E82"/>
    <w:rsid w:val="00D56A81"/>
    <w:rsid w:val="00D90E92"/>
    <w:rsid w:val="00DA7DD5"/>
    <w:rsid w:val="00DB13B1"/>
    <w:rsid w:val="00DB1D61"/>
    <w:rsid w:val="00DF001A"/>
    <w:rsid w:val="00E0620C"/>
    <w:rsid w:val="00E218A6"/>
    <w:rsid w:val="00E349BF"/>
    <w:rsid w:val="00E4634D"/>
    <w:rsid w:val="00E65E1F"/>
    <w:rsid w:val="00E70207"/>
    <w:rsid w:val="00EC7F57"/>
    <w:rsid w:val="00EE18B1"/>
    <w:rsid w:val="00EE47D3"/>
    <w:rsid w:val="00EF0E79"/>
    <w:rsid w:val="00EF2A26"/>
    <w:rsid w:val="00F22FBA"/>
    <w:rsid w:val="00F7373B"/>
    <w:rsid w:val="00F73C78"/>
    <w:rsid w:val="00FF50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0E754FBA"/>
  <w15:docId w15:val="{027EAA64-F248-4EBB-AA00-11FD2ABFA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2BC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66FB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66FB7"/>
    <w:rPr>
      <w:rFonts w:eastAsiaTheme="minorEastAsia"/>
      <w:lang w:val="en-US"/>
    </w:rPr>
  </w:style>
  <w:style w:type="character" w:customStyle="1" w:styleId="Heading1Char">
    <w:name w:val="Heading 1 Char"/>
    <w:basedOn w:val="DefaultParagraphFont"/>
    <w:link w:val="Heading1"/>
    <w:uiPriority w:val="9"/>
    <w:rsid w:val="00272BC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72BC2"/>
  </w:style>
  <w:style w:type="character" w:styleId="Hyperlink">
    <w:name w:val="Hyperlink"/>
    <w:basedOn w:val="DefaultParagraphFont"/>
    <w:uiPriority w:val="99"/>
    <w:unhideWhenUsed/>
    <w:rsid w:val="00E218A6"/>
    <w:rPr>
      <w:color w:val="0563C1" w:themeColor="hyperlink"/>
      <w:u w:val="single"/>
    </w:rPr>
  </w:style>
  <w:style w:type="character" w:styleId="UnresolvedMention">
    <w:name w:val="Unresolved Mention"/>
    <w:basedOn w:val="DefaultParagraphFont"/>
    <w:uiPriority w:val="99"/>
    <w:semiHidden/>
    <w:unhideWhenUsed/>
    <w:rsid w:val="00E218A6"/>
    <w:rPr>
      <w:color w:val="605E5C"/>
      <w:shd w:val="clear" w:color="auto" w:fill="E1DFDD"/>
    </w:rPr>
  </w:style>
  <w:style w:type="character" w:styleId="FollowedHyperlink">
    <w:name w:val="FollowedHyperlink"/>
    <w:basedOn w:val="DefaultParagraphFont"/>
    <w:uiPriority w:val="99"/>
    <w:semiHidden/>
    <w:unhideWhenUsed/>
    <w:rsid w:val="00E218A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848122">
      <w:bodyDiv w:val="1"/>
      <w:marLeft w:val="0"/>
      <w:marRight w:val="0"/>
      <w:marTop w:val="0"/>
      <w:marBottom w:val="0"/>
      <w:divBdr>
        <w:top w:val="none" w:sz="0" w:space="0" w:color="auto"/>
        <w:left w:val="none" w:sz="0" w:space="0" w:color="auto"/>
        <w:bottom w:val="none" w:sz="0" w:space="0" w:color="auto"/>
        <w:right w:val="none" w:sz="0" w:space="0" w:color="auto"/>
      </w:divBdr>
    </w:div>
    <w:div w:id="49111381">
      <w:bodyDiv w:val="1"/>
      <w:marLeft w:val="0"/>
      <w:marRight w:val="0"/>
      <w:marTop w:val="0"/>
      <w:marBottom w:val="0"/>
      <w:divBdr>
        <w:top w:val="none" w:sz="0" w:space="0" w:color="auto"/>
        <w:left w:val="none" w:sz="0" w:space="0" w:color="auto"/>
        <w:bottom w:val="none" w:sz="0" w:space="0" w:color="auto"/>
        <w:right w:val="none" w:sz="0" w:space="0" w:color="auto"/>
      </w:divBdr>
    </w:div>
    <w:div w:id="102313164">
      <w:bodyDiv w:val="1"/>
      <w:marLeft w:val="0"/>
      <w:marRight w:val="0"/>
      <w:marTop w:val="0"/>
      <w:marBottom w:val="0"/>
      <w:divBdr>
        <w:top w:val="none" w:sz="0" w:space="0" w:color="auto"/>
        <w:left w:val="none" w:sz="0" w:space="0" w:color="auto"/>
        <w:bottom w:val="none" w:sz="0" w:space="0" w:color="auto"/>
        <w:right w:val="none" w:sz="0" w:space="0" w:color="auto"/>
      </w:divBdr>
    </w:div>
    <w:div w:id="169831760">
      <w:bodyDiv w:val="1"/>
      <w:marLeft w:val="0"/>
      <w:marRight w:val="0"/>
      <w:marTop w:val="0"/>
      <w:marBottom w:val="0"/>
      <w:divBdr>
        <w:top w:val="none" w:sz="0" w:space="0" w:color="auto"/>
        <w:left w:val="none" w:sz="0" w:space="0" w:color="auto"/>
        <w:bottom w:val="none" w:sz="0" w:space="0" w:color="auto"/>
        <w:right w:val="none" w:sz="0" w:space="0" w:color="auto"/>
      </w:divBdr>
    </w:div>
    <w:div w:id="240221620">
      <w:bodyDiv w:val="1"/>
      <w:marLeft w:val="0"/>
      <w:marRight w:val="0"/>
      <w:marTop w:val="0"/>
      <w:marBottom w:val="0"/>
      <w:divBdr>
        <w:top w:val="none" w:sz="0" w:space="0" w:color="auto"/>
        <w:left w:val="none" w:sz="0" w:space="0" w:color="auto"/>
        <w:bottom w:val="none" w:sz="0" w:space="0" w:color="auto"/>
        <w:right w:val="none" w:sz="0" w:space="0" w:color="auto"/>
      </w:divBdr>
    </w:div>
    <w:div w:id="243497256">
      <w:bodyDiv w:val="1"/>
      <w:marLeft w:val="0"/>
      <w:marRight w:val="0"/>
      <w:marTop w:val="0"/>
      <w:marBottom w:val="0"/>
      <w:divBdr>
        <w:top w:val="none" w:sz="0" w:space="0" w:color="auto"/>
        <w:left w:val="none" w:sz="0" w:space="0" w:color="auto"/>
        <w:bottom w:val="none" w:sz="0" w:space="0" w:color="auto"/>
        <w:right w:val="none" w:sz="0" w:space="0" w:color="auto"/>
      </w:divBdr>
    </w:div>
    <w:div w:id="445152483">
      <w:bodyDiv w:val="1"/>
      <w:marLeft w:val="0"/>
      <w:marRight w:val="0"/>
      <w:marTop w:val="0"/>
      <w:marBottom w:val="0"/>
      <w:divBdr>
        <w:top w:val="none" w:sz="0" w:space="0" w:color="auto"/>
        <w:left w:val="none" w:sz="0" w:space="0" w:color="auto"/>
        <w:bottom w:val="none" w:sz="0" w:space="0" w:color="auto"/>
        <w:right w:val="none" w:sz="0" w:space="0" w:color="auto"/>
      </w:divBdr>
    </w:div>
    <w:div w:id="480737686">
      <w:bodyDiv w:val="1"/>
      <w:marLeft w:val="0"/>
      <w:marRight w:val="0"/>
      <w:marTop w:val="0"/>
      <w:marBottom w:val="0"/>
      <w:divBdr>
        <w:top w:val="none" w:sz="0" w:space="0" w:color="auto"/>
        <w:left w:val="none" w:sz="0" w:space="0" w:color="auto"/>
        <w:bottom w:val="none" w:sz="0" w:space="0" w:color="auto"/>
        <w:right w:val="none" w:sz="0" w:space="0" w:color="auto"/>
      </w:divBdr>
    </w:div>
    <w:div w:id="515585534">
      <w:bodyDiv w:val="1"/>
      <w:marLeft w:val="0"/>
      <w:marRight w:val="0"/>
      <w:marTop w:val="0"/>
      <w:marBottom w:val="0"/>
      <w:divBdr>
        <w:top w:val="none" w:sz="0" w:space="0" w:color="auto"/>
        <w:left w:val="none" w:sz="0" w:space="0" w:color="auto"/>
        <w:bottom w:val="none" w:sz="0" w:space="0" w:color="auto"/>
        <w:right w:val="none" w:sz="0" w:space="0" w:color="auto"/>
      </w:divBdr>
    </w:div>
    <w:div w:id="684402570">
      <w:bodyDiv w:val="1"/>
      <w:marLeft w:val="0"/>
      <w:marRight w:val="0"/>
      <w:marTop w:val="0"/>
      <w:marBottom w:val="0"/>
      <w:divBdr>
        <w:top w:val="none" w:sz="0" w:space="0" w:color="auto"/>
        <w:left w:val="none" w:sz="0" w:space="0" w:color="auto"/>
        <w:bottom w:val="none" w:sz="0" w:space="0" w:color="auto"/>
        <w:right w:val="none" w:sz="0" w:space="0" w:color="auto"/>
      </w:divBdr>
    </w:div>
    <w:div w:id="691224168">
      <w:bodyDiv w:val="1"/>
      <w:marLeft w:val="0"/>
      <w:marRight w:val="0"/>
      <w:marTop w:val="0"/>
      <w:marBottom w:val="0"/>
      <w:divBdr>
        <w:top w:val="none" w:sz="0" w:space="0" w:color="auto"/>
        <w:left w:val="none" w:sz="0" w:space="0" w:color="auto"/>
        <w:bottom w:val="none" w:sz="0" w:space="0" w:color="auto"/>
        <w:right w:val="none" w:sz="0" w:space="0" w:color="auto"/>
      </w:divBdr>
    </w:div>
    <w:div w:id="724646198">
      <w:bodyDiv w:val="1"/>
      <w:marLeft w:val="0"/>
      <w:marRight w:val="0"/>
      <w:marTop w:val="0"/>
      <w:marBottom w:val="0"/>
      <w:divBdr>
        <w:top w:val="none" w:sz="0" w:space="0" w:color="auto"/>
        <w:left w:val="none" w:sz="0" w:space="0" w:color="auto"/>
        <w:bottom w:val="none" w:sz="0" w:space="0" w:color="auto"/>
        <w:right w:val="none" w:sz="0" w:space="0" w:color="auto"/>
      </w:divBdr>
    </w:div>
    <w:div w:id="758327522">
      <w:bodyDiv w:val="1"/>
      <w:marLeft w:val="0"/>
      <w:marRight w:val="0"/>
      <w:marTop w:val="0"/>
      <w:marBottom w:val="0"/>
      <w:divBdr>
        <w:top w:val="none" w:sz="0" w:space="0" w:color="auto"/>
        <w:left w:val="none" w:sz="0" w:space="0" w:color="auto"/>
        <w:bottom w:val="none" w:sz="0" w:space="0" w:color="auto"/>
        <w:right w:val="none" w:sz="0" w:space="0" w:color="auto"/>
      </w:divBdr>
    </w:div>
    <w:div w:id="859004001">
      <w:bodyDiv w:val="1"/>
      <w:marLeft w:val="0"/>
      <w:marRight w:val="0"/>
      <w:marTop w:val="0"/>
      <w:marBottom w:val="0"/>
      <w:divBdr>
        <w:top w:val="none" w:sz="0" w:space="0" w:color="auto"/>
        <w:left w:val="none" w:sz="0" w:space="0" w:color="auto"/>
        <w:bottom w:val="none" w:sz="0" w:space="0" w:color="auto"/>
        <w:right w:val="none" w:sz="0" w:space="0" w:color="auto"/>
      </w:divBdr>
    </w:div>
    <w:div w:id="904342894">
      <w:bodyDiv w:val="1"/>
      <w:marLeft w:val="0"/>
      <w:marRight w:val="0"/>
      <w:marTop w:val="0"/>
      <w:marBottom w:val="0"/>
      <w:divBdr>
        <w:top w:val="none" w:sz="0" w:space="0" w:color="auto"/>
        <w:left w:val="none" w:sz="0" w:space="0" w:color="auto"/>
        <w:bottom w:val="none" w:sz="0" w:space="0" w:color="auto"/>
        <w:right w:val="none" w:sz="0" w:space="0" w:color="auto"/>
      </w:divBdr>
    </w:div>
    <w:div w:id="955064182">
      <w:bodyDiv w:val="1"/>
      <w:marLeft w:val="0"/>
      <w:marRight w:val="0"/>
      <w:marTop w:val="0"/>
      <w:marBottom w:val="0"/>
      <w:divBdr>
        <w:top w:val="none" w:sz="0" w:space="0" w:color="auto"/>
        <w:left w:val="none" w:sz="0" w:space="0" w:color="auto"/>
        <w:bottom w:val="none" w:sz="0" w:space="0" w:color="auto"/>
        <w:right w:val="none" w:sz="0" w:space="0" w:color="auto"/>
      </w:divBdr>
    </w:div>
    <w:div w:id="993605733">
      <w:bodyDiv w:val="1"/>
      <w:marLeft w:val="0"/>
      <w:marRight w:val="0"/>
      <w:marTop w:val="0"/>
      <w:marBottom w:val="0"/>
      <w:divBdr>
        <w:top w:val="none" w:sz="0" w:space="0" w:color="auto"/>
        <w:left w:val="none" w:sz="0" w:space="0" w:color="auto"/>
        <w:bottom w:val="none" w:sz="0" w:space="0" w:color="auto"/>
        <w:right w:val="none" w:sz="0" w:space="0" w:color="auto"/>
      </w:divBdr>
    </w:div>
    <w:div w:id="1077941822">
      <w:bodyDiv w:val="1"/>
      <w:marLeft w:val="0"/>
      <w:marRight w:val="0"/>
      <w:marTop w:val="0"/>
      <w:marBottom w:val="0"/>
      <w:divBdr>
        <w:top w:val="none" w:sz="0" w:space="0" w:color="auto"/>
        <w:left w:val="none" w:sz="0" w:space="0" w:color="auto"/>
        <w:bottom w:val="none" w:sz="0" w:space="0" w:color="auto"/>
        <w:right w:val="none" w:sz="0" w:space="0" w:color="auto"/>
      </w:divBdr>
    </w:div>
    <w:div w:id="1106729951">
      <w:bodyDiv w:val="1"/>
      <w:marLeft w:val="0"/>
      <w:marRight w:val="0"/>
      <w:marTop w:val="0"/>
      <w:marBottom w:val="0"/>
      <w:divBdr>
        <w:top w:val="none" w:sz="0" w:space="0" w:color="auto"/>
        <w:left w:val="none" w:sz="0" w:space="0" w:color="auto"/>
        <w:bottom w:val="none" w:sz="0" w:space="0" w:color="auto"/>
        <w:right w:val="none" w:sz="0" w:space="0" w:color="auto"/>
      </w:divBdr>
    </w:div>
    <w:div w:id="1151481863">
      <w:bodyDiv w:val="1"/>
      <w:marLeft w:val="0"/>
      <w:marRight w:val="0"/>
      <w:marTop w:val="0"/>
      <w:marBottom w:val="0"/>
      <w:divBdr>
        <w:top w:val="none" w:sz="0" w:space="0" w:color="auto"/>
        <w:left w:val="none" w:sz="0" w:space="0" w:color="auto"/>
        <w:bottom w:val="none" w:sz="0" w:space="0" w:color="auto"/>
        <w:right w:val="none" w:sz="0" w:space="0" w:color="auto"/>
      </w:divBdr>
    </w:div>
    <w:div w:id="1162432996">
      <w:bodyDiv w:val="1"/>
      <w:marLeft w:val="0"/>
      <w:marRight w:val="0"/>
      <w:marTop w:val="0"/>
      <w:marBottom w:val="0"/>
      <w:divBdr>
        <w:top w:val="none" w:sz="0" w:space="0" w:color="auto"/>
        <w:left w:val="none" w:sz="0" w:space="0" w:color="auto"/>
        <w:bottom w:val="none" w:sz="0" w:space="0" w:color="auto"/>
        <w:right w:val="none" w:sz="0" w:space="0" w:color="auto"/>
      </w:divBdr>
    </w:div>
    <w:div w:id="1188256709">
      <w:bodyDiv w:val="1"/>
      <w:marLeft w:val="0"/>
      <w:marRight w:val="0"/>
      <w:marTop w:val="0"/>
      <w:marBottom w:val="0"/>
      <w:divBdr>
        <w:top w:val="none" w:sz="0" w:space="0" w:color="auto"/>
        <w:left w:val="none" w:sz="0" w:space="0" w:color="auto"/>
        <w:bottom w:val="none" w:sz="0" w:space="0" w:color="auto"/>
        <w:right w:val="none" w:sz="0" w:space="0" w:color="auto"/>
      </w:divBdr>
    </w:div>
    <w:div w:id="1200166877">
      <w:bodyDiv w:val="1"/>
      <w:marLeft w:val="0"/>
      <w:marRight w:val="0"/>
      <w:marTop w:val="0"/>
      <w:marBottom w:val="0"/>
      <w:divBdr>
        <w:top w:val="none" w:sz="0" w:space="0" w:color="auto"/>
        <w:left w:val="none" w:sz="0" w:space="0" w:color="auto"/>
        <w:bottom w:val="none" w:sz="0" w:space="0" w:color="auto"/>
        <w:right w:val="none" w:sz="0" w:space="0" w:color="auto"/>
      </w:divBdr>
    </w:div>
    <w:div w:id="1212888534">
      <w:bodyDiv w:val="1"/>
      <w:marLeft w:val="0"/>
      <w:marRight w:val="0"/>
      <w:marTop w:val="0"/>
      <w:marBottom w:val="0"/>
      <w:divBdr>
        <w:top w:val="none" w:sz="0" w:space="0" w:color="auto"/>
        <w:left w:val="none" w:sz="0" w:space="0" w:color="auto"/>
        <w:bottom w:val="none" w:sz="0" w:space="0" w:color="auto"/>
        <w:right w:val="none" w:sz="0" w:space="0" w:color="auto"/>
      </w:divBdr>
    </w:div>
    <w:div w:id="1214733227">
      <w:bodyDiv w:val="1"/>
      <w:marLeft w:val="0"/>
      <w:marRight w:val="0"/>
      <w:marTop w:val="0"/>
      <w:marBottom w:val="0"/>
      <w:divBdr>
        <w:top w:val="none" w:sz="0" w:space="0" w:color="auto"/>
        <w:left w:val="none" w:sz="0" w:space="0" w:color="auto"/>
        <w:bottom w:val="none" w:sz="0" w:space="0" w:color="auto"/>
        <w:right w:val="none" w:sz="0" w:space="0" w:color="auto"/>
      </w:divBdr>
    </w:div>
    <w:div w:id="1228027936">
      <w:bodyDiv w:val="1"/>
      <w:marLeft w:val="0"/>
      <w:marRight w:val="0"/>
      <w:marTop w:val="0"/>
      <w:marBottom w:val="0"/>
      <w:divBdr>
        <w:top w:val="none" w:sz="0" w:space="0" w:color="auto"/>
        <w:left w:val="none" w:sz="0" w:space="0" w:color="auto"/>
        <w:bottom w:val="none" w:sz="0" w:space="0" w:color="auto"/>
        <w:right w:val="none" w:sz="0" w:space="0" w:color="auto"/>
      </w:divBdr>
    </w:div>
    <w:div w:id="1291471901">
      <w:bodyDiv w:val="1"/>
      <w:marLeft w:val="0"/>
      <w:marRight w:val="0"/>
      <w:marTop w:val="0"/>
      <w:marBottom w:val="0"/>
      <w:divBdr>
        <w:top w:val="none" w:sz="0" w:space="0" w:color="auto"/>
        <w:left w:val="none" w:sz="0" w:space="0" w:color="auto"/>
        <w:bottom w:val="none" w:sz="0" w:space="0" w:color="auto"/>
        <w:right w:val="none" w:sz="0" w:space="0" w:color="auto"/>
      </w:divBdr>
    </w:div>
    <w:div w:id="1321888562">
      <w:bodyDiv w:val="1"/>
      <w:marLeft w:val="0"/>
      <w:marRight w:val="0"/>
      <w:marTop w:val="0"/>
      <w:marBottom w:val="0"/>
      <w:divBdr>
        <w:top w:val="none" w:sz="0" w:space="0" w:color="auto"/>
        <w:left w:val="none" w:sz="0" w:space="0" w:color="auto"/>
        <w:bottom w:val="none" w:sz="0" w:space="0" w:color="auto"/>
        <w:right w:val="none" w:sz="0" w:space="0" w:color="auto"/>
      </w:divBdr>
    </w:div>
    <w:div w:id="1441611638">
      <w:bodyDiv w:val="1"/>
      <w:marLeft w:val="0"/>
      <w:marRight w:val="0"/>
      <w:marTop w:val="0"/>
      <w:marBottom w:val="0"/>
      <w:divBdr>
        <w:top w:val="none" w:sz="0" w:space="0" w:color="auto"/>
        <w:left w:val="none" w:sz="0" w:space="0" w:color="auto"/>
        <w:bottom w:val="none" w:sz="0" w:space="0" w:color="auto"/>
        <w:right w:val="none" w:sz="0" w:space="0" w:color="auto"/>
      </w:divBdr>
    </w:div>
    <w:div w:id="1455514014">
      <w:bodyDiv w:val="1"/>
      <w:marLeft w:val="0"/>
      <w:marRight w:val="0"/>
      <w:marTop w:val="0"/>
      <w:marBottom w:val="0"/>
      <w:divBdr>
        <w:top w:val="none" w:sz="0" w:space="0" w:color="auto"/>
        <w:left w:val="none" w:sz="0" w:space="0" w:color="auto"/>
        <w:bottom w:val="none" w:sz="0" w:space="0" w:color="auto"/>
        <w:right w:val="none" w:sz="0" w:space="0" w:color="auto"/>
      </w:divBdr>
    </w:div>
    <w:div w:id="1593516165">
      <w:bodyDiv w:val="1"/>
      <w:marLeft w:val="0"/>
      <w:marRight w:val="0"/>
      <w:marTop w:val="0"/>
      <w:marBottom w:val="0"/>
      <w:divBdr>
        <w:top w:val="none" w:sz="0" w:space="0" w:color="auto"/>
        <w:left w:val="none" w:sz="0" w:space="0" w:color="auto"/>
        <w:bottom w:val="none" w:sz="0" w:space="0" w:color="auto"/>
        <w:right w:val="none" w:sz="0" w:space="0" w:color="auto"/>
      </w:divBdr>
    </w:div>
    <w:div w:id="1630043906">
      <w:bodyDiv w:val="1"/>
      <w:marLeft w:val="0"/>
      <w:marRight w:val="0"/>
      <w:marTop w:val="0"/>
      <w:marBottom w:val="0"/>
      <w:divBdr>
        <w:top w:val="none" w:sz="0" w:space="0" w:color="auto"/>
        <w:left w:val="none" w:sz="0" w:space="0" w:color="auto"/>
        <w:bottom w:val="none" w:sz="0" w:space="0" w:color="auto"/>
        <w:right w:val="none" w:sz="0" w:space="0" w:color="auto"/>
      </w:divBdr>
    </w:div>
    <w:div w:id="1646739070">
      <w:bodyDiv w:val="1"/>
      <w:marLeft w:val="0"/>
      <w:marRight w:val="0"/>
      <w:marTop w:val="0"/>
      <w:marBottom w:val="0"/>
      <w:divBdr>
        <w:top w:val="none" w:sz="0" w:space="0" w:color="auto"/>
        <w:left w:val="none" w:sz="0" w:space="0" w:color="auto"/>
        <w:bottom w:val="none" w:sz="0" w:space="0" w:color="auto"/>
        <w:right w:val="none" w:sz="0" w:space="0" w:color="auto"/>
      </w:divBdr>
    </w:div>
    <w:div w:id="1677536349">
      <w:bodyDiv w:val="1"/>
      <w:marLeft w:val="0"/>
      <w:marRight w:val="0"/>
      <w:marTop w:val="0"/>
      <w:marBottom w:val="0"/>
      <w:divBdr>
        <w:top w:val="none" w:sz="0" w:space="0" w:color="auto"/>
        <w:left w:val="none" w:sz="0" w:space="0" w:color="auto"/>
        <w:bottom w:val="none" w:sz="0" w:space="0" w:color="auto"/>
        <w:right w:val="none" w:sz="0" w:space="0" w:color="auto"/>
      </w:divBdr>
    </w:div>
    <w:div w:id="1679850387">
      <w:bodyDiv w:val="1"/>
      <w:marLeft w:val="0"/>
      <w:marRight w:val="0"/>
      <w:marTop w:val="0"/>
      <w:marBottom w:val="0"/>
      <w:divBdr>
        <w:top w:val="none" w:sz="0" w:space="0" w:color="auto"/>
        <w:left w:val="none" w:sz="0" w:space="0" w:color="auto"/>
        <w:bottom w:val="none" w:sz="0" w:space="0" w:color="auto"/>
        <w:right w:val="none" w:sz="0" w:space="0" w:color="auto"/>
      </w:divBdr>
    </w:div>
    <w:div w:id="1705863521">
      <w:bodyDiv w:val="1"/>
      <w:marLeft w:val="0"/>
      <w:marRight w:val="0"/>
      <w:marTop w:val="0"/>
      <w:marBottom w:val="0"/>
      <w:divBdr>
        <w:top w:val="none" w:sz="0" w:space="0" w:color="auto"/>
        <w:left w:val="none" w:sz="0" w:space="0" w:color="auto"/>
        <w:bottom w:val="none" w:sz="0" w:space="0" w:color="auto"/>
        <w:right w:val="none" w:sz="0" w:space="0" w:color="auto"/>
      </w:divBdr>
    </w:div>
    <w:div w:id="1787044968">
      <w:bodyDiv w:val="1"/>
      <w:marLeft w:val="0"/>
      <w:marRight w:val="0"/>
      <w:marTop w:val="0"/>
      <w:marBottom w:val="0"/>
      <w:divBdr>
        <w:top w:val="none" w:sz="0" w:space="0" w:color="auto"/>
        <w:left w:val="none" w:sz="0" w:space="0" w:color="auto"/>
        <w:bottom w:val="none" w:sz="0" w:space="0" w:color="auto"/>
        <w:right w:val="none" w:sz="0" w:space="0" w:color="auto"/>
      </w:divBdr>
    </w:div>
    <w:div w:id="1788426504">
      <w:bodyDiv w:val="1"/>
      <w:marLeft w:val="0"/>
      <w:marRight w:val="0"/>
      <w:marTop w:val="0"/>
      <w:marBottom w:val="0"/>
      <w:divBdr>
        <w:top w:val="none" w:sz="0" w:space="0" w:color="auto"/>
        <w:left w:val="none" w:sz="0" w:space="0" w:color="auto"/>
        <w:bottom w:val="none" w:sz="0" w:space="0" w:color="auto"/>
        <w:right w:val="none" w:sz="0" w:space="0" w:color="auto"/>
      </w:divBdr>
    </w:div>
    <w:div w:id="1866166301">
      <w:bodyDiv w:val="1"/>
      <w:marLeft w:val="0"/>
      <w:marRight w:val="0"/>
      <w:marTop w:val="0"/>
      <w:marBottom w:val="0"/>
      <w:divBdr>
        <w:top w:val="none" w:sz="0" w:space="0" w:color="auto"/>
        <w:left w:val="none" w:sz="0" w:space="0" w:color="auto"/>
        <w:bottom w:val="none" w:sz="0" w:space="0" w:color="auto"/>
        <w:right w:val="none" w:sz="0" w:space="0" w:color="auto"/>
      </w:divBdr>
    </w:div>
    <w:div w:id="1970429411">
      <w:bodyDiv w:val="1"/>
      <w:marLeft w:val="0"/>
      <w:marRight w:val="0"/>
      <w:marTop w:val="0"/>
      <w:marBottom w:val="0"/>
      <w:divBdr>
        <w:top w:val="none" w:sz="0" w:space="0" w:color="auto"/>
        <w:left w:val="none" w:sz="0" w:space="0" w:color="auto"/>
        <w:bottom w:val="none" w:sz="0" w:space="0" w:color="auto"/>
        <w:right w:val="none" w:sz="0" w:space="0" w:color="auto"/>
      </w:divBdr>
    </w:div>
    <w:div w:id="2113547332">
      <w:bodyDiv w:val="1"/>
      <w:marLeft w:val="0"/>
      <w:marRight w:val="0"/>
      <w:marTop w:val="0"/>
      <w:marBottom w:val="0"/>
      <w:divBdr>
        <w:top w:val="none" w:sz="0" w:space="0" w:color="auto"/>
        <w:left w:val="none" w:sz="0" w:space="0" w:color="auto"/>
        <w:bottom w:val="none" w:sz="0" w:space="0" w:color="auto"/>
        <w:right w:val="none" w:sz="0" w:space="0" w:color="auto"/>
      </w:divBdr>
    </w:div>
    <w:div w:id="21461966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Nic21</b:Tag>
    <b:SourceType>InternetSite</b:SourceType>
    <b:Guid>{07772023-BDAA-46FD-BCCD-AA63E50641F1}</b:Guid>
    <b:Title>Homicide in England and Wales: year ending March 2020</b:Title>
    <b:Year>2021</b:Year>
    <b:Author>
      <b:Author>
        <b:NameList>
          <b:Person>
            <b:Last>Stripe</b:Last>
            <b:First>Nick</b:First>
          </b:Person>
        </b:NameList>
      </b:Author>
    </b:Author>
    <b:InternetSiteTitle>Office of national statistics</b:InternetSiteTitle>
    <b:Month>Feburary</b:Month>
    <b:Day>25</b:Day>
    <b:URL>https://www.ons.gov.uk/peoplepopulationandcommunity/crimeandjustice/articles/homicideinenglandandwales/yearendingmarch2020</b:URL>
    <b:RefOrder>10</b:RefOrder>
  </b:Source>
  <b:Source>
    <b:Tag>Ste19</b:Tag>
    <b:SourceType>InternetSite</b:SourceType>
    <b:Guid>{7DF6B893-C53E-4586-8574-55CE13B9D804}</b:Guid>
    <b:Author>
      <b:Author>
        <b:NameList>
          <b:Person>
            <b:Last>Markus</b:Last>
            <b:First>Stein</b:First>
            <b:Middle>and</b:Middle>
          </b:Person>
        </b:NameList>
      </b:Author>
    </b:Author>
    <b:Title>What’s the Difference Between Homicide, Murder, and Manslaughter?</b:Title>
    <b:InternetSiteTitle>The law of stein and markus</b:InternetSiteTitle>
    <b:Year>2019</b:Year>
    <b:URL>https://www.steinandmarkuslaw.com/whats-the-difference-between-homicide-murder-and-manslaughter/</b:URL>
    <b:RefOrder>11</b:RefOrder>
  </b:Source>
  <b:Source>
    <b:Tag>Mit861</b:Tag>
    <b:SourceType>JournalArticle</b:SourceType>
    <b:Guid>{968702F6-0BB1-48F6-A01F-66BC0AB2C274}</b:Guid>
    <b:Title>Probelms with the interpretation of murder</b:Title>
    <b:JournalName>The journal of Criminal Law - Sage Journal</b:JournalName>
    <b:Year>1986</b:Year>
    <b:Pages>76-86</b:Pages>
    <b:Author>
      <b:Author>
        <b:NameList>
          <b:Person>
            <b:Last>Mitchell</b:Last>
            <b:First>Barry</b:First>
          </b:Person>
        </b:NameList>
      </b:Author>
    </b:Author>
    <b:RefOrder>1</b:RefOrder>
  </b:Source>
  <b:Source>
    <b:Tag>Law96</b:Tag>
    <b:SourceType>InternetSite</b:SourceType>
    <b:Guid>{AE565ED5-00B0-45AF-B8C7-E23938532F00}</b:Guid>
    <b:Title>Law Reform (year and a day rule) act 1996</b:Title>
    <b:Year>1996</b:Year>
    <b:InternetSiteTitle>Legislation.gov</b:InternetSiteTitle>
    <b:URL>https://www.legislation.gov.uk/ukpga/1996/19/introduction</b:URL>
    <b:RefOrder>2</b:RefOrder>
  </b:Source>
  <b:Source>
    <b:Tag>Pop17</b:Tag>
    <b:SourceType>InternetSite</b:SourceType>
    <b:Guid>{31416736-6A73-45A4-BD94-2CBC25B7CA8D}</b:Guid>
    <b:Title>Manslaughter Guideline consultation</b:Title>
    <b:Year>2017</b:Year>
    <b:Month>October</b:Month>
    <b:Day>10</b:Day>
    <b:Author>
      <b:Author>
        <b:NameList>
          <b:Person>
            <b:Last>Pope</b:Last>
            <b:First>Ruth</b:First>
          </b:Person>
        </b:NameList>
      </b:Author>
    </b:Author>
    <b:InternetSiteTitle>Ministry of Justice</b:InternetSiteTitle>
    <b:URL>https://consult.justice.gov.uk/sentencing-council/manslaughter-guideline-consultation/</b:URL>
    <b:RefOrder>3</b:RefOrder>
  </b:Source>
  <b:Source>
    <b:Tag>Bro21</b:Tag>
    <b:SourceType>InternetSite</b:SourceType>
    <b:Guid>{184D70DC-60A3-41CD-8679-5963B48E7949}</b:Guid>
    <b:Title>Draycott Browne Solicitor </b:Title>
    <b:InternetSiteTitle>CRIMINAL DEFENCE AGAINST INVOLUNTARY MANSLAUGHTER CHARGES</b:InternetSiteTitle>
    <b:Year>2021</b:Year>
    <b:URL>https://www.draycottbrowne.co.uk/serious-crime/manslaughter-murder/involuntary-manslaughter</b:URL>
    <b:Author>
      <b:Author>
        <b:NameList>
          <b:Person>
            <b:Last>Browne</b:Last>
            <b:First>Draycott</b:First>
          </b:Person>
        </b:NameList>
      </b:Author>
    </b:Author>
    <b:RefOrder>12</b:RefOrder>
  </b:Source>
  <b:Source>
    <b:Tag>Tre21</b:Tag>
    <b:SourceType>InternetSite</b:SourceType>
    <b:Guid>{CC1E2089-9B6A-4881-8DB0-DBFA2DDDD739}</b:Guid>
    <b:Title>Involuntary Manslaughter</b:Title>
    <b:InternetSiteTitle>In brief helping with life's legal issues</b:InternetSiteTitle>
    <b:Year>2021</b:Year>
    <b:URL>https://www.inbrief.co.uk/offences/involuntary-manslaughter/</b:URL>
    <b:Author>
      <b:Author>
        <b:NameList>
          <b:Person>
            <b:Last>Trevelyan</b:Last>
            <b:First>Lucy</b:First>
          </b:Person>
        </b:NameList>
      </b:Author>
    </b:Author>
    <b:RefOrder>4</b:RefOrder>
  </b:Source>
  <b:Source>
    <b:Tag>Ber21</b:Tag>
    <b:SourceType>InternetSite</b:SourceType>
    <b:Guid>{22891959-88AF-4D90-816B-562C54158BD0}</b:Guid>
    <b:Title>What is maslaughter? What Is Murder vs. Manslaughter?</b:Title>
    <b:InternetSiteTitle>NOLO</b:InternetSiteTitle>
    <b:Year>2021</b:Year>
    <b:URL>https://www.nolo.com/legal-encyclopedia/homicide-murder-manslaughter-32637-2.html</b:URL>
    <b:Author>
      <b:Author>
        <b:NameList>
          <b:Person>
            <b:Last>Berman</b:Last>
            <b:Middle>J</b:Middle>
            <b:First>Sara</b:First>
          </b:Person>
        </b:NameList>
      </b:Author>
    </b:Author>
    <b:RefOrder>5</b:RefOrder>
  </b:Source>
  <b:Source>
    <b:Tag>Fau</b:Tag>
    <b:SourceType>JournalArticle</b:SourceType>
    <b:Guid>{7159ED51-9A46-48A5-A7AF-003413915010}</b:Guid>
    <b:Title>Amendments of law of England and Wales as to fact of murder</b:Title>
    <b:Author>
      <b:Author>
        <b:NameList>
          <b:Person>
            <b:Last>Faulkner</b:Last>
            <b:First>Percy</b:First>
          </b:Person>
        </b:NameList>
      </b:Author>
    </b:Author>
    <b:Year>1957</b:Year>
    <b:JournalName>Homicide Act 1957</b:JournalName>
    <b:Pages>1-6</b:Pages>
    <b:RefOrder>13</b:RefOrder>
  </b:Source>
  <b:Source>
    <b:Tag>Cha16</b:Tag>
    <b:SourceType>InternetSite</b:SourceType>
    <b:Guid>{E18231B3-0178-4721-B713-8FF31A9A82DB}</b:Guid>
    <b:Author>
      <b:Author>
        <b:NameList>
          <b:Person>
            <b:Last>Chalk</b:Last>
            <b:First>Alec</b:First>
          </b:Person>
        </b:NameList>
      </b:Author>
    </b:Author>
    <b:Title>Homicide law reform</b:Title>
    <b:Year>2016</b:Year>
    <b:InternetSiteTitle>UK parliment </b:InternetSiteTitle>
    <b:Month>June</b:Month>
    <b:Day>30</b:Day>
    <b:URL>https://hansard.parliament.uk/commons/2016-06-30/debates/D5042476-8A97-4E5F-82BB-5908AB04F0AA/HomicideLawReform</b:URL>
    <b:RefOrder>14</b:RefOrder>
  </b:Source>
  <b:Source>
    <b:Tag>Nic</b:Tag>
    <b:SourceType>InternetSite</b:SourceType>
    <b:Guid>{1EFE9318-C5BA-4FEA-A326-F1379301F9AF}</b:Guid>
    <b:Author>
      <b:Author>
        <b:NameList>
          <b:Person>
            <b:Last>Laver</b:Last>
            <b:First>Nicola</b:First>
          </b:Person>
        </b:NameList>
      </b:Author>
    </b:Author>
    <b:Title>Loss of control, Provocation and Criminal Law</b:Title>
    <b:InternetSiteTitle>In brief</b:InternetSiteTitle>
    <b:Day>2021</b:Day>
    <b:URL>https://www.inbrief.co.uk/court-proceedings/provocation-and-criminal-law/</b:URL>
    <b:RefOrder>6</b:RefOrder>
  </b:Source>
  <b:Source>
    <b:Tag>Gib18</b:Tag>
    <b:SourceType>Book</b:SourceType>
    <b:Guid>{A0FA8BCA-1331-43DC-90E9-710400202C79}</b:Guid>
    <b:Title>Reforming Englisn Homocide Law</b:Title>
    <b:Year>2018</b:Year>
    <b:Publisher>Baca Raton, FL:Routledge</b:Publisher>
    <b:Author>
      <b:Author>
        <b:NameList>
          <b:Person>
            <b:Last>Gibson</b:Last>
            <b:First>Matthew</b:First>
          </b:Person>
          <b:Person>
            <b:Last>Reed</b:Last>
            <b:First>Alan</b:First>
          </b:Person>
        </b:NameList>
      </b:Author>
    </b:Author>
    <b:RefOrder>15</b:RefOrder>
  </b:Source>
  <b:Source>
    <b:Tag>Leg12</b:Tag>
    <b:SourceType>InternetSite</b:SourceType>
    <b:Guid>{AA6F6FE4-24A0-4D92-8B49-217350EDA92C}</b:Guid>
    <b:Title>Legislation.gov</b:Title>
    <b:InternetSiteTitle>Health and Social care act</b:InternetSiteTitle>
    <b:Year>2012</b:Year>
    <b:URL>https://www.legislation.gov.uk/ukpga/2012/7/contents/enacted</b:URL>
    <b:RefOrder>16</b:RefOrder>
  </b:Source>
  <b:Source>
    <b:Tag>Hed16</b:Tag>
    <b:SourceType>ArticleInAPeriodical</b:SourceType>
    <b:Guid>{110CE018-0264-4FFE-AC9A-6F3A2D4F35DE}</b:Guid>
    <b:Title>Murder law will not be reformed, justice minister tell MPS</b:Title>
    <b:Year>2016</b:Year>
    <b:Month>September</b:Month>
    <b:Day>14</b:Day>
    <b:Author>
      <b:Author>
        <b:NameList>
          <b:Person>
            <b:Last>Hedd</b:Last>
            <b:First>Oliver</b:First>
          </b:Person>
          <b:Person>
            <b:Last>Travis</b:Last>
            <b:First>Alan</b:First>
          </b:Person>
        </b:NameList>
      </b:Author>
    </b:Author>
    <b:PeriodicalTitle>UK Criminal Jutice</b:PeriodicalTitle>
    <b:RefOrder>8</b:RefOrder>
  </b:Source>
  <b:Source>
    <b:Tag>JSH21</b:Tag>
    <b:SourceType>InternetSite</b:SourceType>
    <b:Guid>{A512AAD4-1585-4263-B30D-153515157774}</b:Guid>
    <b:Title>JSHRN briefings</b:Title>
    <b:Year>2021</b:Year>
    <b:Month>october</b:Month>
    <b:Day>31</b:Day>
    <b:InternetSiteTitle>Jutice</b:InternetSiteTitle>
    <b:URL>https://justice.org.uk/homicide-law-reform/</b:URL>
    <b:RefOrder>7</b:RefOrder>
  </b:Source>
  <b:Source>
    <b:Tag>Vin10</b:Tag>
    <b:SourceType>InternetSite</b:SourceType>
    <b:Guid>{91E0643F-2438-45D2-9115-F89D263AFCAD}</b:Guid>
    <b:Title>Coroners and Justice Act 2009: Replacing Provocation with Loss of Control</b:Title>
    <b:Year>2010</b:Year>
    <b:Author>
      <b:Author>
        <b:NameList>
          <b:Person>
            <b:Last>McAviney</b:Last>
            <b:First>Vincent</b:First>
          </b:Person>
        </b:NameList>
      </b:Author>
    </b:Author>
    <b:InternetSiteTitle>Inherently human</b:InternetSiteTitle>
    <b:Month>October</b:Month>
    <b:Day>28</b:Day>
    <b:URL>https://inherentlyhuman.wordpress.com/2010/10/28/coroners-and-justice-act-2009/</b:URL>
    <b:RefOrder>9</b:RefOrder>
  </b:Source>
</b:Sources>
</file>

<file path=customXml/itemProps1.xml><?xml version="1.0" encoding="utf-8"?>
<ds:datastoreItem xmlns:ds="http://schemas.openxmlformats.org/officeDocument/2006/customXml" ds:itemID="{65E29B71-F559-40FD-A3F3-E053C6986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1492</TotalTime>
  <Pages>3</Pages>
  <Words>946</Words>
  <Characters>5398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Criminal law</dc:subject>
  <dc:creator>Kirsty Lauren Jones-Higginson (1901468)</dc:creator>
  <cp:keywords/>
  <dc:description/>
  <cp:lastModifiedBy>Kirsty Lauren Jones-Higginson (1901468)</cp:lastModifiedBy>
  <cp:revision>80</cp:revision>
  <dcterms:created xsi:type="dcterms:W3CDTF">2021-10-24T18:44:00Z</dcterms:created>
  <dcterms:modified xsi:type="dcterms:W3CDTF">2021-11-04T20:45:00Z</dcterms:modified>
</cp:coreProperties>
</file>