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377891278"/>
        <w:docPartObj>
          <w:docPartGallery w:val="Cover Pages"/>
          <w:docPartUnique/>
        </w:docPartObj>
      </w:sdtPr>
      <w:sdtEndPr>
        <w:rPr>
          <w:rFonts w:ascii="Times New Roman" w:eastAsiaTheme="minorHAnsi" w:hAnsi="Times New Roman" w:cs="Times New Roman"/>
          <w:kern w:val="2"/>
          <w:sz w:val="24"/>
          <w:szCs w:val="24"/>
          <w:lang w:val="en-GB"/>
          <w14:ligatures w14:val="standardContextual"/>
        </w:rPr>
      </w:sdtEndPr>
      <w:sdtContent>
        <w:p w14:paraId="268715DC" w14:textId="49AF2DBB" w:rsidR="007574A2" w:rsidRDefault="007574A2">
          <w:pPr>
            <w:pStyle w:val="NoSpacing"/>
            <w:rPr>
              <w:sz w:val="2"/>
            </w:rPr>
          </w:pPr>
        </w:p>
        <w:p w14:paraId="275E5C5C" w14:textId="346480F3" w:rsidR="007574A2" w:rsidRDefault="007574A2">
          <w:r>
            <w:rPr>
              <w:noProof/>
              <w:color w:val="156082" w:themeColor="accent1"/>
              <w:sz w:val="36"/>
              <w:szCs w:val="36"/>
            </w:rPr>
            <mc:AlternateContent>
              <mc:Choice Requires="wpg">
                <w:drawing>
                  <wp:anchor distT="0" distB="0" distL="114300" distR="114300" simplePos="0" relativeHeight="251660288" behindDoc="1" locked="0" layoutInCell="1" allowOverlap="1" wp14:anchorId="454524C8" wp14:editId="575992C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896441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02D4282" wp14:editId="035D3F1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00CB0" w14:textId="6B084EF0" w:rsidR="007574A2" w:rsidRPr="00743203" w:rsidRDefault="007574A2">
                                <w:pPr>
                                  <w:pStyle w:val="NoSpacing"/>
                                  <w:jc w:val="right"/>
                                  <w:rPr>
                                    <w:rFonts w:ascii="Times New Roman" w:hAnsi="Times New Roman" w:cs="Times New Roman"/>
                                    <w:b/>
                                    <w:bCs/>
                                    <w:color w:val="156082" w:themeColor="accent1"/>
                                    <w:sz w:val="44"/>
                                    <w:szCs w:val="44"/>
                                  </w:rPr>
                                </w:pPr>
                                <w:sdt>
                                  <w:sdtPr>
                                    <w:rPr>
                                      <w:rFonts w:ascii="Times New Roman" w:hAnsi="Times New Roman" w:cs="Times New Roman"/>
                                      <w:b/>
                                      <w:bCs/>
                                      <w:color w:val="156082"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Content>
                                    <w:r w:rsidR="00743203" w:rsidRPr="00743203">
                                      <w:rPr>
                                        <w:rFonts w:ascii="Times New Roman" w:hAnsi="Times New Roman" w:cs="Times New Roman"/>
                                        <w:b/>
                                        <w:bCs/>
                                        <w:color w:val="156082" w:themeColor="accent1"/>
                                        <w:sz w:val="44"/>
                                        <w:szCs w:val="44"/>
                                      </w:rPr>
                                      <w:t xml:space="preserve">Student Name: Valentina Gureanu </w:t>
                                    </w:r>
                                  </w:sdtContent>
                                </w:sdt>
                              </w:p>
                              <w:sdt>
                                <w:sdtPr>
                                  <w:rPr>
                                    <w:rFonts w:ascii="Times New Roman" w:hAnsi="Times New Roman" w:cs="Times New Roman"/>
                                    <w:b/>
                                    <w:bCs/>
                                    <w:color w:val="156082" w:themeColor="accent1"/>
                                    <w:sz w:val="44"/>
                                    <w:szCs w:val="4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0437C9A" w14:textId="37E69F50" w:rsidR="007574A2" w:rsidRPr="00743203" w:rsidRDefault="00743203">
                                    <w:pPr>
                                      <w:pStyle w:val="NoSpacing"/>
                                      <w:jc w:val="right"/>
                                      <w:rPr>
                                        <w:rFonts w:ascii="Times New Roman" w:hAnsi="Times New Roman" w:cs="Times New Roman"/>
                                        <w:b/>
                                        <w:bCs/>
                                        <w:color w:val="156082" w:themeColor="accent1"/>
                                        <w:sz w:val="44"/>
                                        <w:szCs w:val="44"/>
                                      </w:rPr>
                                    </w:pPr>
                                    <w:r w:rsidRPr="00743203">
                                      <w:rPr>
                                        <w:rFonts w:ascii="Times New Roman" w:hAnsi="Times New Roman" w:cs="Times New Roman"/>
                                        <w:b/>
                                        <w:bCs/>
                                        <w:color w:val="156082" w:themeColor="accent1"/>
                                        <w:sz w:val="44"/>
                                        <w:szCs w:val="44"/>
                                      </w:rPr>
                                      <w:t>Financial Management for Business Sustainability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202D4282" id="_x0000_t202" coordsize="21600,21600" o:spt="202" path="m,l,21600r21600,l21600,xe">
                    <v:stroke joinstyle="miter"/>
                    <v:path gradientshapeok="t" o:connecttype="rect"/>
                  </v:shapetype>
                  <v:shape id="Text Box 7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2B900CB0" w14:textId="6B084EF0" w:rsidR="007574A2" w:rsidRPr="00743203" w:rsidRDefault="007574A2">
                          <w:pPr>
                            <w:pStyle w:val="NoSpacing"/>
                            <w:jc w:val="right"/>
                            <w:rPr>
                              <w:rFonts w:ascii="Times New Roman" w:hAnsi="Times New Roman" w:cs="Times New Roman"/>
                              <w:b/>
                              <w:bCs/>
                              <w:color w:val="156082" w:themeColor="accent1"/>
                              <w:sz w:val="44"/>
                              <w:szCs w:val="44"/>
                            </w:rPr>
                          </w:pPr>
                          <w:sdt>
                            <w:sdtPr>
                              <w:rPr>
                                <w:rFonts w:ascii="Times New Roman" w:hAnsi="Times New Roman" w:cs="Times New Roman"/>
                                <w:b/>
                                <w:bCs/>
                                <w:color w:val="156082"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Content>
                              <w:r w:rsidR="00743203" w:rsidRPr="00743203">
                                <w:rPr>
                                  <w:rFonts w:ascii="Times New Roman" w:hAnsi="Times New Roman" w:cs="Times New Roman"/>
                                  <w:b/>
                                  <w:bCs/>
                                  <w:color w:val="156082" w:themeColor="accent1"/>
                                  <w:sz w:val="44"/>
                                  <w:szCs w:val="44"/>
                                </w:rPr>
                                <w:t xml:space="preserve">Student Name: Valentina Gureanu </w:t>
                              </w:r>
                            </w:sdtContent>
                          </w:sdt>
                        </w:p>
                        <w:sdt>
                          <w:sdtPr>
                            <w:rPr>
                              <w:rFonts w:ascii="Times New Roman" w:hAnsi="Times New Roman" w:cs="Times New Roman"/>
                              <w:b/>
                              <w:bCs/>
                              <w:color w:val="156082" w:themeColor="accent1"/>
                              <w:sz w:val="44"/>
                              <w:szCs w:val="4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0437C9A" w14:textId="37E69F50" w:rsidR="007574A2" w:rsidRPr="00743203" w:rsidRDefault="00743203">
                              <w:pPr>
                                <w:pStyle w:val="NoSpacing"/>
                                <w:jc w:val="right"/>
                                <w:rPr>
                                  <w:rFonts w:ascii="Times New Roman" w:hAnsi="Times New Roman" w:cs="Times New Roman"/>
                                  <w:b/>
                                  <w:bCs/>
                                  <w:color w:val="156082" w:themeColor="accent1"/>
                                  <w:sz w:val="44"/>
                                  <w:szCs w:val="44"/>
                                </w:rPr>
                              </w:pPr>
                              <w:r w:rsidRPr="00743203">
                                <w:rPr>
                                  <w:rFonts w:ascii="Times New Roman" w:hAnsi="Times New Roman" w:cs="Times New Roman"/>
                                  <w:b/>
                                  <w:bCs/>
                                  <w:color w:val="156082" w:themeColor="accent1"/>
                                  <w:sz w:val="44"/>
                                  <w:szCs w:val="44"/>
                                </w:rPr>
                                <w:t>Financial Management for Business Sustainability</w:t>
                              </w:r>
                            </w:p>
                          </w:sdtContent>
                        </w:sdt>
                      </w:txbxContent>
                    </v:textbox>
                    <w10:wrap anchorx="page" anchory="margin"/>
                  </v:shape>
                </w:pict>
              </mc:Fallback>
            </mc:AlternateContent>
          </w:r>
        </w:p>
        <w:p w14:paraId="3CF0DCA1" w14:textId="0EB3C625" w:rsidR="007574A2" w:rsidRDefault="00743203">
          <w:pPr>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14:anchorId="6A09FB2E" wp14:editId="2707E1F4">
                    <wp:simplePos x="0" y="0"/>
                    <wp:positionH relativeFrom="page">
                      <wp:posOffset>761365</wp:posOffset>
                    </wp:positionH>
                    <wp:positionV relativeFrom="margin">
                      <wp:posOffset>806450</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2C7FCE"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4B6EFFB" w14:textId="112858C7" w:rsidR="007574A2" w:rsidRDefault="00743203">
                                    <w:pPr>
                                      <w:pStyle w:val="NoSpacing"/>
                                      <w:rPr>
                                        <w:rFonts w:asciiTheme="majorHAnsi" w:eastAsiaTheme="majorEastAsia" w:hAnsiTheme="majorHAnsi" w:cstheme="majorBidi"/>
                                        <w:caps/>
                                        <w:color w:val="2C7FCE" w:themeColor="text2" w:themeTint="99"/>
                                        <w:sz w:val="68"/>
                                        <w:szCs w:val="68"/>
                                      </w:rPr>
                                    </w:pPr>
                                    <w:r w:rsidRPr="00743203">
                                      <w:rPr>
                                        <w:rFonts w:ascii="Times New Roman" w:eastAsiaTheme="majorEastAsia" w:hAnsi="Times New Roman" w:cs="Times New Roman"/>
                                        <w:b/>
                                        <w:bCs/>
                                        <w:caps/>
                                        <w:color w:val="2C7FCE" w:themeColor="text2" w:themeTint="99"/>
                                        <w:sz w:val="72"/>
                                        <w:szCs w:val="72"/>
                                      </w:rPr>
                                      <w:t xml:space="preserve">Financial Analysis </w:t>
                                    </w:r>
                                  </w:p>
                                </w:sdtContent>
                              </w:sdt>
                              <w:p w14:paraId="392143BB" w14:textId="558E9C96" w:rsidR="007574A2" w:rsidRPr="00743203" w:rsidRDefault="007574A2" w:rsidP="00743203">
                                <w:pPr>
                                  <w:pStyle w:val="NoSpacing"/>
                                  <w:spacing w:before="120"/>
                                  <w:jc w:val="center"/>
                                  <w:rPr>
                                    <w:rFonts w:ascii="Times New Roman" w:hAnsi="Times New Roman" w:cs="Times New Roman"/>
                                    <w:b/>
                                    <w:bCs/>
                                    <w:color w:val="156082" w:themeColor="accent1"/>
                                    <w:sz w:val="56"/>
                                    <w:szCs w:val="56"/>
                                  </w:rPr>
                                </w:pPr>
                                <w:sdt>
                                  <w:sdtPr>
                                    <w:rPr>
                                      <w:rFonts w:ascii="Times New Roman" w:hAnsi="Times New Roman" w:cs="Times New Roman"/>
                                      <w:b/>
                                      <w:bCs/>
                                      <w:color w:val="156082" w:themeColor="accent1"/>
                                      <w:sz w:val="56"/>
                                      <w:szCs w:val="5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43203" w:rsidRPr="00743203">
                                      <w:rPr>
                                        <w:rFonts w:ascii="Times New Roman" w:hAnsi="Times New Roman" w:cs="Times New Roman"/>
                                        <w:b/>
                                        <w:bCs/>
                                        <w:color w:val="156082" w:themeColor="accent1"/>
                                        <w:sz w:val="56"/>
                                        <w:szCs w:val="56"/>
                                      </w:rPr>
                                      <w:t xml:space="preserve">Assignment 1 </w:t>
                                    </w:r>
                                  </w:sdtContent>
                                </w:sdt>
                              </w:p>
                              <w:p w14:paraId="4C3024B7" w14:textId="77777777" w:rsidR="007574A2" w:rsidRDefault="007574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6A09FB2E" id="Text Box 66" o:spid="_x0000_s1027" type="#_x0000_t202" style="position:absolute;margin-left:59.95pt;margin-top:63.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" filled="f" stroked="f" strokeweight=".5pt">
                    <v:textbox style="mso-fit-shape-to-text:t">
                      <w:txbxContent>
                        <w:sdt>
                          <w:sdtPr>
                            <w:rPr>
                              <w:rFonts w:ascii="Times New Roman" w:eastAsiaTheme="majorEastAsia" w:hAnsi="Times New Roman" w:cs="Times New Roman"/>
                              <w:b/>
                              <w:bCs/>
                              <w:caps/>
                              <w:color w:val="2C7FCE"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4B6EFFB" w14:textId="112858C7" w:rsidR="007574A2" w:rsidRDefault="00743203">
                              <w:pPr>
                                <w:pStyle w:val="NoSpacing"/>
                                <w:rPr>
                                  <w:rFonts w:asciiTheme="majorHAnsi" w:eastAsiaTheme="majorEastAsia" w:hAnsiTheme="majorHAnsi" w:cstheme="majorBidi"/>
                                  <w:caps/>
                                  <w:color w:val="2C7FCE" w:themeColor="text2" w:themeTint="99"/>
                                  <w:sz w:val="68"/>
                                  <w:szCs w:val="68"/>
                                </w:rPr>
                              </w:pPr>
                              <w:r w:rsidRPr="00743203">
                                <w:rPr>
                                  <w:rFonts w:ascii="Times New Roman" w:eastAsiaTheme="majorEastAsia" w:hAnsi="Times New Roman" w:cs="Times New Roman"/>
                                  <w:b/>
                                  <w:bCs/>
                                  <w:caps/>
                                  <w:color w:val="2C7FCE" w:themeColor="text2" w:themeTint="99"/>
                                  <w:sz w:val="72"/>
                                  <w:szCs w:val="72"/>
                                </w:rPr>
                                <w:t xml:space="preserve">Financial Analysis </w:t>
                              </w:r>
                            </w:p>
                          </w:sdtContent>
                        </w:sdt>
                        <w:p w14:paraId="392143BB" w14:textId="558E9C96" w:rsidR="007574A2" w:rsidRPr="00743203" w:rsidRDefault="007574A2" w:rsidP="00743203">
                          <w:pPr>
                            <w:pStyle w:val="NoSpacing"/>
                            <w:spacing w:before="120"/>
                            <w:jc w:val="center"/>
                            <w:rPr>
                              <w:rFonts w:ascii="Times New Roman" w:hAnsi="Times New Roman" w:cs="Times New Roman"/>
                              <w:b/>
                              <w:bCs/>
                              <w:color w:val="156082" w:themeColor="accent1"/>
                              <w:sz w:val="56"/>
                              <w:szCs w:val="56"/>
                            </w:rPr>
                          </w:pPr>
                          <w:sdt>
                            <w:sdtPr>
                              <w:rPr>
                                <w:rFonts w:ascii="Times New Roman" w:hAnsi="Times New Roman" w:cs="Times New Roman"/>
                                <w:b/>
                                <w:bCs/>
                                <w:color w:val="156082" w:themeColor="accent1"/>
                                <w:sz w:val="56"/>
                                <w:szCs w:val="5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43203" w:rsidRPr="00743203">
                                <w:rPr>
                                  <w:rFonts w:ascii="Times New Roman" w:hAnsi="Times New Roman" w:cs="Times New Roman"/>
                                  <w:b/>
                                  <w:bCs/>
                                  <w:color w:val="156082" w:themeColor="accent1"/>
                                  <w:sz w:val="56"/>
                                  <w:szCs w:val="56"/>
                                </w:rPr>
                                <w:t xml:space="preserve">Assignment 1 </w:t>
                              </w:r>
                            </w:sdtContent>
                          </w:sdt>
                        </w:p>
                        <w:p w14:paraId="4C3024B7" w14:textId="77777777" w:rsidR="007574A2" w:rsidRDefault="007574A2"/>
                      </w:txbxContent>
                    </v:textbox>
                    <w10:wrap anchorx="page" anchory="margin"/>
                  </v:shape>
                </w:pict>
              </mc:Fallback>
            </mc:AlternateContent>
          </w:r>
          <w:r w:rsidR="007574A2">
            <w:rPr>
              <w:rFonts w:ascii="Times New Roman" w:hAnsi="Times New Roman" w:cs="Times New Roman"/>
            </w:rPr>
            <w:br w:type="page"/>
          </w:r>
        </w:p>
      </w:sdtContent>
    </w:sdt>
    <w:p w14:paraId="4EE2C275" w14:textId="47E1CFE2" w:rsidR="008C773A"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lastRenderedPageBreak/>
        <w:t>Introduction</w:t>
      </w:r>
    </w:p>
    <w:p w14:paraId="49C6B9EE" w14:textId="77777777" w:rsidR="008C773A"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It is important to understand the implications for financial performance to determine a company's economic viability and trajectory. Financial ratio analysis, based on accounting principles, is a pragmatic means of evaluating profitability, liquidity, leverage, and other forms of efficiency. Building upon Woods (2015), the ratios act as a basis for understanding the extent to which a business </w:t>
      </w:r>
      <w:r w:rsidRPr="008C773A">
        <w:rPr>
          <w:rFonts w:ascii="Times New Roman" w:hAnsi="Times New Roman" w:cs="Times New Roman"/>
        </w:rPr>
        <w:t>can</w:t>
      </w:r>
      <w:r w:rsidRPr="008C773A">
        <w:rPr>
          <w:rFonts w:ascii="Times New Roman" w:hAnsi="Times New Roman" w:cs="Times New Roman"/>
        </w:rPr>
        <w:t xml:space="preserve"> utili</w:t>
      </w:r>
      <w:r>
        <w:rPr>
          <w:rFonts w:ascii="Times New Roman" w:hAnsi="Times New Roman" w:cs="Times New Roman"/>
        </w:rPr>
        <w:t>s</w:t>
      </w:r>
      <w:r w:rsidRPr="008C773A">
        <w:rPr>
          <w:rFonts w:ascii="Times New Roman" w:hAnsi="Times New Roman" w:cs="Times New Roman"/>
        </w:rPr>
        <w:t>e its resources efficiently to create a return for shareholders. Accordingly, Tesco PLC, as one of the largest retailers in the UK, ga</w:t>
      </w:r>
      <w:r>
        <w:rPr>
          <w:rFonts w:ascii="Times New Roman" w:hAnsi="Times New Roman" w:cs="Times New Roman"/>
        </w:rPr>
        <w:t xml:space="preserve">ther </w:t>
      </w:r>
      <w:r w:rsidRPr="008C773A">
        <w:rPr>
          <w:rFonts w:ascii="Times New Roman" w:hAnsi="Times New Roman" w:cs="Times New Roman"/>
        </w:rPr>
        <w:t xml:space="preserve">attention due to its resilience, innovation, and engagement with stakeholders. As the financial landscape, and therefore performance, becomes more volatile, </w:t>
      </w:r>
      <w:r>
        <w:rPr>
          <w:rFonts w:ascii="Times New Roman" w:hAnsi="Times New Roman" w:cs="Times New Roman"/>
        </w:rPr>
        <w:t xml:space="preserve">the same is needed for </w:t>
      </w:r>
      <w:r w:rsidRPr="008C773A">
        <w:rPr>
          <w:rFonts w:ascii="Times New Roman" w:hAnsi="Times New Roman" w:cs="Times New Roman"/>
        </w:rPr>
        <w:t>our interpretation of how performance aligns with stakeholder expectations, risk management, and corporate governance (Wood, 2015).</w:t>
      </w:r>
    </w:p>
    <w:p w14:paraId="0CCE56BF" w14:textId="77777777" w:rsidR="008C773A" w:rsidRDefault="008C773A" w:rsidP="008C773A">
      <w:pPr>
        <w:spacing w:line="480" w:lineRule="auto"/>
        <w:rPr>
          <w:rFonts w:ascii="Times New Roman" w:hAnsi="Times New Roman" w:cs="Times New Roman"/>
        </w:rPr>
      </w:pPr>
      <w:r w:rsidRPr="008C773A">
        <w:rPr>
          <w:rFonts w:ascii="Times New Roman" w:hAnsi="Times New Roman" w:cs="Times New Roman"/>
        </w:rPr>
        <w:t>Tesco faces several challenges, including inflation, maintaining competitive pricing, supply chain disruptions, and a changing regulatory environment. However, the organi</w:t>
      </w:r>
      <w:r>
        <w:rPr>
          <w:rFonts w:ascii="Times New Roman" w:hAnsi="Times New Roman" w:cs="Times New Roman"/>
        </w:rPr>
        <w:t>s</w:t>
      </w:r>
      <w:r w:rsidRPr="008C773A">
        <w:rPr>
          <w:rFonts w:ascii="Times New Roman" w:hAnsi="Times New Roman" w:cs="Times New Roman"/>
        </w:rPr>
        <w:t>ation has established itself as a leader in the retail space due to its impressive digital operations, commitments to the environment, and cost containment efforts. According to Choi and Wang (2009), companies that develop strong stakeholder relations tend to have more sustainable and persistent financial performance. Tesco describes its strategic initiatives over the past two years as proactive and demonstrates a focus on processes such as value pricing, personali</w:t>
      </w:r>
      <w:r>
        <w:rPr>
          <w:rFonts w:ascii="Times New Roman" w:hAnsi="Times New Roman" w:cs="Times New Roman"/>
        </w:rPr>
        <w:t>s</w:t>
      </w:r>
      <w:r w:rsidRPr="008C773A">
        <w:rPr>
          <w:rFonts w:ascii="Times New Roman" w:hAnsi="Times New Roman" w:cs="Times New Roman"/>
        </w:rPr>
        <w:t>ed promotions, and unwinding of non-core operations (Choi &amp; Wang, 2009).</w:t>
      </w:r>
    </w:p>
    <w:p w14:paraId="28946331" w14:textId="77777777" w:rsidR="008C773A" w:rsidRDefault="008C773A" w:rsidP="008C773A">
      <w:pPr>
        <w:spacing w:line="480" w:lineRule="auto"/>
        <w:rPr>
          <w:rFonts w:ascii="Times New Roman" w:hAnsi="Times New Roman" w:cs="Times New Roman"/>
        </w:rPr>
      </w:pPr>
    </w:p>
    <w:p w14:paraId="3579E2D9" w14:textId="77777777" w:rsidR="008C773A" w:rsidRDefault="008C773A" w:rsidP="008C773A">
      <w:pPr>
        <w:spacing w:line="480" w:lineRule="auto"/>
        <w:rPr>
          <w:rFonts w:ascii="Times New Roman" w:hAnsi="Times New Roman" w:cs="Times New Roman"/>
        </w:rPr>
      </w:pPr>
    </w:p>
    <w:p w14:paraId="4CB7D4F1" w14:textId="77777777" w:rsidR="008C773A" w:rsidRDefault="008C773A" w:rsidP="008C773A">
      <w:pPr>
        <w:spacing w:line="480" w:lineRule="auto"/>
        <w:rPr>
          <w:rFonts w:ascii="Times New Roman" w:hAnsi="Times New Roman" w:cs="Times New Roman"/>
        </w:rPr>
      </w:pPr>
    </w:p>
    <w:p w14:paraId="60325F75" w14:textId="77777777" w:rsidR="008C773A" w:rsidRDefault="008C773A" w:rsidP="008C773A">
      <w:pPr>
        <w:spacing w:line="480" w:lineRule="auto"/>
        <w:rPr>
          <w:rFonts w:ascii="Times New Roman" w:hAnsi="Times New Roman" w:cs="Times New Roman"/>
        </w:rPr>
      </w:pPr>
    </w:p>
    <w:p w14:paraId="108A50B4" w14:textId="36869214" w:rsidR="008C773A"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lastRenderedPageBreak/>
        <w:t>Company Overview</w:t>
      </w:r>
    </w:p>
    <w:p w14:paraId="1C8B84D5" w14:textId="1DC771C4" w:rsidR="008C773A"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Tesco PLC operates in five geographically distinct </w:t>
      </w:r>
      <w:r w:rsidRPr="008C773A">
        <w:rPr>
          <w:rFonts w:ascii="Times New Roman" w:hAnsi="Times New Roman" w:cs="Times New Roman"/>
        </w:rPr>
        <w:t>countries,</w:t>
      </w:r>
      <w:r w:rsidRPr="008C773A">
        <w:rPr>
          <w:rFonts w:ascii="Times New Roman" w:hAnsi="Times New Roman" w:cs="Times New Roman"/>
        </w:rPr>
        <w:t xml:space="preserve"> the UK, the Republic of Ireland, the Czech Republic, Hungary, and Slovakia. Its portfolio includes grocery, financial services, and digital operations creating a diversified participant in the European retail </w:t>
      </w:r>
      <w:r w:rsidRPr="008C773A">
        <w:rPr>
          <w:rFonts w:ascii="Times New Roman" w:hAnsi="Times New Roman" w:cs="Times New Roman"/>
        </w:rPr>
        <w:t>market. Founded</w:t>
      </w:r>
      <w:r w:rsidRPr="008C773A">
        <w:rPr>
          <w:rFonts w:ascii="Times New Roman" w:hAnsi="Times New Roman" w:cs="Times New Roman"/>
        </w:rPr>
        <w:t xml:space="preserve"> in 1919, Tesco has become a high-performing organization based on using data science, through Dunnhumby, online expansion, and taking on ever-increasing service levels. </w:t>
      </w:r>
      <w:r w:rsidR="0070271E" w:rsidRPr="0070271E">
        <w:rPr>
          <w:rFonts w:ascii="Times New Roman" w:hAnsi="Times New Roman" w:cs="Times New Roman"/>
        </w:rPr>
        <w:t>In recent times, Tesco has embraced its "Every Little Helps" ethos in terms of providing value, quality and a focus on sustainable business practices, which all fall under the company and corporate strategy tied to good governance practices, supply chain relationships, and long-term social responsibility goals (Tesco PLC, 2023; Tesco PLC, 2024).</w:t>
      </w:r>
    </w:p>
    <w:p w14:paraId="377DBD03" w14:textId="77777777" w:rsidR="008C773A" w:rsidRDefault="008C773A" w:rsidP="008C773A">
      <w:pPr>
        <w:spacing w:line="480" w:lineRule="auto"/>
        <w:rPr>
          <w:rFonts w:ascii="Times New Roman" w:hAnsi="Times New Roman" w:cs="Times New Roman"/>
        </w:rPr>
      </w:pPr>
      <w:r w:rsidRPr="008C773A">
        <w:rPr>
          <w:rFonts w:ascii="Times New Roman" w:hAnsi="Times New Roman" w:cs="Times New Roman"/>
        </w:rPr>
        <w:t>From a governance perspective, Tesco has improved its board composition and stakeholder representation while continuing to invest in employee welfare. This supports Ismail’s (2017) argument that structured governance approaches combined with transparent stakeholder communication in pre- and post- financial performance can have a positive effect. For example, the decision to divest some assets of Tesco Bank and streamline aspects of the business had a positive impact on capital liquidity, mitigated regulatory risk and health of balance sheet (Ismail, 2017).</w:t>
      </w:r>
    </w:p>
    <w:p w14:paraId="0AC924E2" w14:textId="77777777" w:rsidR="008C773A"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Comparative Financial Performance Summary</w:t>
      </w:r>
    </w:p>
    <w:p w14:paraId="5961FD87" w14:textId="1F48193C" w:rsidR="008C773A" w:rsidRDefault="008C773A" w:rsidP="008C773A">
      <w:pPr>
        <w:spacing w:line="480" w:lineRule="auto"/>
        <w:rPr>
          <w:rFonts w:ascii="Times New Roman" w:hAnsi="Times New Roman" w:cs="Times New Roman"/>
        </w:rPr>
      </w:pPr>
      <w:r w:rsidRPr="008C773A">
        <w:rPr>
          <w:rFonts w:ascii="Times New Roman" w:hAnsi="Times New Roman" w:cs="Times New Roman"/>
        </w:rPr>
        <w:t>The table below shows the financial indicators of Tesco for fiscal years 2023 and 2024</w:t>
      </w:r>
      <w:r>
        <w:rPr>
          <w:rFonts w:ascii="Times New Roman" w:hAnsi="Times New Roman" w:cs="Times New Roman"/>
        </w:rPr>
        <w:t>.</w:t>
      </w:r>
    </w:p>
    <w:tbl>
      <w:tblPr>
        <w:tblW w:w="0" w:type="auto"/>
        <w:tblCellSpacing w:w="1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15" w:type="dxa"/>
          <w:left w:w="15" w:type="dxa"/>
          <w:bottom w:w="15" w:type="dxa"/>
          <w:right w:w="15" w:type="dxa"/>
        </w:tblCellMar>
        <w:tblLook w:val="04A0" w:firstRow="1" w:lastRow="0" w:firstColumn="1" w:lastColumn="0" w:noHBand="0" w:noVBand="1"/>
      </w:tblPr>
      <w:tblGrid>
        <w:gridCol w:w="4387"/>
        <w:gridCol w:w="1417"/>
        <w:gridCol w:w="1418"/>
        <w:gridCol w:w="1701"/>
      </w:tblGrid>
      <w:tr w:rsidR="008C773A" w:rsidRPr="008C773A" w14:paraId="16F15CFE" w14:textId="77777777" w:rsidTr="008C773A">
        <w:trPr>
          <w:tblHeader/>
          <w:tblCellSpacing w:w="15" w:type="dxa"/>
        </w:trPr>
        <w:tc>
          <w:tcPr>
            <w:tcW w:w="4342" w:type="dxa"/>
            <w:shd w:val="clear" w:color="auto" w:fill="A5C9EB" w:themeFill="text2" w:themeFillTint="40"/>
            <w:vAlign w:val="center"/>
            <w:hideMark/>
          </w:tcPr>
          <w:p w14:paraId="05D711F9" w14:textId="77777777" w:rsidR="008C773A" w:rsidRPr="008C773A" w:rsidRDefault="008C773A" w:rsidP="008C773A">
            <w:pPr>
              <w:spacing w:after="0" w:line="240" w:lineRule="auto"/>
              <w:jc w:val="center"/>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Metric</w:t>
            </w:r>
          </w:p>
        </w:tc>
        <w:tc>
          <w:tcPr>
            <w:tcW w:w="1387" w:type="dxa"/>
            <w:shd w:val="clear" w:color="auto" w:fill="A5C9EB" w:themeFill="text2" w:themeFillTint="40"/>
            <w:vAlign w:val="center"/>
            <w:hideMark/>
          </w:tcPr>
          <w:p w14:paraId="26D92CBD" w14:textId="77777777" w:rsidR="008C773A" w:rsidRPr="008C773A" w:rsidRDefault="008C773A" w:rsidP="008C773A">
            <w:pPr>
              <w:spacing w:after="0" w:line="240" w:lineRule="auto"/>
              <w:jc w:val="center"/>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2023</w:t>
            </w:r>
          </w:p>
        </w:tc>
        <w:tc>
          <w:tcPr>
            <w:tcW w:w="1388" w:type="dxa"/>
            <w:shd w:val="clear" w:color="auto" w:fill="A5C9EB" w:themeFill="text2" w:themeFillTint="40"/>
            <w:vAlign w:val="center"/>
            <w:hideMark/>
          </w:tcPr>
          <w:p w14:paraId="749619BC" w14:textId="77777777" w:rsidR="008C773A" w:rsidRPr="008C773A" w:rsidRDefault="008C773A" w:rsidP="008C773A">
            <w:pPr>
              <w:spacing w:after="0" w:line="240" w:lineRule="auto"/>
              <w:jc w:val="center"/>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2024</w:t>
            </w:r>
          </w:p>
        </w:tc>
        <w:tc>
          <w:tcPr>
            <w:tcW w:w="1656" w:type="dxa"/>
            <w:shd w:val="clear" w:color="auto" w:fill="A5C9EB" w:themeFill="text2" w:themeFillTint="40"/>
            <w:vAlign w:val="center"/>
            <w:hideMark/>
          </w:tcPr>
          <w:p w14:paraId="3D6641A6" w14:textId="77777777" w:rsidR="008C773A" w:rsidRPr="008C773A" w:rsidRDefault="008C773A" w:rsidP="008C773A">
            <w:pPr>
              <w:spacing w:after="0" w:line="240" w:lineRule="auto"/>
              <w:jc w:val="center"/>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 Change</w:t>
            </w:r>
          </w:p>
        </w:tc>
      </w:tr>
      <w:tr w:rsidR="008C773A" w:rsidRPr="008C773A" w14:paraId="061730F7" w14:textId="77777777" w:rsidTr="008C773A">
        <w:trPr>
          <w:tblCellSpacing w:w="15" w:type="dxa"/>
        </w:trPr>
        <w:tc>
          <w:tcPr>
            <w:tcW w:w="4342" w:type="dxa"/>
            <w:shd w:val="clear" w:color="auto" w:fill="A5C9EB" w:themeFill="text2" w:themeFillTint="40"/>
            <w:vAlign w:val="center"/>
            <w:hideMark/>
          </w:tcPr>
          <w:p w14:paraId="44892E07"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Group Sales (£bn)</w:t>
            </w:r>
          </w:p>
        </w:tc>
        <w:tc>
          <w:tcPr>
            <w:tcW w:w="1387" w:type="dxa"/>
            <w:shd w:val="clear" w:color="auto" w:fill="A5C9EB" w:themeFill="text2" w:themeFillTint="40"/>
            <w:vAlign w:val="center"/>
            <w:hideMark/>
          </w:tcPr>
          <w:p w14:paraId="5DB78D65"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57.2</w:t>
            </w:r>
          </w:p>
        </w:tc>
        <w:tc>
          <w:tcPr>
            <w:tcW w:w="1388" w:type="dxa"/>
            <w:shd w:val="clear" w:color="auto" w:fill="A5C9EB" w:themeFill="text2" w:themeFillTint="40"/>
            <w:vAlign w:val="center"/>
            <w:hideMark/>
          </w:tcPr>
          <w:p w14:paraId="65B84723"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61.5</w:t>
            </w:r>
          </w:p>
        </w:tc>
        <w:tc>
          <w:tcPr>
            <w:tcW w:w="1656" w:type="dxa"/>
            <w:shd w:val="clear" w:color="auto" w:fill="A5C9EB" w:themeFill="text2" w:themeFillTint="40"/>
            <w:vAlign w:val="center"/>
            <w:hideMark/>
          </w:tcPr>
          <w:p w14:paraId="698DF5AF"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+7.5%</w:t>
            </w:r>
          </w:p>
        </w:tc>
      </w:tr>
      <w:tr w:rsidR="008C773A" w:rsidRPr="008C773A" w14:paraId="7DF5467D" w14:textId="77777777" w:rsidTr="008C773A">
        <w:trPr>
          <w:tblCellSpacing w:w="15" w:type="dxa"/>
        </w:trPr>
        <w:tc>
          <w:tcPr>
            <w:tcW w:w="4342" w:type="dxa"/>
            <w:shd w:val="clear" w:color="auto" w:fill="A5C9EB" w:themeFill="text2" w:themeFillTint="40"/>
            <w:vAlign w:val="center"/>
            <w:hideMark/>
          </w:tcPr>
          <w:p w14:paraId="42BE26E8"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Statutory Revenue (£bn)</w:t>
            </w:r>
          </w:p>
        </w:tc>
        <w:tc>
          <w:tcPr>
            <w:tcW w:w="1387" w:type="dxa"/>
            <w:shd w:val="clear" w:color="auto" w:fill="A5C9EB" w:themeFill="text2" w:themeFillTint="40"/>
            <w:vAlign w:val="center"/>
            <w:hideMark/>
          </w:tcPr>
          <w:p w14:paraId="13E76E72"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65.3</w:t>
            </w:r>
          </w:p>
        </w:tc>
        <w:tc>
          <w:tcPr>
            <w:tcW w:w="1388" w:type="dxa"/>
            <w:shd w:val="clear" w:color="auto" w:fill="A5C9EB" w:themeFill="text2" w:themeFillTint="40"/>
            <w:vAlign w:val="center"/>
            <w:hideMark/>
          </w:tcPr>
          <w:p w14:paraId="3084CEED"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68.2</w:t>
            </w:r>
          </w:p>
        </w:tc>
        <w:tc>
          <w:tcPr>
            <w:tcW w:w="1656" w:type="dxa"/>
            <w:shd w:val="clear" w:color="auto" w:fill="A5C9EB" w:themeFill="text2" w:themeFillTint="40"/>
            <w:vAlign w:val="center"/>
            <w:hideMark/>
          </w:tcPr>
          <w:p w14:paraId="720326D2"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+4.4%</w:t>
            </w:r>
          </w:p>
        </w:tc>
      </w:tr>
      <w:tr w:rsidR="008C773A" w:rsidRPr="008C773A" w14:paraId="0AC3E73A" w14:textId="77777777" w:rsidTr="008C773A">
        <w:trPr>
          <w:tblCellSpacing w:w="15" w:type="dxa"/>
        </w:trPr>
        <w:tc>
          <w:tcPr>
            <w:tcW w:w="4342" w:type="dxa"/>
            <w:shd w:val="clear" w:color="auto" w:fill="A5C9EB" w:themeFill="text2" w:themeFillTint="40"/>
            <w:vAlign w:val="center"/>
            <w:hideMark/>
          </w:tcPr>
          <w:p w14:paraId="459E2185"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Adjusted Operating Profit (£m)</w:t>
            </w:r>
          </w:p>
        </w:tc>
        <w:tc>
          <w:tcPr>
            <w:tcW w:w="1387" w:type="dxa"/>
            <w:shd w:val="clear" w:color="auto" w:fill="A5C9EB" w:themeFill="text2" w:themeFillTint="40"/>
            <w:vAlign w:val="center"/>
            <w:hideMark/>
          </w:tcPr>
          <w:p w14:paraId="5E78CBBF"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2,509</w:t>
            </w:r>
          </w:p>
        </w:tc>
        <w:tc>
          <w:tcPr>
            <w:tcW w:w="1388" w:type="dxa"/>
            <w:shd w:val="clear" w:color="auto" w:fill="A5C9EB" w:themeFill="text2" w:themeFillTint="40"/>
            <w:vAlign w:val="center"/>
            <w:hideMark/>
          </w:tcPr>
          <w:p w14:paraId="5B2D55D2"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2,829</w:t>
            </w:r>
          </w:p>
        </w:tc>
        <w:tc>
          <w:tcPr>
            <w:tcW w:w="1656" w:type="dxa"/>
            <w:shd w:val="clear" w:color="auto" w:fill="A5C9EB" w:themeFill="text2" w:themeFillTint="40"/>
            <w:vAlign w:val="center"/>
            <w:hideMark/>
          </w:tcPr>
          <w:p w14:paraId="754247A8"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+12.8%</w:t>
            </w:r>
          </w:p>
        </w:tc>
      </w:tr>
      <w:tr w:rsidR="008C773A" w:rsidRPr="008C773A" w14:paraId="012F80CB" w14:textId="77777777" w:rsidTr="008C773A">
        <w:trPr>
          <w:tblCellSpacing w:w="15" w:type="dxa"/>
        </w:trPr>
        <w:tc>
          <w:tcPr>
            <w:tcW w:w="4342" w:type="dxa"/>
            <w:shd w:val="clear" w:color="auto" w:fill="A5C9EB" w:themeFill="text2" w:themeFillTint="40"/>
            <w:vAlign w:val="center"/>
            <w:hideMark/>
          </w:tcPr>
          <w:p w14:paraId="188A64D4"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Statutory Profit Before Tax (£m)</w:t>
            </w:r>
          </w:p>
        </w:tc>
        <w:tc>
          <w:tcPr>
            <w:tcW w:w="1387" w:type="dxa"/>
            <w:shd w:val="clear" w:color="auto" w:fill="A5C9EB" w:themeFill="text2" w:themeFillTint="40"/>
            <w:vAlign w:val="center"/>
            <w:hideMark/>
          </w:tcPr>
          <w:p w14:paraId="104ADACE"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882</w:t>
            </w:r>
          </w:p>
        </w:tc>
        <w:tc>
          <w:tcPr>
            <w:tcW w:w="1388" w:type="dxa"/>
            <w:shd w:val="clear" w:color="auto" w:fill="A5C9EB" w:themeFill="text2" w:themeFillTint="40"/>
            <w:vAlign w:val="center"/>
            <w:hideMark/>
          </w:tcPr>
          <w:p w14:paraId="22B8D6BF"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2,289</w:t>
            </w:r>
          </w:p>
        </w:tc>
        <w:tc>
          <w:tcPr>
            <w:tcW w:w="1656" w:type="dxa"/>
            <w:shd w:val="clear" w:color="auto" w:fill="A5C9EB" w:themeFill="text2" w:themeFillTint="40"/>
            <w:vAlign w:val="center"/>
            <w:hideMark/>
          </w:tcPr>
          <w:p w14:paraId="281322EC"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+159.5%</w:t>
            </w:r>
          </w:p>
        </w:tc>
      </w:tr>
      <w:tr w:rsidR="008C773A" w:rsidRPr="008C773A" w14:paraId="6FF43155" w14:textId="77777777" w:rsidTr="008C773A">
        <w:trPr>
          <w:tblCellSpacing w:w="15" w:type="dxa"/>
        </w:trPr>
        <w:tc>
          <w:tcPr>
            <w:tcW w:w="4342" w:type="dxa"/>
            <w:shd w:val="clear" w:color="auto" w:fill="A5C9EB" w:themeFill="text2" w:themeFillTint="40"/>
            <w:vAlign w:val="center"/>
            <w:hideMark/>
          </w:tcPr>
          <w:p w14:paraId="166CA30C"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Operating Profit (£m)</w:t>
            </w:r>
          </w:p>
        </w:tc>
        <w:tc>
          <w:tcPr>
            <w:tcW w:w="1387" w:type="dxa"/>
            <w:shd w:val="clear" w:color="auto" w:fill="A5C9EB" w:themeFill="text2" w:themeFillTint="40"/>
            <w:vAlign w:val="center"/>
            <w:hideMark/>
          </w:tcPr>
          <w:p w14:paraId="60B7B8C8"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1,410</w:t>
            </w:r>
          </w:p>
        </w:tc>
        <w:tc>
          <w:tcPr>
            <w:tcW w:w="1388" w:type="dxa"/>
            <w:shd w:val="clear" w:color="auto" w:fill="A5C9EB" w:themeFill="text2" w:themeFillTint="40"/>
            <w:vAlign w:val="center"/>
            <w:hideMark/>
          </w:tcPr>
          <w:p w14:paraId="0338C98F"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2,821</w:t>
            </w:r>
          </w:p>
        </w:tc>
        <w:tc>
          <w:tcPr>
            <w:tcW w:w="1656" w:type="dxa"/>
            <w:shd w:val="clear" w:color="auto" w:fill="A5C9EB" w:themeFill="text2" w:themeFillTint="40"/>
            <w:vAlign w:val="center"/>
            <w:hideMark/>
          </w:tcPr>
          <w:p w14:paraId="3499162B"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+100.1%</w:t>
            </w:r>
          </w:p>
        </w:tc>
      </w:tr>
      <w:tr w:rsidR="008C773A" w:rsidRPr="008C773A" w14:paraId="323924DA" w14:textId="77777777" w:rsidTr="008C773A">
        <w:trPr>
          <w:tblCellSpacing w:w="15" w:type="dxa"/>
        </w:trPr>
        <w:tc>
          <w:tcPr>
            <w:tcW w:w="4342" w:type="dxa"/>
            <w:shd w:val="clear" w:color="auto" w:fill="A5C9EB" w:themeFill="text2" w:themeFillTint="40"/>
            <w:vAlign w:val="center"/>
            <w:hideMark/>
          </w:tcPr>
          <w:p w14:paraId="06158630"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Adjusted Diluted EPS (p)</w:t>
            </w:r>
          </w:p>
        </w:tc>
        <w:tc>
          <w:tcPr>
            <w:tcW w:w="1387" w:type="dxa"/>
            <w:shd w:val="clear" w:color="auto" w:fill="A5C9EB" w:themeFill="text2" w:themeFillTint="40"/>
            <w:vAlign w:val="center"/>
            <w:hideMark/>
          </w:tcPr>
          <w:p w14:paraId="02C9A01B"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20.53</w:t>
            </w:r>
          </w:p>
        </w:tc>
        <w:tc>
          <w:tcPr>
            <w:tcW w:w="1388" w:type="dxa"/>
            <w:shd w:val="clear" w:color="auto" w:fill="A5C9EB" w:themeFill="text2" w:themeFillTint="40"/>
            <w:vAlign w:val="center"/>
            <w:hideMark/>
          </w:tcPr>
          <w:p w14:paraId="0C0FD5EC"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23.41</w:t>
            </w:r>
          </w:p>
        </w:tc>
        <w:tc>
          <w:tcPr>
            <w:tcW w:w="1656" w:type="dxa"/>
            <w:shd w:val="clear" w:color="auto" w:fill="A5C9EB" w:themeFill="text2" w:themeFillTint="40"/>
            <w:vAlign w:val="center"/>
            <w:hideMark/>
          </w:tcPr>
          <w:p w14:paraId="568E755C"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+14.0%</w:t>
            </w:r>
          </w:p>
        </w:tc>
      </w:tr>
      <w:tr w:rsidR="008C773A" w:rsidRPr="008C773A" w14:paraId="7316B927" w14:textId="77777777" w:rsidTr="008C773A">
        <w:trPr>
          <w:tblCellSpacing w:w="15" w:type="dxa"/>
        </w:trPr>
        <w:tc>
          <w:tcPr>
            <w:tcW w:w="4342" w:type="dxa"/>
            <w:shd w:val="clear" w:color="auto" w:fill="A5C9EB" w:themeFill="text2" w:themeFillTint="40"/>
            <w:vAlign w:val="center"/>
            <w:hideMark/>
          </w:tcPr>
          <w:p w14:paraId="554792F7"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lastRenderedPageBreak/>
              <w:t>Statutory Diluted EPS (p)</w:t>
            </w:r>
          </w:p>
        </w:tc>
        <w:tc>
          <w:tcPr>
            <w:tcW w:w="1387" w:type="dxa"/>
            <w:shd w:val="clear" w:color="auto" w:fill="A5C9EB" w:themeFill="text2" w:themeFillTint="40"/>
            <w:vAlign w:val="center"/>
            <w:hideMark/>
          </w:tcPr>
          <w:p w14:paraId="35DDEA6B"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8.81</w:t>
            </w:r>
          </w:p>
        </w:tc>
        <w:tc>
          <w:tcPr>
            <w:tcW w:w="1388" w:type="dxa"/>
            <w:shd w:val="clear" w:color="auto" w:fill="A5C9EB" w:themeFill="text2" w:themeFillTint="40"/>
            <w:vAlign w:val="center"/>
            <w:hideMark/>
          </w:tcPr>
          <w:p w14:paraId="1D76D8CD"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24.53</w:t>
            </w:r>
          </w:p>
        </w:tc>
        <w:tc>
          <w:tcPr>
            <w:tcW w:w="1656" w:type="dxa"/>
            <w:shd w:val="clear" w:color="auto" w:fill="A5C9EB" w:themeFill="text2" w:themeFillTint="40"/>
            <w:vAlign w:val="center"/>
            <w:hideMark/>
          </w:tcPr>
          <w:p w14:paraId="7367E059"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+178.4%</w:t>
            </w:r>
          </w:p>
        </w:tc>
      </w:tr>
      <w:tr w:rsidR="008C773A" w:rsidRPr="008C773A" w14:paraId="6816B281" w14:textId="77777777" w:rsidTr="008C773A">
        <w:trPr>
          <w:tblCellSpacing w:w="15" w:type="dxa"/>
        </w:trPr>
        <w:tc>
          <w:tcPr>
            <w:tcW w:w="4342" w:type="dxa"/>
            <w:shd w:val="clear" w:color="auto" w:fill="A5C9EB" w:themeFill="text2" w:themeFillTint="40"/>
            <w:vAlign w:val="center"/>
            <w:hideMark/>
          </w:tcPr>
          <w:p w14:paraId="49CA1311"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Dividend per Share (p)</w:t>
            </w:r>
          </w:p>
        </w:tc>
        <w:tc>
          <w:tcPr>
            <w:tcW w:w="1387" w:type="dxa"/>
            <w:shd w:val="clear" w:color="auto" w:fill="A5C9EB" w:themeFill="text2" w:themeFillTint="40"/>
            <w:vAlign w:val="center"/>
            <w:hideMark/>
          </w:tcPr>
          <w:p w14:paraId="684A3D6D"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10.90</w:t>
            </w:r>
          </w:p>
        </w:tc>
        <w:tc>
          <w:tcPr>
            <w:tcW w:w="1388" w:type="dxa"/>
            <w:shd w:val="clear" w:color="auto" w:fill="A5C9EB" w:themeFill="text2" w:themeFillTint="40"/>
            <w:vAlign w:val="center"/>
            <w:hideMark/>
          </w:tcPr>
          <w:p w14:paraId="03237F07"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12.10</w:t>
            </w:r>
          </w:p>
        </w:tc>
        <w:tc>
          <w:tcPr>
            <w:tcW w:w="1656" w:type="dxa"/>
            <w:shd w:val="clear" w:color="auto" w:fill="A5C9EB" w:themeFill="text2" w:themeFillTint="40"/>
            <w:vAlign w:val="center"/>
            <w:hideMark/>
          </w:tcPr>
          <w:p w14:paraId="03CCEFC3"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+11.0%</w:t>
            </w:r>
          </w:p>
        </w:tc>
      </w:tr>
      <w:tr w:rsidR="008C773A" w:rsidRPr="008C773A" w14:paraId="4D7B6B47" w14:textId="77777777" w:rsidTr="008C773A">
        <w:trPr>
          <w:tblCellSpacing w:w="15" w:type="dxa"/>
        </w:trPr>
        <w:tc>
          <w:tcPr>
            <w:tcW w:w="4342" w:type="dxa"/>
            <w:shd w:val="clear" w:color="auto" w:fill="A5C9EB" w:themeFill="text2" w:themeFillTint="40"/>
            <w:vAlign w:val="center"/>
            <w:hideMark/>
          </w:tcPr>
          <w:p w14:paraId="49CAE535"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Retail Free Cash Flow (£m)</w:t>
            </w:r>
          </w:p>
        </w:tc>
        <w:tc>
          <w:tcPr>
            <w:tcW w:w="1387" w:type="dxa"/>
            <w:shd w:val="clear" w:color="auto" w:fill="A5C9EB" w:themeFill="text2" w:themeFillTint="40"/>
            <w:vAlign w:val="center"/>
            <w:hideMark/>
          </w:tcPr>
          <w:p w14:paraId="07C7F175"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2,133</w:t>
            </w:r>
          </w:p>
        </w:tc>
        <w:tc>
          <w:tcPr>
            <w:tcW w:w="1388" w:type="dxa"/>
            <w:shd w:val="clear" w:color="auto" w:fill="A5C9EB" w:themeFill="text2" w:themeFillTint="40"/>
            <w:vAlign w:val="center"/>
            <w:hideMark/>
          </w:tcPr>
          <w:p w14:paraId="1C86C8C2"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2,063</w:t>
            </w:r>
          </w:p>
        </w:tc>
        <w:tc>
          <w:tcPr>
            <w:tcW w:w="1656" w:type="dxa"/>
            <w:shd w:val="clear" w:color="auto" w:fill="A5C9EB" w:themeFill="text2" w:themeFillTint="40"/>
            <w:vAlign w:val="center"/>
            <w:hideMark/>
          </w:tcPr>
          <w:p w14:paraId="79D0773D"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-3.3%</w:t>
            </w:r>
          </w:p>
        </w:tc>
      </w:tr>
      <w:tr w:rsidR="008C773A" w:rsidRPr="008C773A" w14:paraId="2596C6F7" w14:textId="77777777" w:rsidTr="008C773A">
        <w:trPr>
          <w:tblCellSpacing w:w="15" w:type="dxa"/>
        </w:trPr>
        <w:tc>
          <w:tcPr>
            <w:tcW w:w="4342" w:type="dxa"/>
            <w:shd w:val="clear" w:color="auto" w:fill="A5C9EB" w:themeFill="text2" w:themeFillTint="40"/>
            <w:vAlign w:val="center"/>
            <w:hideMark/>
          </w:tcPr>
          <w:p w14:paraId="12CF500C"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Net Debt (£m)</w:t>
            </w:r>
          </w:p>
        </w:tc>
        <w:tc>
          <w:tcPr>
            <w:tcW w:w="1387" w:type="dxa"/>
            <w:shd w:val="clear" w:color="auto" w:fill="A5C9EB" w:themeFill="text2" w:themeFillTint="40"/>
            <w:vAlign w:val="center"/>
            <w:hideMark/>
          </w:tcPr>
          <w:p w14:paraId="363E9A40"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(10,493)</w:t>
            </w:r>
          </w:p>
        </w:tc>
        <w:tc>
          <w:tcPr>
            <w:tcW w:w="1388" w:type="dxa"/>
            <w:shd w:val="clear" w:color="auto" w:fill="A5C9EB" w:themeFill="text2" w:themeFillTint="40"/>
            <w:vAlign w:val="center"/>
            <w:hideMark/>
          </w:tcPr>
          <w:p w14:paraId="1AB06471"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(9,764)</w:t>
            </w:r>
          </w:p>
        </w:tc>
        <w:tc>
          <w:tcPr>
            <w:tcW w:w="1656" w:type="dxa"/>
            <w:shd w:val="clear" w:color="auto" w:fill="A5C9EB" w:themeFill="text2" w:themeFillTint="40"/>
            <w:vAlign w:val="center"/>
            <w:hideMark/>
          </w:tcPr>
          <w:p w14:paraId="7C09F8B2"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-6.9%</w:t>
            </w:r>
          </w:p>
        </w:tc>
      </w:tr>
      <w:tr w:rsidR="008C773A" w:rsidRPr="008C773A" w14:paraId="013A4727" w14:textId="77777777" w:rsidTr="008C773A">
        <w:trPr>
          <w:tblCellSpacing w:w="15" w:type="dxa"/>
        </w:trPr>
        <w:tc>
          <w:tcPr>
            <w:tcW w:w="4342" w:type="dxa"/>
            <w:shd w:val="clear" w:color="auto" w:fill="A5C9EB" w:themeFill="text2" w:themeFillTint="40"/>
            <w:vAlign w:val="center"/>
            <w:hideMark/>
          </w:tcPr>
          <w:p w14:paraId="245BC6C7"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UK Market Share (%)</w:t>
            </w:r>
          </w:p>
        </w:tc>
        <w:tc>
          <w:tcPr>
            <w:tcW w:w="1387" w:type="dxa"/>
            <w:shd w:val="clear" w:color="auto" w:fill="A5C9EB" w:themeFill="text2" w:themeFillTint="40"/>
            <w:vAlign w:val="center"/>
            <w:hideMark/>
          </w:tcPr>
          <w:p w14:paraId="6FE579FC"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27.3</w:t>
            </w:r>
          </w:p>
        </w:tc>
        <w:tc>
          <w:tcPr>
            <w:tcW w:w="1388" w:type="dxa"/>
            <w:shd w:val="clear" w:color="auto" w:fill="A5C9EB" w:themeFill="text2" w:themeFillTint="40"/>
            <w:vAlign w:val="center"/>
            <w:hideMark/>
          </w:tcPr>
          <w:p w14:paraId="5185B381"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27.6</w:t>
            </w:r>
          </w:p>
        </w:tc>
        <w:tc>
          <w:tcPr>
            <w:tcW w:w="1656" w:type="dxa"/>
            <w:shd w:val="clear" w:color="auto" w:fill="A5C9EB" w:themeFill="text2" w:themeFillTint="40"/>
            <w:vAlign w:val="center"/>
            <w:hideMark/>
          </w:tcPr>
          <w:p w14:paraId="1144388E"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+1.1%</w:t>
            </w:r>
          </w:p>
        </w:tc>
      </w:tr>
      <w:tr w:rsidR="008C773A" w:rsidRPr="008C773A" w14:paraId="01EF8AEA" w14:textId="77777777" w:rsidTr="008C773A">
        <w:trPr>
          <w:tblCellSpacing w:w="15" w:type="dxa"/>
        </w:trPr>
        <w:tc>
          <w:tcPr>
            <w:tcW w:w="4342" w:type="dxa"/>
            <w:shd w:val="clear" w:color="auto" w:fill="A5C9EB" w:themeFill="text2" w:themeFillTint="40"/>
            <w:vAlign w:val="center"/>
            <w:hideMark/>
          </w:tcPr>
          <w:p w14:paraId="33C8530C" w14:textId="77777777" w:rsidR="008C773A" w:rsidRPr="008C773A" w:rsidRDefault="008C773A" w:rsidP="008C773A">
            <w:pPr>
              <w:spacing w:after="0" w:line="240" w:lineRule="auto"/>
              <w:rPr>
                <w:rFonts w:ascii="Times New Roman" w:eastAsia="Times New Roman" w:hAnsi="Times New Roman" w:cs="Times New Roman"/>
                <w:b/>
                <w:bCs/>
                <w:kern w:val="0"/>
                <w:lang w:eastAsia="en-GB"/>
                <w14:ligatures w14:val="none"/>
              </w:rPr>
            </w:pPr>
            <w:r w:rsidRPr="008C773A">
              <w:rPr>
                <w:rFonts w:ascii="Times New Roman" w:eastAsia="Times New Roman" w:hAnsi="Times New Roman" w:cs="Times New Roman"/>
                <w:b/>
                <w:bCs/>
                <w:kern w:val="0"/>
                <w:lang w:eastAsia="en-GB"/>
                <w14:ligatures w14:val="none"/>
              </w:rPr>
              <w:t>Group Net Promoter Score</w:t>
            </w:r>
          </w:p>
        </w:tc>
        <w:tc>
          <w:tcPr>
            <w:tcW w:w="1387" w:type="dxa"/>
            <w:shd w:val="clear" w:color="auto" w:fill="A5C9EB" w:themeFill="text2" w:themeFillTint="40"/>
            <w:vAlign w:val="center"/>
            <w:hideMark/>
          </w:tcPr>
          <w:p w14:paraId="2726CFD3"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15</w:t>
            </w:r>
          </w:p>
        </w:tc>
        <w:tc>
          <w:tcPr>
            <w:tcW w:w="1388" w:type="dxa"/>
            <w:shd w:val="clear" w:color="auto" w:fill="A5C9EB" w:themeFill="text2" w:themeFillTint="40"/>
            <w:vAlign w:val="center"/>
            <w:hideMark/>
          </w:tcPr>
          <w:p w14:paraId="16FF962D"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19</w:t>
            </w:r>
          </w:p>
        </w:tc>
        <w:tc>
          <w:tcPr>
            <w:tcW w:w="1656" w:type="dxa"/>
            <w:shd w:val="clear" w:color="auto" w:fill="A5C9EB" w:themeFill="text2" w:themeFillTint="40"/>
            <w:vAlign w:val="center"/>
            <w:hideMark/>
          </w:tcPr>
          <w:p w14:paraId="6631073D" w14:textId="77777777" w:rsidR="008C773A" w:rsidRPr="008C773A" w:rsidRDefault="008C773A" w:rsidP="008C773A">
            <w:pPr>
              <w:spacing w:after="0" w:line="240" w:lineRule="auto"/>
              <w:rPr>
                <w:rFonts w:ascii="Times New Roman" w:eastAsia="Times New Roman" w:hAnsi="Times New Roman" w:cs="Times New Roman"/>
                <w:kern w:val="0"/>
                <w:lang w:eastAsia="en-GB"/>
                <w14:ligatures w14:val="none"/>
              </w:rPr>
            </w:pPr>
            <w:r w:rsidRPr="008C773A">
              <w:rPr>
                <w:rFonts w:ascii="Times New Roman" w:eastAsia="Times New Roman" w:hAnsi="Times New Roman" w:cs="Times New Roman"/>
                <w:kern w:val="0"/>
                <w:lang w:eastAsia="en-GB"/>
                <w14:ligatures w14:val="none"/>
              </w:rPr>
              <w:t>+26.7%</w:t>
            </w:r>
          </w:p>
        </w:tc>
      </w:tr>
    </w:tbl>
    <w:p w14:paraId="1BCDB76A" w14:textId="77777777" w:rsidR="008C773A" w:rsidRDefault="008C773A" w:rsidP="008C773A">
      <w:pPr>
        <w:spacing w:line="480" w:lineRule="auto"/>
        <w:rPr>
          <w:rFonts w:ascii="Times New Roman" w:hAnsi="Times New Roman" w:cs="Times New Roman"/>
        </w:rPr>
      </w:pPr>
    </w:p>
    <w:p w14:paraId="55E6A37C" w14:textId="77777777" w:rsidR="008C773A"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The substantial rise in profitability metrics, specifically operating profit and EPS, reflects the effectiveness of Tesco's strategy through economic uncertainty. The company remained positive in the face of cost pressure, benefitting </w:t>
      </w:r>
      <w:r w:rsidRPr="008C773A">
        <w:rPr>
          <w:rFonts w:ascii="Times New Roman" w:hAnsi="Times New Roman" w:cs="Times New Roman"/>
        </w:rPr>
        <w:t>from its</w:t>
      </w:r>
      <w:r w:rsidRPr="008C773A">
        <w:rPr>
          <w:rFonts w:ascii="Times New Roman" w:hAnsi="Times New Roman" w:cs="Times New Roman"/>
        </w:rPr>
        <w:t xml:space="preserve"> digital transformation and value-led pricing (Tesco PLC, 2024). </w:t>
      </w:r>
    </w:p>
    <w:p w14:paraId="76ED3507" w14:textId="6D15169B" w:rsidR="008C773A"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Ratio Analysis and Interpretation</w:t>
      </w:r>
    </w:p>
    <w:p w14:paraId="71043EA1" w14:textId="5D111B23" w:rsidR="008C773A"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Profitability Ratios</w:t>
      </w:r>
    </w:p>
    <w:p w14:paraId="16E9AF3B" w14:textId="77777777" w:rsidR="008C773A" w:rsidRDefault="008C773A" w:rsidP="008C773A">
      <w:pPr>
        <w:spacing w:line="480" w:lineRule="auto"/>
        <w:rPr>
          <w:rFonts w:ascii="Times New Roman" w:hAnsi="Times New Roman" w:cs="Times New Roman"/>
        </w:rPr>
      </w:pPr>
      <w:r w:rsidRPr="008C773A">
        <w:rPr>
          <w:rFonts w:ascii="Times New Roman" w:hAnsi="Times New Roman" w:cs="Times New Roman"/>
        </w:rPr>
        <w:t>Tesco's operating profit margin increased from 2.46% in 2023 to 4.59% in 2024 which demonstrates improved control of operating costs and enhanced core business performance. In support of this ratio's relevance, Dyson (2010) asserted that operational profitability is a critical measure of the efficiency of a business's operation. Tesco's ability to increase margin while increasing revenues indicates both resilience and operational maturity (Dyson, 2010). Adjusted operating profit margin increased from 4.39% to 4.60%, indicating that even while excluding extraordinary items, Tesco is reporting higher profitability. Both ratios indicate that core operations exhibit improved efficiency and profitability characteristics required for sustainability in long-term viability (</w:t>
      </w:r>
      <w:proofErr w:type="spellStart"/>
      <w:r w:rsidRPr="008C773A">
        <w:rPr>
          <w:rFonts w:ascii="Times New Roman" w:hAnsi="Times New Roman" w:cs="Times New Roman"/>
        </w:rPr>
        <w:t>Hasidi</w:t>
      </w:r>
      <w:proofErr w:type="spellEnd"/>
      <w:r w:rsidRPr="008C773A">
        <w:rPr>
          <w:rFonts w:ascii="Times New Roman" w:hAnsi="Times New Roman" w:cs="Times New Roman"/>
        </w:rPr>
        <w:t xml:space="preserve">, </w:t>
      </w:r>
      <w:proofErr w:type="spellStart"/>
      <w:r w:rsidRPr="008C773A">
        <w:rPr>
          <w:rFonts w:ascii="Times New Roman" w:hAnsi="Times New Roman" w:cs="Times New Roman"/>
        </w:rPr>
        <w:t>Baheri</w:t>
      </w:r>
      <w:proofErr w:type="spellEnd"/>
      <w:r w:rsidRPr="008C773A">
        <w:rPr>
          <w:rFonts w:ascii="Times New Roman" w:hAnsi="Times New Roman" w:cs="Times New Roman"/>
        </w:rPr>
        <w:t xml:space="preserve"> &amp; Hajar, 2024).</w:t>
      </w:r>
    </w:p>
    <w:p w14:paraId="6804FE74" w14:textId="77777777" w:rsidR="008C773A"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Earnings Per Share (EPS)</w:t>
      </w:r>
    </w:p>
    <w:p w14:paraId="655F0B4B" w14:textId="77777777" w:rsidR="007F6DC6"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The adjusted EPS increased by 14%, rising from 20.53p to 23.41p, and the statutory EPS increased by over 178% driven by lower exceptional losses and strong revenue growth. EPS </w:t>
      </w:r>
      <w:r w:rsidRPr="008C773A">
        <w:rPr>
          <w:rFonts w:ascii="Times New Roman" w:hAnsi="Times New Roman" w:cs="Times New Roman"/>
        </w:rPr>
        <w:lastRenderedPageBreak/>
        <w:t>is a key measure of the return to shareholders and is frequently used by analysts as a measure of the value of a company (Ohlson, 1995). The high EPS increase indicates that Tesco’s profits were not simply for show, but were instead distributed to shareholders (Ohlson, 1995</w:t>
      </w:r>
      <w:r w:rsidR="007F6DC6" w:rsidRPr="008C773A">
        <w:rPr>
          <w:rFonts w:ascii="Times New Roman" w:hAnsi="Times New Roman" w:cs="Times New Roman"/>
        </w:rPr>
        <w:t>). To</w:t>
      </w:r>
      <w:r w:rsidRPr="008C773A">
        <w:rPr>
          <w:rFonts w:ascii="Times New Roman" w:hAnsi="Times New Roman" w:cs="Times New Roman"/>
        </w:rPr>
        <w:t xml:space="preserve"> add, the improvement in EPS indicates that Tesco has a balance in creating shareholder value, reinvestment and cost rationali</w:t>
      </w:r>
      <w:r w:rsidR="007F6DC6">
        <w:rPr>
          <w:rFonts w:ascii="Times New Roman" w:hAnsi="Times New Roman" w:cs="Times New Roman"/>
        </w:rPr>
        <w:t>s</w:t>
      </w:r>
      <w:r w:rsidRPr="008C773A">
        <w:rPr>
          <w:rFonts w:ascii="Times New Roman" w:hAnsi="Times New Roman" w:cs="Times New Roman"/>
        </w:rPr>
        <w:t xml:space="preserve">ation - traits often exhibited by high performing companies (Bisht, 2021). </w:t>
      </w:r>
    </w:p>
    <w:p w14:paraId="6EF9CA4A" w14:textId="77777777" w:rsidR="007F6DC6"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Liquidity and Leverage Ratios</w:t>
      </w:r>
    </w:p>
    <w:p w14:paraId="4884B26D" w14:textId="6899F9F4" w:rsidR="007F6DC6"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Tesco’s net debt improved from </w:t>
      </w:r>
      <w:r w:rsidR="007F6DC6" w:rsidRPr="008C773A">
        <w:rPr>
          <w:rFonts w:ascii="Times New Roman" w:hAnsi="Times New Roman" w:cs="Times New Roman"/>
        </w:rPr>
        <w:t>£ (</w:t>
      </w:r>
      <w:r w:rsidRPr="008C773A">
        <w:rPr>
          <w:rFonts w:ascii="Times New Roman" w:hAnsi="Times New Roman" w:cs="Times New Roman"/>
        </w:rPr>
        <w:t xml:space="preserve">10.49) billion in 2023 to </w:t>
      </w:r>
      <w:r w:rsidR="007F6DC6" w:rsidRPr="008C773A">
        <w:rPr>
          <w:rFonts w:ascii="Times New Roman" w:hAnsi="Times New Roman" w:cs="Times New Roman"/>
        </w:rPr>
        <w:t>£ (</w:t>
      </w:r>
      <w:r w:rsidRPr="008C773A">
        <w:rPr>
          <w:rFonts w:ascii="Times New Roman" w:hAnsi="Times New Roman" w:cs="Times New Roman"/>
        </w:rPr>
        <w:t>9.76) billion in 2024, representing a 6.9% improvement. Reducing debt increases the degree of freedom regarding creditworthiness, reinvestment, and dividend pay-outs. Effective management of liquidity contributes to profitability by reducing the risk of financial distress (Madushanka &amp; Jathurika, 2018). Tesco’s lower net debt suggests effective planning and is particularly after the sale of Tesco Bank (Madushanka &amp; Jathurika, 2018).</w:t>
      </w:r>
    </w:p>
    <w:p w14:paraId="6B8489EF" w14:textId="77777777" w:rsidR="007F6DC6" w:rsidRDefault="008C773A" w:rsidP="008C773A">
      <w:pPr>
        <w:spacing w:line="480" w:lineRule="auto"/>
        <w:rPr>
          <w:rFonts w:ascii="Times New Roman" w:hAnsi="Times New Roman" w:cs="Times New Roman"/>
        </w:rPr>
      </w:pPr>
      <w:r w:rsidRPr="008C773A">
        <w:rPr>
          <w:rFonts w:ascii="Times New Roman" w:hAnsi="Times New Roman" w:cs="Times New Roman"/>
        </w:rPr>
        <w:t>Retail Free Cash Flow decreased modestly from £2,133m to £2,063m, representing a 3.3% decrease. While this would suggest increased capital expenditure or investment, it is still a healthy amount of free cash flow. Positive free cash flow or cash liquidity provides freedom to invest and stability during volatile periods (Bisht, 2021). Even though Tesco had higher cash outflows for investments in logistics and sustainability, it still reflects financial health (Bisht, 2021).</w:t>
      </w:r>
    </w:p>
    <w:p w14:paraId="4FE4BE89" w14:textId="77777777" w:rsidR="007F6DC6"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Market Position and Customer Loyalty</w:t>
      </w:r>
    </w:p>
    <w:p w14:paraId="47F118B0" w14:textId="136BF663" w:rsidR="007F6DC6"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Tesco's UK market share increased slightly from 27.3% to 27.6%, which indicates the strength of its position in the competitive grocery marketplace. </w:t>
      </w:r>
      <w:r w:rsidR="0070271E" w:rsidRPr="0070271E">
        <w:rPr>
          <w:rFonts w:ascii="Times New Roman" w:hAnsi="Times New Roman" w:cs="Times New Roman"/>
        </w:rPr>
        <w:t>A</w:t>
      </w:r>
      <w:r w:rsidR="0070271E">
        <w:rPr>
          <w:rFonts w:ascii="Times New Roman" w:hAnsi="Times New Roman" w:cs="Times New Roman"/>
        </w:rPr>
        <w:t xml:space="preserve"> </w:t>
      </w:r>
      <w:r w:rsidR="0070271E" w:rsidRPr="0070271E">
        <w:rPr>
          <w:rFonts w:ascii="Times New Roman" w:hAnsi="Times New Roman" w:cs="Times New Roman"/>
        </w:rPr>
        <w:t xml:space="preserve">sustained increase in market share is evidence of customer trust and an effective management of supply chains. This increase in share is further accentuated by Tesco's commitment to customer value via Aldi </w:t>
      </w:r>
      <w:r w:rsidR="0070271E" w:rsidRPr="0070271E">
        <w:rPr>
          <w:rFonts w:ascii="Times New Roman" w:hAnsi="Times New Roman" w:cs="Times New Roman"/>
        </w:rPr>
        <w:lastRenderedPageBreak/>
        <w:t>Price Match, and Clubcard Prices providing meaningful price alignment in areas such as groceries (</w:t>
      </w:r>
      <w:proofErr w:type="spellStart"/>
      <w:r w:rsidR="0070271E" w:rsidRPr="0070271E">
        <w:rPr>
          <w:rFonts w:ascii="Times New Roman" w:hAnsi="Times New Roman" w:cs="Times New Roman"/>
        </w:rPr>
        <w:t>Benrqya</w:t>
      </w:r>
      <w:proofErr w:type="spellEnd"/>
      <w:r w:rsidR="0070271E" w:rsidRPr="0070271E">
        <w:rPr>
          <w:rFonts w:ascii="Times New Roman" w:hAnsi="Times New Roman" w:cs="Times New Roman"/>
        </w:rPr>
        <w:t xml:space="preserve"> &amp; </w:t>
      </w:r>
      <w:proofErr w:type="spellStart"/>
      <w:r w:rsidR="0070271E" w:rsidRPr="0070271E">
        <w:rPr>
          <w:rFonts w:ascii="Times New Roman" w:hAnsi="Times New Roman" w:cs="Times New Roman"/>
        </w:rPr>
        <w:t>Jabbouri</w:t>
      </w:r>
      <w:proofErr w:type="spellEnd"/>
      <w:r w:rsidR="0070271E" w:rsidRPr="0070271E">
        <w:rPr>
          <w:rFonts w:ascii="Times New Roman" w:hAnsi="Times New Roman" w:cs="Times New Roman"/>
        </w:rPr>
        <w:t>, 2021).</w:t>
      </w:r>
    </w:p>
    <w:p w14:paraId="7F11D90E" w14:textId="77777777" w:rsidR="007F6DC6" w:rsidRDefault="008C773A" w:rsidP="008C773A">
      <w:pPr>
        <w:spacing w:line="480" w:lineRule="auto"/>
        <w:rPr>
          <w:rFonts w:ascii="Times New Roman" w:hAnsi="Times New Roman" w:cs="Times New Roman"/>
        </w:rPr>
      </w:pPr>
      <w:r w:rsidRPr="008C773A">
        <w:rPr>
          <w:rFonts w:ascii="Times New Roman" w:hAnsi="Times New Roman" w:cs="Times New Roman"/>
        </w:rPr>
        <w:t>The Net Promoter Score (NPS), which is a proxy for customer satisfaction and loyalty, has improved over the previous year from 15 to 19. In Choi and Wang's (2009) view, customer satisfaction is the key driver of long-term financial performance, apart from financial success. Tesco has made significant investment in customer data science which has helped them become more personali</w:t>
      </w:r>
      <w:r w:rsidR="007F6DC6">
        <w:rPr>
          <w:rFonts w:ascii="Times New Roman" w:hAnsi="Times New Roman" w:cs="Times New Roman"/>
        </w:rPr>
        <w:t>s</w:t>
      </w:r>
      <w:r w:rsidRPr="008C773A">
        <w:rPr>
          <w:rFonts w:ascii="Times New Roman" w:hAnsi="Times New Roman" w:cs="Times New Roman"/>
        </w:rPr>
        <w:t>ed through Dunnhumby and improved their online customer experience, all of which contributes to improved NPS (Choi &amp; Wang, 2009).</w:t>
      </w:r>
    </w:p>
    <w:p w14:paraId="0269B240" w14:textId="77777777" w:rsidR="007F6DC6"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Strategic Interpretation of Performance</w:t>
      </w:r>
    </w:p>
    <w:p w14:paraId="7AB02BBE" w14:textId="77777777" w:rsidR="007F6DC6" w:rsidRDefault="008C773A" w:rsidP="008C773A">
      <w:pPr>
        <w:spacing w:line="480" w:lineRule="auto"/>
        <w:rPr>
          <w:rFonts w:ascii="Times New Roman" w:hAnsi="Times New Roman" w:cs="Times New Roman"/>
        </w:rPr>
      </w:pPr>
      <w:r w:rsidRPr="008C773A">
        <w:rPr>
          <w:rFonts w:ascii="Times New Roman" w:hAnsi="Times New Roman" w:cs="Times New Roman"/>
        </w:rPr>
        <w:t>One of the most evident indicators of Tesco's capacity of strategy is the increase in statutory profit before tax, from £882 million to £2.289 billion (159.5%). Improvements in margins, disciplined cost management, and exiting the credit &amp; loans division of Tesco Bank, certainly helped to create this increase in profitability in such a short timeframe. As noted by Li (2023) divestiture such as those noted are purposefully executed during transitions to new accounting standards like IFRS 16, as it helps to simply a balance sheet and improve cash flow (Li, 2023).</w:t>
      </w:r>
    </w:p>
    <w:p w14:paraId="6D8E4A84" w14:textId="7FC47F34" w:rsidR="007F6DC6" w:rsidRDefault="008C773A" w:rsidP="008C773A">
      <w:pPr>
        <w:spacing w:line="480" w:lineRule="auto"/>
        <w:rPr>
          <w:rFonts w:ascii="Times New Roman" w:hAnsi="Times New Roman" w:cs="Times New Roman"/>
        </w:rPr>
      </w:pPr>
      <w:r w:rsidRPr="008C773A">
        <w:rPr>
          <w:rFonts w:ascii="Times New Roman" w:hAnsi="Times New Roman" w:cs="Times New Roman"/>
        </w:rPr>
        <w:t>Operationally, Tesco has continued to achieve or exceed its £1.2bn cost-savings target, enhanced the online delivery area, and launched more than 1,400 " Whoosh" rapid delivery.</w:t>
      </w:r>
      <w:r w:rsidR="007F6DC6">
        <w:rPr>
          <w:rFonts w:ascii="Times New Roman" w:hAnsi="Times New Roman" w:cs="Times New Roman"/>
        </w:rPr>
        <w:t xml:space="preserve"> </w:t>
      </w:r>
      <w:r w:rsidRPr="008C773A">
        <w:rPr>
          <w:rFonts w:ascii="Times New Roman" w:hAnsi="Times New Roman" w:cs="Times New Roman"/>
        </w:rPr>
        <w:t xml:space="preserve">These initiatives not only develop revenue </w:t>
      </w:r>
      <w:r w:rsidR="007F6DC6" w:rsidRPr="008C773A">
        <w:rPr>
          <w:rFonts w:ascii="Times New Roman" w:hAnsi="Times New Roman" w:cs="Times New Roman"/>
        </w:rPr>
        <w:t>streams but</w:t>
      </w:r>
      <w:r w:rsidRPr="008C773A">
        <w:rPr>
          <w:rFonts w:ascii="Times New Roman" w:hAnsi="Times New Roman" w:cs="Times New Roman"/>
        </w:rPr>
        <w:t xml:space="preserve"> reinforce Tesco’s sustainability effort through electric delivery vans which reduces carbon footprints (Tesco PLC, 2024; Türkmen, 2014).</w:t>
      </w:r>
    </w:p>
    <w:p w14:paraId="1A535A4D" w14:textId="77777777" w:rsidR="007F6DC6" w:rsidRDefault="007F6DC6" w:rsidP="008C773A">
      <w:pPr>
        <w:spacing w:line="480" w:lineRule="auto"/>
        <w:rPr>
          <w:rFonts w:ascii="Times New Roman" w:hAnsi="Times New Roman" w:cs="Times New Roman"/>
        </w:rPr>
      </w:pPr>
    </w:p>
    <w:p w14:paraId="65E3CBB3" w14:textId="77777777" w:rsidR="007F6DC6" w:rsidRDefault="007F6DC6" w:rsidP="008C773A">
      <w:pPr>
        <w:spacing w:line="480" w:lineRule="auto"/>
        <w:rPr>
          <w:rFonts w:ascii="Times New Roman" w:hAnsi="Times New Roman" w:cs="Times New Roman"/>
        </w:rPr>
      </w:pPr>
    </w:p>
    <w:p w14:paraId="4740D272" w14:textId="77777777" w:rsidR="007F6DC6"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lastRenderedPageBreak/>
        <w:t>Strategic Suggestions</w:t>
      </w:r>
    </w:p>
    <w:p w14:paraId="6F1B48F1" w14:textId="658F6B82" w:rsidR="007F6DC6"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Increase investment into AI and digital</w:t>
      </w:r>
      <w:r w:rsidR="007F6DC6" w:rsidRPr="00743203">
        <w:rPr>
          <w:rFonts w:ascii="Times New Roman" w:hAnsi="Times New Roman" w:cs="Times New Roman"/>
          <w:b/>
          <w:bCs/>
        </w:rPr>
        <w:t xml:space="preserve"> infrastructure</w:t>
      </w:r>
    </w:p>
    <w:p w14:paraId="2F3A5231" w14:textId="77777777" w:rsidR="007F6DC6" w:rsidRDefault="008C773A" w:rsidP="008C773A">
      <w:pPr>
        <w:spacing w:line="480" w:lineRule="auto"/>
        <w:rPr>
          <w:rFonts w:ascii="Times New Roman" w:hAnsi="Times New Roman" w:cs="Times New Roman"/>
        </w:rPr>
      </w:pPr>
      <w:r w:rsidRPr="008C773A">
        <w:rPr>
          <w:rFonts w:ascii="Times New Roman" w:hAnsi="Times New Roman" w:cs="Times New Roman"/>
        </w:rPr>
        <w:t>To improve customer segmentation, demand forecasting, and dynamic pricing, Tesco needs to increase AI and digital infrastructure (</w:t>
      </w:r>
      <w:proofErr w:type="spellStart"/>
      <w:r w:rsidRPr="008C773A">
        <w:rPr>
          <w:rFonts w:ascii="Times New Roman" w:hAnsi="Times New Roman" w:cs="Times New Roman"/>
        </w:rPr>
        <w:t>Antreas</w:t>
      </w:r>
      <w:proofErr w:type="spellEnd"/>
      <w:r w:rsidRPr="008C773A">
        <w:rPr>
          <w:rFonts w:ascii="Times New Roman" w:hAnsi="Times New Roman" w:cs="Times New Roman"/>
        </w:rPr>
        <w:t xml:space="preserve"> &amp; Ballantine, 2017). Dunnhumby supports big data personali</w:t>
      </w:r>
      <w:r w:rsidR="007F6DC6">
        <w:rPr>
          <w:rFonts w:ascii="Times New Roman" w:hAnsi="Times New Roman" w:cs="Times New Roman"/>
        </w:rPr>
        <w:t>s</w:t>
      </w:r>
      <w:r w:rsidRPr="008C773A">
        <w:rPr>
          <w:rFonts w:ascii="Times New Roman" w:hAnsi="Times New Roman" w:cs="Times New Roman"/>
        </w:rPr>
        <w:t>ation which Tesco could further improve upon to increase conversion and decrease churn.</w:t>
      </w:r>
    </w:p>
    <w:p w14:paraId="3B446985" w14:textId="744AFE08" w:rsidR="007F6DC6"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Moneti</w:t>
      </w:r>
      <w:r w:rsidR="007F6DC6" w:rsidRPr="00743203">
        <w:rPr>
          <w:rFonts w:ascii="Times New Roman" w:hAnsi="Times New Roman" w:cs="Times New Roman"/>
          <w:b/>
          <w:bCs/>
        </w:rPr>
        <w:t>s</w:t>
      </w:r>
      <w:r w:rsidRPr="00743203">
        <w:rPr>
          <w:rFonts w:ascii="Times New Roman" w:hAnsi="Times New Roman" w:cs="Times New Roman"/>
          <w:b/>
          <w:bCs/>
        </w:rPr>
        <w:t>e ESG</w:t>
      </w:r>
    </w:p>
    <w:p w14:paraId="56DE98DA" w14:textId="32B12D25" w:rsidR="0070271E" w:rsidRDefault="008C773A" w:rsidP="008C773A">
      <w:pPr>
        <w:spacing w:line="480" w:lineRule="auto"/>
        <w:rPr>
          <w:rFonts w:ascii="Times New Roman" w:hAnsi="Times New Roman" w:cs="Times New Roman"/>
        </w:rPr>
      </w:pPr>
      <w:r w:rsidRPr="008C773A">
        <w:rPr>
          <w:rFonts w:ascii="Times New Roman" w:hAnsi="Times New Roman" w:cs="Times New Roman"/>
        </w:rPr>
        <w:t xml:space="preserve">Tesco has eliminated over 2.3 billion pieces of plastic and has started </w:t>
      </w:r>
      <w:r w:rsidR="0070271E" w:rsidRPr="008C773A">
        <w:rPr>
          <w:rFonts w:ascii="Times New Roman" w:hAnsi="Times New Roman" w:cs="Times New Roman"/>
        </w:rPr>
        <w:t>biofuel</w:t>
      </w:r>
      <w:r w:rsidRPr="008C773A">
        <w:rPr>
          <w:rFonts w:ascii="Times New Roman" w:hAnsi="Times New Roman" w:cs="Times New Roman"/>
        </w:rPr>
        <w:t xml:space="preserve"> initiatives, moving toward standardi</w:t>
      </w:r>
      <w:r w:rsidR="007F6DC6">
        <w:rPr>
          <w:rFonts w:ascii="Times New Roman" w:hAnsi="Times New Roman" w:cs="Times New Roman"/>
        </w:rPr>
        <w:t>s</w:t>
      </w:r>
      <w:r w:rsidRPr="008C773A">
        <w:rPr>
          <w:rFonts w:ascii="Times New Roman" w:hAnsi="Times New Roman" w:cs="Times New Roman"/>
        </w:rPr>
        <w:t xml:space="preserve">ed green product lines and carbon </w:t>
      </w:r>
      <w:r w:rsidR="007F6DC6" w:rsidRPr="008C773A">
        <w:rPr>
          <w:rFonts w:ascii="Times New Roman" w:hAnsi="Times New Roman" w:cs="Times New Roman"/>
        </w:rPr>
        <w:t>labelled</w:t>
      </w:r>
      <w:r w:rsidRPr="008C773A">
        <w:rPr>
          <w:rFonts w:ascii="Times New Roman" w:hAnsi="Times New Roman" w:cs="Times New Roman"/>
        </w:rPr>
        <w:t xml:space="preserve"> products would enable Tesco to moneti</w:t>
      </w:r>
      <w:r w:rsidR="007F6DC6">
        <w:rPr>
          <w:rFonts w:ascii="Times New Roman" w:hAnsi="Times New Roman" w:cs="Times New Roman"/>
        </w:rPr>
        <w:t>s</w:t>
      </w:r>
      <w:r w:rsidRPr="008C773A">
        <w:rPr>
          <w:rFonts w:ascii="Times New Roman" w:hAnsi="Times New Roman" w:cs="Times New Roman"/>
        </w:rPr>
        <w:t>e its sustainability initiatives. Sughra (2019) found a direct relationship between CSR and financial performance within the UK retail sector (Sughra, 2019).</w:t>
      </w:r>
    </w:p>
    <w:p w14:paraId="2684FC77" w14:textId="77777777" w:rsidR="0070271E"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Expand strategic financial partnerships</w:t>
      </w:r>
    </w:p>
    <w:p w14:paraId="6ED98A6E" w14:textId="77777777" w:rsidR="0070271E" w:rsidRDefault="008C773A" w:rsidP="008C773A">
      <w:pPr>
        <w:spacing w:line="480" w:lineRule="auto"/>
        <w:rPr>
          <w:rFonts w:ascii="Times New Roman" w:hAnsi="Times New Roman" w:cs="Times New Roman"/>
        </w:rPr>
      </w:pPr>
      <w:r w:rsidRPr="008C773A">
        <w:rPr>
          <w:rFonts w:ascii="Times New Roman" w:hAnsi="Times New Roman" w:cs="Times New Roman"/>
        </w:rPr>
        <w:t>The Tesco-Barclays partnership should be leveraged to develop innovative financial products such as co-branded credit cards or personal finance management tools, while limiting full exposure to regulatory difficulties (Li, 2023).</w:t>
      </w:r>
    </w:p>
    <w:p w14:paraId="6E0EAC85" w14:textId="350E48B7" w:rsidR="0070271E"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t>Optimi</w:t>
      </w:r>
      <w:r w:rsidR="00743203">
        <w:rPr>
          <w:rFonts w:ascii="Times New Roman" w:hAnsi="Times New Roman" w:cs="Times New Roman"/>
          <w:b/>
          <w:bCs/>
        </w:rPr>
        <w:t>s</w:t>
      </w:r>
      <w:r w:rsidRPr="00743203">
        <w:rPr>
          <w:rFonts w:ascii="Times New Roman" w:hAnsi="Times New Roman" w:cs="Times New Roman"/>
          <w:b/>
          <w:bCs/>
        </w:rPr>
        <w:t>e Working Capital</w:t>
      </w:r>
    </w:p>
    <w:p w14:paraId="7850F55D" w14:textId="77777777" w:rsidR="0070271E" w:rsidRDefault="008C773A" w:rsidP="008C773A">
      <w:pPr>
        <w:spacing w:line="480" w:lineRule="auto"/>
        <w:rPr>
          <w:rFonts w:ascii="Times New Roman" w:hAnsi="Times New Roman" w:cs="Times New Roman"/>
        </w:rPr>
      </w:pPr>
      <w:r w:rsidRPr="008C773A">
        <w:rPr>
          <w:rFonts w:ascii="Times New Roman" w:hAnsi="Times New Roman" w:cs="Times New Roman"/>
        </w:rPr>
        <w:t>Tesco should improv​e liquidity by reducing inventory days and expediting timely supplier payments. Releasing additional cash flow will help in strategic investments for technology and leading retail formats (Bisht, 2021; Dyson, 2010).</w:t>
      </w:r>
    </w:p>
    <w:p w14:paraId="3A017F50" w14:textId="77777777" w:rsidR="0070271E" w:rsidRDefault="0070271E" w:rsidP="008C773A">
      <w:pPr>
        <w:spacing w:line="480" w:lineRule="auto"/>
        <w:rPr>
          <w:rFonts w:ascii="Times New Roman" w:hAnsi="Times New Roman" w:cs="Times New Roman"/>
        </w:rPr>
      </w:pPr>
    </w:p>
    <w:p w14:paraId="077920A8" w14:textId="77777777" w:rsidR="0070271E" w:rsidRDefault="0070271E" w:rsidP="008C773A">
      <w:pPr>
        <w:spacing w:line="480" w:lineRule="auto"/>
        <w:rPr>
          <w:rFonts w:ascii="Times New Roman" w:hAnsi="Times New Roman" w:cs="Times New Roman"/>
        </w:rPr>
      </w:pPr>
    </w:p>
    <w:p w14:paraId="4394991D" w14:textId="77777777" w:rsidR="0070271E" w:rsidRDefault="0070271E" w:rsidP="008C773A">
      <w:pPr>
        <w:spacing w:line="480" w:lineRule="auto"/>
        <w:rPr>
          <w:rFonts w:ascii="Times New Roman" w:hAnsi="Times New Roman" w:cs="Times New Roman"/>
        </w:rPr>
      </w:pPr>
    </w:p>
    <w:p w14:paraId="0C1E3D85" w14:textId="4CE68BF8" w:rsidR="0070271E"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lastRenderedPageBreak/>
        <w:t>Strengthen Corporate Governance transparency</w:t>
      </w:r>
    </w:p>
    <w:p w14:paraId="61B00C92" w14:textId="77777777" w:rsidR="0070271E" w:rsidRDefault="008C773A" w:rsidP="008C773A">
      <w:pPr>
        <w:spacing w:line="480" w:lineRule="auto"/>
        <w:rPr>
          <w:rFonts w:ascii="Times New Roman" w:hAnsi="Times New Roman" w:cs="Times New Roman"/>
        </w:rPr>
      </w:pPr>
      <w:r w:rsidRPr="008C773A">
        <w:rPr>
          <w:rFonts w:ascii="Times New Roman" w:hAnsi="Times New Roman" w:cs="Times New Roman"/>
        </w:rPr>
        <w:t>High levels of transparency, board diversity, and stakeholder communication ensure ongoing investor confidence. Ismail (2017) contended that corporate governance qualifies risk while supporting continued performance consistency (Ismail, 2017).</w:t>
      </w:r>
    </w:p>
    <w:p w14:paraId="5E7191FA" w14:textId="77777777" w:rsidR="00743203" w:rsidRDefault="00743203" w:rsidP="008C773A">
      <w:pPr>
        <w:spacing w:line="480" w:lineRule="auto"/>
        <w:rPr>
          <w:rFonts w:ascii="Times New Roman" w:hAnsi="Times New Roman" w:cs="Times New Roman"/>
        </w:rPr>
      </w:pPr>
    </w:p>
    <w:p w14:paraId="24EC4008" w14:textId="77777777" w:rsidR="00743203" w:rsidRDefault="00743203" w:rsidP="008C773A">
      <w:pPr>
        <w:spacing w:line="480" w:lineRule="auto"/>
        <w:rPr>
          <w:rFonts w:ascii="Times New Roman" w:hAnsi="Times New Roman" w:cs="Times New Roman"/>
        </w:rPr>
      </w:pPr>
    </w:p>
    <w:p w14:paraId="28608B65" w14:textId="77777777" w:rsidR="00743203" w:rsidRDefault="00743203" w:rsidP="008C773A">
      <w:pPr>
        <w:spacing w:line="480" w:lineRule="auto"/>
        <w:rPr>
          <w:rFonts w:ascii="Times New Roman" w:hAnsi="Times New Roman" w:cs="Times New Roman"/>
        </w:rPr>
      </w:pPr>
    </w:p>
    <w:p w14:paraId="49C6F199" w14:textId="77777777" w:rsidR="00743203" w:rsidRDefault="00743203" w:rsidP="008C773A">
      <w:pPr>
        <w:spacing w:line="480" w:lineRule="auto"/>
        <w:rPr>
          <w:rFonts w:ascii="Times New Roman" w:hAnsi="Times New Roman" w:cs="Times New Roman"/>
        </w:rPr>
      </w:pPr>
    </w:p>
    <w:p w14:paraId="62144CEC" w14:textId="77777777" w:rsidR="00743203" w:rsidRDefault="00743203" w:rsidP="008C773A">
      <w:pPr>
        <w:spacing w:line="480" w:lineRule="auto"/>
        <w:rPr>
          <w:rFonts w:ascii="Times New Roman" w:hAnsi="Times New Roman" w:cs="Times New Roman"/>
        </w:rPr>
      </w:pPr>
    </w:p>
    <w:p w14:paraId="5996D523" w14:textId="77777777" w:rsidR="00743203" w:rsidRDefault="00743203" w:rsidP="008C773A">
      <w:pPr>
        <w:spacing w:line="480" w:lineRule="auto"/>
        <w:rPr>
          <w:rFonts w:ascii="Times New Roman" w:hAnsi="Times New Roman" w:cs="Times New Roman"/>
        </w:rPr>
      </w:pPr>
    </w:p>
    <w:p w14:paraId="3FD038CA" w14:textId="77777777" w:rsidR="00743203" w:rsidRDefault="00743203" w:rsidP="008C773A">
      <w:pPr>
        <w:spacing w:line="480" w:lineRule="auto"/>
        <w:rPr>
          <w:rFonts w:ascii="Times New Roman" w:hAnsi="Times New Roman" w:cs="Times New Roman"/>
        </w:rPr>
      </w:pPr>
    </w:p>
    <w:p w14:paraId="7D138D08" w14:textId="77777777" w:rsidR="00743203" w:rsidRDefault="00743203" w:rsidP="008C773A">
      <w:pPr>
        <w:spacing w:line="480" w:lineRule="auto"/>
        <w:rPr>
          <w:rFonts w:ascii="Times New Roman" w:hAnsi="Times New Roman" w:cs="Times New Roman"/>
        </w:rPr>
      </w:pPr>
    </w:p>
    <w:p w14:paraId="5DC32802" w14:textId="77777777" w:rsidR="00743203" w:rsidRDefault="00743203" w:rsidP="008C773A">
      <w:pPr>
        <w:spacing w:line="480" w:lineRule="auto"/>
        <w:rPr>
          <w:rFonts w:ascii="Times New Roman" w:hAnsi="Times New Roman" w:cs="Times New Roman"/>
        </w:rPr>
      </w:pPr>
    </w:p>
    <w:p w14:paraId="7007630C" w14:textId="77777777" w:rsidR="00743203" w:rsidRDefault="00743203" w:rsidP="008C773A">
      <w:pPr>
        <w:spacing w:line="480" w:lineRule="auto"/>
        <w:rPr>
          <w:rFonts w:ascii="Times New Roman" w:hAnsi="Times New Roman" w:cs="Times New Roman"/>
        </w:rPr>
      </w:pPr>
    </w:p>
    <w:p w14:paraId="68A2BD93" w14:textId="77777777" w:rsidR="00743203" w:rsidRDefault="00743203" w:rsidP="008C773A">
      <w:pPr>
        <w:spacing w:line="480" w:lineRule="auto"/>
        <w:rPr>
          <w:rFonts w:ascii="Times New Roman" w:hAnsi="Times New Roman" w:cs="Times New Roman"/>
        </w:rPr>
      </w:pPr>
    </w:p>
    <w:p w14:paraId="77E9B67D" w14:textId="77777777" w:rsidR="00743203" w:rsidRDefault="00743203" w:rsidP="008C773A">
      <w:pPr>
        <w:spacing w:line="480" w:lineRule="auto"/>
        <w:rPr>
          <w:rFonts w:ascii="Times New Roman" w:hAnsi="Times New Roman" w:cs="Times New Roman"/>
        </w:rPr>
      </w:pPr>
    </w:p>
    <w:p w14:paraId="27598D10" w14:textId="77777777" w:rsidR="00743203" w:rsidRDefault="00743203" w:rsidP="008C773A">
      <w:pPr>
        <w:spacing w:line="480" w:lineRule="auto"/>
        <w:rPr>
          <w:rFonts w:ascii="Times New Roman" w:hAnsi="Times New Roman" w:cs="Times New Roman"/>
        </w:rPr>
      </w:pPr>
    </w:p>
    <w:p w14:paraId="654AB4AE" w14:textId="77777777" w:rsidR="00743203" w:rsidRDefault="00743203" w:rsidP="008C773A">
      <w:pPr>
        <w:spacing w:line="480" w:lineRule="auto"/>
        <w:rPr>
          <w:rFonts w:ascii="Times New Roman" w:hAnsi="Times New Roman" w:cs="Times New Roman"/>
        </w:rPr>
      </w:pPr>
    </w:p>
    <w:p w14:paraId="3AEC05E3" w14:textId="77777777" w:rsidR="00743203" w:rsidRDefault="00743203" w:rsidP="008C773A">
      <w:pPr>
        <w:spacing w:line="480" w:lineRule="auto"/>
        <w:rPr>
          <w:rFonts w:ascii="Times New Roman" w:hAnsi="Times New Roman" w:cs="Times New Roman"/>
        </w:rPr>
      </w:pPr>
    </w:p>
    <w:p w14:paraId="2ACCBAC6" w14:textId="77777777" w:rsidR="00743203" w:rsidRDefault="00743203" w:rsidP="008C773A">
      <w:pPr>
        <w:spacing w:line="480" w:lineRule="auto"/>
        <w:rPr>
          <w:rFonts w:ascii="Times New Roman" w:hAnsi="Times New Roman" w:cs="Times New Roman"/>
        </w:rPr>
      </w:pPr>
    </w:p>
    <w:p w14:paraId="3AF84CAC" w14:textId="0BAA996E" w:rsidR="0070271E" w:rsidRPr="00743203" w:rsidRDefault="008C773A" w:rsidP="00743203">
      <w:pPr>
        <w:spacing w:line="480" w:lineRule="auto"/>
        <w:jc w:val="center"/>
        <w:rPr>
          <w:rFonts w:ascii="Times New Roman" w:hAnsi="Times New Roman" w:cs="Times New Roman"/>
          <w:b/>
          <w:bCs/>
        </w:rPr>
      </w:pPr>
      <w:r w:rsidRPr="00743203">
        <w:rPr>
          <w:rFonts w:ascii="Times New Roman" w:hAnsi="Times New Roman" w:cs="Times New Roman"/>
          <w:b/>
          <w:bCs/>
        </w:rPr>
        <w:lastRenderedPageBreak/>
        <w:t>Conclusion</w:t>
      </w:r>
    </w:p>
    <w:p w14:paraId="3A53AEC3" w14:textId="16E20BA5" w:rsidR="008C773A" w:rsidRDefault="008C773A" w:rsidP="008C773A">
      <w:pPr>
        <w:spacing w:line="480" w:lineRule="auto"/>
        <w:rPr>
          <w:rFonts w:ascii="Times New Roman" w:hAnsi="Times New Roman" w:cs="Times New Roman"/>
        </w:rPr>
      </w:pPr>
      <w:r w:rsidRPr="008C773A">
        <w:rPr>
          <w:rFonts w:ascii="Times New Roman" w:hAnsi="Times New Roman" w:cs="Times New Roman"/>
        </w:rPr>
        <w:t>The ratio analysis of Tesco PLC from 2023 to 2024 indicated a considerable strengthening of financial health. With operating profit doubling, EPS rising by 14%, and statutory earnings tripling. Despite global inflation and operational delay, Tesco not only continued to maintain market leadership, but also increased stakeholder satisfaction. The organi</w:t>
      </w:r>
      <w:r w:rsidR="0070271E">
        <w:rPr>
          <w:rFonts w:ascii="Times New Roman" w:hAnsi="Times New Roman" w:cs="Times New Roman"/>
        </w:rPr>
        <w:t>s</w:t>
      </w:r>
      <w:r w:rsidRPr="008C773A">
        <w:rPr>
          <w:rFonts w:ascii="Times New Roman" w:hAnsi="Times New Roman" w:cs="Times New Roman"/>
        </w:rPr>
        <w:t>ation has employee performance frameworks alongside financial strategies that incorporate long-term sustainability objectives that aligned with stakeholder expectations. Tesco continues to solidify its position as a responsible customer-led and financially stable organi</w:t>
      </w:r>
      <w:r w:rsidR="0070271E">
        <w:rPr>
          <w:rFonts w:ascii="Times New Roman" w:hAnsi="Times New Roman" w:cs="Times New Roman"/>
        </w:rPr>
        <w:t>s</w:t>
      </w:r>
      <w:r w:rsidRPr="008C773A">
        <w:rPr>
          <w:rFonts w:ascii="Times New Roman" w:hAnsi="Times New Roman" w:cs="Times New Roman"/>
        </w:rPr>
        <w:t xml:space="preserve">ation. </w:t>
      </w:r>
    </w:p>
    <w:p w14:paraId="6976CC94" w14:textId="77777777" w:rsidR="007574A2" w:rsidRDefault="007574A2" w:rsidP="008C773A">
      <w:pPr>
        <w:spacing w:line="480" w:lineRule="auto"/>
        <w:rPr>
          <w:rFonts w:ascii="Times New Roman" w:hAnsi="Times New Roman" w:cs="Times New Roman"/>
        </w:rPr>
      </w:pPr>
    </w:p>
    <w:p w14:paraId="64647977" w14:textId="77777777" w:rsidR="007574A2" w:rsidRDefault="007574A2" w:rsidP="008C773A">
      <w:pPr>
        <w:spacing w:line="480" w:lineRule="auto"/>
        <w:rPr>
          <w:rFonts w:ascii="Times New Roman" w:hAnsi="Times New Roman" w:cs="Times New Roman"/>
        </w:rPr>
      </w:pPr>
    </w:p>
    <w:p w14:paraId="4D4F96B7" w14:textId="77777777" w:rsidR="007574A2" w:rsidRDefault="007574A2" w:rsidP="008C773A">
      <w:pPr>
        <w:spacing w:line="480" w:lineRule="auto"/>
        <w:rPr>
          <w:rFonts w:ascii="Times New Roman" w:hAnsi="Times New Roman" w:cs="Times New Roman"/>
        </w:rPr>
      </w:pPr>
    </w:p>
    <w:p w14:paraId="53508457" w14:textId="77777777" w:rsidR="007574A2" w:rsidRDefault="007574A2" w:rsidP="008C773A">
      <w:pPr>
        <w:spacing w:line="480" w:lineRule="auto"/>
        <w:rPr>
          <w:rFonts w:ascii="Times New Roman" w:hAnsi="Times New Roman" w:cs="Times New Roman"/>
        </w:rPr>
      </w:pPr>
    </w:p>
    <w:p w14:paraId="21731E1B" w14:textId="77777777" w:rsidR="007574A2" w:rsidRDefault="007574A2" w:rsidP="008C773A">
      <w:pPr>
        <w:spacing w:line="480" w:lineRule="auto"/>
        <w:rPr>
          <w:rFonts w:ascii="Times New Roman" w:hAnsi="Times New Roman" w:cs="Times New Roman"/>
        </w:rPr>
      </w:pPr>
    </w:p>
    <w:p w14:paraId="121AB026" w14:textId="77777777" w:rsidR="007574A2" w:rsidRDefault="007574A2" w:rsidP="008C773A">
      <w:pPr>
        <w:spacing w:line="480" w:lineRule="auto"/>
        <w:rPr>
          <w:rFonts w:ascii="Times New Roman" w:hAnsi="Times New Roman" w:cs="Times New Roman"/>
        </w:rPr>
      </w:pPr>
    </w:p>
    <w:p w14:paraId="65F364F9" w14:textId="77777777" w:rsidR="007574A2" w:rsidRDefault="007574A2" w:rsidP="008C773A">
      <w:pPr>
        <w:spacing w:line="480" w:lineRule="auto"/>
        <w:rPr>
          <w:rFonts w:ascii="Times New Roman" w:hAnsi="Times New Roman" w:cs="Times New Roman"/>
        </w:rPr>
      </w:pPr>
    </w:p>
    <w:p w14:paraId="4BD3693B" w14:textId="77777777" w:rsidR="007574A2" w:rsidRDefault="007574A2" w:rsidP="008C773A">
      <w:pPr>
        <w:spacing w:line="480" w:lineRule="auto"/>
        <w:rPr>
          <w:rFonts w:ascii="Times New Roman" w:hAnsi="Times New Roman" w:cs="Times New Roman"/>
        </w:rPr>
      </w:pPr>
    </w:p>
    <w:p w14:paraId="2125518F" w14:textId="77777777" w:rsidR="007574A2" w:rsidRDefault="007574A2" w:rsidP="008C773A">
      <w:pPr>
        <w:spacing w:line="480" w:lineRule="auto"/>
        <w:rPr>
          <w:rFonts w:ascii="Times New Roman" w:hAnsi="Times New Roman" w:cs="Times New Roman"/>
        </w:rPr>
      </w:pPr>
    </w:p>
    <w:p w14:paraId="0A20D629" w14:textId="77777777" w:rsidR="007574A2" w:rsidRDefault="007574A2" w:rsidP="008C773A">
      <w:pPr>
        <w:spacing w:line="480" w:lineRule="auto"/>
        <w:rPr>
          <w:rFonts w:ascii="Times New Roman" w:hAnsi="Times New Roman" w:cs="Times New Roman"/>
        </w:rPr>
      </w:pPr>
    </w:p>
    <w:p w14:paraId="4BB61CEA" w14:textId="77777777" w:rsidR="00743203" w:rsidRDefault="00743203" w:rsidP="008C773A">
      <w:pPr>
        <w:spacing w:line="480" w:lineRule="auto"/>
        <w:rPr>
          <w:rFonts w:ascii="Times New Roman" w:hAnsi="Times New Roman" w:cs="Times New Roman"/>
          <w:b/>
          <w:bCs/>
        </w:rPr>
      </w:pPr>
    </w:p>
    <w:p w14:paraId="637D3788" w14:textId="77777777" w:rsidR="00743203" w:rsidRDefault="00743203" w:rsidP="008C773A">
      <w:pPr>
        <w:spacing w:line="480" w:lineRule="auto"/>
        <w:rPr>
          <w:rFonts w:ascii="Times New Roman" w:hAnsi="Times New Roman" w:cs="Times New Roman"/>
          <w:b/>
          <w:bCs/>
        </w:rPr>
      </w:pPr>
    </w:p>
    <w:p w14:paraId="02286343" w14:textId="77777777" w:rsidR="00743203" w:rsidRDefault="00743203" w:rsidP="008C773A">
      <w:pPr>
        <w:spacing w:line="480" w:lineRule="auto"/>
        <w:rPr>
          <w:rFonts w:ascii="Times New Roman" w:hAnsi="Times New Roman" w:cs="Times New Roman"/>
          <w:b/>
          <w:bCs/>
        </w:rPr>
      </w:pPr>
    </w:p>
    <w:p w14:paraId="193F66E2" w14:textId="6274B783" w:rsidR="007574A2" w:rsidRPr="007574A2" w:rsidRDefault="007574A2" w:rsidP="00743203">
      <w:pPr>
        <w:spacing w:line="480" w:lineRule="auto"/>
        <w:jc w:val="center"/>
        <w:rPr>
          <w:rFonts w:ascii="Times New Roman" w:hAnsi="Times New Roman" w:cs="Times New Roman"/>
          <w:b/>
          <w:bCs/>
        </w:rPr>
      </w:pPr>
      <w:r w:rsidRPr="007574A2">
        <w:rPr>
          <w:rFonts w:ascii="Times New Roman" w:hAnsi="Times New Roman" w:cs="Times New Roman"/>
          <w:b/>
          <w:bCs/>
        </w:rPr>
        <w:lastRenderedPageBreak/>
        <w:t>References</w:t>
      </w:r>
    </w:p>
    <w:p w14:paraId="6625D2D5" w14:textId="77777777" w:rsidR="007574A2" w:rsidRPr="007574A2" w:rsidRDefault="007574A2" w:rsidP="007574A2">
      <w:pPr>
        <w:spacing w:line="480" w:lineRule="auto"/>
        <w:rPr>
          <w:rFonts w:ascii="Times New Roman" w:hAnsi="Times New Roman" w:cs="Times New Roman"/>
        </w:rPr>
      </w:pPr>
      <w:proofErr w:type="spellStart"/>
      <w:r w:rsidRPr="007574A2">
        <w:rPr>
          <w:rFonts w:ascii="Times New Roman" w:hAnsi="Times New Roman" w:cs="Times New Roman"/>
        </w:rPr>
        <w:t>Antreas</w:t>
      </w:r>
      <w:proofErr w:type="spellEnd"/>
      <w:r w:rsidRPr="007574A2">
        <w:rPr>
          <w:rFonts w:ascii="Times New Roman" w:hAnsi="Times New Roman" w:cs="Times New Roman"/>
        </w:rPr>
        <w:t xml:space="preserve">, D., &amp; Ballantine, J. A. (2017). Ratio and frontier analysis for assessing corporate performance: Evidence from the grocery industry in the UK. </w:t>
      </w:r>
      <w:r w:rsidRPr="007574A2">
        <w:rPr>
          <w:rFonts w:ascii="Times New Roman" w:hAnsi="Times New Roman" w:cs="Times New Roman"/>
          <w:i/>
          <w:iCs/>
        </w:rPr>
        <w:t>Decision Science, 46</w:t>
      </w:r>
      <w:r w:rsidRPr="007574A2">
        <w:rPr>
          <w:rFonts w:ascii="Times New Roman" w:hAnsi="Times New Roman" w:cs="Times New Roman"/>
        </w:rPr>
        <w:t>(4), 177.</w:t>
      </w:r>
    </w:p>
    <w:p w14:paraId="70100975" w14:textId="77777777" w:rsidR="007574A2" w:rsidRPr="007574A2" w:rsidRDefault="007574A2" w:rsidP="007574A2">
      <w:pPr>
        <w:spacing w:line="480" w:lineRule="auto"/>
        <w:rPr>
          <w:rFonts w:ascii="Times New Roman" w:hAnsi="Times New Roman" w:cs="Times New Roman"/>
        </w:rPr>
      </w:pPr>
      <w:proofErr w:type="spellStart"/>
      <w:r w:rsidRPr="007574A2">
        <w:rPr>
          <w:rFonts w:ascii="Times New Roman" w:hAnsi="Times New Roman" w:cs="Times New Roman"/>
        </w:rPr>
        <w:t>Benrqya</w:t>
      </w:r>
      <w:proofErr w:type="spellEnd"/>
      <w:r w:rsidRPr="007574A2">
        <w:rPr>
          <w:rFonts w:ascii="Times New Roman" w:hAnsi="Times New Roman" w:cs="Times New Roman"/>
        </w:rPr>
        <w:t xml:space="preserve">, Y., &amp; </w:t>
      </w:r>
      <w:proofErr w:type="spellStart"/>
      <w:r w:rsidRPr="007574A2">
        <w:rPr>
          <w:rFonts w:ascii="Times New Roman" w:hAnsi="Times New Roman" w:cs="Times New Roman"/>
        </w:rPr>
        <w:t>Jabbouri</w:t>
      </w:r>
      <w:proofErr w:type="spellEnd"/>
      <w:r w:rsidRPr="007574A2">
        <w:rPr>
          <w:rFonts w:ascii="Times New Roman" w:hAnsi="Times New Roman" w:cs="Times New Roman"/>
        </w:rPr>
        <w:t>, I. (2021). Performance evaluation of European grocery retailers: A financial statement analysis</w:t>
      </w:r>
      <w:r w:rsidRPr="007574A2">
        <w:rPr>
          <w:rFonts w:ascii="Times New Roman" w:hAnsi="Times New Roman" w:cs="Times New Roman"/>
          <w:i/>
          <w:iCs/>
        </w:rPr>
        <w:t>. International Journal of Logistics Economics and Globalisation, 9</w:t>
      </w:r>
      <w:r w:rsidRPr="007574A2">
        <w:rPr>
          <w:rFonts w:ascii="Times New Roman" w:hAnsi="Times New Roman" w:cs="Times New Roman"/>
        </w:rPr>
        <w:t>(1), 24–39.</w:t>
      </w:r>
    </w:p>
    <w:p w14:paraId="7DD041AB" w14:textId="4F16B81F" w:rsidR="007574A2" w:rsidRDefault="007574A2" w:rsidP="007574A2">
      <w:pPr>
        <w:spacing w:line="480" w:lineRule="auto"/>
        <w:rPr>
          <w:rFonts w:ascii="Times New Roman" w:hAnsi="Times New Roman" w:cs="Times New Roman"/>
        </w:rPr>
      </w:pPr>
      <w:r w:rsidRPr="007574A2">
        <w:rPr>
          <w:rFonts w:ascii="Times New Roman" w:hAnsi="Times New Roman" w:cs="Times New Roman"/>
        </w:rPr>
        <w:t>Bisht, M. (2021</w:t>
      </w:r>
      <w:r w:rsidRPr="007574A2">
        <w:rPr>
          <w:rFonts w:ascii="Times New Roman" w:hAnsi="Times New Roman" w:cs="Times New Roman"/>
          <w:i/>
          <w:iCs/>
        </w:rPr>
        <w:t>). Impact of working capital management on business profitability</w:t>
      </w:r>
      <w:r w:rsidRPr="007574A2">
        <w:rPr>
          <w:rFonts w:ascii="Times New Roman" w:hAnsi="Times New Roman" w:cs="Times New Roman"/>
        </w:rPr>
        <w:t xml:space="preserve"> (Doctoral dissertation, National College of Ireland). Retrieved from </w:t>
      </w:r>
      <w:hyperlink r:id="rId7" w:history="1">
        <w:r w:rsidRPr="00932F96">
          <w:rPr>
            <w:rStyle w:val="Hyperlink"/>
            <w:rFonts w:ascii="Times New Roman" w:hAnsi="Times New Roman" w:cs="Times New Roman"/>
          </w:rPr>
          <w:t>http://norma.ncirl.ie/id/eprint/5580</w:t>
        </w:r>
      </w:hyperlink>
    </w:p>
    <w:p w14:paraId="66BC3B0B" w14:textId="4FBBCDC4" w:rsidR="007574A2" w:rsidRDefault="007574A2" w:rsidP="007574A2">
      <w:pPr>
        <w:spacing w:line="480" w:lineRule="auto"/>
        <w:rPr>
          <w:rFonts w:ascii="Times New Roman" w:hAnsi="Times New Roman" w:cs="Times New Roman"/>
        </w:rPr>
      </w:pPr>
      <w:r w:rsidRPr="007574A2">
        <w:rPr>
          <w:rFonts w:ascii="Times New Roman" w:hAnsi="Times New Roman" w:cs="Times New Roman"/>
        </w:rPr>
        <w:t>Choi, J., &amp; Wang, H. (2009). Stakeholder relations and the persistence of corporate financial performance</w:t>
      </w:r>
      <w:r w:rsidRPr="007574A2">
        <w:rPr>
          <w:rFonts w:ascii="Times New Roman" w:hAnsi="Times New Roman" w:cs="Times New Roman"/>
          <w:i/>
          <w:iCs/>
        </w:rPr>
        <w:t>. Strategic Management Journal, 30</w:t>
      </w:r>
      <w:r w:rsidRPr="007574A2">
        <w:rPr>
          <w:rFonts w:ascii="Times New Roman" w:hAnsi="Times New Roman" w:cs="Times New Roman"/>
        </w:rPr>
        <w:t xml:space="preserve">(8), 895–907. </w:t>
      </w:r>
      <w:hyperlink r:id="rId8" w:history="1">
        <w:r w:rsidRPr="00932F96">
          <w:rPr>
            <w:rStyle w:val="Hyperlink"/>
            <w:rFonts w:ascii="Times New Roman" w:hAnsi="Times New Roman" w:cs="Times New Roman"/>
          </w:rPr>
          <w:t>https://doi.org/10.1002/smj.759</w:t>
        </w:r>
      </w:hyperlink>
    </w:p>
    <w:p w14:paraId="34035D9B" w14:textId="6F1A8063" w:rsidR="007574A2" w:rsidRP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Dyson, J. R. (2010). </w:t>
      </w:r>
      <w:r w:rsidRPr="007574A2">
        <w:rPr>
          <w:rFonts w:ascii="Times New Roman" w:hAnsi="Times New Roman" w:cs="Times New Roman"/>
          <w:i/>
          <w:iCs/>
        </w:rPr>
        <w:t>Accounting for non-accounting students</w:t>
      </w:r>
      <w:r w:rsidRPr="007574A2">
        <w:rPr>
          <w:rFonts w:ascii="Times New Roman" w:hAnsi="Times New Roman" w:cs="Times New Roman"/>
        </w:rPr>
        <w:t xml:space="preserve"> (8th ed.). Pearson Education Limited.</w:t>
      </w:r>
    </w:p>
    <w:p w14:paraId="07E8A72E" w14:textId="77777777" w:rsidR="007574A2" w:rsidRPr="007574A2" w:rsidRDefault="007574A2" w:rsidP="007574A2">
      <w:pPr>
        <w:spacing w:line="480" w:lineRule="auto"/>
        <w:rPr>
          <w:rFonts w:ascii="Times New Roman" w:hAnsi="Times New Roman" w:cs="Times New Roman"/>
        </w:rPr>
      </w:pPr>
      <w:proofErr w:type="spellStart"/>
      <w:r w:rsidRPr="007574A2">
        <w:rPr>
          <w:rFonts w:ascii="Times New Roman" w:hAnsi="Times New Roman" w:cs="Times New Roman"/>
        </w:rPr>
        <w:t>Hasidi</w:t>
      </w:r>
      <w:proofErr w:type="spellEnd"/>
      <w:r w:rsidRPr="007574A2">
        <w:rPr>
          <w:rFonts w:ascii="Times New Roman" w:hAnsi="Times New Roman" w:cs="Times New Roman"/>
        </w:rPr>
        <w:t xml:space="preserve">, M. H., </w:t>
      </w:r>
      <w:proofErr w:type="spellStart"/>
      <w:r w:rsidRPr="007574A2">
        <w:rPr>
          <w:rFonts w:ascii="Times New Roman" w:hAnsi="Times New Roman" w:cs="Times New Roman"/>
        </w:rPr>
        <w:t>Baheri</w:t>
      </w:r>
      <w:proofErr w:type="spellEnd"/>
      <w:r w:rsidRPr="007574A2">
        <w:rPr>
          <w:rFonts w:ascii="Times New Roman" w:hAnsi="Times New Roman" w:cs="Times New Roman"/>
        </w:rPr>
        <w:t xml:space="preserve">, J., &amp; Hajar, K. I. (2024). Financial performance evaluation using profitability and liquidity ratio analysis. </w:t>
      </w:r>
      <w:r w:rsidRPr="007574A2">
        <w:rPr>
          <w:rFonts w:ascii="Times New Roman" w:hAnsi="Times New Roman" w:cs="Times New Roman"/>
          <w:i/>
          <w:iCs/>
        </w:rPr>
        <w:t>Journal of Financial Performance Studies.</w:t>
      </w:r>
      <w:r w:rsidRPr="007574A2">
        <w:rPr>
          <w:rFonts w:ascii="Times New Roman" w:hAnsi="Times New Roman" w:cs="Times New Roman"/>
        </w:rPr>
        <w:t xml:space="preserve"> (In press)</w:t>
      </w:r>
    </w:p>
    <w:p w14:paraId="7E0EA729" w14:textId="752B2B63" w:rsid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Ismail, I. N. (2017). </w:t>
      </w:r>
      <w:r w:rsidRPr="007574A2">
        <w:rPr>
          <w:rFonts w:ascii="Times New Roman" w:hAnsi="Times New Roman" w:cs="Times New Roman"/>
          <w:i/>
          <w:iCs/>
        </w:rPr>
        <w:t>The roles of corporate governance and its influences on risk and performance: Tesco Plc (</w:t>
      </w:r>
      <w:r w:rsidRPr="007574A2">
        <w:rPr>
          <w:rFonts w:ascii="Times New Roman" w:hAnsi="Times New Roman" w:cs="Times New Roman"/>
          <w:i/>
          <w:iCs/>
        </w:rPr>
        <w:t>master’s</w:t>
      </w:r>
      <w:r w:rsidRPr="007574A2">
        <w:rPr>
          <w:rFonts w:ascii="Times New Roman" w:hAnsi="Times New Roman" w:cs="Times New Roman"/>
          <w:i/>
          <w:iCs/>
        </w:rPr>
        <w:t xml:space="preserve"> thesis).</w:t>
      </w:r>
      <w:r w:rsidRPr="007574A2">
        <w:rPr>
          <w:rFonts w:ascii="Times New Roman" w:hAnsi="Times New Roman" w:cs="Times New Roman"/>
        </w:rPr>
        <w:t xml:space="preserve"> Retrieved from </w:t>
      </w:r>
      <w:hyperlink r:id="rId9" w:history="1">
        <w:r w:rsidRPr="00932F96">
          <w:rPr>
            <w:rStyle w:val="Hyperlink"/>
            <w:rFonts w:ascii="Times New Roman" w:hAnsi="Times New Roman" w:cs="Times New Roman"/>
          </w:rPr>
          <w:t>https://repository.uel.ac.uk</w:t>
        </w:r>
      </w:hyperlink>
    </w:p>
    <w:p w14:paraId="6E4CD426" w14:textId="50D07848" w:rsid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Kothari, S. P. (2001). Capital markets research in accounting. </w:t>
      </w:r>
      <w:r w:rsidRPr="007574A2">
        <w:rPr>
          <w:rFonts w:ascii="Times New Roman" w:hAnsi="Times New Roman" w:cs="Times New Roman"/>
          <w:i/>
          <w:iCs/>
        </w:rPr>
        <w:t>Journal of Accounting and Economics, 31</w:t>
      </w:r>
      <w:r w:rsidRPr="007574A2">
        <w:rPr>
          <w:rFonts w:ascii="Times New Roman" w:hAnsi="Times New Roman" w:cs="Times New Roman"/>
        </w:rPr>
        <w:t xml:space="preserve">(1–3), 105–253. </w:t>
      </w:r>
      <w:hyperlink r:id="rId10" w:history="1">
        <w:r w:rsidRPr="00932F96">
          <w:rPr>
            <w:rStyle w:val="Hyperlink"/>
            <w:rFonts w:ascii="Times New Roman" w:hAnsi="Times New Roman" w:cs="Times New Roman"/>
          </w:rPr>
          <w:t>https://doi.org/10.1016/S0165-4101(01)00027-6</w:t>
        </w:r>
      </w:hyperlink>
    </w:p>
    <w:p w14:paraId="28B2405B" w14:textId="64217F66" w:rsidR="007574A2" w:rsidRP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Li, Z. (2023). The effect of transition from IAS 17 to IFRS 16—Based on the case study of Tesco. </w:t>
      </w:r>
      <w:r w:rsidRPr="007574A2">
        <w:rPr>
          <w:rFonts w:ascii="Times New Roman" w:hAnsi="Times New Roman" w:cs="Times New Roman"/>
          <w:i/>
          <w:iCs/>
        </w:rPr>
        <w:t>Frontiers in Management Science, 2</w:t>
      </w:r>
      <w:r w:rsidRPr="007574A2">
        <w:rPr>
          <w:rFonts w:ascii="Times New Roman" w:hAnsi="Times New Roman" w:cs="Times New Roman"/>
        </w:rPr>
        <w:t xml:space="preserve">(4), 50–59. </w:t>
      </w:r>
      <w:hyperlink r:id="rId11" w:history="1">
        <w:r w:rsidRPr="00932F96">
          <w:rPr>
            <w:rStyle w:val="Hyperlink"/>
            <w:rFonts w:ascii="Times New Roman" w:hAnsi="Times New Roman" w:cs="Times New Roman"/>
          </w:rPr>
          <w:t>https://doi.org/10.54691/fms.v2i4.115</w:t>
        </w:r>
      </w:hyperlink>
      <w:r>
        <w:rPr>
          <w:rFonts w:ascii="Times New Roman" w:hAnsi="Times New Roman" w:cs="Times New Roman"/>
        </w:rPr>
        <w:t xml:space="preserve"> </w:t>
      </w:r>
      <w:r w:rsidRPr="007574A2">
        <w:rPr>
          <w:rFonts w:ascii="Times New Roman" w:hAnsi="Times New Roman" w:cs="Times New Roman"/>
        </w:rPr>
        <w:t xml:space="preserve">Madushanka, K. H., &amp; Jathurika, M. (2018). The impact of liquidity ratios on profitability. </w:t>
      </w:r>
      <w:r w:rsidRPr="007574A2">
        <w:rPr>
          <w:rFonts w:ascii="Times New Roman" w:hAnsi="Times New Roman" w:cs="Times New Roman"/>
          <w:i/>
          <w:iCs/>
        </w:rPr>
        <w:t>International Research Journal of Advanced Engineering and Science, 3</w:t>
      </w:r>
      <w:r w:rsidRPr="007574A2">
        <w:rPr>
          <w:rFonts w:ascii="Times New Roman" w:hAnsi="Times New Roman" w:cs="Times New Roman"/>
        </w:rPr>
        <w:t>(4), 157–161.</w:t>
      </w:r>
    </w:p>
    <w:p w14:paraId="21145708" w14:textId="5A8DEBF0" w:rsidR="007574A2" w:rsidRDefault="007574A2" w:rsidP="007574A2">
      <w:pPr>
        <w:spacing w:line="480" w:lineRule="auto"/>
        <w:rPr>
          <w:rFonts w:ascii="Times New Roman" w:hAnsi="Times New Roman" w:cs="Times New Roman"/>
        </w:rPr>
      </w:pPr>
      <w:r w:rsidRPr="007574A2">
        <w:rPr>
          <w:rFonts w:ascii="Times New Roman" w:hAnsi="Times New Roman" w:cs="Times New Roman"/>
        </w:rPr>
        <w:lastRenderedPageBreak/>
        <w:t xml:space="preserve">Ohlson, J. A. (1995). Earnings, book values and dividends in equity valuation. </w:t>
      </w:r>
      <w:r w:rsidRPr="007574A2">
        <w:rPr>
          <w:rFonts w:ascii="Times New Roman" w:hAnsi="Times New Roman" w:cs="Times New Roman"/>
          <w:i/>
          <w:iCs/>
        </w:rPr>
        <w:t>Contemporary Accounting Research, 11</w:t>
      </w:r>
      <w:r w:rsidRPr="007574A2">
        <w:rPr>
          <w:rFonts w:ascii="Times New Roman" w:hAnsi="Times New Roman" w:cs="Times New Roman"/>
        </w:rPr>
        <w:t xml:space="preserve">(2), 661–688. </w:t>
      </w:r>
      <w:hyperlink r:id="rId12" w:history="1">
        <w:r w:rsidRPr="00932F96">
          <w:rPr>
            <w:rStyle w:val="Hyperlink"/>
            <w:rFonts w:ascii="Times New Roman" w:hAnsi="Times New Roman" w:cs="Times New Roman"/>
          </w:rPr>
          <w:t>https://doi.org/10.1111/j.1911-3846.1995.tb00461.x</w:t>
        </w:r>
      </w:hyperlink>
    </w:p>
    <w:p w14:paraId="351DA2AD" w14:textId="4A089A22" w:rsid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Shah, A. K. (1998). Exploring the influences and constraints on creative accounting in the United Kingdom. </w:t>
      </w:r>
      <w:r w:rsidRPr="007574A2">
        <w:rPr>
          <w:rFonts w:ascii="Times New Roman" w:hAnsi="Times New Roman" w:cs="Times New Roman"/>
          <w:i/>
          <w:iCs/>
        </w:rPr>
        <w:t>European Accounting Review, 7</w:t>
      </w:r>
      <w:r w:rsidRPr="007574A2">
        <w:rPr>
          <w:rFonts w:ascii="Times New Roman" w:hAnsi="Times New Roman" w:cs="Times New Roman"/>
        </w:rPr>
        <w:t xml:space="preserve">(1), 83–104. </w:t>
      </w:r>
      <w:hyperlink r:id="rId13" w:history="1">
        <w:r w:rsidRPr="00932F96">
          <w:rPr>
            <w:rStyle w:val="Hyperlink"/>
            <w:rFonts w:ascii="Times New Roman" w:hAnsi="Times New Roman" w:cs="Times New Roman"/>
          </w:rPr>
          <w:t>https://doi.org/10.1080/096381898336485</w:t>
        </w:r>
      </w:hyperlink>
    </w:p>
    <w:p w14:paraId="04AC3BA7" w14:textId="3DD7EFD6" w:rsid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Sughra, G. (2019). </w:t>
      </w:r>
      <w:r w:rsidRPr="007574A2">
        <w:rPr>
          <w:rFonts w:ascii="Times New Roman" w:hAnsi="Times New Roman" w:cs="Times New Roman"/>
          <w:i/>
          <w:iCs/>
        </w:rPr>
        <w:t>A study investigating corporate social responsibility (CSR) and financial performance of retail industry in the UK (Doctoral dissertation, Cardiff Metropolitan University)</w:t>
      </w:r>
      <w:r w:rsidRPr="007574A2">
        <w:rPr>
          <w:rFonts w:ascii="Times New Roman" w:hAnsi="Times New Roman" w:cs="Times New Roman"/>
        </w:rPr>
        <w:t xml:space="preserve">. Retrieved from </w:t>
      </w:r>
      <w:hyperlink r:id="rId14" w:history="1">
        <w:r w:rsidRPr="00932F96">
          <w:rPr>
            <w:rStyle w:val="Hyperlink"/>
            <w:rFonts w:ascii="Times New Roman" w:hAnsi="Times New Roman" w:cs="Times New Roman"/>
          </w:rPr>
          <w:t>https://repository.cardiffmet.ac.uk</w:t>
        </w:r>
      </w:hyperlink>
    </w:p>
    <w:p w14:paraId="5A8D3BCF" w14:textId="61EF88BE" w:rsidR="007574A2" w:rsidRP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Tesco PLC. (2023). </w:t>
      </w:r>
      <w:r w:rsidRPr="007574A2">
        <w:rPr>
          <w:rFonts w:ascii="Times New Roman" w:hAnsi="Times New Roman" w:cs="Times New Roman"/>
          <w:i/>
          <w:iCs/>
        </w:rPr>
        <w:t>Annual report and financial statements</w:t>
      </w:r>
      <w:r w:rsidRPr="007574A2">
        <w:rPr>
          <w:rFonts w:ascii="Times New Roman" w:hAnsi="Times New Roman" w:cs="Times New Roman"/>
        </w:rPr>
        <w:t xml:space="preserve"> 2023. Retrieved from </w:t>
      </w:r>
      <w:hyperlink r:id="rId15" w:history="1">
        <w:r w:rsidRPr="00932F96">
          <w:rPr>
            <w:rStyle w:val="Hyperlink"/>
            <w:rFonts w:ascii="Times New Roman" w:hAnsi="Times New Roman" w:cs="Times New Roman"/>
          </w:rPr>
          <w:t>https://www.tescoplc.com/media/u1wlq2qf/tesco-plc-annual-report-2023.pdf</w:t>
        </w:r>
      </w:hyperlink>
      <w:r>
        <w:rPr>
          <w:rFonts w:ascii="Times New Roman" w:hAnsi="Times New Roman" w:cs="Times New Roman"/>
        </w:rPr>
        <w:t xml:space="preserve"> </w:t>
      </w:r>
    </w:p>
    <w:p w14:paraId="607C1C71" w14:textId="290535CB" w:rsidR="007574A2" w:rsidRP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Tesco PLC. (2024). Annual report and financial statements 2024. Retrieved from </w:t>
      </w:r>
      <w:hyperlink r:id="rId16" w:history="1">
        <w:r w:rsidRPr="00932F96">
          <w:rPr>
            <w:rStyle w:val="Hyperlink"/>
            <w:rFonts w:ascii="Times New Roman" w:hAnsi="Times New Roman" w:cs="Times New Roman"/>
          </w:rPr>
          <w:t>https://www.tescoplc.com/media/zgvhd0dn/tescos_ar24.pdf</w:t>
        </w:r>
      </w:hyperlink>
      <w:r>
        <w:rPr>
          <w:rFonts w:ascii="Times New Roman" w:hAnsi="Times New Roman" w:cs="Times New Roman"/>
        </w:rPr>
        <w:t xml:space="preserve"> </w:t>
      </w:r>
    </w:p>
    <w:p w14:paraId="26A0A292" w14:textId="79FBA2CD" w:rsidR="007574A2" w:rsidRPr="007574A2" w:rsidRDefault="007574A2" w:rsidP="007574A2">
      <w:pPr>
        <w:spacing w:line="480" w:lineRule="auto"/>
        <w:rPr>
          <w:rFonts w:ascii="Times New Roman" w:hAnsi="Times New Roman" w:cs="Times New Roman"/>
        </w:rPr>
      </w:pPr>
      <w:r w:rsidRPr="007574A2">
        <w:rPr>
          <w:rFonts w:ascii="Times New Roman" w:hAnsi="Times New Roman" w:cs="Times New Roman"/>
        </w:rPr>
        <w:t>T</w:t>
      </w:r>
      <w:r>
        <w:rPr>
          <w:rFonts w:ascii="Times New Roman" w:hAnsi="Times New Roman" w:cs="Times New Roman"/>
        </w:rPr>
        <w:t>u</w:t>
      </w:r>
      <w:r w:rsidRPr="007574A2">
        <w:rPr>
          <w:rFonts w:ascii="Times New Roman" w:hAnsi="Times New Roman" w:cs="Times New Roman"/>
        </w:rPr>
        <w:t xml:space="preserve">rkmen, B. (2014). </w:t>
      </w:r>
      <w:r w:rsidRPr="007574A2">
        <w:rPr>
          <w:rFonts w:ascii="Times New Roman" w:hAnsi="Times New Roman" w:cs="Times New Roman"/>
          <w:i/>
          <w:iCs/>
        </w:rPr>
        <w:t>An attempt on the applicability of Basel III liquidity coverage ratio (LCR) and capital adequacy ratio (CAR) requirements to selected food retail sector firms and a comparison with traditional financial ratio analysis (</w:t>
      </w:r>
      <w:r w:rsidRPr="007574A2">
        <w:rPr>
          <w:rFonts w:ascii="Times New Roman" w:hAnsi="Times New Roman" w:cs="Times New Roman"/>
          <w:i/>
          <w:iCs/>
        </w:rPr>
        <w:t>master’s</w:t>
      </w:r>
      <w:r w:rsidRPr="007574A2">
        <w:rPr>
          <w:rFonts w:ascii="Times New Roman" w:hAnsi="Times New Roman" w:cs="Times New Roman"/>
          <w:i/>
          <w:iCs/>
        </w:rPr>
        <w:t xml:space="preserve"> thesis, </w:t>
      </w:r>
      <w:proofErr w:type="spellStart"/>
      <w:r w:rsidRPr="007574A2">
        <w:rPr>
          <w:rFonts w:ascii="Times New Roman" w:hAnsi="Times New Roman" w:cs="Times New Roman"/>
          <w:i/>
          <w:iCs/>
        </w:rPr>
        <w:t>Sosyal</w:t>
      </w:r>
      <w:proofErr w:type="spellEnd"/>
      <w:r w:rsidRPr="007574A2">
        <w:rPr>
          <w:rFonts w:ascii="Times New Roman" w:hAnsi="Times New Roman" w:cs="Times New Roman"/>
          <w:i/>
          <w:iCs/>
        </w:rPr>
        <w:t xml:space="preserve"> </w:t>
      </w:r>
      <w:proofErr w:type="spellStart"/>
      <w:r w:rsidRPr="007574A2">
        <w:rPr>
          <w:rFonts w:ascii="Times New Roman" w:hAnsi="Times New Roman" w:cs="Times New Roman"/>
          <w:i/>
          <w:iCs/>
        </w:rPr>
        <w:t>Bilimler</w:t>
      </w:r>
      <w:proofErr w:type="spellEnd"/>
      <w:r w:rsidRPr="007574A2">
        <w:rPr>
          <w:rFonts w:ascii="Times New Roman" w:hAnsi="Times New Roman" w:cs="Times New Roman"/>
          <w:i/>
          <w:iCs/>
        </w:rPr>
        <w:t xml:space="preserve"> </w:t>
      </w:r>
      <w:proofErr w:type="spellStart"/>
      <w:r w:rsidRPr="007574A2">
        <w:rPr>
          <w:rFonts w:ascii="Times New Roman" w:hAnsi="Times New Roman" w:cs="Times New Roman"/>
          <w:i/>
          <w:iCs/>
        </w:rPr>
        <w:t>Enstitüsü</w:t>
      </w:r>
      <w:proofErr w:type="spellEnd"/>
      <w:r w:rsidRPr="007574A2">
        <w:rPr>
          <w:rFonts w:ascii="Times New Roman" w:hAnsi="Times New Roman" w:cs="Times New Roman"/>
          <w:i/>
          <w:iCs/>
        </w:rPr>
        <w:t>)</w:t>
      </w:r>
      <w:r w:rsidRPr="007574A2">
        <w:rPr>
          <w:rFonts w:ascii="Times New Roman" w:hAnsi="Times New Roman" w:cs="Times New Roman"/>
        </w:rPr>
        <w:t xml:space="preserve">. Retrieved from </w:t>
      </w:r>
      <w:hyperlink r:id="rId17" w:history="1">
        <w:r w:rsidRPr="00932F96">
          <w:rPr>
            <w:rStyle w:val="Hyperlink"/>
            <w:rFonts w:ascii="Times New Roman" w:hAnsi="Times New Roman" w:cs="Times New Roman"/>
          </w:rPr>
          <w:t>https://tez.yok.gov.tr</w:t>
        </w:r>
      </w:hyperlink>
      <w:r>
        <w:rPr>
          <w:rFonts w:ascii="Times New Roman" w:hAnsi="Times New Roman" w:cs="Times New Roman"/>
        </w:rPr>
        <w:t xml:space="preserve"> </w:t>
      </w:r>
    </w:p>
    <w:p w14:paraId="667220CF" w14:textId="77777777" w:rsidR="007574A2" w:rsidRPr="007574A2" w:rsidRDefault="007574A2" w:rsidP="007574A2">
      <w:pPr>
        <w:spacing w:line="480" w:lineRule="auto"/>
        <w:rPr>
          <w:rFonts w:ascii="Times New Roman" w:hAnsi="Times New Roman" w:cs="Times New Roman"/>
        </w:rPr>
      </w:pPr>
      <w:r w:rsidRPr="007574A2">
        <w:rPr>
          <w:rFonts w:ascii="Times New Roman" w:hAnsi="Times New Roman" w:cs="Times New Roman"/>
        </w:rPr>
        <w:t xml:space="preserve">Wood, F. (2015). </w:t>
      </w:r>
      <w:r w:rsidRPr="007574A2">
        <w:rPr>
          <w:rFonts w:ascii="Times New Roman" w:hAnsi="Times New Roman" w:cs="Times New Roman"/>
          <w:i/>
          <w:iCs/>
        </w:rPr>
        <w:t>Frank Wood’s business accounting 1</w:t>
      </w:r>
      <w:r w:rsidRPr="007574A2">
        <w:rPr>
          <w:rFonts w:ascii="Times New Roman" w:hAnsi="Times New Roman" w:cs="Times New Roman"/>
        </w:rPr>
        <w:t xml:space="preserve"> (13th ed.). FT Pitman Publications.</w:t>
      </w:r>
    </w:p>
    <w:p w14:paraId="29041664" w14:textId="77777777" w:rsidR="007574A2" w:rsidRPr="008C773A" w:rsidRDefault="007574A2" w:rsidP="008C773A">
      <w:pPr>
        <w:spacing w:line="480" w:lineRule="auto"/>
        <w:rPr>
          <w:rFonts w:ascii="Times New Roman" w:hAnsi="Times New Roman" w:cs="Times New Roman"/>
        </w:rPr>
      </w:pPr>
    </w:p>
    <w:sectPr w:rsidR="007574A2" w:rsidRPr="008C773A" w:rsidSect="007574A2">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118E0" w14:textId="77777777" w:rsidR="00A5049C" w:rsidRDefault="00A5049C" w:rsidP="007574A2">
      <w:pPr>
        <w:spacing w:after="0" w:line="240" w:lineRule="auto"/>
      </w:pPr>
      <w:r>
        <w:separator/>
      </w:r>
    </w:p>
  </w:endnote>
  <w:endnote w:type="continuationSeparator" w:id="0">
    <w:p w14:paraId="3C61188E" w14:textId="77777777" w:rsidR="00A5049C" w:rsidRDefault="00A5049C" w:rsidP="00757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888571"/>
      <w:docPartObj>
        <w:docPartGallery w:val="Page Numbers (Bottom of Page)"/>
        <w:docPartUnique/>
      </w:docPartObj>
    </w:sdtPr>
    <w:sdtEndPr>
      <w:rPr>
        <w:noProof/>
      </w:rPr>
    </w:sdtEndPr>
    <w:sdtContent>
      <w:p w14:paraId="0C576D5D" w14:textId="0D8DF593" w:rsidR="007574A2" w:rsidRDefault="007574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2DC71B" w14:textId="77777777" w:rsidR="007574A2" w:rsidRDefault="00757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6D73D" w14:textId="77777777" w:rsidR="00A5049C" w:rsidRDefault="00A5049C" w:rsidP="007574A2">
      <w:pPr>
        <w:spacing w:after="0" w:line="240" w:lineRule="auto"/>
      </w:pPr>
      <w:r>
        <w:separator/>
      </w:r>
    </w:p>
  </w:footnote>
  <w:footnote w:type="continuationSeparator" w:id="0">
    <w:p w14:paraId="27880DEF" w14:textId="77777777" w:rsidR="00A5049C" w:rsidRDefault="00A5049C" w:rsidP="00757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D15A9"/>
    <w:multiLevelType w:val="hybridMultilevel"/>
    <w:tmpl w:val="B9F6CCC2"/>
    <w:lvl w:ilvl="0" w:tplc="4156CF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3598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73A"/>
    <w:rsid w:val="0070271E"/>
    <w:rsid w:val="00734EC2"/>
    <w:rsid w:val="00743203"/>
    <w:rsid w:val="007574A2"/>
    <w:rsid w:val="007F6DC6"/>
    <w:rsid w:val="008C773A"/>
    <w:rsid w:val="00A50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CDBC"/>
  <w15:chartTrackingRefBased/>
  <w15:docId w15:val="{04087A26-2796-4D3A-B387-53E7F4B1B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73A"/>
    <w:rPr>
      <w:rFonts w:eastAsiaTheme="majorEastAsia" w:cstheme="majorBidi"/>
      <w:color w:val="272727" w:themeColor="text1" w:themeTint="D8"/>
    </w:rPr>
  </w:style>
  <w:style w:type="paragraph" w:styleId="Title">
    <w:name w:val="Title"/>
    <w:basedOn w:val="Normal"/>
    <w:next w:val="Normal"/>
    <w:link w:val="TitleChar"/>
    <w:uiPriority w:val="10"/>
    <w:qFormat/>
    <w:rsid w:val="008C7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73A"/>
    <w:pPr>
      <w:spacing w:before="160"/>
      <w:jc w:val="center"/>
    </w:pPr>
    <w:rPr>
      <w:i/>
      <w:iCs/>
      <w:color w:val="404040" w:themeColor="text1" w:themeTint="BF"/>
    </w:rPr>
  </w:style>
  <w:style w:type="character" w:customStyle="1" w:styleId="QuoteChar">
    <w:name w:val="Quote Char"/>
    <w:basedOn w:val="DefaultParagraphFont"/>
    <w:link w:val="Quote"/>
    <w:uiPriority w:val="29"/>
    <w:rsid w:val="008C773A"/>
    <w:rPr>
      <w:i/>
      <w:iCs/>
      <w:color w:val="404040" w:themeColor="text1" w:themeTint="BF"/>
    </w:rPr>
  </w:style>
  <w:style w:type="paragraph" w:styleId="ListParagraph">
    <w:name w:val="List Paragraph"/>
    <w:basedOn w:val="Normal"/>
    <w:uiPriority w:val="34"/>
    <w:qFormat/>
    <w:rsid w:val="008C773A"/>
    <w:pPr>
      <w:ind w:left="720"/>
      <w:contextualSpacing/>
    </w:pPr>
  </w:style>
  <w:style w:type="character" w:styleId="IntenseEmphasis">
    <w:name w:val="Intense Emphasis"/>
    <w:basedOn w:val="DefaultParagraphFont"/>
    <w:uiPriority w:val="21"/>
    <w:qFormat/>
    <w:rsid w:val="008C773A"/>
    <w:rPr>
      <w:i/>
      <w:iCs/>
      <w:color w:val="0F4761" w:themeColor="accent1" w:themeShade="BF"/>
    </w:rPr>
  </w:style>
  <w:style w:type="paragraph" w:styleId="IntenseQuote">
    <w:name w:val="Intense Quote"/>
    <w:basedOn w:val="Normal"/>
    <w:next w:val="Normal"/>
    <w:link w:val="IntenseQuoteChar"/>
    <w:uiPriority w:val="30"/>
    <w:qFormat/>
    <w:rsid w:val="008C7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73A"/>
    <w:rPr>
      <w:i/>
      <w:iCs/>
      <w:color w:val="0F4761" w:themeColor="accent1" w:themeShade="BF"/>
    </w:rPr>
  </w:style>
  <w:style w:type="character" w:styleId="IntenseReference">
    <w:name w:val="Intense Reference"/>
    <w:basedOn w:val="DefaultParagraphFont"/>
    <w:uiPriority w:val="32"/>
    <w:qFormat/>
    <w:rsid w:val="008C773A"/>
    <w:rPr>
      <w:b/>
      <w:bCs/>
      <w:smallCaps/>
      <w:color w:val="0F4761" w:themeColor="accent1" w:themeShade="BF"/>
      <w:spacing w:val="5"/>
    </w:rPr>
  </w:style>
  <w:style w:type="character" w:styleId="Hyperlink">
    <w:name w:val="Hyperlink"/>
    <w:basedOn w:val="DefaultParagraphFont"/>
    <w:uiPriority w:val="99"/>
    <w:unhideWhenUsed/>
    <w:rsid w:val="007574A2"/>
    <w:rPr>
      <w:color w:val="467886" w:themeColor="hyperlink"/>
      <w:u w:val="single"/>
    </w:rPr>
  </w:style>
  <w:style w:type="character" w:styleId="UnresolvedMention">
    <w:name w:val="Unresolved Mention"/>
    <w:basedOn w:val="DefaultParagraphFont"/>
    <w:uiPriority w:val="99"/>
    <w:semiHidden/>
    <w:unhideWhenUsed/>
    <w:rsid w:val="007574A2"/>
    <w:rPr>
      <w:color w:val="605E5C"/>
      <w:shd w:val="clear" w:color="auto" w:fill="E1DFDD"/>
    </w:rPr>
  </w:style>
  <w:style w:type="paragraph" w:styleId="Header">
    <w:name w:val="header"/>
    <w:basedOn w:val="Normal"/>
    <w:link w:val="HeaderChar"/>
    <w:uiPriority w:val="99"/>
    <w:unhideWhenUsed/>
    <w:rsid w:val="00757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4A2"/>
  </w:style>
  <w:style w:type="paragraph" w:styleId="Footer">
    <w:name w:val="footer"/>
    <w:basedOn w:val="Normal"/>
    <w:link w:val="FooterChar"/>
    <w:uiPriority w:val="99"/>
    <w:unhideWhenUsed/>
    <w:rsid w:val="00757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4A2"/>
  </w:style>
  <w:style w:type="paragraph" w:styleId="NoSpacing">
    <w:name w:val="No Spacing"/>
    <w:link w:val="NoSpacingChar"/>
    <w:uiPriority w:val="1"/>
    <w:qFormat/>
    <w:rsid w:val="007574A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574A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51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smj.759" TargetMode="External"/><Relationship Id="rId13" Type="http://schemas.openxmlformats.org/officeDocument/2006/relationships/hyperlink" Target="https://doi.org/10.1080/096381898336485"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norma.ncirl.ie/id/eprint/5580" TargetMode="External"/><Relationship Id="rId12" Type="http://schemas.openxmlformats.org/officeDocument/2006/relationships/hyperlink" Target="https://doi.org/10.1111/j.1911-3846.1995.tb00461.x" TargetMode="External"/><Relationship Id="rId17" Type="http://schemas.openxmlformats.org/officeDocument/2006/relationships/hyperlink" Target="https://tez.yok.gov.tr" TargetMode="External"/><Relationship Id="rId2" Type="http://schemas.openxmlformats.org/officeDocument/2006/relationships/styles" Target="styles.xml"/><Relationship Id="rId16" Type="http://schemas.openxmlformats.org/officeDocument/2006/relationships/hyperlink" Target="https://www.tescoplc.com/media/zgvhd0dn/tescos_ar2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691/fms.v2i4.115" TargetMode="External"/><Relationship Id="rId5" Type="http://schemas.openxmlformats.org/officeDocument/2006/relationships/footnotes" Target="footnotes.xml"/><Relationship Id="rId15" Type="http://schemas.openxmlformats.org/officeDocument/2006/relationships/hyperlink" Target="https://www.tescoplc.com/media/u1wlq2qf/tesco-plc-annual-report-2023.pdf" TargetMode="External"/><Relationship Id="rId10" Type="http://schemas.openxmlformats.org/officeDocument/2006/relationships/hyperlink" Target="https://doi.org/10.1016/S0165-4101(01)00027-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pository.uel.ac.uk" TargetMode="External"/><Relationship Id="rId14" Type="http://schemas.openxmlformats.org/officeDocument/2006/relationships/hyperlink" Target="https://repository.cardiffme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11</Pages>
  <Words>2152</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Student Name: Valentina Gureanu</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Assignment 1</dc:subject>
  <dc:creator>Mirabela Voican (1907947)</dc:creator>
  <cp:keywords/>
  <dc:description/>
  <cp:lastModifiedBy>Mirabela Voican (1907947)</cp:lastModifiedBy>
  <cp:revision>1</cp:revision>
  <dcterms:created xsi:type="dcterms:W3CDTF">2025-04-10T02:10:00Z</dcterms:created>
  <dcterms:modified xsi:type="dcterms:W3CDTF">2025-04-10T03:02:00Z</dcterms:modified>
  <cp:category>Financial Management for Business Sustainability</cp:category>
</cp:coreProperties>
</file>