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DB0EE" w14:textId="6702BA12" w:rsidR="00A831EF" w:rsidRDefault="0029609D" w:rsidP="00684BEB">
      <w:pPr>
        <w:pStyle w:val="Title"/>
      </w:pPr>
      <w:r>
        <w:rPr>
          <w:noProof/>
        </w:rPr>
        <w:drawing>
          <wp:inline distT="0" distB="0" distL="0" distR="0" wp14:anchorId="6EA92A70" wp14:editId="482AEC16">
            <wp:extent cx="5943600" cy="2852420"/>
            <wp:effectExtent l="0" t="0" r="0" b="0"/>
            <wp:docPr id="2024961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61548" name="Picture 2024961548"/>
                    <pic:cNvPicPr/>
                  </pic:nvPicPr>
                  <pic:blipFill>
                    <a:blip r:embed="rId7">
                      <a:extLst>
                        <a:ext uri="{28A0092B-C50C-407E-A947-70E740481C1C}">
                          <a14:useLocalDpi xmlns:a14="http://schemas.microsoft.com/office/drawing/2010/main" val="0"/>
                        </a:ext>
                      </a:extLst>
                    </a:blip>
                    <a:stretch>
                      <a:fillRect/>
                    </a:stretch>
                  </pic:blipFill>
                  <pic:spPr>
                    <a:xfrm>
                      <a:off x="0" y="0"/>
                      <a:ext cx="5943600" cy="2852420"/>
                    </a:xfrm>
                    <a:prstGeom prst="rect">
                      <a:avLst/>
                    </a:prstGeom>
                  </pic:spPr>
                </pic:pic>
              </a:graphicData>
            </a:graphic>
          </wp:inline>
        </w:drawing>
      </w:r>
    </w:p>
    <w:p w14:paraId="5E9CB494" w14:textId="77777777" w:rsidR="00A831EF" w:rsidRDefault="00A831EF" w:rsidP="00684BEB">
      <w:pPr>
        <w:pStyle w:val="Title"/>
      </w:pPr>
    </w:p>
    <w:p w14:paraId="7113FC9F" w14:textId="2060BCAE" w:rsidR="00A831EF" w:rsidRPr="0029609D" w:rsidRDefault="0029609D" w:rsidP="0029609D">
      <w:pPr>
        <w:pStyle w:val="Title"/>
        <w:rPr>
          <w:sz w:val="36"/>
          <w:szCs w:val="36"/>
        </w:rPr>
      </w:pPr>
      <w:r w:rsidRPr="0029609D">
        <w:rPr>
          <w:sz w:val="36"/>
          <w:szCs w:val="36"/>
        </w:rPr>
        <w:t xml:space="preserve">Name: Yash </w:t>
      </w:r>
      <w:proofErr w:type="spellStart"/>
      <w:r w:rsidRPr="0029609D">
        <w:rPr>
          <w:sz w:val="36"/>
          <w:szCs w:val="36"/>
        </w:rPr>
        <w:t>Mukeshbhai</w:t>
      </w:r>
      <w:proofErr w:type="spellEnd"/>
      <w:r w:rsidRPr="0029609D">
        <w:rPr>
          <w:sz w:val="36"/>
          <w:szCs w:val="36"/>
        </w:rPr>
        <w:t xml:space="preserve"> </w:t>
      </w:r>
      <w:proofErr w:type="spellStart"/>
      <w:r w:rsidRPr="0029609D">
        <w:rPr>
          <w:sz w:val="36"/>
          <w:szCs w:val="36"/>
        </w:rPr>
        <w:t>Kapadiya</w:t>
      </w:r>
      <w:proofErr w:type="spellEnd"/>
    </w:p>
    <w:p w14:paraId="744DBCB8" w14:textId="2A870707" w:rsidR="0029609D" w:rsidRPr="0029609D" w:rsidRDefault="0029609D" w:rsidP="0029609D">
      <w:pPr>
        <w:jc w:val="center"/>
        <w:rPr>
          <w:sz w:val="36"/>
          <w:szCs w:val="36"/>
        </w:rPr>
      </w:pPr>
      <w:r w:rsidRPr="0029609D">
        <w:rPr>
          <w:sz w:val="36"/>
          <w:szCs w:val="36"/>
        </w:rPr>
        <w:t>Student id: 2518277</w:t>
      </w:r>
    </w:p>
    <w:p w14:paraId="7D003422" w14:textId="0B270DEC" w:rsidR="00A831EF" w:rsidRPr="0029609D" w:rsidRDefault="0029609D" w:rsidP="0029609D">
      <w:pPr>
        <w:jc w:val="center"/>
        <w:rPr>
          <w:sz w:val="36"/>
          <w:szCs w:val="36"/>
        </w:rPr>
      </w:pPr>
      <w:r w:rsidRPr="0029609D">
        <w:rPr>
          <w:sz w:val="36"/>
          <w:szCs w:val="36"/>
        </w:rPr>
        <w:t>Module Name: Quality assurance and service improvements</w:t>
      </w:r>
    </w:p>
    <w:p w14:paraId="61E8C3EE" w14:textId="35F49FE0" w:rsidR="0029609D" w:rsidRPr="0029609D" w:rsidRDefault="0029609D" w:rsidP="0029609D">
      <w:pPr>
        <w:jc w:val="center"/>
        <w:rPr>
          <w:sz w:val="36"/>
          <w:szCs w:val="36"/>
        </w:rPr>
      </w:pPr>
      <w:r w:rsidRPr="0029609D">
        <w:rPr>
          <w:sz w:val="36"/>
          <w:szCs w:val="36"/>
        </w:rPr>
        <w:t xml:space="preserve">Lecturer name: </w:t>
      </w:r>
      <w:proofErr w:type="spellStart"/>
      <w:r w:rsidRPr="0029609D">
        <w:rPr>
          <w:sz w:val="36"/>
          <w:szCs w:val="36"/>
        </w:rPr>
        <w:t>Dilhara</w:t>
      </w:r>
      <w:proofErr w:type="spellEnd"/>
      <w:r w:rsidRPr="0029609D">
        <w:rPr>
          <w:sz w:val="36"/>
          <w:szCs w:val="36"/>
        </w:rPr>
        <w:t xml:space="preserve"> </w:t>
      </w:r>
      <w:proofErr w:type="spellStart"/>
      <w:r w:rsidRPr="0029609D">
        <w:rPr>
          <w:sz w:val="36"/>
          <w:szCs w:val="36"/>
        </w:rPr>
        <w:t>Mampitiya</w:t>
      </w:r>
      <w:proofErr w:type="spellEnd"/>
    </w:p>
    <w:p w14:paraId="771F5BF3" w14:textId="3AD07438" w:rsidR="0029609D" w:rsidRPr="0029609D" w:rsidRDefault="0029609D" w:rsidP="0029609D">
      <w:pPr>
        <w:jc w:val="center"/>
        <w:rPr>
          <w:sz w:val="36"/>
          <w:szCs w:val="36"/>
        </w:rPr>
      </w:pPr>
      <w:r w:rsidRPr="0029609D">
        <w:rPr>
          <w:sz w:val="36"/>
          <w:szCs w:val="36"/>
        </w:rPr>
        <w:t>Module code: 7006</w:t>
      </w:r>
    </w:p>
    <w:p w14:paraId="349E6A44" w14:textId="77777777" w:rsidR="00A831EF" w:rsidRDefault="00A831EF" w:rsidP="00684BEB">
      <w:pPr>
        <w:pStyle w:val="Title"/>
      </w:pPr>
    </w:p>
    <w:p w14:paraId="1A562D97" w14:textId="0BDCE734" w:rsidR="00A831EF" w:rsidRPr="00A831EF" w:rsidRDefault="00A831EF" w:rsidP="00684BEB">
      <w:pPr>
        <w:pStyle w:val="Title"/>
      </w:pPr>
      <w:r w:rsidRPr="00A831EF">
        <w:t>From Compliance to Sustained Safety: Improving Maternity Risk Recognition, Escalation and Organizational Learning at Shrewsbury and Telford Hospital NHS Trust</w:t>
      </w:r>
      <w:r w:rsidRPr="00A831EF">
        <w:br w:type="page"/>
      </w:r>
    </w:p>
    <w:sdt>
      <w:sdtPr>
        <w:rPr>
          <w:b/>
          <w:bCs/>
          <w:sz w:val="28"/>
          <w:szCs w:val="28"/>
        </w:rPr>
        <w:id w:val="1144858183"/>
        <w:docPartObj>
          <w:docPartGallery w:val="Table of Contents"/>
          <w:docPartUnique/>
        </w:docPartObj>
      </w:sdtPr>
      <w:sdtEndPr>
        <w:rPr>
          <w:b w:val="0"/>
          <w:bCs w:val="0"/>
          <w:noProof/>
          <w:sz w:val="22"/>
          <w:szCs w:val="22"/>
        </w:rPr>
      </w:sdtEndPr>
      <w:sdtContent>
        <w:p w14:paraId="3E002D70" w14:textId="6A0B34AB" w:rsidR="00A831EF" w:rsidRPr="009F61FA" w:rsidRDefault="00A831EF" w:rsidP="009F61FA">
          <w:pPr>
            <w:jc w:val="center"/>
            <w:rPr>
              <w:b/>
              <w:bCs/>
              <w:sz w:val="28"/>
              <w:szCs w:val="28"/>
            </w:rPr>
          </w:pPr>
          <w:r w:rsidRPr="009F61FA">
            <w:rPr>
              <w:b/>
              <w:bCs/>
              <w:sz w:val="28"/>
              <w:szCs w:val="28"/>
            </w:rPr>
            <w:t>Table of Contents</w:t>
          </w:r>
        </w:p>
        <w:p w14:paraId="0FE9E434" w14:textId="6352DFFA" w:rsidR="009D31C8" w:rsidRDefault="00A831EF">
          <w:pPr>
            <w:pStyle w:val="TOC1"/>
            <w:tabs>
              <w:tab w:val="right" w:leader="dot" w:pos="9350"/>
            </w:tabs>
            <w:rPr>
              <w:rFonts w:asciiTheme="minorHAnsi" w:eastAsiaTheme="minorEastAsia" w:hAnsiTheme="minorHAnsi" w:cstheme="minorBidi"/>
              <w:noProof/>
              <w:sz w:val="24"/>
              <w:szCs w:val="24"/>
              <w:lang w:eastAsia="en-IN"/>
            </w:rPr>
          </w:pPr>
          <w:r>
            <w:fldChar w:fldCharType="begin"/>
          </w:r>
          <w:r>
            <w:instrText xml:space="preserve"> TOC \o "1-3" \h \z \u </w:instrText>
          </w:r>
          <w:r>
            <w:fldChar w:fldCharType="separate"/>
          </w:r>
          <w:hyperlink w:anchor="_Toc236892646" w:history="1">
            <w:r w:rsidR="009D31C8" w:rsidRPr="00A879A4">
              <w:rPr>
                <w:rStyle w:val="Hyperlink"/>
                <w:noProof/>
              </w:rPr>
              <w:t>1. Introduction</w:t>
            </w:r>
            <w:r w:rsidR="009D31C8">
              <w:rPr>
                <w:noProof/>
                <w:webHidden/>
              </w:rPr>
              <w:tab/>
            </w:r>
            <w:r w:rsidR="009D31C8">
              <w:rPr>
                <w:noProof/>
                <w:webHidden/>
              </w:rPr>
              <w:fldChar w:fldCharType="begin"/>
            </w:r>
            <w:r w:rsidR="009D31C8">
              <w:rPr>
                <w:noProof/>
                <w:webHidden/>
              </w:rPr>
              <w:instrText xml:space="preserve"> PAGEREF _Toc236892646 \h </w:instrText>
            </w:r>
            <w:r w:rsidR="009D31C8">
              <w:rPr>
                <w:noProof/>
                <w:webHidden/>
              </w:rPr>
            </w:r>
            <w:r w:rsidR="009D31C8">
              <w:rPr>
                <w:noProof/>
                <w:webHidden/>
              </w:rPr>
              <w:fldChar w:fldCharType="separate"/>
            </w:r>
            <w:r w:rsidR="009D31C8">
              <w:rPr>
                <w:noProof/>
                <w:webHidden/>
              </w:rPr>
              <w:t>3</w:t>
            </w:r>
            <w:r w:rsidR="009D31C8">
              <w:rPr>
                <w:noProof/>
                <w:webHidden/>
              </w:rPr>
              <w:fldChar w:fldCharType="end"/>
            </w:r>
          </w:hyperlink>
        </w:p>
        <w:p w14:paraId="1AE45BCF" w14:textId="6BD9D432"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47" w:history="1">
            <w:r w:rsidRPr="00A879A4">
              <w:rPr>
                <w:rStyle w:val="Hyperlink"/>
                <w:noProof/>
              </w:rPr>
              <w:t>1.1 Organisation and maternity-service context</w:t>
            </w:r>
            <w:r>
              <w:rPr>
                <w:noProof/>
                <w:webHidden/>
              </w:rPr>
              <w:tab/>
            </w:r>
            <w:r>
              <w:rPr>
                <w:noProof/>
                <w:webHidden/>
              </w:rPr>
              <w:fldChar w:fldCharType="begin"/>
            </w:r>
            <w:r>
              <w:rPr>
                <w:noProof/>
                <w:webHidden/>
              </w:rPr>
              <w:instrText xml:space="preserve"> PAGEREF _Toc236892647 \h </w:instrText>
            </w:r>
            <w:r>
              <w:rPr>
                <w:noProof/>
                <w:webHidden/>
              </w:rPr>
            </w:r>
            <w:r>
              <w:rPr>
                <w:noProof/>
                <w:webHidden/>
              </w:rPr>
              <w:fldChar w:fldCharType="separate"/>
            </w:r>
            <w:r>
              <w:rPr>
                <w:noProof/>
                <w:webHidden/>
              </w:rPr>
              <w:t>3</w:t>
            </w:r>
            <w:r>
              <w:rPr>
                <w:noProof/>
                <w:webHidden/>
              </w:rPr>
              <w:fldChar w:fldCharType="end"/>
            </w:r>
          </w:hyperlink>
        </w:p>
        <w:p w14:paraId="45A2E186" w14:textId="2057C65A"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48" w:history="1">
            <w:r w:rsidRPr="00A879A4">
              <w:rPr>
                <w:rStyle w:val="Hyperlink"/>
                <w:noProof/>
              </w:rPr>
              <w:t>1.2 Historical quality concern and public-health significance</w:t>
            </w:r>
            <w:r>
              <w:rPr>
                <w:noProof/>
                <w:webHidden/>
              </w:rPr>
              <w:tab/>
            </w:r>
            <w:r>
              <w:rPr>
                <w:noProof/>
                <w:webHidden/>
              </w:rPr>
              <w:fldChar w:fldCharType="begin"/>
            </w:r>
            <w:r>
              <w:rPr>
                <w:noProof/>
                <w:webHidden/>
              </w:rPr>
              <w:instrText xml:space="preserve"> PAGEREF _Toc236892648 \h </w:instrText>
            </w:r>
            <w:r>
              <w:rPr>
                <w:noProof/>
                <w:webHidden/>
              </w:rPr>
            </w:r>
            <w:r>
              <w:rPr>
                <w:noProof/>
                <w:webHidden/>
              </w:rPr>
              <w:fldChar w:fldCharType="separate"/>
            </w:r>
            <w:r>
              <w:rPr>
                <w:noProof/>
                <w:webHidden/>
              </w:rPr>
              <w:t>3</w:t>
            </w:r>
            <w:r>
              <w:rPr>
                <w:noProof/>
                <w:webHidden/>
              </w:rPr>
              <w:fldChar w:fldCharType="end"/>
            </w:r>
          </w:hyperlink>
        </w:p>
        <w:p w14:paraId="14B2BCE8" w14:textId="5F0B26C5"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49" w:history="1">
            <w:r w:rsidRPr="00A879A4">
              <w:rPr>
                <w:rStyle w:val="Hyperlink"/>
                <w:noProof/>
              </w:rPr>
              <w:t>1.3 Current improvement position and unresolved assurance problem</w:t>
            </w:r>
            <w:r>
              <w:rPr>
                <w:noProof/>
                <w:webHidden/>
              </w:rPr>
              <w:tab/>
            </w:r>
            <w:r>
              <w:rPr>
                <w:noProof/>
                <w:webHidden/>
              </w:rPr>
              <w:fldChar w:fldCharType="begin"/>
            </w:r>
            <w:r>
              <w:rPr>
                <w:noProof/>
                <w:webHidden/>
              </w:rPr>
              <w:instrText xml:space="preserve"> PAGEREF _Toc236892649 \h </w:instrText>
            </w:r>
            <w:r>
              <w:rPr>
                <w:noProof/>
                <w:webHidden/>
              </w:rPr>
            </w:r>
            <w:r>
              <w:rPr>
                <w:noProof/>
                <w:webHidden/>
              </w:rPr>
              <w:fldChar w:fldCharType="separate"/>
            </w:r>
            <w:r>
              <w:rPr>
                <w:noProof/>
                <w:webHidden/>
              </w:rPr>
              <w:t>3</w:t>
            </w:r>
            <w:r>
              <w:rPr>
                <w:noProof/>
                <w:webHidden/>
              </w:rPr>
              <w:fldChar w:fldCharType="end"/>
            </w:r>
          </w:hyperlink>
        </w:p>
        <w:p w14:paraId="2805C0FD" w14:textId="56DC3933"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0" w:history="1">
            <w:r w:rsidRPr="00A879A4">
              <w:rPr>
                <w:rStyle w:val="Hyperlink"/>
                <w:noProof/>
              </w:rPr>
              <w:t>1.4 Purpose, scope and central argument</w:t>
            </w:r>
            <w:r>
              <w:rPr>
                <w:noProof/>
                <w:webHidden/>
              </w:rPr>
              <w:tab/>
            </w:r>
            <w:r>
              <w:rPr>
                <w:noProof/>
                <w:webHidden/>
              </w:rPr>
              <w:fldChar w:fldCharType="begin"/>
            </w:r>
            <w:r>
              <w:rPr>
                <w:noProof/>
                <w:webHidden/>
              </w:rPr>
              <w:instrText xml:space="preserve"> PAGEREF _Toc236892650 \h </w:instrText>
            </w:r>
            <w:r>
              <w:rPr>
                <w:noProof/>
                <w:webHidden/>
              </w:rPr>
            </w:r>
            <w:r>
              <w:rPr>
                <w:noProof/>
                <w:webHidden/>
              </w:rPr>
              <w:fldChar w:fldCharType="separate"/>
            </w:r>
            <w:r>
              <w:rPr>
                <w:noProof/>
                <w:webHidden/>
              </w:rPr>
              <w:t>4</w:t>
            </w:r>
            <w:r>
              <w:rPr>
                <w:noProof/>
                <w:webHidden/>
              </w:rPr>
              <w:fldChar w:fldCharType="end"/>
            </w:r>
          </w:hyperlink>
        </w:p>
        <w:p w14:paraId="7FC95FEE" w14:textId="50802701"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51" w:history="1">
            <w:r w:rsidRPr="00A879A4">
              <w:rPr>
                <w:rStyle w:val="Hyperlink"/>
                <w:noProof/>
              </w:rPr>
              <w:t>2. Critical analysis of the quality concern</w:t>
            </w:r>
            <w:r>
              <w:rPr>
                <w:noProof/>
                <w:webHidden/>
              </w:rPr>
              <w:tab/>
            </w:r>
            <w:r>
              <w:rPr>
                <w:noProof/>
                <w:webHidden/>
              </w:rPr>
              <w:fldChar w:fldCharType="begin"/>
            </w:r>
            <w:r>
              <w:rPr>
                <w:noProof/>
                <w:webHidden/>
              </w:rPr>
              <w:instrText xml:space="preserve"> PAGEREF _Toc236892651 \h </w:instrText>
            </w:r>
            <w:r>
              <w:rPr>
                <w:noProof/>
                <w:webHidden/>
              </w:rPr>
            </w:r>
            <w:r>
              <w:rPr>
                <w:noProof/>
                <w:webHidden/>
              </w:rPr>
              <w:fldChar w:fldCharType="separate"/>
            </w:r>
            <w:r>
              <w:rPr>
                <w:noProof/>
                <w:webHidden/>
              </w:rPr>
              <w:t>4</w:t>
            </w:r>
            <w:r>
              <w:rPr>
                <w:noProof/>
                <w:webHidden/>
              </w:rPr>
              <w:fldChar w:fldCharType="end"/>
            </w:r>
          </w:hyperlink>
        </w:p>
        <w:p w14:paraId="6B722C3D" w14:textId="7970C439"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2" w:history="1">
            <w:r w:rsidRPr="00A879A4">
              <w:rPr>
                <w:rStyle w:val="Hyperlink"/>
                <w:noProof/>
              </w:rPr>
              <w:t>2.1 Quality-management concepts and framework rationale</w:t>
            </w:r>
            <w:r>
              <w:rPr>
                <w:noProof/>
                <w:webHidden/>
              </w:rPr>
              <w:tab/>
            </w:r>
            <w:r>
              <w:rPr>
                <w:noProof/>
                <w:webHidden/>
              </w:rPr>
              <w:fldChar w:fldCharType="begin"/>
            </w:r>
            <w:r>
              <w:rPr>
                <w:noProof/>
                <w:webHidden/>
              </w:rPr>
              <w:instrText xml:space="preserve"> PAGEREF _Toc236892652 \h </w:instrText>
            </w:r>
            <w:r>
              <w:rPr>
                <w:noProof/>
                <w:webHidden/>
              </w:rPr>
            </w:r>
            <w:r>
              <w:rPr>
                <w:noProof/>
                <w:webHidden/>
              </w:rPr>
              <w:fldChar w:fldCharType="separate"/>
            </w:r>
            <w:r>
              <w:rPr>
                <w:noProof/>
                <w:webHidden/>
              </w:rPr>
              <w:t>4</w:t>
            </w:r>
            <w:r>
              <w:rPr>
                <w:noProof/>
                <w:webHidden/>
              </w:rPr>
              <w:fldChar w:fldCharType="end"/>
            </w:r>
          </w:hyperlink>
        </w:p>
        <w:p w14:paraId="161806E4" w14:textId="569C2F47"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3" w:history="1">
            <w:r w:rsidRPr="00A879A4">
              <w:rPr>
                <w:rStyle w:val="Hyperlink"/>
                <w:noProof/>
              </w:rPr>
              <w:t>2.2 Fishbone root-cause analysis</w:t>
            </w:r>
            <w:r>
              <w:rPr>
                <w:noProof/>
                <w:webHidden/>
              </w:rPr>
              <w:tab/>
            </w:r>
            <w:r>
              <w:rPr>
                <w:noProof/>
                <w:webHidden/>
              </w:rPr>
              <w:fldChar w:fldCharType="begin"/>
            </w:r>
            <w:r>
              <w:rPr>
                <w:noProof/>
                <w:webHidden/>
              </w:rPr>
              <w:instrText xml:space="preserve"> PAGEREF _Toc236892653 \h </w:instrText>
            </w:r>
            <w:r>
              <w:rPr>
                <w:noProof/>
                <w:webHidden/>
              </w:rPr>
            </w:r>
            <w:r>
              <w:rPr>
                <w:noProof/>
                <w:webHidden/>
              </w:rPr>
              <w:fldChar w:fldCharType="separate"/>
            </w:r>
            <w:r>
              <w:rPr>
                <w:noProof/>
                <w:webHidden/>
              </w:rPr>
              <w:t>4</w:t>
            </w:r>
            <w:r>
              <w:rPr>
                <w:noProof/>
                <w:webHidden/>
              </w:rPr>
              <w:fldChar w:fldCharType="end"/>
            </w:r>
          </w:hyperlink>
        </w:p>
        <w:p w14:paraId="32CD0D81" w14:textId="27BA156D"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4" w:history="1">
            <w:r w:rsidRPr="00A879A4">
              <w:rPr>
                <w:rStyle w:val="Hyperlink"/>
                <w:noProof/>
              </w:rPr>
              <w:t>2.3 Five Whys analysis</w:t>
            </w:r>
            <w:r>
              <w:rPr>
                <w:noProof/>
                <w:webHidden/>
              </w:rPr>
              <w:tab/>
            </w:r>
            <w:r>
              <w:rPr>
                <w:noProof/>
                <w:webHidden/>
              </w:rPr>
              <w:fldChar w:fldCharType="begin"/>
            </w:r>
            <w:r>
              <w:rPr>
                <w:noProof/>
                <w:webHidden/>
              </w:rPr>
              <w:instrText xml:space="preserve"> PAGEREF _Toc236892654 \h </w:instrText>
            </w:r>
            <w:r>
              <w:rPr>
                <w:noProof/>
                <w:webHidden/>
              </w:rPr>
            </w:r>
            <w:r>
              <w:rPr>
                <w:noProof/>
                <w:webHidden/>
              </w:rPr>
              <w:fldChar w:fldCharType="separate"/>
            </w:r>
            <w:r>
              <w:rPr>
                <w:noProof/>
                <w:webHidden/>
              </w:rPr>
              <w:t>6</w:t>
            </w:r>
            <w:r>
              <w:rPr>
                <w:noProof/>
                <w:webHidden/>
              </w:rPr>
              <w:fldChar w:fldCharType="end"/>
            </w:r>
          </w:hyperlink>
        </w:p>
        <w:p w14:paraId="7F8BDBEF" w14:textId="17934C79"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5" w:history="1">
            <w:r w:rsidRPr="00A879A4">
              <w:rPr>
                <w:rStyle w:val="Hyperlink"/>
                <w:noProof/>
              </w:rPr>
              <w:t>2.4 Donabedian structure - process - outcome analysis</w:t>
            </w:r>
            <w:r>
              <w:rPr>
                <w:noProof/>
                <w:webHidden/>
              </w:rPr>
              <w:tab/>
            </w:r>
            <w:r>
              <w:rPr>
                <w:noProof/>
                <w:webHidden/>
              </w:rPr>
              <w:fldChar w:fldCharType="begin"/>
            </w:r>
            <w:r>
              <w:rPr>
                <w:noProof/>
                <w:webHidden/>
              </w:rPr>
              <w:instrText xml:space="preserve"> PAGEREF _Toc236892655 \h </w:instrText>
            </w:r>
            <w:r>
              <w:rPr>
                <w:noProof/>
                <w:webHidden/>
              </w:rPr>
            </w:r>
            <w:r>
              <w:rPr>
                <w:noProof/>
                <w:webHidden/>
              </w:rPr>
              <w:fldChar w:fldCharType="separate"/>
            </w:r>
            <w:r>
              <w:rPr>
                <w:noProof/>
                <w:webHidden/>
              </w:rPr>
              <w:t>7</w:t>
            </w:r>
            <w:r>
              <w:rPr>
                <w:noProof/>
                <w:webHidden/>
              </w:rPr>
              <w:fldChar w:fldCharType="end"/>
            </w:r>
          </w:hyperlink>
        </w:p>
        <w:p w14:paraId="33816A5E" w14:textId="52D411A2"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6" w:history="1">
            <w:r w:rsidRPr="00A879A4">
              <w:rPr>
                <w:rStyle w:val="Hyperlink"/>
                <w:noProof/>
              </w:rPr>
              <w:t>2.5 National and local policy reforms and implementation</w:t>
            </w:r>
            <w:r>
              <w:rPr>
                <w:noProof/>
                <w:webHidden/>
              </w:rPr>
              <w:tab/>
            </w:r>
            <w:r>
              <w:rPr>
                <w:noProof/>
                <w:webHidden/>
              </w:rPr>
              <w:fldChar w:fldCharType="begin"/>
            </w:r>
            <w:r>
              <w:rPr>
                <w:noProof/>
                <w:webHidden/>
              </w:rPr>
              <w:instrText xml:space="preserve"> PAGEREF _Toc236892656 \h </w:instrText>
            </w:r>
            <w:r>
              <w:rPr>
                <w:noProof/>
                <w:webHidden/>
              </w:rPr>
            </w:r>
            <w:r>
              <w:rPr>
                <w:noProof/>
                <w:webHidden/>
              </w:rPr>
              <w:fldChar w:fldCharType="separate"/>
            </w:r>
            <w:r>
              <w:rPr>
                <w:noProof/>
                <w:webHidden/>
              </w:rPr>
              <w:t>9</w:t>
            </w:r>
            <w:r>
              <w:rPr>
                <w:noProof/>
                <w:webHidden/>
              </w:rPr>
              <w:fldChar w:fldCharType="end"/>
            </w:r>
          </w:hyperlink>
        </w:p>
        <w:p w14:paraId="06DA6C72" w14:textId="6350A02B"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7" w:history="1">
            <w:r w:rsidRPr="00A879A4">
              <w:rPr>
                <w:rStyle w:val="Hyperlink"/>
                <w:noProof/>
              </w:rPr>
              <w:t>2.6 SWOT analysis</w:t>
            </w:r>
            <w:r>
              <w:rPr>
                <w:noProof/>
                <w:webHidden/>
              </w:rPr>
              <w:tab/>
            </w:r>
            <w:r>
              <w:rPr>
                <w:noProof/>
                <w:webHidden/>
              </w:rPr>
              <w:fldChar w:fldCharType="begin"/>
            </w:r>
            <w:r>
              <w:rPr>
                <w:noProof/>
                <w:webHidden/>
              </w:rPr>
              <w:instrText xml:space="preserve"> PAGEREF _Toc236892657 \h </w:instrText>
            </w:r>
            <w:r>
              <w:rPr>
                <w:noProof/>
                <w:webHidden/>
              </w:rPr>
            </w:r>
            <w:r>
              <w:rPr>
                <w:noProof/>
                <w:webHidden/>
              </w:rPr>
              <w:fldChar w:fldCharType="separate"/>
            </w:r>
            <w:r>
              <w:rPr>
                <w:noProof/>
                <w:webHidden/>
              </w:rPr>
              <w:t>9</w:t>
            </w:r>
            <w:r>
              <w:rPr>
                <w:noProof/>
                <w:webHidden/>
              </w:rPr>
              <w:fldChar w:fldCharType="end"/>
            </w:r>
          </w:hyperlink>
        </w:p>
        <w:p w14:paraId="047F1228" w14:textId="40995D0D"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8" w:history="1">
            <w:r w:rsidRPr="00A879A4">
              <w:rPr>
                <w:rStyle w:val="Hyperlink"/>
                <w:noProof/>
              </w:rPr>
              <w:t>2.7 Critical synthesis and prioritised root causes</w:t>
            </w:r>
            <w:r>
              <w:rPr>
                <w:noProof/>
                <w:webHidden/>
              </w:rPr>
              <w:tab/>
            </w:r>
            <w:r>
              <w:rPr>
                <w:noProof/>
                <w:webHidden/>
              </w:rPr>
              <w:fldChar w:fldCharType="begin"/>
            </w:r>
            <w:r>
              <w:rPr>
                <w:noProof/>
                <w:webHidden/>
              </w:rPr>
              <w:instrText xml:space="preserve"> PAGEREF _Toc236892658 \h </w:instrText>
            </w:r>
            <w:r>
              <w:rPr>
                <w:noProof/>
                <w:webHidden/>
              </w:rPr>
            </w:r>
            <w:r>
              <w:rPr>
                <w:noProof/>
                <w:webHidden/>
              </w:rPr>
              <w:fldChar w:fldCharType="separate"/>
            </w:r>
            <w:r>
              <w:rPr>
                <w:noProof/>
                <w:webHidden/>
              </w:rPr>
              <w:t>10</w:t>
            </w:r>
            <w:r>
              <w:rPr>
                <w:noProof/>
                <w:webHidden/>
              </w:rPr>
              <w:fldChar w:fldCharType="end"/>
            </w:r>
          </w:hyperlink>
        </w:p>
        <w:p w14:paraId="19E8399D" w14:textId="46EB7279"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59" w:history="1">
            <w:r w:rsidRPr="00A879A4">
              <w:rPr>
                <w:rStyle w:val="Hyperlink"/>
                <w:noProof/>
              </w:rPr>
              <w:t>3. Recommendations and implementation</w:t>
            </w:r>
            <w:r>
              <w:rPr>
                <w:noProof/>
                <w:webHidden/>
              </w:rPr>
              <w:tab/>
            </w:r>
            <w:r>
              <w:rPr>
                <w:noProof/>
                <w:webHidden/>
              </w:rPr>
              <w:fldChar w:fldCharType="begin"/>
            </w:r>
            <w:r>
              <w:rPr>
                <w:noProof/>
                <w:webHidden/>
              </w:rPr>
              <w:instrText xml:space="preserve"> PAGEREF _Toc236892659 \h </w:instrText>
            </w:r>
            <w:r>
              <w:rPr>
                <w:noProof/>
                <w:webHidden/>
              </w:rPr>
            </w:r>
            <w:r>
              <w:rPr>
                <w:noProof/>
                <w:webHidden/>
              </w:rPr>
              <w:fldChar w:fldCharType="separate"/>
            </w:r>
            <w:r>
              <w:rPr>
                <w:noProof/>
                <w:webHidden/>
              </w:rPr>
              <w:t>11</w:t>
            </w:r>
            <w:r>
              <w:rPr>
                <w:noProof/>
                <w:webHidden/>
              </w:rPr>
              <w:fldChar w:fldCharType="end"/>
            </w:r>
          </w:hyperlink>
        </w:p>
        <w:p w14:paraId="7CF6EE89" w14:textId="4983608B"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0" w:history="1">
            <w:r w:rsidRPr="00A879A4">
              <w:rPr>
                <w:rStyle w:val="Hyperlink"/>
                <w:noProof/>
              </w:rPr>
              <w:t>3.1 Principal recommendation and evidence-based components</w:t>
            </w:r>
            <w:r>
              <w:rPr>
                <w:noProof/>
                <w:webHidden/>
              </w:rPr>
              <w:tab/>
            </w:r>
            <w:r>
              <w:rPr>
                <w:noProof/>
                <w:webHidden/>
              </w:rPr>
              <w:fldChar w:fldCharType="begin"/>
            </w:r>
            <w:r>
              <w:rPr>
                <w:noProof/>
                <w:webHidden/>
              </w:rPr>
              <w:instrText xml:space="preserve"> PAGEREF _Toc236892660 \h </w:instrText>
            </w:r>
            <w:r>
              <w:rPr>
                <w:noProof/>
                <w:webHidden/>
              </w:rPr>
            </w:r>
            <w:r>
              <w:rPr>
                <w:noProof/>
                <w:webHidden/>
              </w:rPr>
              <w:fldChar w:fldCharType="separate"/>
            </w:r>
            <w:r>
              <w:rPr>
                <w:noProof/>
                <w:webHidden/>
              </w:rPr>
              <w:t>11</w:t>
            </w:r>
            <w:r>
              <w:rPr>
                <w:noProof/>
                <w:webHidden/>
              </w:rPr>
              <w:fldChar w:fldCharType="end"/>
            </w:r>
          </w:hyperlink>
        </w:p>
        <w:p w14:paraId="2829E7F2" w14:textId="77E1EBD8"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1" w:history="1">
            <w:r w:rsidRPr="00A879A4">
              <w:rPr>
                <w:rStyle w:val="Hyperlink"/>
                <w:noProof/>
              </w:rPr>
              <w:t>3.2 PDSA implementation strategy</w:t>
            </w:r>
            <w:r>
              <w:rPr>
                <w:noProof/>
                <w:webHidden/>
              </w:rPr>
              <w:tab/>
            </w:r>
            <w:r>
              <w:rPr>
                <w:noProof/>
                <w:webHidden/>
              </w:rPr>
              <w:fldChar w:fldCharType="begin"/>
            </w:r>
            <w:r>
              <w:rPr>
                <w:noProof/>
                <w:webHidden/>
              </w:rPr>
              <w:instrText xml:space="preserve"> PAGEREF _Toc236892661 \h </w:instrText>
            </w:r>
            <w:r>
              <w:rPr>
                <w:noProof/>
                <w:webHidden/>
              </w:rPr>
            </w:r>
            <w:r>
              <w:rPr>
                <w:noProof/>
                <w:webHidden/>
              </w:rPr>
              <w:fldChar w:fldCharType="separate"/>
            </w:r>
            <w:r>
              <w:rPr>
                <w:noProof/>
                <w:webHidden/>
              </w:rPr>
              <w:t>11</w:t>
            </w:r>
            <w:r>
              <w:rPr>
                <w:noProof/>
                <w:webHidden/>
              </w:rPr>
              <w:fldChar w:fldCharType="end"/>
            </w:r>
          </w:hyperlink>
        </w:p>
        <w:p w14:paraId="6AB3F139" w14:textId="0EBA9D01"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2" w:history="1">
            <w:r w:rsidRPr="00A879A4">
              <w:rPr>
                <w:rStyle w:val="Hyperlink"/>
                <w:noProof/>
              </w:rPr>
              <w:t>3.3 Governance, stakeholders, resources and risks</w:t>
            </w:r>
            <w:r>
              <w:rPr>
                <w:noProof/>
                <w:webHidden/>
              </w:rPr>
              <w:tab/>
            </w:r>
            <w:r>
              <w:rPr>
                <w:noProof/>
                <w:webHidden/>
              </w:rPr>
              <w:fldChar w:fldCharType="begin"/>
            </w:r>
            <w:r>
              <w:rPr>
                <w:noProof/>
                <w:webHidden/>
              </w:rPr>
              <w:instrText xml:space="preserve"> PAGEREF _Toc236892662 \h </w:instrText>
            </w:r>
            <w:r>
              <w:rPr>
                <w:noProof/>
                <w:webHidden/>
              </w:rPr>
            </w:r>
            <w:r>
              <w:rPr>
                <w:noProof/>
                <w:webHidden/>
              </w:rPr>
              <w:fldChar w:fldCharType="separate"/>
            </w:r>
            <w:r>
              <w:rPr>
                <w:noProof/>
                <w:webHidden/>
              </w:rPr>
              <w:t>13</w:t>
            </w:r>
            <w:r>
              <w:rPr>
                <w:noProof/>
                <w:webHidden/>
              </w:rPr>
              <w:fldChar w:fldCharType="end"/>
            </w:r>
          </w:hyperlink>
        </w:p>
        <w:p w14:paraId="143A0E65" w14:textId="475C46BF"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3" w:history="1">
            <w:r w:rsidRPr="00A879A4">
              <w:rPr>
                <w:rStyle w:val="Hyperlink"/>
                <w:noProof/>
              </w:rPr>
              <w:t>3.4 Measurement, evaluation and sustainability</w:t>
            </w:r>
            <w:r>
              <w:rPr>
                <w:noProof/>
                <w:webHidden/>
              </w:rPr>
              <w:tab/>
            </w:r>
            <w:r>
              <w:rPr>
                <w:noProof/>
                <w:webHidden/>
              </w:rPr>
              <w:fldChar w:fldCharType="begin"/>
            </w:r>
            <w:r>
              <w:rPr>
                <w:noProof/>
                <w:webHidden/>
              </w:rPr>
              <w:instrText xml:space="preserve"> PAGEREF _Toc236892663 \h </w:instrText>
            </w:r>
            <w:r>
              <w:rPr>
                <w:noProof/>
                <w:webHidden/>
              </w:rPr>
            </w:r>
            <w:r>
              <w:rPr>
                <w:noProof/>
                <w:webHidden/>
              </w:rPr>
              <w:fldChar w:fldCharType="separate"/>
            </w:r>
            <w:r>
              <w:rPr>
                <w:noProof/>
                <w:webHidden/>
              </w:rPr>
              <w:t>13</w:t>
            </w:r>
            <w:r>
              <w:rPr>
                <w:noProof/>
                <w:webHidden/>
              </w:rPr>
              <w:fldChar w:fldCharType="end"/>
            </w:r>
          </w:hyperlink>
        </w:p>
        <w:p w14:paraId="124707BE" w14:textId="4E8842AE"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64" w:history="1">
            <w:r w:rsidRPr="00A879A4">
              <w:rPr>
                <w:rStyle w:val="Hyperlink"/>
                <w:noProof/>
              </w:rPr>
              <w:t>4. Conclusion</w:t>
            </w:r>
            <w:r>
              <w:rPr>
                <w:noProof/>
                <w:webHidden/>
              </w:rPr>
              <w:tab/>
            </w:r>
            <w:r>
              <w:rPr>
                <w:noProof/>
                <w:webHidden/>
              </w:rPr>
              <w:fldChar w:fldCharType="begin"/>
            </w:r>
            <w:r>
              <w:rPr>
                <w:noProof/>
                <w:webHidden/>
              </w:rPr>
              <w:instrText xml:space="preserve"> PAGEREF _Toc236892664 \h </w:instrText>
            </w:r>
            <w:r>
              <w:rPr>
                <w:noProof/>
                <w:webHidden/>
              </w:rPr>
            </w:r>
            <w:r>
              <w:rPr>
                <w:noProof/>
                <w:webHidden/>
              </w:rPr>
              <w:fldChar w:fldCharType="separate"/>
            </w:r>
            <w:r>
              <w:rPr>
                <w:noProof/>
                <w:webHidden/>
              </w:rPr>
              <w:t>14</w:t>
            </w:r>
            <w:r>
              <w:rPr>
                <w:noProof/>
                <w:webHidden/>
              </w:rPr>
              <w:fldChar w:fldCharType="end"/>
            </w:r>
          </w:hyperlink>
        </w:p>
        <w:p w14:paraId="4A00CFB3" w14:textId="7B859EA8"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65" w:history="1">
            <w:r w:rsidRPr="00A879A4">
              <w:rPr>
                <w:rStyle w:val="Hyperlink"/>
                <w:noProof/>
              </w:rPr>
              <w:t>References</w:t>
            </w:r>
            <w:r>
              <w:rPr>
                <w:noProof/>
                <w:webHidden/>
              </w:rPr>
              <w:tab/>
            </w:r>
            <w:r>
              <w:rPr>
                <w:noProof/>
                <w:webHidden/>
              </w:rPr>
              <w:fldChar w:fldCharType="begin"/>
            </w:r>
            <w:r>
              <w:rPr>
                <w:noProof/>
                <w:webHidden/>
              </w:rPr>
              <w:instrText xml:space="preserve"> PAGEREF _Toc236892665 \h </w:instrText>
            </w:r>
            <w:r>
              <w:rPr>
                <w:noProof/>
                <w:webHidden/>
              </w:rPr>
            </w:r>
            <w:r>
              <w:rPr>
                <w:noProof/>
                <w:webHidden/>
              </w:rPr>
              <w:fldChar w:fldCharType="separate"/>
            </w:r>
            <w:r>
              <w:rPr>
                <w:noProof/>
                <w:webHidden/>
              </w:rPr>
              <w:t>16</w:t>
            </w:r>
            <w:r>
              <w:rPr>
                <w:noProof/>
                <w:webHidden/>
              </w:rPr>
              <w:fldChar w:fldCharType="end"/>
            </w:r>
          </w:hyperlink>
        </w:p>
        <w:p w14:paraId="1C2CF167" w14:textId="2428B700"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66" w:history="1">
            <w:r w:rsidRPr="00A879A4">
              <w:rPr>
                <w:rStyle w:val="Hyperlink"/>
                <w:noProof/>
              </w:rPr>
              <w:t>Appendices</w:t>
            </w:r>
            <w:r>
              <w:rPr>
                <w:noProof/>
                <w:webHidden/>
              </w:rPr>
              <w:tab/>
            </w:r>
            <w:r>
              <w:rPr>
                <w:noProof/>
                <w:webHidden/>
              </w:rPr>
              <w:fldChar w:fldCharType="begin"/>
            </w:r>
            <w:r>
              <w:rPr>
                <w:noProof/>
                <w:webHidden/>
              </w:rPr>
              <w:instrText xml:space="preserve"> PAGEREF _Toc236892666 \h </w:instrText>
            </w:r>
            <w:r>
              <w:rPr>
                <w:noProof/>
                <w:webHidden/>
              </w:rPr>
            </w:r>
            <w:r>
              <w:rPr>
                <w:noProof/>
                <w:webHidden/>
              </w:rPr>
              <w:fldChar w:fldCharType="separate"/>
            </w:r>
            <w:r>
              <w:rPr>
                <w:noProof/>
                <w:webHidden/>
              </w:rPr>
              <w:t>21</w:t>
            </w:r>
            <w:r>
              <w:rPr>
                <w:noProof/>
                <w:webHidden/>
              </w:rPr>
              <w:fldChar w:fldCharType="end"/>
            </w:r>
          </w:hyperlink>
        </w:p>
        <w:p w14:paraId="0335BB10" w14:textId="1B50546E"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7" w:history="1">
            <w:r w:rsidRPr="00A879A4">
              <w:rPr>
                <w:rStyle w:val="Hyperlink"/>
                <w:noProof/>
              </w:rPr>
              <w:t>Appendix 1: Historical Failures, Current Controls and Remaining Assurance Questions</w:t>
            </w:r>
            <w:r>
              <w:rPr>
                <w:noProof/>
                <w:webHidden/>
              </w:rPr>
              <w:tab/>
            </w:r>
            <w:r>
              <w:rPr>
                <w:noProof/>
                <w:webHidden/>
              </w:rPr>
              <w:fldChar w:fldCharType="begin"/>
            </w:r>
            <w:r>
              <w:rPr>
                <w:noProof/>
                <w:webHidden/>
              </w:rPr>
              <w:instrText xml:space="preserve"> PAGEREF _Toc236892667 \h </w:instrText>
            </w:r>
            <w:r>
              <w:rPr>
                <w:noProof/>
                <w:webHidden/>
              </w:rPr>
            </w:r>
            <w:r>
              <w:rPr>
                <w:noProof/>
                <w:webHidden/>
              </w:rPr>
              <w:fldChar w:fldCharType="separate"/>
            </w:r>
            <w:r>
              <w:rPr>
                <w:noProof/>
                <w:webHidden/>
              </w:rPr>
              <w:t>21</w:t>
            </w:r>
            <w:r>
              <w:rPr>
                <w:noProof/>
                <w:webHidden/>
              </w:rPr>
              <w:fldChar w:fldCharType="end"/>
            </w:r>
          </w:hyperlink>
        </w:p>
        <w:p w14:paraId="3F560298" w14:textId="7581C198"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8" w:history="1">
            <w:r w:rsidRPr="00A879A4">
              <w:rPr>
                <w:rStyle w:val="Hyperlink"/>
                <w:noProof/>
              </w:rPr>
              <w:t>Appendix 2: Donabedian Analysis of Sustained Maternity Safety at SaTH</w:t>
            </w:r>
            <w:r>
              <w:rPr>
                <w:noProof/>
                <w:webHidden/>
              </w:rPr>
              <w:tab/>
            </w:r>
            <w:r>
              <w:rPr>
                <w:noProof/>
                <w:webHidden/>
              </w:rPr>
              <w:fldChar w:fldCharType="begin"/>
            </w:r>
            <w:r>
              <w:rPr>
                <w:noProof/>
                <w:webHidden/>
              </w:rPr>
              <w:instrText xml:space="preserve"> PAGEREF _Toc236892668 \h </w:instrText>
            </w:r>
            <w:r>
              <w:rPr>
                <w:noProof/>
                <w:webHidden/>
              </w:rPr>
            </w:r>
            <w:r>
              <w:rPr>
                <w:noProof/>
                <w:webHidden/>
              </w:rPr>
              <w:fldChar w:fldCharType="separate"/>
            </w:r>
            <w:r>
              <w:rPr>
                <w:noProof/>
                <w:webHidden/>
              </w:rPr>
              <w:t>22</w:t>
            </w:r>
            <w:r>
              <w:rPr>
                <w:noProof/>
                <w:webHidden/>
              </w:rPr>
              <w:fldChar w:fldCharType="end"/>
            </w:r>
          </w:hyperlink>
        </w:p>
        <w:p w14:paraId="61AE5A62" w14:textId="4E4654B2"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9" w:history="1">
            <w:r w:rsidRPr="00A879A4">
              <w:rPr>
                <w:rStyle w:val="Hyperlink"/>
                <w:noProof/>
              </w:rPr>
              <w:t>Appendix 3: Implementation and Evaluation Plan</w:t>
            </w:r>
            <w:r>
              <w:rPr>
                <w:noProof/>
                <w:webHidden/>
              </w:rPr>
              <w:tab/>
            </w:r>
            <w:r>
              <w:rPr>
                <w:noProof/>
                <w:webHidden/>
              </w:rPr>
              <w:fldChar w:fldCharType="begin"/>
            </w:r>
            <w:r>
              <w:rPr>
                <w:noProof/>
                <w:webHidden/>
              </w:rPr>
              <w:instrText xml:space="preserve"> PAGEREF _Toc236892669 \h </w:instrText>
            </w:r>
            <w:r>
              <w:rPr>
                <w:noProof/>
                <w:webHidden/>
              </w:rPr>
            </w:r>
            <w:r>
              <w:rPr>
                <w:noProof/>
                <w:webHidden/>
              </w:rPr>
              <w:fldChar w:fldCharType="separate"/>
            </w:r>
            <w:r>
              <w:rPr>
                <w:noProof/>
                <w:webHidden/>
              </w:rPr>
              <w:t>23</w:t>
            </w:r>
            <w:r>
              <w:rPr>
                <w:noProof/>
                <w:webHidden/>
              </w:rPr>
              <w:fldChar w:fldCharType="end"/>
            </w:r>
          </w:hyperlink>
        </w:p>
        <w:p w14:paraId="27DC06B1" w14:textId="78CE5849" w:rsidR="00A831EF" w:rsidRDefault="00A831EF" w:rsidP="00684BEB">
          <w:r>
            <w:rPr>
              <w:noProof/>
            </w:rPr>
            <w:fldChar w:fldCharType="end"/>
          </w:r>
        </w:p>
      </w:sdtContent>
    </w:sdt>
    <w:p w14:paraId="19B314BA" w14:textId="77777777" w:rsidR="00A831EF" w:rsidRDefault="00A831EF" w:rsidP="00684BEB">
      <w:pPr>
        <w:rPr>
          <w:sz w:val="28"/>
          <w:szCs w:val="28"/>
        </w:rPr>
      </w:pPr>
      <w:r>
        <w:br w:type="page"/>
      </w:r>
    </w:p>
    <w:p w14:paraId="44FE06EE" w14:textId="58DFA405" w:rsidR="00A831EF" w:rsidRPr="00A831EF" w:rsidRDefault="00A831EF" w:rsidP="00684BEB">
      <w:pPr>
        <w:pStyle w:val="Heading1"/>
      </w:pPr>
      <w:bookmarkStart w:id="0" w:name="_Toc236892646"/>
      <w:r w:rsidRPr="00A831EF">
        <w:lastRenderedPageBreak/>
        <w:t>1. Introduction</w:t>
      </w:r>
      <w:bookmarkEnd w:id="0"/>
      <w:r w:rsidRPr="00A831EF">
        <w:t xml:space="preserve"> </w:t>
      </w:r>
    </w:p>
    <w:p w14:paraId="605CB49F" w14:textId="2CFBF480" w:rsidR="00A831EF" w:rsidRDefault="00A831EF" w:rsidP="00684BEB">
      <w:pPr>
        <w:pStyle w:val="Heading2"/>
      </w:pPr>
      <w:bookmarkStart w:id="1" w:name="_Toc236892647"/>
      <w:r w:rsidRPr="00A831EF">
        <w:t>1.1 Organisation and maternity-service context</w:t>
      </w:r>
      <w:bookmarkEnd w:id="1"/>
      <w:r w:rsidRPr="00A831EF">
        <w:t xml:space="preserve"> </w:t>
      </w:r>
    </w:p>
    <w:p w14:paraId="426939C4" w14:textId="2DDDE598" w:rsidR="00684BEB" w:rsidRPr="00684BEB" w:rsidRDefault="007B6EF6" w:rsidP="00684BEB">
      <w:r w:rsidRPr="007B6EF6">
        <w:t>Princess Royal Hospital is part of Shrewsbury and Telford Hospital NHS Trust, which offers maternity healthcare. This maternity service has been rated as Good by CQC (2024a), which is an improvement on it</w:t>
      </w:r>
      <w:r w:rsidR="009D31C8">
        <w:t xml:space="preserve"> i</w:t>
      </w:r>
      <w:r w:rsidRPr="007B6EF6">
        <w:t>s previous rating of ‘Requires Improvement’. WHO (2025) breaks quality down into the following dimensions: safe, effective, people-centred, timely, equitable, integrated and efficient care. Component 2 builds upon the failures explored in Component 1 and concentrates on recognition, escalation and continuous organisational learning. Safe care for mothers and their babies needs coordinated monitoring, multidisciplinary capability, responsive escalation, accountable governance and involved families. However, past failures and present successes must be tested to see if formal changes can be successfully and sustainably implemented in the face of day-to-day clinical pressures.</w:t>
      </w:r>
    </w:p>
    <w:p w14:paraId="0741E286" w14:textId="070D86E0" w:rsidR="00A831EF" w:rsidRDefault="00A831EF" w:rsidP="00684BEB">
      <w:pPr>
        <w:pStyle w:val="Heading2"/>
      </w:pPr>
      <w:bookmarkStart w:id="2" w:name="_Toc236892648"/>
      <w:r w:rsidRPr="00A831EF">
        <w:t>1.2 Historical quality concern and public-health significance</w:t>
      </w:r>
      <w:bookmarkEnd w:id="2"/>
      <w:r w:rsidRPr="00A831EF">
        <w:t xml:space="preserve"> </w:t>
      </w:r>
    </w:p>
    <w:p w14:paraId="5F2F259D" w14:textId="12C1677C" w:rsidR="00684BEB" w:rsidRPr="00684BEB" w:rsidRDefault="007B6EF6" w:rsidP="00684BEB">
      <w:r w:rsidRPr="007B6EF6">
        <w:t xml:space="preserve">The lesson from the historical concern was the need to recognise deterioration, escalate concerns and learn from incidents in maternity care. Ockenden (2022) reviewed 1,486 families and 1,592 clinical incidents spanning 1973 to 2020. However, it is not possible to confirm that all these occurrences were indicative of poor care, given that standards have evolved over decades. Additionally, incomplete records limit confidence in judgements of individual clinical decisions and preventability. </w:t>
      </w:r>
      <w:r w:rsidR="00DE7776" w:rsidRPr="00DE7776">
        <w:t>The lack of monitoring, escalation, staffing, leadership, governance and family involvement was widespread throughout the organisational levels. Inconsistent reporting of incidents can however, impede learning, mask trends and create unnecessary risk as shown by Beecham et al (2025).</w:t>
      </w:r>
      <w:r w:rsidRPr="007B6EF6">
        <w:t xml:space="preserve"> These failures had detrimental effects on safety, patient experience, staff confidence, public trust and organisational resources. CQC (2024c) recognises similar national risks, and maternity safety is a broader public-health responsibility. Their prevalence over time, across teams and safety protocols thus reflects systemic unreliability as opposed to a single clinical variation.</w:t>
      </w:r>
    </w:p>
    <w:p w14:paraId="059BDC04" w14:textId="7959DA02" w:rsidR="00A831EF" w:rsidRDefault="00A831EF" w:rsidP="00684BEB">
      <w:pPr>
        <w:pStyle w:val="Heading2"/>
      </w:pPr>
      <w:bookmarkStart w:id="3" w:name="_Toc236892649"/>
      <w:r w:rsidRPr="00A831EF">
        <w:t>1.3 Current improvement position and unresolved assurance problem</w:t>
      </w:r>
      <w:bookmarkEnd w:id="3"/>
      <w:r w:rsidRPr="00A831EF">
        <w:t xml:space="preserve"> </w:t>
      </w:r>
    </w:p>
    <w:p w14:paraId="723DCC7E" w14:textId="23ABDD77" w:rsidR="00436B7A" w:rsidRPr="00436B7A" w:rsidRDefault="007B6EF6" w:rsidP="00436B7A">
      <w:r w:rsidRPr="007B6EF6">
        <w:t xml:space="preserve">Maternity services at the hospital have been rated as Good by the Care Quality Commission (2024a), which noted improvements in leadership and governance, incident learning and engagement with the community. </w:t>
      </w:r>
      <w:proofErr w:type="spellStart"/>
      <w:r w:rsidRPr="007B6EF6">
        <w:t>SaTH</w:t>
      </w:r>
      <w:proofErr w:type="spellEnd"/>
      <w:r w:rsidRPr="007B6EF6">
        <w:t xml:space="preserve"> (2025a) provided the following evidence: 88.6% of 210 Ockenden actions were evidenced and assured, and 6.2% were delivered but unverified. </w:t>
      </w:r>
      <w:proofErr w:type="spellStart"/>
      <w:r w:rsidRPr="007B6EF6">
        <w:t>SaTH</w:t>
      </w:r>
      <w:proofErr w:type="spellEnd"/>
      <w:r w:rsidRPr="007B6EF6">
        <w:t xml:space="preserve"> also reported Saving Babies’ Lives compliance, dashboards, repeat audits, training controls and quarterly board oversight. Compliance, however, does not equal consistent behaviour during </w:t>
      </w:r>
      <w:r w:rsidRPr="007B6EF6">
        <w:lastRenderedPageBreak/>
        <w:t>periods of staffing pressure or complex clinical escalation. CQC (2024b) identified that ‘raising concerns’ scored 7.6, while care in hospital after birth scored 7.2. These results indicate improved controls alongside continuing experience and reliability concerns. There are also outstanding workforce and leadership priorities, which further undermine confidence in the full resilience of improvements across clinical settings. Hence, there is a need to differentiate between action completion, implementation in routine practice, outcome improvement and sustained outcome improvement [Appendix 1].</w:t>
      </w:r>
    </w:p>
    <w:p w14:paraId="65AFD237" w14:textId="31D08415" w:rsidR="00A831EF" w:rsidRDefault="00A831EF" w:rsidP="00436B7A">
      <w:pPr>
        <w:pStyle w:val="Heading2"/>
      </w:pPr>
      <w:bookmarkStart w:id="4" w:name="_Toc236892650"/>
      <w:r w:rsidRPr="00A831EF">
        <w:t>1.4 Purpose, scope and central argument</w:t>
      </w:r>
      <w:bookmarkEnd w:id="4"/>
      <w:r w:rsidRPr="00A831EF">
        <w:t xml:space="preserve"> </w:t>
      </w:r>
    </w:p>
    <w:p w14:paraId="4C998BA3" w14:textId="210A42AA" w:rsidR="00436B7A" w:rsidRPr="00436B7A" w:rsidRDefault="007B6EF6" w:rsidP="00436B7A">
      <w:r w:rsidRPr="007B6EF6">
        <w:t xml:space="preserve">This report is an assessment of the recurring issues in maternity risk recognition, escalation and organisational learning at </w:t>
      </w:r>
      <w:proofErr w:type="spellStart"/>
      <w:r w:rsidRPr="007B6EF6">
        <w:t>SaTH</w:t>
      </w:r>
      <w:proofErr w:type="spellEnd"/>
      <w:r w:rsidRPr="007B6EF6">
        <w:t xml:space="preserve">. Fishbone, Five Whys and Donabedian uncover interacting clinical, workforce, cultural and governance factors. National and local reforms are assessed, and SWOT testing is used to determine the feasibility of strategic improvement. The PDSA method is used to implement an evidence-based intervention in the areas of measurement, equity, risk and long-term sustainability. The report shows that simply stating that an institution or system is compliant is not enough; </w:t>
      </w:r>
      <w:proofErr w:type="spellStart"/>
      <w:r w:rsidRPr="007B6EF6">
        <w:t>SaTH</w:t>
      </w:r>
      <w:proofErr w:type="spellEnd"/>
      <w:r w:rsidRPr="007B6EF6">
        <w:t xml:space="preserve"> should continually assess the effectiveness of safety controls across teams, patient groups and operational conditions.</w:t>
      </w:r>
    </w:p>
    <w:p w14:paraId="252072D5" w14:textId="152AF317" w:rsidR="00A831EF" w:rsidRPr="00A831EF" w:rsidRDefault="00A831EF" w:rsidP="00684BEB">
      <w:pPr>
        <w:pStyle w:val="Heading1"/>
      </w:pPr>
      <w:bookmarkStart w:id="5" w:name="_Toc236892651"/>
      <w:r w:rsidRPr="00A831EF">
        <w:t>2. Critical analysis of the quality concern</w:t>
      </w:r>
      <w:bookmarkEnd w:id="5"/>
      <w:r w:rsidRPr="00A831EF">
        <w:t xml:space="preserve"> </w:t>
      </w:r>
    </w:p>
    <w:p w14:paraId="080B7234" w14:textId="2BBC7ED1" w:rsidR="00A831EF" w:rsidRDefault="00A831EF" w:rsidP="0002747B">
      <w:pPr>
        <w:pStyle w:val="Heading2"/>
      </w:pPr>
      <w:bookmarkStart w:id="6" w:name="_Toc236892652"/>
      <w:r w:rsidRPr="00A831EF">
        <w:t>2.1 Quality-management concepts and framework rationale</w:t>
      </w:r>
      <w:bookmarkEnd w:id="6"/>
      <w:r w:rsidRPr="00A831EF">
        <w:t xml:space="preserve"> </w:t>
      </w:r>
    </w:p>
    <w:p w14:paraId="60E3BCA9" w14:textId="06EF137D" w:rsidR="0002747B" w:rsidRPr="0002747B" w:rsidRDefault="007B6EF6" w:rsidP="0002747B">
      <w:r w:rsidRPr="007B6EF6">
        <w:t>Quality assurance assesses whether services meet required standards, while quality improvement modifies processes and measures resulting outcomes. Patient safety and organisational learning work to minimise avoidable harm through robust systems and translate evidence into ongoing action. Fishbone is useful for visualising interactions among causes but does not explain their depth, while Five Whys provides depth but can be overly simplistic. Donabedian connects structures, processes and outcomes, while feedback relationships may be only implied. Although SWOT is used to analyse strategic feasibility, it is prone to subjective classification and selective evidence. PDSA then supports repeated testing, adaptation and implementation under different service conditions. Together, these models can provide analytical triangulation.</w:t>
      </w:r>
    </w:p>
    <w:p w14:paraId="6A1F13A4" w14:textId="77777777" w:rsidR="006B481A" w:rsidRDefault="00A831EF" w:rsidP="0002747B">
      <w:pPr>
        <w:pStyle w:val="Heading2"/>
      </w:pPr>
      <w:bookmarkStart w:id="7" w:name="_Toc236892653"/>
      <w:r w:rsidRPr="00A831EF">
        <w:t>2.2 Fishbone root-cause analysis</w:t>
      </w:r>
      <w:bookmarkEnd w:id="7"/>
    </w:p>
    <w:p w14:paraId="654EAD3C" w14:textId="77777777" w:rsidR="00083895" w:rsidRDefault="006B481A" w:rsidP="006B481A">
      <w:pPr>
        <w:jc w:val="center"/>
        <w:rPr>
          <w:b/>
          <w:bCs/>
        </w:rPr>
      </w:pPr>
      <w:r>
        <w:rPr>
          <w:noProof/>
        </w:rPr>
        <w:lastRenderedPageBreak/>
        <w:drawing>
          <wp:inline distT="0" distB="0" distL="0" distR="0" wp14:anchorId="30A14A2A" wp14:editId="19E32AC3">
            <wp:extent cx="5654040" cy="3131820"/>
            <wp:effectExtent l="19050" t="19050" r="2286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l="3320" t="17369" r="1947" b="12644"/>
                    <a:stretch/>
                  </pic:blipFill>
                  <pic:spPr bwMode="auto">
                    <a:xfrm>
                      <a:off x="0" y="0"/>
                      <a:ext cx="5654040" cy="313182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FE7D409" w14:textId="447F5E3A" w:rsidR="006B481A" w:rsidRDefault="006B481A" w:rsidP="00083895">
      <w:pPr>
        <w:pStyle w:val="Heading4"/>
      </w:pPr>
      <w:r>
        <w:t>Figure 1</w:t>
      </w:r>
      <w:r w:rsidRPr="00083895">
        <w:rPr>
          <w:rStyle w:val="Heading4Char"/>
        </w:rPr>
        <w:t>:</w:t>
      </w:r>
      <w:r>
        <w:t xml:space="preserve"> </w:t>
      </w:r>
      <w:r w:rsidRPr="006B481A">
        <w:t>Fishbone Root-Cause Analysis</w:t>
      </w:r>
    </w:p>
    <w:p w14:paraId="3DA86BE8" w14:textId="676CB805" w:rsidR="006B481A" w:rsidRPr="006B481A" w:rsidRDefault="006B481A" w:rsidP="006B481A">
      <w:pPr>
        <w:jc w:val="center"/>
      </w:pPr>
      <w:r>
        <w:t>(</w:t>
      </w:r>
      <w:r w:rsidRPr="006B481A">
        <w:t>Source: Kumah et al., 2024)</w:t>
      </w:r>
    </w:p>
    <w:p w14:paraId="61B46341" w14:textId="257A217A" w:rsidR="007B6EF6" w:rsidRDefault="007B6EF6" w:rsidP="007B6EF6">
      <w:r>
        <w:t>The first branch was clinical reliability, as CTG interpretation, risk assessment and escalation repeatedly varied from expected practice. Ockenden (2022) demonstrated inconsistent and unreliable application of guidance for prompt identification and intervention in cases. Completion rates do not indicate whether competent performance is demonstrated under workload pressure; current training and fresh-eyes controls enhance assurance.</w:t>
      </w:r>
    </w:p>
    <w:p w14:paraId="129D2E74" w14:textId="2268B1CF" w:rsidR="007B6EF6" w:rsidRDefault="007B6EF6" w:rsidP="007B6EF6">
      <w:r>
        <w:t xml:space="preserve">The second branch was workforce and teamwork, which included staffing, skill mix, deployment, supervision, handover and communication within multidisciplinary teams. Inspection findings cannot determine reliability under service pressures, although </w:t>
      </w:r>
      <w:proofErr w:type="spellStart"/>
      <w:r>
        <w:t>SaTH</w:t>
      </w:r>
      <w:proofErr w:type="spellEnd"/>
      <w:r>
        <w:t xml:space="preserve"> received a higher rating for culture and leadership (CQC, 2024a).</w:t>
      </w:r>
    </w:p>
    <w:p w14:paraId="6A7A70EF" w14:textId="2810AA79" w:rsidR="007B6EF6" w:rsidRDefault="007B6EF6" w:rsidP="007B6EF6">
      <w:r>
        <w:t>Leadership and culture formed the third branch, as staff and families were not encouraged to challenge practice due to hierarchy, defensiveness and normalised workarounds. Mackintosh et al. (2025) demonstrated that safety cultures are reliant on local leadership practices, relationships and conditions supporting challenge. Unless leaders are consistent and ensure that there are no informal consequences to speaking up, speaking-up systems may remain ineffective.</w:t>
      </w:r>
    </w:p>
    <w:p w14:paraId="46BEFC74" w14:textId="7F9F947E" w:rsidR="007B6EF6" w:rsidRDefault="007B6EF6" w:rsidP="007B6EF6">
      <w:r>
        <w:t xml:space="preserve">Governance and learning formed the fourth branch and included re-audit, feedback integration, board assurance, reporting and action ownership. Under-reporting, workload, lack of feedback and punitive cultures are the factors that disconnect incident reporting from organisational learning, according to Beecham et al. (2025). </w:t>
      </w:r>
      <w:proofErr w:type="spellStart"/>
      <w:r>
        <w:t>SaTH’s</w:t>
      </w:r>
      <w:proofErr w:type="spellEnd"/>
      <w:r>
        <w:t xml:space="preserve"> governance thus needs to demonstrate that completed actions changed practice and had an impact.</w:t>
      </w:r>
    </w:p>
    <w:p w14:paraId="650E28DC" w14:textId="27E7B88C" w:rsidR="0002747B" w:rsidRPr="0002747B" w:rsidRDefault="007B6EF6" w:rsidP="007B6EF6">
      <w:r>
        <w:lastRenderedPageBreak/>
        <w:t>Policy and oversight constituted the fifth branch, as national guidance was in place, but there was historically a lack of accountability. There are greater external expectations for PSIRF responses to include governance, complaints, staff involvement and learning as part of the process (NHS England, 2022). Local assurance testing across shifts, teams and patient groups is, however, required to determine whether regulation translates into safety. Together, these branches suggest that repeated harm was a result of multiple system weaknesses, rather than just a single clinical deficit.</w:t>
      </w:r>
    </w:p>
    <w:p w14:paraId="0ADD0AAB" w14:textId="40A29774" w:rsidR="00A831EF" w:rsidRDefault="00A831EF" w:rsidP="00684BEB">
      <w:pPr>
        <w:pStyle w:val="Heading2"/>
      </w:pPr>
      <w:bookmarkStart w:id="8" w:name="_Toc236892654"/>
      <w:r w:rsidRPr="00A831EF">
        <w:t>2.3 Five Whys analysis</w:t>
      </w:r>
      <w:bookmarkEnd w:id="8"/>
      <w:r w:rsidRPr="00A831EF">
        <w:t xml:space="preserve"> </w:t>
      </w:r>
    </w:p>
    <w:p w14:paraId="2B135745" w14:textId="66DA7232" w:rsidR="006B481A" w:rsidRDefault="006B481A" w:rsidP="006B481A">
      <w:r>
        <w:rPr>
          <w:noProof/>
        </w:rPr>
        <w:drawing>
          <wp:inline distT="0" distB="0" distL="0" distR="0" wp14:anchorId="3EB0B3D3" wp14:editId="15ECBABC">
            <wp:extent cx="5537034" cy="4045527"/>
            <wp:effectExtent l="19050" t="19050" r="26035"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a:extLst>
                        <a:ext uri="{BEBA8EAE-BF5A-486C-A8C5-ECC9F3942E4B}">
                          <a14:imgProps xmlns:a14="http://schemas.microsoft.com/office/drawing/2010/main">
                            <a14:imgLayer r:embed="rId10">
                              <a14:imgEffect>
                                <a14:backgroundRemoval t="6759" b="89793" l="1138" r="95657">
                                  <a14:foregroundMark x1="27551" y1="17922" x2="35884" y2="20276"/>
                                  <a14:foregroundMark x1="35884" y1="20276" x2="13249" y2="20186"/>
                                  <a14:foregroundMark x1="25778" y1="12975" x2="14581" y2="9241"/>
                                  <a14:foregroundMark x1="14581" y1="9241" x2="35884" y2="11034"/>
                                  <a14:foregroundMark x1="37101" y1="17015" x2="45398" y2="57793"/>
                                  <a14:foregroundMark x1="35884" y1="11034" x2="36279" y2="12975"/>
                                  <a14:foregroundMark x1="69847" y1="76488" x2="77146" y2="82069"/>
                                  <a14:foregroundMark x1="53734" y1="64167" x2="66392" y2="73846"/>
                                  <a14:foregroundMark x1="45398" y1="57793" x2="49169" y2="60677"/>
                                  <a14:foregroundMark x1="15569" y1="17922" x2="21584" y2="24717"/>
                                  <a14:foregroundMark x1="12350" y1="14285" x2="12615" y2="14584"/>
                                  <a14:foregroundMark x1="5688" y1="6759" x2="11302" y2="13101"/>
                                  <a14:foregroundMark x1="44153" y1="65992" x2="46329" y2="70207"/>
                                  <a14:foregroundMark x1="25284" y1="29440" x2="41821" y2="61475"/>
                                  <a14:foregroundMark x1="54642" y1="79205" x2="60600" y2="85655"/>
                                  <a14:foregroundMark x1="46329" y1="70207" x2="50694" y2="74932"/>
                                  <a14:foregroundMark x1="58428" y1="89103" x2="89142" y2="87172"/>
                                  <a14:foregroundMark x1="86350" y1="82897" x2="56463" y2="83310"/>
                                  <a14:foregroundMark x1="56463" y1="83310" x2="64633" y2="89931"/>
                                  <a14:foregroundMark x1="64633" y1="89931" x2="84074" y2="87586"/>
                                  <a14:foregroundMark x1="84074" y1="87586" x2="83661" y2="83448"/>
                                  <a14:foregroundMark x1="50362" y1="80966" x2="52740" y2="93655"/>
                                  <a14:foregroundMark x1="52740" y1="93655" x2="90383" y2="93793"/>
                                  <a14:foregroundMark x1="90383" y1="93793" x2="95657" y2="83172"/>
                                  <a14:foregroundMark x1="95657" y1="83172" x2="80972" y2="77793"/>
                                  <a14:foregroundMark x1="80972" y1="77793" x2="69236" y2="77793"/>
                                  <a14:foregroundMark x1="51161" y1="79347" x2="49845" y2="82069"/>
                                  <a14:backgroundMark x1="12203" y1="15448" x2="37849" y2="15448"/>
                                  <a14:backgroundMark x1="10858" y1="14069" x2="12513" y2="13931"/>
                                  <a14:backgroundMark x1="40538" y1="64000" x2="54498" y2="62483"/>
                                  <a14:backgroundMark x1="49741" y1="76966" x2="70010" y2="76138"/>
                                  <a14:backgroundMark x1="207" y1="20690" x2="9721" y2="21241"/>
                                  <a14:backgroundMark x1="9721" y1="21241" x2="1448" y2="20414"/>
                                  <a14:backgroundMark x1="7963" y1="19724" x2="13133" y2="20414"/>
                                  <a14:backgroundMark x1="25026" y1="26897" x2="21406" y2="27310"/>
                                </a14:backgroundRemoval>
                              </a14:imgEffect>
                            </a14:imgLayer>
                          </a14:imgProps>
                        </a:ext>
                        <a:ext uri="{28A0092B-C50C-407E-A947-70E740481C1C}">
                          <a14:useLocalDpi xmlns:a14="http://schemas.microsoft.com/office/drawing/2010/main" val="0"/>
                        </a:ext>
                      </a:extLst>
                    </a:blip>
                    <a:srcRect l="1637" t="1609" r="2714" b="5186"/>
                    <a:stretch/>
                  </pic:blipFill>
                  <pic:spPr bwMode="auto">
                    <a:xfrm>
                      <a:off x="0" y="0"/>
                      <a:ext cx="5545907" cy="405201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422437D" w14:textId="3A6E9478" w:rsidR="006B481A" w:rsidRPr="006B481A" w:rsidRDefault="006B481A" w:rsidP="00083895">
      <w:pPr>
        <w:pStyle w:val="Heading4"/>
      </w:pPr>
      <w:r w:rsidRPr="006B481A">
        <w:t>Figure 2: Five Whys analysis</w:t>
      </w:r>
    </w:p>
    <w:p w14:paraId="62031EA1" w14:textId="5ECB5AFD" w:rsidR="006B481A" w:rsidRPr="006B481A" w:rsidRDefault="006B481A" w:rsidP="006B481A">
      <w:pPr>
        <w:jc w:val="center"/>
      </w:pPr>
      <w:r>
        <w:t xml:space="preserve">(Source: </w:t>
      </w:r>
      <w:proofErr w:type="spellStart"/>
      <w:r w:rsidRPr="006B481A">
        <w:t>Businessmap</w:t>
      </w:r>
      <w:proofErr w:type="spellEnd"/>
      <w:r w:rsidRPr="006B481A">
        <w:t xml:space="preserve">, </w:t>
      </w:r>
      <w:r>
        <w:t>2026</w:t>
      </w:r>
      <w:r w:rsidRPr="006B481A">
        <w:t>)</w:t>
      </w:r>
    </w:p>
    <w:p w14:paraId="728F4772" w14:textId="58F23D6A" w:rsidR="00DC2090" w:rsidRPr="00DC2090" w:rsidRDefault="00DC2090" w:rsidP="00DC2090">
      <w:r w:rsidRPr="00DC2090">
        <w:t>Five Whys helps move analysis from frontline unreliability towards deeper assurance and learning weaknesses. In this case, the identifies five connected causal steps:</w:t>
      </w:r>
    </w:p>
    <w:p w14:paraId="7DB4E855" w14:textId="77777777" w:rsidR="00DC2090" w:rsidRPr="00DC2090" w:rsidRDefault="00DC2090">
      <w:pPr>
        <w:numPr>
          <w:ilvl w:val="0"/>
          <w:numId w:val="1"/>
        </w:numPr>
      </w:pPr>
      <w:r w:rsidRPr="00DC2090">
        <w:rPr>
          <w:b/>
          <w:bCs/>
          <w:i/>
          <w:iCs/>
        </w:rPr>
        <w:t>Why 1: Recognition and escalation were not consistently reliable.</w:t>
      </w:r>
      <w:r w:rsidRPr="00DC2090">
        <w:rPr>
          <w:b/>
          <w:bCs/>
          <w:i/>
          <w:iCs/>
        </w:rPr>
        <w:br/>
      </w:r>
      <w:r w:rsidRPr="00DC2090">
        <w:t xml:space="preserve">Ockenden (2022) showed repeated weaknesses in recognising deterioration and escalating concerns. This indicates that expected safety processes did not operate reliably in practice. </w:t>
      </w:r>
    </w:p>
    <w:p w14:paraId="2041F1E7" w14:textId="77777777" w:rsidR="00DC2090" w:rsidRPr="00DC2090" w:rsidRDefault="00DC2090">
      <w:pPr>
        <w:numPr>
          <w:ilvl w:val="0"/>
          <w:numId w:val="1"/>
        </w:numPr>
      </w:pPr>
      <w:r w:rsidRPr="00DC2090">
        <w:rPr>
          <w:b/>
          <w:bCs/>
          <w:i/>
          <w:iCs/>
        </w:rPr>
        <w:lastRenderedPageBreak/>
        <w:t>Why 2: Competence, communication and senior review were inconsistently operationalised.</w:t>
      </w:r>
      <w:r w:rsidRPr="00DC2090">
        <w:rPr>
          <w:i/>
          <w:iCs/>
        </w:rPr>
        <w:br/>
      </w:r>
      <w:r w:rsidRPr="00DC2090">
        <w:t xml:space="preserve">Safety depended not only on written standards, but also on applied judgement, teamwork and timely senior input. Therefore, formal training and policy availability did not guarantee safe execution. </w:t>
      </w:r>
    </w:p>
    <w:p w14:paraId="1CE9E97C" w14:textId="5BB704A4" w:rsidR="00DC2090" w:rsidRPr="00DC2090" w:rsidRDefault="00DC2090">
      <w:pPr>
        <w:numPr>
          <w:ilvl w:val="0"/>
          <w:numId w:val="1"/>
        </w:numPr>
      </w:pPr>
      <w:r w:rsidRPr="00DC2090">
        <w:rPr>
          <w:b/>
          <w:bCs/>
          <w:i/>
          <w:iCs/>
        </w:rPr>
        <w:t>Why 3: Hierarchy and limited psychological safety reduced challenge from staff and families.</w:t>
      </w:r>
      <w:r w:rsidRPr="00DC2090">
        <w:rPr>
          <w:i/>
          <w:iCs/>
        </w:rPr>
        <w:br/>
      </w:r>
      <w:r w:rsidR="00DE7776" w:rsidRPr="00DE7776">
        <w:t>Challenge was less likely to be discussed or addressed when it was difficult.</w:t>
      </w:r>
      <w:r w:rsidRPr="00DC2090">
        <w:t xml:space="preserve"> This shows that cultural conditions weakened the effectiveness of formal escalation routes. </w:t>
      </w:r>
    </w:p>
    <w:p w14:paraId="00724E9E" w14:textId="77777777" w:rsidR="00C7380A" w:rsidRPr="00C7380A" w:rsidRDefault="00DC2090">
      <w:pPr>
        <w:numPr>
          <w:ilvl w:val="0"/>
          <w:numId w:val="1"/>
        </w:numPr>
      </w:pPr>
      <w:r w:rsidRPr="00DC2090">
        <w:rPr>
          <w:b/>
          <w:bCs/>
          <w:i/>
          <w:iCs/>
        </w:rPr>
        <w:t>Why 4: Governance did not consistently integrate incidents, complaints, audit and feedback into learning.</w:t>
      </w:r>
    </w:p>
    <w:p w14:paraId="54AF0739" w14:textId="6478917D" w:rsidR="00DC2090" w:rsidRPr="00DC2090" w:rsidRDefault="00DC2090" w:rsidP="00C7380A">
      <w:pPr>
        <w:ind w:left="720"/>
      </w:pPr>
      <w:r w:rsidRPr="00DC2090">
        <w:t xml:space="preserve">NHS England (2022) emphasises integrated, systems-based learning rather than isolated investigation. </w:t>
      </w:r>
      <w:proofErr w:type="spellStart"/>
      <w:r w:rsidRPr="00DC2090">
        <w:t>SaTH’s</w:t>
      </w:r>
      <w:proofErr w:type="spellEnd"/>
      <w:r w:rsidRPr="00DC2090">
        <w:t xml:space="preserve"> problem was therefore not only incident occurrence, but weak organisational conversion of information into improvement. </w:t>
      </w:r>
    </w:p>
    <w:p w14:paraId="571A43C5" w14:textId="1A088CF2" w:rsidR="00C7380A" w:rsidRPr="00C7380A" w:rsidRDefault="00DC2090">
      <w:pPr>
        <w:numPr>
          <w:ilvl w:val="0"/>
          <w:numId w:val="1"/>
        </w:numPr>
      </w:pPr>
      <w:r w:rsidRPr="00DC2090">
        <w:rPr>
          <w:b/>
          <w:bCs/>
          <w:i/>
          <w:iCs/>
        </w:rPr>
        <w:t xml:space="preserve">Why 5: Assurance focused insufficiently on whether actions changed everyday practice </w:t>
      </w:r>
      <w:r w:rsidR="00C7380A" w:rsidRPr="00C7380A">
        <w:rPr>
          <w:b/>
          <w:bCs/>
          <w:i/>
          <w:iCs/>
        </w:rPr>
        <w:t>moreover</w:t>
      </w:r>
      <w:r w:rsidR="00C7380A">
        <w:rPr>
          <w:b/>
          <w:bCs/>
          <w:i/>
          <w:iCs/>
        </w:rPr>
        <w:t xml:space="preserve"> </w:t>
      </w:r>
      <w:r w:rsidRPr="00DC2090">
        <w:rPr>
          <w:b/>
          <w:bCs/>
          <w:i/>
          <w:iCs/>
        </w:rPr>
        <w:t>remained effective.</w:t>
      </w:r>
    </w:p>
    <w:p w14:paraId="59B4F2FE" w14:textId="0C011B5A" w:rsidR="00DC2090" w:rsidRPr="00DC2090" w:rsidRDefault="00DC2090" w:rsidP="00C7380A">
      <w:pPr>
        <w:ind w:left="720"/>
      </w:pPr>
      <w:r w:rsidRPr="00DC2090">
        <w:t>Actions could be recorded as complete</w:t>
      </w:r>
      <w:r w:rsidR="00C7380A">
        <w:t>d</w:t>
      </w:r>
      <w:r w:rsidRPr="00DC2090">
        <w:t xml:space="preserve"> </w:t>
      </w:r>
      <w:proofErr w:type="spellStart"/>
      <w:r w:rsidRPr="00DC2090">
        <w:t>with</w:t>
      </w:r>
      <w:r w:rsidR="00C7380A">
        <w:t xml:space="preserve"> </w:t>
      </w:r>
      <w:r w:rsidRPr="00DC2090">
        <w:t>out</w:t>
      </w:r>
      <w:proofErr w:type="spellEnd"/>
      <w:r w:rsidRPr="00DC2090">
        <w:t xml:space="preserve"> proving reliable behavioural change. This created a gap between formal compliance and sustained safety improvement. </w:t>
      </w:r>
    </w:p>
    <w:p w14:paraId="0DDAD996" w14:textId="70336680" w:rsidR="00DC2090" w:rsidRPr="00DC2090" w:rsidRDefault="007B6EF6" w:rsidP="00DC2090">
      <w:r w:rsidRPr="007B6EF6">
        <w:t>Weak closed-loop assurance, interacting with workforce and cultural issues, was therefore identified as the principal root cause. However, Five Whys has limitations. It</w:t>
      </w:r>
      <w:r w:rsidR="009D31C8">
        <w:t xml:space="preserve"> i</w:t>
      </w:r>
      <w:r w:rsidRPr="007B6EF6">
        <w:t>s stopping point is subjective, it can become too linear, and retrospective interpretation may introduce hindsight bias. Kumah et al. (2024) therefore remain relevant, as Fishbone expands on the contributory causes and Donabedian tests whether structural weaknesses may have affected processes and outcomes.</w:t>
      </w:r>
    </w:p>
    <w:p w14:paraId="1A73E9BB" w14:textId="1A089597" w:rsidR="00A831EF" w:rsidRDefault="00A831EF" w:rsidP="00684BEB">
      <w:pPr>
        <w:pStyle w:val="Heading2"/>
      </w:pPr>
      <w:bookmarkStart w:id="9" w:name="_Toc236892655"/>
      <w:r w:rsidRPr="00A831EF">
        <w:t>2.4 Donabedian structure</w:t>
      </w:r>
      <w:r w:rsidR="002E69DD">
        <w:t xml:space="preserve"> - </w:t>
      </w:r>
      <w:r w:rsidRPr="00A831EF">
        <w:t>process</w:t>
      </w:r>
      <w:r w:rsidR="002E69DD">
        <w:t xml:space="preserve"> - </w:t>
      </w:r>
      <w:r w:rsidRPr="00A831EF">
        <w:t>outcome analysis</w:t>
      </w:r>
      <w:bookmarkEnd w:id="9"/>
      <w:r w:rsidRPr="00A831EF">
        <w:t xml:space="preserve"> </w:t>
      </w:r>
    </w:p>
    <w:p w14:paraId="414C3F32" w14:textId="4AB7C368" w:rsidR="00B65D9E" w:rsidRDefault="00B65D9E" w:rsidP="00B65D9E">
      <w:r>
        <w:rPr>
          <w:noProof/>
        </w:rPr>
        <w:lastRenderedPageBreak/>
        <w:drawing>
          <wp:inline distT="0" distB="0" distL="0" distR="0" wp14:anchorId="2CC0F30E" wp14:editId="6C4F8992">
            <wp:extent cx="5819365" cy="2888672"/>
            <wp:effectExtent l="19050" t="19050" r="10160" b="260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3331" b="20483"/>
                    <a:stretch/>
                  </pic:blipFill>
                  <pic:spPr bwMode="auto">
                    <a:xfrm>
                      <a:off x="0" y="0"/>
                      <a:ext cx="5847956" cy="290286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9AF6F82" w14:textId="49895860" w:rsidR="00083895" w:rsidRPr="00083895" w:rsidRDefault="00083895" w:rsidP="00083895">
      <w:pPr>
        <w:pStyle w:val="Heading4"/>
      </w:pPr>
      <w:r w:rsidRPr="00083895">
        <w:t>Figure 3: Donabedian structure</w:t>
      </w:r>
      <w:r w:rsidR="002E69DD">
        <w:t xml:space="preserve"> - </w:t>
      </w:r>
      <w:r w:rsidRPr="00083895">
        <w:t>process</w:t>
      </w:r>
      <w:r w:rsidR="002E69DD">
        <w:t xml:space="preserve"> - </w:t>
      </w:r>
      <w:r w:rsidRPr="00083895">
        <w:t>outcome analysis</w:t>
      </w:r>
    </w:p>
    <w:p w14:paraId="3BCF7106" w14:textId="729C3EF2" w:rsidR="00083895" w:rsidRDefault="00083895" w:rsidP="00083895">
      <w:pPr>
        <w:jc w:val="center"/>
      </w:pPr>
      <w:r>
        <w:t>(Source self-made)</w:t>
      </w:r>
    </w:p>
    <w:p w14:paraId="2F06D776" w14:textId="02D963FA" w:rsidR="00B5315A" w:rsidRPr="00B5315A" w:rsidRDefault="00B5315A" w:rsidP="00B5315A">
      <w:pPr>
        <w:jc w:val="left"/>
        <w:rPr>
          <w:b/>
          <w:bCs/>
          <w:i/>
          <w:iCs/>
        </w:rPr>
      </w:pPr>
      <w:r w:rsidRPr="00B5315A">
        <w:rPr>
          <w:b/>
          <w:bCs/>
          <w:i/>
          <w:iCs/>
        </w:rPr>
        <w:t>Structure</w:t>
      </w:r>
    </w:p>
    <w:p w14:paraId="69ED484B" w14:textId="319E8520" w:rsidR="00F36DFE" w:rsidRDefault="007B6EF6" w:rsidP="00F36DFE">
      <w:r w:rsidRPr="007B6EF6">
        <w:t>According to Donabedian’s framework, structures are only important if they consistently change frontline processes and outcomes. Yang et al. (2025) state that the three types of indicators should be read in conjunction with each other. Appropriate structures include staffing, skill mix, leadership stability, competency systems, governance committees, dashboards, reporting, MNVP participation and external assurance. Ockenden (2022) demonstrated that, historically, these arrangements were not coordinated and lacked challenge and accountability, making them less protective. Committees or training records, however, cannot demonstrate safety unless staff can use controls consistently under operational pressure.</w:t>
      </w:r>
    </w:p>
    <w:p w14:paraId="06111543" w14:textId="262A9F4B" w:rsidR="00B5315A" w:rsidRPr="00B5315A" w:rsidRDefault="00B5315A" w:rsidP="00F36DFE">
      <w:pPr>
        <w:rPr>
          <w:b/>
          <w:bCs/>
          <w:i/>
          <w:iCs/>
        </w:rPr>
      </w:pPr>
      <w:r w:rsidRPr="00B5315A">
        <w:rPr>
          <w:b/>
          <w:bCs/>
          <w:i/>
          <w:iCs/>
        </w:rPr>
        <w:t>Process</w:t>
      </w:r>
    </w:p>
    <w:p w14:paraId="4EFB57BC" w14:textId="7A3A1C6C" w:rsidR="00F36DFE" w:rsidRDefault="007B6EF6" w:rsidP="00F36DFE">
      <w:r w:rsidRPr="007B6EF6">
        <w:t>Processes facilitate the conversion of capacity into care through risk assessment, CTG interpretation, fresh-eyes review, multidisciplinary communication, senior escalation, action tracking and feedback from families. NHS England (2022) sees PSIRF responses as processes for turning incidents into proportionate responses, engagement and ongoing improvement. Their value depends on review, clear ownership, re-audit and evidence that feedback changes everyday practice.</w:t>
      </w:r>
    </w:p>
    <w:p w14:paraId="10DBABCE" w14:textId="350C79D1" w:rsidR="00B5315A" w:rsidRPr="00B5315A" w:rsidRDefault="00B5315A" w:rsidP="00F36DFE">
      <w:pPr>
        <w:rPr>
          <w:b/>
          <w:bCs/>
          <w:i/>
          <w:iCs/>
        </w:rPr>
      </w:pPr>
      <w:r w:rsidRPr="00B5315A">
        <w:rPr>
          <w:b/>
          <w:bCs/>
          <w:i/>
          <w:iCs/>
        </w:rPr>
        <w:t>Outcome</w:t>
      </w:r>
    </w:p>
    <w:p w14:paraId="1D0F12B0" w14:textId="019DCB06" w:rsidR="00195716" w:rsidRPr="00195716" w:rsidRDefault="007B6EF6" w:rsidP="00F36DFE">
      <w:r w:rsidRPr="007B6EF6">
        <w:t xml:space="preserve">Outcomes should incorporate safety events, escalation timeliness, patient experience, confidence in speaking up, sustained action, equity and public trust. CQC (2024a) has shown improvement </w:t>
      </w:r>
      <w:r w:rsidRPr="007B6EF6">
        <w:lastRenderedPageBreak/>
        <w:t>in maternity performance, but this does not guarantee dependable performance across all shifts, teams or patient groups. Severe outcomes are uncommon and therefore provide limited statistical sensitivity, making them slow indicators of deterioration or improvement. Other factors, such as case mix, pressure on staff, reporting behaviour and other circumstances, can also distort apparent relationships. As a result, it is essential to use sensitive process, experience and balancing measures alongside outcome data before safer care is attributed to structural reform [Appendix 2].</w:t>
      </w:r>
    </w:p>
    <w:p w14:paraId="4BA176E2" w14:textId="0ED6CC91" w:rsidR="00A831EF" w:rsidRDefault="00A831EF" w:rsidP="00195716">
      <w:pPr>
        <w:pStyle w:val="Heading2"/>
      </w:pPr>
      <w:bookmarkStart w:id="10" w:name="_Toc236892656"/>
      <w:r w:rsidRPr="00A831EF">
        <w:t>2.5 National and local policy reforms and implementation</w:t>
      </w:r>
      <w:bookmarkEnd w:id="10"/>
      <w:r w:rsidRPr="00A831EF">
        <w:t xml:space="preserve"> </w:t>
      </w:r>
    </w:p>
    <w:p w14:paraId="18F88413" w14:textId="5DD91C6B" w:rsidR="007B6EF6" w:rsidRDefault="007B6EF6" w:rsidP="007B6EF6">
      <w:r>
        <w:t>Maternity governance has shifted nationally from narrow compliance towards clearer standards, workforce support, and family involvement and learning. NHS England (2023) gives trusts, ICBs and regional teams responsibilities to reduce ambiguity, but this does not necessarily prevent fragmented responsibility. The plan connects safer care with staffing, leadership, culture and equity, but delivery requires locally testable mechanisms.</w:t>
      </w:r>
    </w:p>
    <w:p w14:paraId="4E1FE64A" w14:textId="00DDF3A8" w:rsidR="007B6EF6" w:rsidRDefault="007B6EF6" w:rsidP="007B6EF6">
      <w:r>
        <w:t xml:space="preserve">NHS England (2025) reinforces standardisation, incorporating </w:t>
      </w:r>
      <w:proofErr w:type="spellStart"/>
      <w:r>
        <w:t>fetal</w:t>
      </w:r>
      <w:proofErr w:type="spellEnd"/>
      <w:r>
        <w:t xml:space="preserve"> monitoring, growth surveillance and improvement processes. However, the package needs to be supplemented with guidance indicating that checklist compliance is not a substitute for clinical judgement or system learning. NHS Resolution (2025) links payment to independent audits of safety behaviour, strengthening board focus and the sustainability of improvement. On the other hand, incentive-based reporting can lead to premature action closure and “assurance fatigue” if outcomes and changes in practice are not subject to independent testing.</w:t>
      </w:r>
    </w:p>
    <w:p w14:paraId="28E12F80" w14:textId="38D28FA8" w:rsidR="00195716" w:rsidRPr="00195716" w:rsidRDefault="007B6EF6" w:rsidP="007B6EF6">
      <w:r>
        <w:t xml:space="preserve">Locally, </w:t>
      </w:r>
      <w:proofErr w:type="spellStart"/>
      <w:r>
        <w:t>SaTH</w:t>
      </w:r>
      <w:proofErr w:type="spellEnd"/>
      <w:r>
        <w:t xml:space="preserve"> (2024) reported that 195 of 210 Ockenden actions had been implemented through transformation governance, safety champions, training and family-engagement arrangements. Implementation demonstrates capacity, but reported completion does not indicate consistent performance across shifts, pressures or different patient groups. Incidents, audits, staff concerns and family experience should therefore be integrated into </w:t>
      </w:r>
      <w:proofErr w:type="spellStart"/>
      <w:r>
        <w:t>SaTH’s</w:t>
      </w:r>
      <w:proofErr w:type="spellEnd"/>
      <w:r>
        <w:t xml:space="preserve"> committees and dashboards, alongside input from LMNs and the MNVP. The success of policy implementation must be demonstrated through corresponding improvements in behaviour, experience and sustained safety outcomes; standardised requirements should not merely increase reporting.</w:t>
      </w:r>
    </w:p>
    <w:p w14:paraId="32E71F90" w14:textId="2B85FAAA" w:rsidR="00586155" w:rsidRPr="00586155" w:rsidRDefault="00A831EF" w:rsidP="00FE2757">
      <w:pPr>
        <w:pStyle w:val="Heading2"/>
      </w:pPr>
      <w:bookmarkStart w:id="11" w:name="_Toc236892657"/>
      <w:r w:rsidRPr="00A831EF">
        <w:t>2.6 SWOT analysis</w:t>
      </w:r>
      <w:bookmarkEnd w:id="11"/>
      <w:r w:rsidRPr="00A831EF">
        <w:t xml:space="preserve"> </w:t>
      </w:r>
    </w:p>
    <w:tbl>
      <w:tblPr>
        <w:tblStyle w:val="TableGrid"/>
        <w:tblW w:w="0" w:type="auto"/>
        <w:tblLook w:val="04A0" w:firstRow="1" w:lastRow="0" w:firstColumn="1" w:lastColumn="0" w:noHBand="0" w:noVBand="1"/>
      </w:tblPr>
      <w:tblGrid>
        <w:gridCol w:w="4612"/>
        <w:gridCol w:w="4738"/>
      </w:tblGrid>
      <w:tr w:rsidR="00586155" w:rsidRPr="00586155" w14:paraId="490C14D3" w14:textId="77777777" w:rsidTr="00FE2757">
        <w:tc>
          <w:tcPr>
            <w:tcW w:w="0" w:type="auto"/>
            <w:shd w:val="clear" w:color="auto" w:fill="17365D" w:themeFill="text2" w:themeFillShade="BF"/>
            <w:hideMark/>
          </w:tcPr>
          <w:p w14:paraId="67B294D4" w14:textId="4DDA3D1D" w:rsidR="00586155" w:rsidRPr="00586155" w:rsidRDefault="00586155" w:rsidP="00FE2757">
            <w:pPr>
              <w:jc w:val="center"/>
              <w:rPr>
                <w:b/>
                <w:bCs/>
              </w:rPr>
            </w:pPr>
            <w:r w:rsidRPr="00586155">
              <w:rPr>
                <w:b/>
                <w:bCs/>
              </w:rPr>
              <w:t>Strengths</w:t>
            </w:r>
          </w:p>
        </w:tc>
        <w:tc>
          <w:tcPr>
            <w:tcW w:w="0" w:type="auto"/>
            <w:shd w:val="clear" w:color="auto" w:fill="17365D" w:themeFill="text2" w:themeFillShade="BF"/>
            <w:hideMark/>
          </w:tcPr>
          <w:p w14:paraId="490467BA" w14:textId="486751EF" w:rsidR="00586155" w:rsidRPr="00586155" w:rsidRDefault="00586155" w:rsidP="00FE2757">
            <w:pPr>
              <w:jc w:val="center"/>
              <w:rPr>
                <w:b/>
                <w:bCs/>
              </w:rPr>
            </w:pPr>
            <w:r w:rsidRPr="00586155">
              <w:rPr>
                <w:b/>
                <w:bCs/>
              </w:rPr>
              <w:t>Weaknesses</w:t>
            </w:r>
          </w:p>
        </w:tc>
      </w:tr>
      <w:tr w:rsidR="00586155" w:rsidRPr="00586155" w14:paraId="0065CF8E" w14:textId="77777777" w:rsidTr="00FE2757">
        <w:tc>
          <w:tcPr>
            <w:tcW w:w="0" w:type="auto"/>
            <w:shd w:val="clear" w:color="auto" w:fill="DAEEF3" w:themeFill="accent5" w:themeFillTint="33"/>
            <w:hideMark/>
          </w:tcPr>
          <w:p w14:paraId="097A2F1A" w14:textId="77777777" w:rsidR="006A62D5" w:rsidRDefault="006A62D5">
            <w:pPr>
              <w:pStyle w:val="ListParagraph"/>
              <w:numPr>
                <w:ilvl w:val="0"/>
                <w:numId w:val="2"/>
              </w:numPr>
            </w:pPr>
            <w:r>
              <w:t>Good CQC ratings indicate stronger leadership, governance and oversight (</w:t>
            </w:r>
            <w:proofErr w:type="spellStart"/>
            <w:r>
              <w:t>SaTH</w:t>
            </w:r>
            <w:proofErr w:type="spellEnd"/>
            <w:r>
              <w:t>, 2025b).</w:t>
            </w:r>
          </w:p>
          <w:p w14:paraId="2F6DBBA8" w14:textId="77777777" w:rsidR="006A62D5" w:rsidRDefault="006A62D5">
            <w:pPr>
              <w:pStyle w:val="ListParagraph"/>
              <w:numPr>
                <w:ilvl w:val="0"/>
                <w:numId w:val="2"/>
              </w:numPr>
            </w:pPr>
            <w:r>
              <w:lastRenderedPageBreak/>
              <w:t>Dashboards and audits improve visibility of recognition, escalation and risks.</w:t>
            </w:r>
          </w:p>
          <w:p w14:paraId="1FC4F340" w14:textId="77777777" w:rsidR="006A62D5" w:rsidRDefault="006A62D5">
            <w:pPr>
              <w:pStyle w:val="ListParagraph"/>
              <w:numPr>
                <w:ilvl w:val="0"/>
                <w:numId w:val="2"/>
              </w:numPr>
            </w:pPr>
            <w:r>
              <w:t>MNVP involvement strengthens family voice, co-production and equity-focused assurance.</w:t>
            </w:r>
          </w:p>
          <w:p w14:paraId="6F87BCB7" w14:textId="61B4A235" w:rsidR="00586155" w:rsidRPr="00586155" w:rsidRDefault="006A62D5">
            <w:pPr>
              <w:pStyle w:val="ListParagraph"/>
              <w:numPr>
                <w:ilvl w:val="0"/>
                <w:numId w:val="2"/>
              </w:numPr>
            </w:pPr>
            <w:r>
              <w:t>Ockenden action delivery provides an established platform for improvement.</w:t>
            </w:r>
          </w:p>
        </w:tc>
        <w:tc>
          <w:tcPr>
            <w:tcW w:w="0" w:type="auto"/>
            <w:shd w:val="clear" w:color="auto" w:fill="DAEEF3" w:themeFill="accent5" w:themeFillTint="33"/>
            <w:hideMark/>
          </w:tcPr>
          <w:p w14:paraId="7C115D4F" w14:textId="77777777" w:rsidR="006A62D5" w:rsidRDefault="006A62D5">
            <w:pPr>
              <w:pStyle w:val="ListParagraph"/>
              <w:numPr>
                <w:ilvl w:val="0"/>
                <w:numId w:val="2"/>
              </w:numPr>
            </w:pPr>
            <w:r>
              <w:lastRenderedPageBreak/>
              <w:t>Completion metrics may overstate whether safety actions are embedded and effective.</w:t>
            </w:r>
          </w:p>
          <w:p w14:paraId="41358E38" w14:textId="77777777" w:rsidR="006A62D5" w:rsidRDefault="006A62D5">
            <w:pPr>
              <w:pStyle w:val="ListParagraph"/>
              <w:numPr>
                <w:ilvl w:val="0"/>
                <w:numId w:val="2"/>
              </w:numPr>
            </w:pPr>
            <w:r>
              <w:lastRenderedPageBreak/>
              <w:t>Workforce pressure can weaken monitoring, escalation, supervision and multidisciplinary communication.</w:t>
            </w:r>
          </w:p>
          <w:p w14:paraId="3E9DD130" w14:textId="77777777" w:rsidR="006A62D5" w:rsidRDefault="006A62D5">
            <w:pPr>
              <w:pStyle w:val="ListParagraph"/>
              <w:numPr>
                <w:ilvl w:val="0"/>
                <w:numId w:val="2"/>
              </w:numPr>
            </w:pPr>
            <w:r>
              <w:t>Speaking-up mechanisms may exist without psychological safety (Delpino et al., 2023).</w:t>
            </w:r>
          </w:p>
          <w:p w14:paraId="455F9F0F" w14:textId="476EE5EB" w:rsidR="00586155" w:rsidRPr="007C0305" w:rsidRDefault="006A62D5">
            <w:pPr>
              <w:pStyle w:val="ListParagraph"/>
              <w:numPr>
                <w:ilvl w:val="0"/>
                <w:numId w:val="2"/>
              </w:numPr>
            </w:pPr>
            <w:r>
              <w:t>Self-reported assurance may overlook behavioural variation across teams and shifts.</w:t>
            </w:r>
          </w:p>
        </w:tc>
      </w:tr>
      <w:tr w:rsidR="00586155" w:rsidRPr="00586155" w14:paraId="449524F6" w14:textId="77777777" w:rsidTr="00FE2757">
        <w:tc>
          <w:tcPr>
            <w:tcW w:w="0" w:type="auto"/>
            <w:shd w:val="clear" w:color="auto" w:fill="17365D" w:themeFill="text2" w:themeFillShade="BF"/>
            <w:hideMark/>
          </w:tcPr>
          <w:p w14:paraId="5CD82A8A" w14:textId="3EBF13D8" w:rsidR="00586155" w:rsidRPr="00586155" w:rsidRDefault="00586155" w:rsidP="00FE2757">
            <w:pPr>
              <w:jc w:val="center"/>
            </w:pPr>
            <w:r w:rsidRPr="00586155">
              <w:rPr>
                <w:b/>
                <w:bCs/>
              </w:rPr>
              <w:lastRenderedPageBreak/>
              <w:t>Opportunities</w:t>
            </w:r>
          </w:p>
        </w:tc>
        <w:tc>
          <w:tcPr>
            <w:tcW w:w="0" w:type="auto"/>
            <w:shd w:val="clear" w:color="auto" w:fill="17365D" w:themeFill="text2" w:themeFillShade="BF"/>
            <w:hideMark/>
          </w:tcPr>
          <w:p w14:paraId="6BE4D390" w14:textId="43690D06" w:rsidR="00586155" w:rsidRPr="00586155" w:rsidRDefault="00586155" w:rsidP="00FE2757">
            <w:pPr>
              <w:jc w:val="center"/>
            </w:pPr>
            <w:r w:rsidRPr="00586155">
              <w:rPr>
                <w:b/>
                <w:bCs/>
              </w:rPr>
              <w:t>Threats</w:t>
            </w:r>
          </w:p>
        </w:tc>
      </w:tr>
      <w:tr w:rsidR="00586155" w:rsidRPr="00586155" w14:paraId="7D350BEC" w14:textId="77777777" w:rsidTr="00FE2757">
        <w:tc>
          <w:tcPr>
            <w:tcW w:w="0" w:type="auto"/>
            <w:shd w:val="clear" w:color="auto" w:fill="DAEEF3" w:themeFill="accent5" w:themeFillTint="33"/>
            <w:hideMark/>
          </w:tcPr>
          <w:p w14:paraId="2B9FEFC4" w14:textId="77777777" w:rsidR="006A62D5" w:rsidRDefault="006A62D5">
            <w:pPr>
              <w:pStyle w:val="ListParagraph"/>
              <w:numPr>
                <w:ilvl w:val="0"/>
                <w:numId w:val="3"/>
              </w:numPr>
            </w:pPr>
            <w:r>
              <w:t>PSIRF can integrate incidents, complaints, audits and feedback into learning.</w:t>
            </w:r>
          </w:p>
          <w:p w14:paraId="31BE0BE5" w14:textId="77777777" w:rsidR="006A62D5" w:rsidRDefault="006A62D5">
            <w:pPr>
              <w:pStyle w:val="ListParagraph"/>
              <w:numPr>
                <w:ilvl w:val="0"/>
                <w:numId w:val="3"/>
              </w:numPr>
            </w:pPr>
            <w:r>
              <w:t>Simulation can expose communication, staffing and equipment weaknesses before harm (Qasem, 2025).</w:t>
            </w:r>
          </w:p>
          <w:p w14:paraId="62DB13ED" w14:textId="77777777" w:rsidR="006A62D5" w:rsidRDefault="006A62D5">
            <w:pPr>
              <w:pStyle w:val="ListParagraph"/>
              <w:numPr>
                <w:ilvl w:val="0"/>
                <w:numId w:val="3"/>
              </w:numPr>
            </w:pPr>
            <w:r>
              <w:t>Statistical process control can distinguish sustained improvement from routine variation.</w:t>
            </w:r>
          </w:p>
          <w:p w14:paraId="28B7CFB4" w14:textId="09984CBC" w:rsidR="00586155" w:rsidRPr="00586155" w:rsidRDefault="006A62D5">
            <w:pPr>
              <w:pStyle w:val="ListParagraph"/>
              <w:numPr>
                <w:ilvl w:val="0"/>
                <w:numId w:val="3"/>
              </w:numPr>
            </w:pPr>
            <w:r>
              <w:t>Independent benchmarking can test reliability across pathways and patient groups.</w:t>
            </w:r>
          </w:p>
        </w:tc>
        <w:tc>
          <w:tcPr>
            <w:tcW w:w="0" w:type="auto"/>
            <w:shd w:val="clear" w:color="auto" w:fill="DAEEF3" w:themeFill="accent5" w:themeFillTint="33"/>
            <w:hideMark/>
          </w:tcPr>
          <w:p w14:paraId="4A22D3D1" w14:textId="77777777" w:rsidR="006A62D5" w:rsidRDefault="006A62D5">
            <w:pPr>
              <w:pStyle w:val="ListParagraph"/>
              <w:numPr>
                <w:ilvl w:val="0"/>
                <w:numId w:val="3"/>
              </w:numPr>
            </w:pPr>
            <w:r>
              <w:t>Midwifery burnout may increase turnover and unsafe workarounds (</w:t>
            </w:r>
            <w:proofErr w:type="spellStart"/>
            <w:r>
              <w:t>Hadžibajramović</w:t>
            </w:r>
            <w:proofErr w:type="spellEnd"/>
            <w:r>
              <w:t xml:space="preserve"> et al., 2022).</w:t>
            </w:r>
          </w:p>
          <w:p w14:paraId="3524C8BA" w14:textId="77777777" w:rsidR="006A62D5" w:rsidRDefault="006A62D5">
            <w:pPr>
              <w:pStyle w:val="ListParagraph"/>
              <w:numPr>
                <w:ilvl w:val="0"/>
                <w:numId w:val="3"/>
              </w:numPr>
            </w:pPr>
            <w:r>
              <w:t>Leadership changes could interrupt accountability and improvement continuity.</w:t>
            </w:r>
          </w:p>
          <w:p w14:paraId="5F354C34" w14:textId="77777777" w:rsidR="006A62D5" w:rsidRDefault="006A62D5">
            <w:pPr>
              <w:pStyle w:val="ListParagraph"/>
              <w:numPr>
                <w:ilvl w:val="0"/>
                <w:numId w:val="3"/>
              </w:numPr>
            </w:pPr>
            <w:r>
              <w:t>Financial pressure may reduce review and training time.</w:t>
            </w:r>
          </w:p>
          <w:p w14:paraId="2EA7FA2B" w14:textId="1AB94F6B" w:rsidR="00586155" w:rsidRPr="00586155" w:rsidRDefault="006A62D5">
            <w:pPr>
              <w:pStyle w:val="ListParagraph"/>
              <w:numPr>
                <w:ilvl w:val="0"/>
                <w:numId w:val="3"/>
              </w:numPr>
            </w:pPr>
            <w:r>
              <w:t>Assurance fatigue may encourage action closure without verified improvement.</w:t>
            </w:r>
          </w:p>
        </w:tc>
      </w:tr>
    </w:tbl>
    <w:p w14:paraId="643D58C0" w14:textId="2CA236C8" w:rsidR="006A62D5" w:rsidRPr="006A62D5" w:rsidRDefault="006A62D5" w:rsidP="006A62D5">
      <w:pPr>
        <w:pStyle w:val="Heading5"/>
      </w:pPr>
      <w:r w:rsidRPr="006A62D5">
        <w:t>Table 1: SWOT analysis</w:t>
      </w:r>
    </w:p>
    <w:p w14:paraId="598FAE65" w14:textId="2CAC2CBF" w:rsidR="00A831EF" w:rsidRDefault="00A831EF" w:rsidP="00684BEB">
      <w:pPr>
        <w:pStyle w:val="Heading2"/>
      </w:pPr>
      <w:bookmarkStart w:id="12" w:name="_Toc236892658"/>
      <w:r w:rsidRPr="00A831EF">
        <w:t>2.7 Critical synthesis and prioritised root causes</w:t>
      </w:r>
      <w:bookmarkEnd w:id="12"/>
      <w:r w:rsidRPr="00A831EF">
        <w:t xml:space="preserve"> </w:t>
      </w:r>
    </w:p>
    <w:p w14:paraId="14C3B9F4" w14:textId="41CA34E3" w:rsidR="004D3ED2" w:rsidRPr="004D3ED2" w:rsidRDefault="00F36DFE" w:rsidP="004D3ED2">
      <w:r w:rsidRPr="00F36DFE">
        <w:t xml:space="preserve">In all three methods (Fishbone, Five Whys, Donabedian and SWOT), there are three modifiable causes that are of high practical importance. Firstly, there are still risks to the recognition and escalation processes when these processes are hindered by load, communication and access by senior people. Ede et al., 2024, states that there is often a difference between work-as-prescribed and work-as-done in the case of escalation. Secondly, learning is incomplete when incidents, staff concerns and family experience are not followed up with verified learning. Weak feedback, accountability and support are a problem in effective safety-learning systems, according to Mahmoud et al. (2023). Third, completed actions can show compliance but not sustained </w:t>
      </w:r>
      <w:r w:rsidRPr="00F36DFE">
        <w:lastRenderedPageBreak/>
        <w:t>improvements in behaviour and/or outcomes. These priorities clearly support integrated assurance, re-audit and on-going testing under service conditions.</w:t>
      </w:r>
    </w:p>
    <w:p w14:paraId="40BD5B00" w14:textId="012D547C" w:rsidR="00A831EF" w:rsidRPr="00A831EF" w:rsidRDefault="00A831EF" w:rsidP="00684BEB">
      <w:pPr>
        <w:pStyle w:val="Heading1"/>
      </w:pPr>
      <w:bookmarkStart w:id="13" w:name="_Toc236892659"/>
      <w:r w:rsidRPr="00A831EF">
        <w:t>3. Recommendations and implementation</w:t>
      </w:r>
      <w:bookmarkEnd w:id="13"/>
      <w:r w:rsidRPr="00A831EF">
        <w:t xml:space="preserve"> </w:t>
      </w:r>
    </w:p>
    <w:p w14:paraId="499133CA" w14:textId="1E2EB6F3" w:rsidR="00A831EF" w:rsidRDefault="00A831EF" w:rsidP="004D3ED2">
      <w:pPr>
        <w:pStyle w:val="Heading2"/>
      </w:pPr>
      <w:bookmarkStart w:id="14" w:name="_Toc236892660"/>
      <w:r w:rsidRPr="00A831EF">
        <w:t>3.1 Principal recommendation and evidence-based components</w:t>
      </w:r>
      <w:bookmarkEnd w:id="14"/>
      <w:r w:rsidRPr="00A831EF">
        <w:t xml:space="preserve"> </w:t>
      </w:r>
    </w:p>
    <w:p w14:paraId="7ED1D16F" w14:textId="606F08E1" w:rsidR="007B6EF6" w:rsidRDefault="007B6EF6" w:rsidP="007B6EF6">
      <w:r>
        <w:t xml:space="preserve">An Integrated Maternity Safety Assurance and Learning Bundle linking controls should be implemented at </w:t>
      </w:r>
      <w:proofErr w:type="spellStart"/>
      <w:r>
        <w:t>SaTH</w:t>
      </w:r>
      <w:proofErr w:type="spellEnd"/>
      <w:r>
        <w:t>. Through multidisciplinary case tracing, recognition, escalation and senior review should be tested across workloads and pathways. A maternity early-warning threshold should trigger escalating responses, moving assurance beyond recorded training completion, as supported by Gerry et al. (2024).</w:t>
      </w:r>
    </w:p>
    <w:p w14:paraId="41999B35" w14:textId="6BD4DEAA" w:rsidR="007B6EF6" w:rsidRDefault="007B6EF6" w:rsidP="007B6EF6">
      <w:r>
        <w:t>Second, each PSIRF action should have an owner, deadlines and evidence requirements and should be scheduled for re-audit. Lea et al. (2023) discovered weak evidence for the consistent assessment of investigation recommendations for effectiveness, which supports closed-loop verification.</w:t>
      </w:r>
    </w:p>
    <w:p w14:paraId="15768025" w14:textId="7D27682F" w:rsidR="007B6EF6" w:rsidRDefault="007B6EF6" w:rsidP="007B6EF6">
      <w:r>
        <w:t>Third, protected staff and family pathways should provide simple reporting, acknowledgement, review and feedback. Sutton et al. (2025) show that patient-led escalation requires leadership capacity, cultural acceptance and equitable communication.</w:t>
      </w:r>
    </w:p>
    <w:p w14:paraId="1D8A29FA" w14:textId="7E1EC2E3" w:rsidR="004D3ED2" w:rsidRPr="004D3ED2" w:rsidRDefault="007B6EF6" w:rsidP="007B6EF6">
      <w:r>
        <w:t>Finally, completed actions and patient journeys should be reviewed independently each quarter, with MNVP representatives and external reviewers. Zewde (2024) found that near-miss review reduced delayed care by 7%, suggesting feasibility despite substantial contextual differences. The bundle includes tests of the reliability of safety behaviours and their effectiveness in creating longer-term improvement.</w:t>
      </w:r>
    </w:p>
    <w:p w14:paraId="460CB005" w14:textId="7AC622B7" w:rsidR="00A831EF" w:rsidRDefault="00A831EF" w:rsidP="00D60811">
      <w:pPr>
        <w:pStyle w:val="Heading2"/>
      </w:pPr>
      <w:bookmarkStart w:id="15" w:name="_Toc236892661"/>
      <w:r w:rsidRPr="00A831EF">
        <w:t>3.2 PDSA implementation strategy</w:t>
      </w:r>
      <w:bookmarkEnd w:id="15"/>
      <w:r w:rsidRPr="00A831EF">
        <w:t xml:space="preserve"> </w:t>
      </w:r>
    </w:p>
    <w:p w14:paraId="652400C9" w14:textId="77777777" w:rsidR="00FE2757" w:rsidRDefault="00FE2757" w:rsidP="006B481A"/>
    <w:p w14:paraId="514CF396" w14:textId="7A428638" w:rsidR="006B481A" w:rsidRDefault="006B481A" w:rsidP="00FE2757">
      <w:pPr>
        <w:jc w:val="center"/>
      </w:pPr>
      <w:r>
        <w:rPr>
          <w:noProof/>
        </w:rPr>
        <w:lastRenderedPageBreak/>
        <w:drawing>
          <wp:inline distT="0" distB="0" distL="0" distR="0" wp14:anchorId="78BE35D6" wp14:editId="4B399704">
            <wp:extent cx="4904509" cy="4607922"/>
            <wp:effectExtent l="19050" t="19050" r="10795" b="215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BEBA8EAE-BF5A-486C-A8C5-ECC9F3942E4B}">
                          <a14:imgProps xmlns:a14="http://schemas.microsoft.com/office/drawing/2010/main">
                            <a14:imgLayer r:embed="rId13">
                              <a14:imgEffect>
                                <a14:backgroundRemoval t="8642" b="96022" l="14712" r="88272">
                                  <a14:foregroundMark x1="40535" y1="45405" x2="37654" y2="47874"/>
                                  <a14:foregroundMark x1="59979" y1="26749" x2="62654" y2="44856"/>
                                  <a14:foregroundMark x1="48045" y1="26749" x2="29115" y2="59808"/>
                                  <a14:foregroundMark x1="29115" y1="59808" x2="38272" y2="74897"/>
                                  <a14:foregroundMark x1="38272" y1="74897" x2="57510" y2="81207"/>
                                  <a14:foregroundMark x1="57510" y1="81207" x2="73765" y2="56379"/>
                                  <a14:foregroundMark x1="73765" y1="56379" x2="61008" y2="29218"/>
                                  <a14:foregroundMark x1="61008" y1="29218" x2="46193" y2="23320"/>
                                  <a14:foregroundMark x1="46193" y1="23320" x2="42387" y2="33608"/>
                                  <a14:foregroundMark x1="42387" y1="33608" x2="42593" y2="34568"/>
                                  <a14:foregroundMark x1="22634" y1="28669" x2="18210" y2="37997"/>
                                  <a14:foregroundMark x1="18210" y1="37997" x2="15535" y2="55556"/>
                                  <a14:foregroundMark x1="15535" y1="55556" x2="16723" y2="63872"/>
                                  <a14:foregroundMark x1="27339" y1="86024" x2="28395" y2="87243"/>
                                  <a14:foregroundMark x1="28395" y1="87243" x2="44033" y2="93964"/>
                                  <a14:foregroundMark x1="44033" y1="93964" x2="58333" y2="94376"/>
                                  <a14:foregroundMark x1="58333" y1="94376" x2="74177" y2="86145"/>
                                  <a14:foregroundMark x1="74177" y1="86145" x2="83025" y2="71742"/>
                                  <a14:foregroundMark x1="83025" y1="71742" x2="81996" y2="39095"/>
                                  <a14:foregroundMark x1="81996" y1="39095" x2="77778" y2="27709"/>
                                  <a14:foregroundMark x1="77778" y1="27709" x2="69342" y2="19479"/>
                                  <a14:foregroundMark x1="69342" y1="19479" x2="49897" y2="14403"/>
                                  <a14:foregroundMark x1="49897" y1="14403" x2="29115" y2="23594"/>
                                  <a14:foregroundMark x1="29115" y1="23594" x2="18519" y2="32099"/>
                                  <a14:foregroundMark x1="39506" y1="12894" x2="16770" y2="30864"/>
                                  <a14:foregroundMark x1="16770" y1="30864" x2="12449" y2="62277"/>
                                  <a14:foregroundMark x1="23837" y1="84557" x2="25000" y2="86831"/>
                                  <a14:foregroundMark x1="12449" y1="62277" x2="21049" y2="79101"/>
                                  <a14:foregroundMark x1="25000" y1="86831" x2="52263" y2="96982"/>
                                  <a14:foregroundMark x1="52263" y1="96982" x2="79012" y2="92181"/>
                                  <a14:foregroundMark x1="79012" y1="92181" x2="92284" y2="62689"/>
                                  <a14:foregroundMark x1="92284" y1="62689" x2="88374" y2="31001"/>
                                  <a14:foregroundMark x1="88374" y1="31001" x2="68519" y2="11797"/>
                                  <a14:foregroundMark x1="68519" y1="11797" x2="42798" y2="2469"/>
                                  <a14:foregroundMark x1="42798" y1="2469" x2="35391" y2="10974"/>
                                  <a14:foregroundMark x1="35391" y1="10974" x2="39815" y2="21262"/>
                                  <a14:foregroundMark x1="39815" y1="21262" x2="41667" y2="22497"/>
                                  <a14:foregroundMark x1="46193" y1="10014" x2="55350" y2="15638"/>
                                  <a14:foregroundMark x1="55350" y1="15638" x2="66255" y2="14129"/>
                                  <a14:foregroundMark x1="66255" y1="14129" x2="37757" y2="9053"/>
                                  <a14:foregroundMark x1="69650" y1="18107" x2="65844" y2="34156"/>
                                  <a14:foregroundMark x1="65844" y1="34156" x2="77984" y2="64060"/>
                                  <a14:foregroundMark x1="77984" y1="64060" x2="89506" y2="46365"/>
                                  <a14:foregroundMark x1="89506" y1="46365" x2="81996" y2="22085"/>
                                  <a14:foregroundMark x1="81996" y1="22085" x2="70473" y2="13992"/>
                                  <a14:foregroundMark x1="70473" y1="13992" x2="65741" y2="22771"/>
                                  <a14:foregroundMark x1="65741" y1="22771" x2="65947" y2="23045"/>
                                  <a14:foregroundMark x1="69650" y1="20302" x2="72942" y2="43621"/>
                                  <a14:foregroundMark x1="72942" y1="43621" x2="87140" y2="51715"/>
                                  <a14:foregroundMark x1="87140" y1="51715" x2="88374" y2="29355"/>
                                  <a14:foregroundMark x1="88374" y1="29355" x2="74486" y2="17147"/>
                                  <a14:foregroundMark x1="74486" y1="17147" x2="68004" y2="23731"/>
                                  <a14:foregroundMark x1="68004" y1="23731" x2="69959" y2="25103"/>
                                  <a14:foregroundMark x1="26029" y1="19479" x2="14815" y2="37586"/>
                                  <a14:foregroundMark x1="14815" y1="37586" x2="15226" y2="51303"/>
                                  <a14:foregroundMark x1="15226" y1="51303" x2="30041" y2="40192"/>
                                  <a14:foregroundMark x1="30041" y1="40192" x2="36523" y2="25377"/>
                                  <a14:foregroundMark x1="36523" y1="25377" x2="26440" y2="21262"/>
                                  <a14:foregroundMark x1="26440" y1="21262" x2="22942" y2="22634"/>
                                  <a14:foregroundMark x1="68416" y1="24280" x2="78395" y2="51303"/>
                                  <a14:foregroundMark x1="78395" y1="51303" x2="74691" y2="70645"/>
                                  <a14:foregroundMark x1="74691" y1="70645" x2="40226" y2="93964"/>
                                  <a14:foregroundMark x1="40226" y1="93964" x2="55247" y2="98765"/>
                                  <a14:foregroundMark x1="55247" y1="98765" x2="73765" y2="97668"/>
                                  <a14:foregroundMark x1="73765" y1="97668" x2="84259" y2="89849"/>
                                  <a14:foregroundMark x1="84259" y1="89849" x2="86111" y2="76406"/>
                                  <a14:foregroundMark x1="86111" y1="76406" x2="78292" y2="33471"/>
                                  <a14:foregroundMark x1="78292" y1="33471" x2="66872" y2="26063"/>
                                  <a14:foregroundMark x1="39095" y1="19890" x2="16152" y2="34979"/>
                                  <a14:foregroundMark x1="16152" y1="34979" x2="30453" y2="58025"/>
                                  <a14:foregroundMark x1="30453" y1="58025" x2="55041" y2="44444"/>
                                  <a14:foregroundMark x1="55041" y1="44444" x2="48560" y2="26475"/>
                                  <a14:foregroundMark x1="48560" y1="26475" x2="35905" y2="21399"/>
                                  <a14:foregroundMark x1="43519" y1="21674" x2="21399" y2="35391"/>
                                  <a14:foregroundMark x1="21399" y1="35391" x2="41564" y2="56653"/>
                                  <a14:foregroundMark x1="41564" y1="56653" x2="58025" y2="39918"/>
                                  <a14:foregroundMark x1="58025" y1="39918" x2="41049" y2="22085"/>
                                  <a14:foregroundMark x1="41049" y1="22085" x2="41049" y2="22085"/>
                                  <a14:foregroundMark x1="41049" y1="22085" x2="31893" y2="31139"/>
                                  <a14:foregroundMark x1="31893" y1="31139" x2="30967" y2="47874"/>
                                  <a14:foregroundMark x1="30967" y1="47874" x2="45782" y2="36351"/>
                                  <a14:foregroundMark x1="45782" y1="36351" x2="49280" y2="25377"/>
                                  <a14:foregroundMark x1="49280" y1="25377" x2="40432" y2="22634"/>
                                  <a14:foregroundMark x1="64095" y1="88615" x2="37140" y2="91495"/>
                                  <a14:foregroundMark x1="37140" y1="91495" x2="43827" y2="98628"/>
                                  <a14:foregroundMark x1="43827" y1="98628" x2="59568" y2="97942"/>
                                  <a14:foregroundMark x1="59568" y1="97942" x2="75617" y2="90123"/>
                                  <a14:foregroundMark x1="75617" y1="90123" x2="84774" y2="76269"/>
                                  <a14:foregroundMark x1="84774" y1="76269" x2="86934" y2="61728"/>
                                  <a14:foregroundMark x1="86934" y1="61728" x2="71811" y2="66667"/>
                                  <a14:foregroundMark x1="71811" y1="66667" x2="54424" y2="90261"/>
                                  <a14:foregroundMark x1="56379" y1="90947" x2="45885" y2="93690"/>
                                  <a14:foregroundMark x1="45885" y1="93690" x2="63889" y2="96708"/>
                                  <a14:foregroundMark x1="63889" y1="96708" x2="51543" y2="90809"/>
                                  <a14:foregroundMark x1="51543" y1="90809" x2="50412" y2="91084"/>
                                  <a14:foregroundMark x1="45679" y1="94787" x2="58642" y2="97531"/>
                                  <a14:foregroundMark x1="58642" y1="97531" x2="46296" y2="94787"/>
                                  <a14:foregroundMark x1="46296" y1="94787" x2="44342" y2="95610"/>
                                  <a14:foregroundMark x1="80658" y1="67215" x2="57922" y2="89026"/>
                                  <a14:foregroundMark x1="57922" y1="89026" x2="70782" y2="94102"/>
                                  <a14:foregroundMark x1="70782" y1="94102" x2="86214" y2="80796"/>
                                  <a14:foregroundMark x1="86214" y1="80796" x2="86111" y2="69410"/>
                                  <a14:foregroundMark x1="86111" y1="69410" x2="78909" y2="68450"/>
                                  <a14:foregroundMark x1="80144" y1="66529" x2="65226" y2="79973"/>
                                  <a14:foregroundMark x1="65226" y1="79973" x2="68107" y2="90809"/>
                                  <a14:foregroundMark x1="68107" y1="90809" x2="80967" y2="75171"/>
                                  <a14:foregroundMark x1="80967" y1="75171" x2="80453" y2="67078"/>
                                  <a14:foregroundMark x1="31379" y1="87106" x2="40226" y2="96159"/>
                                  <a14:foregroundMark x1="40226" y1="96159" x2="36317" y2="85734"/>
                                  <a14:foregroundMark x1="36317" y1="85734" x2="31687" y2="88752"/>
                                  <a14:foregroundMark x1="15741" y1="53498" x2="22222" y2="84636"/>
                                  <a14:foregroundMark x1="22222" y1="84636" x2="31481" y2="89986"/>
                                  <a14:foregroundMark x1="31481" y1="89986" x2="34671" y2="76543"/>
                                  <a14:foregroundMark x1="34671" y1="76543" x2="23663" y2="58985"/>
                                  <a14:foregroundMark x1="23663" y1="58985" x2="15021" y2="53498"/>
                                  <a14:foregroundMark x1="15021" y1="53498" x2="14712" y2="53498"/>
                                  <a14:foregroundMark x1="16975" y1="57888" x2="17798" y2="71879"/>
                                  <a14:foregroundMark x1="17798" y1="71879" x2="27160" y2="86831"/>
                                  <a14:foregroundMark x1="27160" y1="86831" x2="34671" y2="81481"/>
                                  <a14:foregroundMark x1="34671" y1="81481" x2="29424" y2="64472"/>
                                  <a14:foregroundMark x1="29424" y1="64472" x2="14918" y2="58025"/>
                                  <a14:foregroundMark x1="16975" y1="60905" x2="22634" y2="79150"/>
                                  <a14:foregroundMark x1="22634" y1="79150" x2="34362" y2="80521"/>
                                  <a14:foregroundMark x1="34362" y1="80521" x2="28189" y2="65844"/>
                                  <a14:foregroundMark x1="28189" y1="65844" x2="19856" y2="61866"/>
                                  <a14:foregroundMark x1="19856" y1="61866" x2="16358" y2="62277"/>
                                  <a14:foregroundMark x1="19033" y1="64746" x2="20370" y2="75995"/>
                                  <a14:foregroundMark x1="20370" y1="75995" x2="27778" y2="80933"/>
                                  <a14:foregroundMark x1="27778" y1="80933" x2="27058" y2="68313"/>
                                  <a14:foregroundMark x1="27058" y1="68313" x2="17284" y2="62140"/>
                                  <a14:foregroundMark x1="17284" y1="62140" x2="22531" y2="68450"/>
                                  <a14:foregroundMark x1="22531" y1="68861" x2="23251" y2="84636"/>
                                  <a14:foregroundMark x1="23251" y1="84636" x2="30761" y2="72840"/>
                                  <a14:foregroundMark x1="30761" y1="72840" x2="22634" y2="71742"/>
                                  <a14:foregroundMark x1="22634" y1="71742" x2="22325" y2="72154"/>
                                  <a14:foregroundMark x1="22531" y1="66667" x2="23354" y2="83128"/>
                                  <a14:foregroundMark x1="23354" y1="83128" x2="30453" y2="74897"/>
                                  <a14:foregroundMark x1="30453" y1="74897" x2="22840" y2="69959"/>
                                  <a14:foregroundMark x1="23457" y1="68724" x2="25720" y2="86968"/>
                                  <a14:foregroundMark x1="25720" y1="86968" x2="23868" y2="79150"/>
                                  <a14:foregroundMark x1="26749" y1="81481" x2="26543" y2="83539"/>
                                  <a14:foregroundMark x1="75309" y1="69822" x2="68313" y2="86420"/>
                                  <a14:foregroundMark x1="68313" y1="86420" x2="82510" y2="71468"/>
                                  <a14:foregroundMark x1="82510" y1="71468" x2="73868" y2="70096"/>
                                  <a14:foregroundMark x1="73868" y1="70096" x2="72840" y2="72291"/>
                                </a14:backgroundRemoval>
                              </a14:imgEffect>
                            </a14:imgLayer>
                          </a14:imgProps>
                        </a:ext>
                        <a:ext uri="{28A0092B-C50C-407E-A947-70E740481C1C}">
                          <a14:useLocalDpi xmlns:a14="http://schemas.microsoft.com/office/drawing/2010/main" val="0"/>
                        </a:ext>
                      </a:extLst>
                    </a:blip>
                    <a:srcRect l="15198" t="10599" r="14997" b="1958"/>
                    <a:stretch/>
                  </pic:blipFill>
                  <pic:spPr bwMode="auto">
                    <a:xfrm>
                      <a:off x="0" y="0"/>
                      <a:ext cx="4914431" cy="461724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C223073" w14:textId="3F275472" w:rsidR="00FE2757" w:rsidRPr="00083895" w:rsidRDefault="00FE2757" w:rsidP="00083895">
      <w:pPr>
        <w:pStyle w:val="Heading4"/>
      </w:pPr>
      <w:r w:rsidRPr="00083895">
        <w:t xml:space="preserve">Figure </w:t>
      </w:r>
      <w:r w:rsidR="00083895" w:rsidRPr="00083895">
        <w:t>4</w:t>
      </w:r>
      <w:r w:rsidRPr="00083895">
        <w:t>: PDSA cycle</w:t>
      </w:r>
    </w:p>
    <w:p w14:paraId="6FFA4162" w14:textId="7041A4BC" w:rsidR="00FE2757" w:rsidRPr="006B481A" w:rsidRDefault="00FE2757" w:rsidP="00FE2757">
      <w:pPr>
        <w:jc w:val="center"/>
      </w:pPr>
      <w:r>
        <w:t xml:space="preserve">(Source: </w:t>
      </w:r>
      <w:r w:rsidRPr="00FE2757">
        <w:t xml:space="preserve">Barr </w:t>
      </w:r>
      <w:r>
        <w:t>and</w:t>
      </w:r>
      <w:r w:rsidRPr="00FE2757">
        <w:t xml:space="preserve"> Brannan, 2024)</w:t>
      </w:r>
    </w:p>
    <w:p w14:paraId="02EFDC2D" w14:textId="3643716B" w:rsidR="002E69DD" w:rsidRDefault="007B6EF6" w:rsidP="002E69DD">
      <w:r w:rsidRPr="007B6EF6">
        <w:t>PDSA is the main approach because the bundle needs to be tested, refined and adapted before wider implementation in maternity services. Lean Six Sigma aims to reduce variation and improve efficiency, while Lean aims to remove waste, as presented by Tlapa et al. (2022).</w:t>
      </w:r>
    </w:p>
    <w:p w14:paraId="2C8C874E" w14:textId="13B3918A" w:rsidR="00B5315A" w:rsidRPr="00B5315A" w:rsidRDefault="00B5315A" w:rsidP="002E69DD">
      <w:pPr>
        <w:rPr>
          <w:b/>
          <w:bCs/>
          <w:i/>
          <w:iCs/>
        </w:rPr>
      </w:pPr>
      <w:r w:rsidRPr="00B5315A">
        <w:rPr>
          <w:b/>
          <w:bCs/>
          <w:i/>
          <w:iCs/>
        </w:rPr>
        <w:t>Plan</w:t>
      </w:r>
    </w:p>
    <w:p w14:paraId="46DE6551" w14:textId="70DA4E04" w:rsidR="002E69DD" w:rsidRDefault="007B6EF6" w:rsidP="002E69DD">
      <w:proofErr w:type="spellStart"/>
      <w:r w:rsidRPr="007B6EF6">
        <w:t>SaTH</w:t>
      </w:r>
      <w:proofErr w:type="spellEnd"/>
      <w:r w:rsidRPr="007B6EF6">
        <w:t xml:space="preserve"> needs to identify an executive sponsor, operational lead and multidisciplinary implementation group during months 0</w:t>
      </w:r>
      <w:r w:rsidR="005D16A1">
        <w:t>-</w:t>
      </w:r>
      <w:r w:rsidRPr="007B6EF6">
        <w:t>2. Santos et al. (2022) identified implementation champions as important for enabling implementation, with their effectiveness dependent on the organisational context. Baselines, the pilot scope, escalation definitions and dashboard measures should be established with obstetric, midwifery, neonatal, governance, data and MNVP representatives. Planning should assess equality, data protection, staff time, analytical capacity and scenario-based learning requirements.</w:t>
      </w:r>
    </w:p>
    <w:p w14:paraId="228955CC" w14:textId="37607D90" w:rsidR="00B5315A" w:rsidRPr="00B5315A" w:rsidRDefault="00B5315A" w:rsidP="002E69DD">
      <w:pPr>
        <w:rPr>
          <w:b/>
          <w:bCs/>
          <w:i/>
          <w:iCs/>
        </w:rPr>
      </w:pPr>
      <w:r w:rsidRPr="00B5315A">
        <w:rPr>
          <w:b/>
          <w:bCs/>
          <w:i/>
          <w:iCs/>
        </w:rPr>
        <w:t>Do</w:t>
      </w:r>
    </w:p>
    <w:p w14:paraId="5CE1AC64" w14:textId="2A3DE889" w:rsidR="002E69DD" w:rsidRDefault="007B6EF6" w:rsidP="002E69DD">
      <w:r w:rsidRPr="007B6EF6">
        <w:lastRenderedPageBreak/>
        <w:t>During months 3</w:t>
      </w:r>
      <w:r w:rsidR="005D16A1">
        <w:t>-</w:t>
      </w:r>
      <w:r w:rsidRPr="007B6EF6">
        <w:t>5, the team should test case tracing, escalation routes, PSIRF re-auditing and targeted simulations. Implementation issues should be openly recorded, as hidden non-compliance would lead to the same assurance weakness identified above.</w:t>
      </w:r>
    </w:p>
    <w:p w14:paraId="79A453D9" w14:textId="6B332177" w:rsidR="00B5315A" w:rsidRPr="00B5315A" w:rsidRDefault="00B5315A" w:rsidP="002E69DD">
      <w:pPr>
        <w:rPr>
          <w:b/>
          <w:bCs/>
          <w:i/>
          <w:iCs/>
        </w:rPr>
      </w:pPr>
      <w:r w:rsidRPr="00B5315A">
        <w:rPr>
          <w:b/>
          <w:bCs/>
          <w:i/>
          <w:iCs/>
        </w:rPr>
        <w:t>Study</w:t>
      </w:r>
    </w:p>
    <w:p w14:paraId="589F729C" w14:textId="7546C33A" w:rsidR="002E69DD" w:rsidRDefault="007B6EF6" w:rsidP="002E69DD">
      <w:r w:rsidRPr="007B6EF6">
        <w:t xml:space="preserve">In month 6, baseline and pilot results should be compared using run charts, feedback, and outcome, process and balancing measures. The work of </w:t>
      </w:r>
      <w:proofErr w:type="spellStart"/>
      <w:r w:rsidRPr="007B6EF6">
        <w:t>Abuzied</w:t>
      </w:r>
      <w:proofErr w:type="spellEnd"/>
      <w:r w:rsidRPr="007B6EF6">
        <w:t xml:space="preserve"> et al. (2023) underscores the importance of making PDSA decisions based on results rather than assuming that the intervention will be successful. Variation should be examined across shifts, teams and demographic groups and evaluated for workload or escalation effects.</w:t>
      </w:r>
    </w:p>
    <w:p w14:paraId="120F0279" w14:textId="544179FA" w:rsidR="00B5315A" w:rsidRPr="00B5315A" w:rsidRDefault="00B5315A" w:rsidP="002E69DD">
      <w:pPr>
        <w:rPr>
          <w:b/>
          <w:bCs/>
          <w:i/>
          <w:iCs/>
        </w:rPr>
      </w:pPr>
      <w:r w:rsidRPr="00B5315A">
        <w:rPr>
          <w:b/>
          <w:bCs/>
          <w:i/>
          <w:iCs/>
        </w:rPr>
        <w:t>Act</w:t>
      </w:r>
    </w:p>
    <w:p w14:paraId="60655448" w14:textId="75683F95" w:rsidR="00F87CD7" w:rsidRPr="00F87CD7" w:rsidRDefault="007B6EF6" w:rsidP="002E69DD">
      <w:r w:rsidRPr="007B6EF6">
        <w:t xml:space="preserve">During months </w:t>
      </w:r>
      <w:r>
        <w:t>7</w:t>
      </w:r>
      <w:r w:rsidRPr="007B6EF6">
        <w:t xml:space="preserve"> to </w:t>
      </w:r>
      <w:r>
        <w:t>12</w:t>
      </w:r>
      <w:r w:rsidRPr="007B6EF6">
        <w:t>, ineffective components should be stopped, weak elements should be modified, and reliable processes should be scaled gradually. Moon et al. (2022) link sustained improvement to leadership, capability, monitoring and integration into routine governance. Ownership should pass to existing committees, and there need to be clear plans for adaptation, scaling or another PDSA cycle.</w:t>
      </w:r>
    </w:p>
    <w:p w14:paraId="5C58BE5C" w14:textId="3171EE0C" w:rsidR="00A831EF" w:rsidRDefault="00A831EF" w:rsidP="00F87CD7">
      <w:pPr>
        <w:pStyle w:val="Heading2"/>
      </w:pPr>
      <w:bookmarkStart w:id="16" w:name="_Toc236892662"/>
      <w:r w:rsidRPr="00A831EF">
        <w:t>3.3 Governance, stakeholders, resources and risks</w:t>
      </w:r>
      <w:bookmarkEnd w:id="16"/>
      <w:r w:rsidRPr="00A831EF">
        <w:t xml:space="preserve"> </w:t>
      </w:r>
    </w:p>
    <w:p w14:paraId="7491491F" w14:textId="30B1907A" w:rsidR="007B6EF6" w:rsidRDefault="007B6EF6" w:rsidP="007B6EF6">
      <w:r>
        <w:t xml:space="preserve">Sponsorship should be provided by the Governance Team and coordinated by the Maternity Safety Lead and the Director of Midwifery. </w:t>
      </w:r>
      <w:proofErr w:type="spellStart"/>
      <w:r>
        <w:t>Eljiz</w:t>
      </w:r>
      <w:proofErr w:type="spellEnd"/>
      <w:r>
        <w:t xml:space="preserve"> et al. (2023) demonstrate that roles need to be defined, resources protected and leadership provided for interprofessional improvement.</w:t>
      </w:r>
    </w:p>
    <w:p w14:paraId="4B11CD1D" w14:textId="27006726" w:rsidR="007B6EF6" w:rsidRDefault="007B6EF6" w:rsidP="007B6EF6">
      <w:r>
        <w:t>The Patient Safety Lead should lead investigations, with patient safety analysts creating and maintaining dashboards and MNVP representatives helping to co-produce escalation pathways. When outcomes and accountability are defined by family stakeholders, indicators of family engagement gain credibility, according to Santana et al. (2023).</w:t>
      </w:r>
    </w:p>
    <w:p w14:paraId="0889177D" w14:textId="5581D394" w:rsidR="007B6EF6" w:rsidRDefault="007B6EF6" w:rsidP="007B6EF6">
      <w:r>
        <w:t>Required resources include protected review time, analyst capacity, dashboard modification, scenario training, translation, reimbursement and tracking. Committees should be streamlined, and existing committees should take on reporting, avoiding duplication and blame by using both confidential review and data verification.</w:t>
      </w:r>
    </w:p>
    <w:p w14:paraId="0D37D78D" w14:textId="0E56BD87" w:rsidR="00F87CD7" w:rsidRPr="00F87CD7" w:rsidRDefault="007B6EF6" w:rsidP="007B6EF6">
      <w:r>
        <w:t>Anderson et al. (2023) note that frequent alarms can reduce responsiveness; therefore, signal prioritisation and usability reviews are required. Equity audits should be conducted to ensure that escalation is not impeded by language, disability or communication needs.</w:t>
      </w:r>
    </w:p>
    <w:p w14:paraId="7C941972" w14:textId="0EDF8EB2" w:rsidR="00A831EF" w:rsidRDefault="00A831EF" w:rsidP="00DB51B0">
      <w:pPr>
        <w:pStyle w:val="Heading2"/>
      </w:pPr>
      <w:bookmarkStart w:id="17" w:name="_Toc236892663"/>
      <w:r w:rsidRPr="00A831EF">
        <w:t>3.4 Measurement, evaluation and sustainability</w:t>
      </w:r>
      <w:bookmarkEnd w:id="17"/>
      <w:r w:rsidRPr="00A831EF">
        <w:t xml:space="preserve"> </w:t>
      </w:r>
    </w:p>
    <w:p w14:paraId="43591403" w14:textId="7DC6CDFE" w:rsidR="007B6EF6" w:rsidRDefault="007B6EF6" w:rsidP="007B6EF6">
      <w:r>
        <w:t xml:space="preserve">Evaluation should combine outcome, process, balancing and equity measures because severe events are statistically unstable. Outcome measures should include repeated safety themes, patient confidence, staff confidence in speaking up, and evidence of the effectiveness of </w:t>
      </w:r>
      <w:r>
        <w:lastRenderedPageBreak/>
        <w:t>corrective actions. Process measures should include fresh-eyes reviews, time taken to escalate to senior review, acknowledgement of concerns, completion of PSIRF re-audits and sustained implementation of the approach. Nakatani et al. (2024) show that speaking-up scores could provide a way to detect cultural change before adverse-event trends become definitive. Balancing measures should include staffing time, futile escalation, pathway delays, duplication of reporting, training burden and staff wellbeing. Mendonca et al. (2024) demonstrate how statistical process control can distinguish change from routine variation through monthly dashboard reviews.</w:t>
      </w:r>
    </w:p>
    <w:p w14:paraId="769DEE27" w14:textId="04F9C9FE" w:rsidR="00DB51B0" w:rsidRDefault="007B6EF6" w:rsidP="007B6EF6">
      <w:r>
        <w:t>Experience and process data should be reported separately by ethnic group, deprivation category, disability and communication need. Unstratified averages are inadequate because they can conceal communication problems or poorer maternity experiences among ethnic-minority women, as identified by MacLellan et al. (2022). Sustainability depends on governance ownership, competency integration, Board and MNVP scrutiny, independent validation and continuous PDSA cycles [Appendix 3].</w:t>
      </w:r>
    </w:p>
    <w:p w14:paraId="5B79A88B" w14:textId="038B3792" w:rsidR="007E2379" w:rsidRDefault="00A831EF" w:rsidP="007C0305">
      <w:pPr>
        <w:pStyle w:val="Heading1"/>
      </w:pPr>
      <w:bookmarkStart w:id="18" w:name="_Toc236892664"/>
      <w:r w:rsidRPr="00A831EF">
        <w:t>4. Conclusion</w:t>
      </w:r>
      <w:bookmarkEnd w:id="18"/>
      <w:r w:rsidRPr="00A831EF">
        <w:t xml:space="preserve"> </w:t>
      </w:r>
    </w:p>
    <w:p w14:paraId="57D048D1" w14:textId="6BE0CF8B" w:rsidR="00C7380A" w:rsidRDefault="007B6EF6" w:rsidP="00C7380A">
      <w:r>
        <w:t xml:space="preserve">Historical maternity harm at </w:t>
      </w:r>
      <w:proofErr w:type="spellStart"/>
      <w:r>
        <w:t>SaTH</w:t>
      </w:r>
      <w:proofErr w:type="spellEnd"/>
      <w:r>
        <w:t xml:space="preserve"> resulted from a series of clinical, workforce, cultural, governance and oversight failures rather than one isolated failure</w:t>
      </w:r>
      <w:r w:rsidR="0029609D">
        <w:t xml:space="preserve"> </w:t>
      </w:r>
      <w:proofErr w:type="gramStart"/>
      <w:r w:rsidR="00C7380A">
        <w:t>shows</w:t>
      </w:r>
      <w:proofErr w:type="gramEnd"/>
      <w:r w:rsidR="00C7380A">
        <w:t xml:space="preserve"> that punitive approaches to incident management can lead to a loss of trust in staff and impact on organisational learning after maternity harm. Safety-culture interventions work primarily through the medium of leadership, team work and a supportive working environment. However, recent advances at </w:t>
      </w:r>
      <w:proofErr w:type="spellStart"/>
      <w:r w:rsidR="00C7380A">
        <w:t>SaTH</w:t>
      </w:r>
      <w:proofErr w:type="spellEnd"/>
      <w:r w:rsidR="00C7380A">
        <w:t xml:space="preserve"> mean that historical results should be used to inform assurance, not to define the current performance of service.</w:t>
      </w:r>
    </w:p>
    <w:p w14:paraId="6C866C90" w14:textId="77777777" w:rsidR="00C7380A" w:rsidRDefault="00C7380A" w:rsidP="00C7380A">
      <w:r>
        <w:t xml:space="preserve">The Fishbone analysis identified that there were cross-cutting causes identified through care processes, staffing, culture, learning systems and external accountability. Five Whys highlighted that the root cause most likely to be changed was weak closed-loop assurance, but not all interactions were captured in the linear pathway. Donabedian demonstrated that enhancing structures is only beneficial if they enhance the escalation, communication, investigation and family-involvement processes continually. Policy analysis showed that although there was guidance, historically there was inconsistent implementation, monitoring and accountability. SWOT showed, however, that </w:t>
      </w:r>
      <w:proofErr w:type="spellStart"/>
      <w:r>
        <w:t>SaTH</w:t>
      </w:r>
      <w:proofErr w:type="spellEnd"/>
      <w:r>
        <w:t xml:space="preserve"> has governance and digital capabilities, but there are potential threats for sustainability through workforce pressure, improvement fatigue, and over-reliance on self-assurance.</w:t>
      </w:r>
    </w:p>
    <w:p w14:paraId="0108E90F" w14:textId="7BFFCD11" w:rsidR="00FE2757" w:rsidRDefault="00C7380A" w:rsidP="00C7380A">
      <w:r>
        <w:t xml:space="preserve">The Integrated Maternity Safety Assurance and Learning Bundle will directly address these priorities, through the use of case tracing, verified re-audit, protected escalation and independent review. PDSA offers the chance for a </w:t>
      </w:r>
      <w:proofErr w:type="gramStart"/>
      <w:r>
        <w:t>small scale</w:t>
      </w:r>
      <w:proofErr w:type="gramEnd"/>
      <w:r>
        <w:t xml:space="preserve"> test, a comparison to the baseline, change of </w:t>
      </w:r>
      <w:r>
        <w:lastRenderedPageBreak/>
        <w:t>elements that are failing to have an impact, and scaling up over time without assuming immediate success. Outcome, process, balancing and equity measures should be reliable and show learning, involve families and measure equity under varying conditions. In order to guarantee safe care, maternity safety can't be achieved through awareness only, but through constant recognition, escalation, learning and accountability.</w:t>
      </w:r>
    </w:p>
    <w:p w14:paraId="16FCACBA" w14:textId="77777777" w:rsidR="00FE2757" w:rsidRDefault="00FE2757">
      <w:pPr>
        <w:spacing w:after="200" w:line="276" w:lineRule="auto"/>
        <w:jc w:val="left"/>
      </w:pPr>
      <w:r>
        <w:br w:type="page"/>
      </w:r>
    </w:p>
    <w:p w14:paraId="2B94B62B" w14:textId="009375ED" w:rsidR="00FE2757" w:rsidRDefault="00FE2757" w:rsidP="00FE2757">
      <w:pPr>
        <w:pStyle w:val="Heading1"/>
      </w:pPr>
      <w:bookmarkStart w:id="19" w:name="_Toc236892665"/>
      <w:r>
        <w:lastRenderedPageBreak/>
        <w:t>References</w:t>
      </w:r>
      <w:bookmarkEnd w:id="19"/>
    </w:p>
    <w:p w14:paraId="6C27C058" w14:textId="77777777" w:rsidR="002E69DD" w:rsidRPr="009F61FA" w:rsidRDefault="002E69DD" w:rsidP="002E69DD">
      <w:pPr>
        <w:ind w:left="720" w:hanging="720"/>
      </w:pPr>
      <w:proofErr w:type="spellStart"/>
      <w:r w:rsidRPr="009F61FA">
        <w:t>Abuzied</w:t>
      </w:r>
      <w:proofErr w:type="spellEnd"/>
      <w:r w:rsidRPr="009F61FA">
        <w:t xml:space="preserve">, Y., </w:t>
      </w:r>
      <w:proofErr w:type="spellStart"/>
      <w:r w:rsidRPr="009F61FA">
        <w:t>Alshammary</w:t>
      </w:r>
      <w:proofErr w:type="spellEnd"/>
      <w:r w:rsidRPr="009F61FA">
        <w:t xml:space="preserve">, S.A., Alhalahlah, T. and </w:t>
      </w:r>
      <w:proofErr w:type="spellStart"/>
      <w:r w:rsidRPr="009F61FA">
        <w:t>Somduth</w:t>
      </w:r>
      <w:proofErr w:type="spellEnd"/>
      <w:r w:rsidRPr="009F61FA">
        <w:t xml:space="preserve">, S. (2023) ‘Using FOCUS-PDSA quality improvement methodology model in healthcare: Process and outcomes’, </w:t>
      </w:r>
      <w:r w:rsidRPr="009F61FA">
        <w:rPr>
          <w:i/>
          <w:iCs/>
        </w:rPr>
        <w:t>Global Journal on Quality and Safety in Healthcare</w:t>
      </w:r>
      <w:r w:rsidRPr="009F61FA">
        <w:t xml:space="preserve">, 6(2), pp. 70–72. Available at: </w:t>
      </w:r>
      <w:hyperlink r:id="rId14" w:history="1">
        <w:r w:rsidRPr="009F61FA">
          <w:rPr>
            <w:rStyle w:val="Hyperlink"/>
          </w:rPr>
          <w:t>https://pmc.ncbi.nlm.nih.gov/articles/PMC10275632/</w:t>
        </w:r>
      </w:hyperlink>
      <w:r w:rsidRPr="009F61FA">
        <w:t xml:space="preserve"> (Accessed: 5 August 2026).</w:t>
      </w:r>
    </w:p>
    <w:p w14:paraId="4C0ADEA3" w14:textId="77777777" w:rsidR="002E69DD" w:rsidRPr="009F61FA" w:rsidRDefault="002E69DD" w:rsidP="002E69DD">
      <w:pPr>
        <w:ind w:left="720" w:hanging="720"/>
        <w:rPr>
          <w:lang w:val="en-US"/>
        </w:rPr>
      </w:pPr>
      <w:r w:rsidRPr="009F61FA">
        <w:t xml:space="preserve">Anderson, H.R., Borgen, A.C., </w:t>
      </w:r>
      <w:proofErr w:type="spellStart"/>
      <w:r w:rsidRPr="009F61FA">
        <w:t>Christnacht</w:t>
      </w:r>
      <w:proofErr w:type="spellEnd"/>
      <w:r w:rsidRPr="009F61FA">
        <w:t xml:space="preserve">, R., Ng, J., Weller, J.G., Davison, H.N., Noseworthy, P.A., Olson, R., O’Laughlin, D., Disrud, L. and Kashou, A.H. (2023) ‘Stats on the </w:t>
      </w:r>
      <w:proofErr w:type="spellStart"/>
      <w:r w:rsidRPr="009F61FA">
        <w:t>desats</w:t>
      </w:r>
      <w:proofErr w:type="spellEnd"/>
      <w:r w:rsidRPr="009F61FA">
        <w:t xml:space="preserve">: Alarm fatigue and the implications for patient safety’, </w:t>
      </w:r>
      <w:r w:rsidRPr="009F61FA">
        <w:rPr>
          <w:i/>
          <w:iCs/>
        </w:rPr>
        <w:t>BMJ Open Quality</w:t>
      </w:r>
      <w:r w:rsidRPr="009F61FA">
        <w:t xml:space="preserve">, 12(3), e002262. Available at: </w:t>
      </w:r>
      <w:hyperlink r:id="rId15" w:tgtFrame="_new" w:history="1">
        <w:r w:rsidRPr="009F61FA">
          <w:rPr>
            <w:rStyle w:val="Hyperlink"/>
          </w:rPr>
          <w:t>https://doi.org/10.1136/bmjoq-2023-002262</w:t>
        </w:r>
      </w:hyperlink>
      <w:r w:rsidRPr="009F61FA">
        <w:t xml:space="preserve"> (Accessed: 5 August 2026).</w:t>
      </w:r>
    </w:p>
    <w:p w14:paraId="580BF7FE" w14:textId="77777777" w:rsidR="002E69DD" w:rsidRPr="009F61FA" w:rsidRDefault="002E69DD" w:rsidP="002E69DD">
      <w:pPr>
        <w:ind w:left="720" w:hanging="720"/>
      </w:pPr>
      <w:r w:rsidRPr="009F61FA">
        <w:t xml:space="preserve">Barr, E. and Brannan, G.D. (2024) ‘Quality improvement methods: LEAN, PDSA and Six Sigma’, in </w:t>
      </w:r>
      <w:proofErr w:type="spellStart"/>
      <w:r w:rsidRPr="009F61FA">
        <w:rPr>
          <w:i/>
          <w:iCs/>
        </w:rPr>
        <w:t>StatPearls</w:t>
      </w:r>
      <w:proofErr w:type="spellEnd"/>
      <w:r w:rsidRPr="009F61FA">
        <w:t xml:space="preserve">. Treasure Island, FL: </w:t>
      </w:r>
      <w:proofErr w:type="spellStart"/>
      <w:r w:rsidRPr="009F61FA">
        <w:t>StatPearls</w:t>
      </w:r>
      <w:proofErr w:type="spellEnd"/>
      <w:r w:rsidRPr="009F61FA">
        <w:t xml:space="preserve"> Publishing. Available at: </w:t>
      </w:r>
      <w:hyperlink r:id="rId16" w:tgtFrame="_new" w:history="1">
        <w:r w:rsidRPr="009F61FA">
          <w:rPr>
            <w:rStyle w:val="Hyperlink"/>
          </w:rPr>
          <w:t>https://www.ncbi.nlm.nih.gov/books/NBK599556/</w:t>
        </w:r>
      </w:hyperlink>
      <w:r w:rsidRPr="009F61FA">
        <w:t xml:space="preserve"> (Accessed: 5 August 2026).</w:t>
      </w:r>
    </w:p>
    <w:p w14:paraId="5E35B0E0" w14:textId="77777777" w:rsidR="002E69DD" w:rsidRPr="009F61FA" w:rsidRDefault="002E69DD" w:rsidP="002E69DD">
      <w:pPr>
        <w:ind w:left="720" w:hanging="720"/>
      </w:pPr>
      <w:r w:rsidRPr="009F61FA">
        <w:t xml:space="preserve">Beecham, E., Brady, G., Iqbal, S., Fatima, Q., Arshad, S., </w:t>
      </w:r>
      <w:proofErr w:type="spellStart"/>
      <w:r w:rsidRPr="009F61FA">
        <w:t>Bondaronek</w:t>
      </w:r>
      <w:proofErr w:type="spellEnd"/>
      <w:r w:rsidRPr="009F61FA">
        <w:t xml:space="preserve">, P., O’Carroll, J., Glaser, S., </w:t>
      </w:r>
      <w:proofErr w:type="spellStart"/>
      <w:r w:rsidRPr="009F61FA">
        <w:t>Siassakos</w:t>
      </w:r>
      <w:proofErr w:type="spellEnd"/>
      <w:r w:rsidRPr="009F61FA">
        <w:t xml:space="preserve">, D., Gilchrist, K., Dorey, J., </w:t>
      </w:r>
      <w:proofErr w:type="spellStart"/>
      <w:r w:rsidRPr="009F61FA">
        <w:t>Knagg</w:t>
      </w:r>
      <w:proofErr w:type="spellEnd"/>
      <w:r w:rsidRPr="009F61FA">
        <w:t xml:space="preserve">, R. and </w:t>
      </w:r>
      <w:proofErr w:type="spellStart"/>
      <w:r w:rsidRPr="009F61FA">
        <w:t>Vindrola</w:t>
      </w:r>
      <w:proofErr w:type="spellEnd"/>
      <w:r w:rsidRPr="009F61FA">
        <w:t xml:space="preserve">, C. (2025) ‘Systematic review of patient safety incident reporting practices in maternity care’, </w:t>
      </w:r>
      <w:r w:rsidRPr="009F61FA">
        <w:rPr>
          <w:i/>
          <w:iCs/>
        </w:rPr>
        <w:t>BMJ Open Quality</w:t>
      </w:r>
      <w:r w:rsidRPr="009F61FA">
        <w:t xml:space="preserve">, 14(4), e003432. Available at: </w:t>
      </w:r>
      <w:hyperlink r:id="rId17" w:history="1">
        <w:r w:rsidRPr="009F61FA">
          <w:rPr>
            <w:rStyle w:val="Hyperlink"/>
          </w:rPr>
          <w:t>https://doi.org/10.1136/bmjoq-2025-003432</w:t>
        </w:r>
      </w:hyperlink>
      <w:r w:rsidRPr="009F61FA">
        <w:t xml:space="preserve"> (Accessed: 5 August 2026).</w:t>
      </w:r>
    </w:p>
    <w:p w14:paraId="4CCF66E7" w14:textId="77777777" w:rsidR="002E69DD" w:rsidRPr="009F61FA" w:rsidRDefault="002E69DD" w:rsidP="002E69DD">
      <w:pPr>
        <w:ind w:left="720" w:hanging="720"/>
      </w:pPr>
      <w:proofErr w:type="spellStart"/>
      <w:r w:rsidRPr="009F61FA">
        <w:t>Businessmap</w:t>
      </w:r>
      <w:proofErr w:type="spellEnd"/>
      <w:r w:rsidRPr="009F61FA">
        <w:t xml:space="preserve"> (2026) </w:t>
      </w:r>
      <w:r w:rsidRPr="009F61FA">
        <w:rPr>
          <w:i/>
          <w:iCs/>
        </w:rPr>
        <w:t>The 5 Whys explained: How to get to the root cause fast</w:t>
      </w:r>
      <w:r w:rsidRPr="009F61FA">
        <w:t xml:space="preserve">. Available at: </w:t>
      </w:r>
      <w:hyperlink r:id="rId18" w:tgtFrame="_new" w:history="1">
        <w:r w:rsidRPr="009F61FA">
          <w:rPr>
            <w:rStyle w:val="Hyperlink"/>
          </w:rPr>
          <w:t>https://businessmap.io/lean-management/improvement/5-whys-analysis-tool</w:t>
        </w:r>
      </w:hyperlink>
      <w:r w:rsidRPr="009F61FA">
        <w:t xml:space="preserve"> (Accessed: 5 August 2026).</w:t>
      </w:r>
    </w:p>
    <w:p w14:paraId="4BAB8A7A" w14:textId="77777777" w:rsidR="002E69DD" w:rsidRPr="009F61FA" w:rsidRDefault="002E69DD" w:rsidP="002E69DD">
      <w:pPr>
        <w:ind w:left="720" w:hanging="720"/>
      </w:pPr>
      <w:r w:rsidRPr="009F61FA">
        <w:t xml:space="preserve">Care Quality Commission (CQC) (2024a) </w:t>
      </w:r>
      <w:r w:rsidRPr="009F61FA">
        <w:rPr>
          <w:i/>
          <w:iCs/>
        </w:rPr>
        <w:t>CQC finds improvements in services run by The Shrewsbury and Telford Hospital NHS Trust, but more is needed</w:t>
      </w:r>
      <w:r w:rsidRPr="009F61FA">
        <w:t xml:space="preserve">. 15 May. Available at: </w:t>
      </w:r>
      <w:hyperlink r:id="rId19" w:history="1">
        <w:r w:rsidRPr="009F61FA">
          <w:rPr>
            <w:rStyle w:val="Hyperlink"/>
            <w:lang w:val="en-US"/>
          </w:rPr>
          <w:t>CQC finds improvements in services run by The Shrewsbury and Telford Hospital NHS Trust, but more is needed - Care Quality Commission</w:t>
        </w:r>
      </w:hyperlink>
      <w:r w:rsidRPr="009F61FA">
        <w:t xml:space="preserve"> (Accessed: 5 August 2026).</w:t>
      </w:r>
    </w:p>
    <w:p w14:paraId="0EEC4D01" w14:textId="77777777" w:rsidR="002E69DD" w:rsidRPr="009F61FA" w:rsidRDefault="002E69DD" w:rsidP="002E69DD">
      <w:pPr>
        <w:ind w:left="720" w:hanging="720"/>
      </w:pPr>
      <w:r w:rsidRPr="009F61FA">
        <w:t xml:space="preserve">Care Quality Commission (CQC) (2024b) </w:t>
      </w:r>
      <w:r w:rsidRPr="009F61FA">
        <w:rPr>
          <w:i/>
          <w:iCs/>
        </w:rPr>
        <w:t>Maternity survey 2024: Shrewsbury and Telford Hospital NHS Trust</w:t>
      </w:r>
      <w:r w:rsidRPr="009F61FA">
        <w:t xml:space="preserve">. 28 November. Available at: </w:t>
      </w:r>
      <w:hyperlink r:id="rId20" w:history="1">
        <w:r w:rsidRPr="009F61FA">
          <w:rPr>
            <w:rStyle w:val="Hyperlink"/>
            <w:lang w:val="en-US"/>
          </w:rPr>
          <w:t>Shrewsbury and Telford Hospital NHS Trust - Care Quality Commission</w:t>
        </w:r>
      </w:hyperlink>
      <w:r w:rsidRPr="009F61FA">
        <w:t xml:space="preserve"> (Accessed: 5 August 2026).</w:t>
      </w:r>
    </w:p>
    <w:p w14:paraId="1A52DB4F" w14:textId="77777777" w:rsidR="002E69DD" w:rsidRPr="009F61FA" w:rsidRDefault="002E69DD" w:rsidP="002E69DD">
      <w:pPr>
        <w:ind w:left="720" w:hanging="720"/>
      </w:pPr>
      <w:r w:rsidRPr="009F61FA">
        <w:t xml:space="preserve">Care Quality Commission (CQC) (2024c) </w:t>
      </w:r>
      <w:r w:rsidRPr="009F61FA">
        <w:rPr>
          <w:i/>
          <w:iCs/>
        </w:rPr>
        <w:t>National review of maternity services in England 2022 to 2024</w:t>
      </w:r>
      <w:r w:rsidRPr="009F61FA">
        <w:t xml:space="preserve">. Newcastle upon Tyne: Care Quality Commission. Available at: </w:t>
      </w:r>
      <w:hyperlink r:id="rId21" w:tgtFrame="_new" w:history="1">
        <w:r w:rsidRPr="009F61FA">
          <w:rPr>
            <w:rStyle w:val="Hyperlink"/>
          </w:rPr>
          <w:t>https://www.cqc.org.uk/publications/maternity-services-2022-2024</w:t>
        </w:r>
      </w:hyperlink>
      <w:r w:rsidRPr="009F61FA">
        <w:t xml:space="preserve"> (Accessed: 5 August 2026).</w:t>
      </w:r>
    </w:p>
    <w:p w14:paraId="77B42529" w14:textId="77777777" w:rsidR="002E69DD" w:rsidRPr="009F61FA" w:rsidRDefault="002E69DD" w:rsidP="002E69DD">
      <w:pPr>
        <w:ind w:left="720" w:hanging="720"/>
      </w:pPr>
      <w:r w:rsidRPr="009F61FA">
        <w:t xml:space="preserve">Delpino, R., Lees-Deutsch, L. and Solanki, B. (2023) ‘“Speaking Up” for patient safety and staff well-being: A qualitative study’, </w:t>
      </w:r>
      <w:r w:rsidRPr="009F61FA">
        <w:rPr>
          <w:i/>
          <w:iCs/>
        </w:rPr>
        <w:t>BMJ Open Quality</w:t>
      </w:r>
      <w:r w:rsidRPr="009F61FA">
        <w:t xml:space="preserve">, 12(2), e002047. Available at: </w:t>
      </w:r>
      <w:hyperlink r:id="rId22" w:history="1">
        <w:r w:rsidRPr="009F61FA">
          <w:rPr>
            <w:rStyle w:val="Hyperlink"/>
          </w:rPr>
          <w:t>https://doi.org/10.1136/bmjoq-2022-002047</w:t>
        </w:r>
      </w:hyperlink>
      <w:r w:rsidRPr="009F61FA">
        <w:t xml:space="preserve"> (Accessed: 5 August 2026).</w:t>
      </w:r>
    </w:p>
    <w:p w14:paraId="55029054" w14:textId="77777777" w:rsidR="002E69DD" w:rsidRPr="009F61FA" w:rsidRDefault="002E69DD" w:rsidP="002E69DD">
      <w:pPr>
        <w:ind w:left="720" w:hanging="720"/>
      </w:pPr>
      <w:r w:rsidRPr="009F61FA">
        <w:lastRenderedPageBreak/>
        <w:t xml:space="preserve">Ede, J., Hutton, R., Watkinson, P.J., Kent, B. and Endacott, R. (2024) ‘Improving escalation of deteriorating patients through cognitive task analysis: Understanding differences between work-as-prescribed and work-as-done’, </w:t>
      </w:r>
      <w:r w:rsidRPr="009F61FA">
        <w:rPr>
          <w:i/>
          <w:iCs/>
        </w:rPr>
        <w:t>International Journal of Nursing Studies</w:t>
      </w:r>
      <w:r w:rsidRPr="009F61FA">
        <w:t xml:space="preserve">, 151, 104671. Available at: </w:t>
      </w:r>
      <w:hyperlink r:id="rId23" w:tgtFrame="_new" w:history="1">
        <w:r w:rsidRPr="009F61FA">
          <w:rPr>
            <w:rStyle w:val="Hyperlink"/>
          </w:rPr>
          <w:t>https://doi.org/10.1016/j.ijnurstu.2023.104671</w:t>
        </w:r>
      </w:hyperlink>
      <w:r w:rsidRPr="009F61FA">
        <w:t xml:space="preserve"> (Accessed: 5 August 2026).</w:t>
      </w:r>
    </w:p>
    <w:p w14:paraId="5E67B8DC" w14:textId="77777777" w:rsidR="002E69DD" w:rsidRPr="009F61FA" w:rsidRDefault="002E69DD" w:rsidP="002E69DD">
      <w:pPr>
        <w:ind w:left="720" w:hanging="720"/>
      </w:pPr>
      <w:proofErr w:type="spellStart"/>
      <w:r w:rsidRPr="009F61FA">
        <w:t>Eljiz</w:t>
      </w:r>
      <w:proofErr w:type="spellEnd"/>
      <w:r w:rsidRPr="009F61FA">
        <w:t xml:space="preserve">, K., Greenfield, D., Hogden, A., </w:t>
      </w:r>
      <w:proofErr w:type="spellStart"/>
      <w:r w:rsidRPr="009F61FA">
        <w:t>Agaliotis</w:t>
      </w:r>
      <w:proofErr w:type="spellEnd"/>
      <w:r w:rsidRPr="009F61FA">
        <w:t xml:space="preserve">, M., Taylor, R. and Siddiqui, N. (2023) ‘Implementing health system improvement: Resources and strategies for interprofessional teams’, </w:t>
      </w:r>
      <w:r w:rsidRPr="009F61FA">
        <w:rPr>
          <w:i/>
          <w:iCs/>
        </w:rPr>
        <w:t>BMJ Open Quality</w:t>
      </w:r>
      <w:r w:rsidRPr="009F61FA">
        <w:t xml:space="preserve">, 12(1), e001896. Available at: </w:t>
      </w:r>
      <w:hyperlink r:id="rId24" w:history="1">
        <w:r w:rsidRPr="009F61FA">
          <w:rPr>
            <w:rStyle w:val="Hyperlink"/>
          </w:rPr>
          <w:t>https://doi.org/10.1136/bmjoq-2022-001896</w:t>
        </w:r>
      </w:hyperlink>
      <w:r w:rsidRPr="009F61FA">
        <w:t xml:space="preserve"> (Accessed: 5 August 2026).</w:t>
      </w:r>
    </w:p>
    <w:p w14:paraId="4C2BC1AA" w14:textId="77777777" w:rsidR="002E69DD" w:rsidRPr="002E69DD" w:rsidRDefault="002E69DD" w:rsidP="002E69DD">
      <w:pPr>
        <w:ind w:left="720" w:hanging="720"/>
      </w:pPr>
      <w:r w:rsidRPr="002E69DD">
        <w:t xml:space="preserve">Finn, M., Walsh, A., Rafter, N., Mellon, L., Chong, H.Y., Naji, A., O’Brien, N., Williams, D.J. and McCarthy, S.E. (2024) ‘Effect of interventions to improve safety culture on healthcare workers in hospital settings: A systematic review of the international literature’, </w:t>
      </w:r>
      <w:r w:rsidRPr="002E69DD">
        <w:rPr>
          <w:i/>
          <w:iCs/>
        </w:rPr>
        <w:t>BMJ Open Quality</w:t>
      </w:r>
      <w:r w:rsidRPr="002E69DD">
        <w:t xml:space="preserve">, 13(2), e002506. Available at: </w:t>
      </w:r>
      <w:hyperlink r:id="rId25" w:tgtFrame="_new" w:history="1">
        <w:r w:rsidRPr="002E69DD">
          <w:rPr>
            <w:rStyle w:val="Hyperlink"/>
          </w:rPr>
          <w:t>https://doi.org/10.1136/bmjoq-2023-002506</w:t>
        </w:r>
      </w:hyperlink>
      <w:r w:rsidRPr="002E69DD">
        <w:t xml:space="preserve"> (Accessed: 5 August 2026).</w:t>
      </w:r>
    </w:p>
    <w:p w14:paraId="45B16642" w14:textId="77777777" w:rsidR="002E69DD" w:rsidRPr="009F61FA" w:rsidRDefault="002E69DD" w:rsidP="002E69DD">
      <w:pPr>
        <w:ind w:left="720" w:hanging="720"/>
      </w:pPr>
      <w:r w:rsidRPr="009F61FA">
        <w:t xml:space="preserve">Gerry, S., Bedford, J., Redfern, O.C., Rutter, H., Chester-Jones, M., Knight, M., Kelly, T. and Watkinson, P.J. (2024) ‘Development of a national maternity early warning score: Centile based score development and Delphi informed escalation pathways’, </w:t>
      </w:r>
      <w:r w:rsidRPr="009F61FA">
        <w:rPr>
          <w:i/>
          <w:iCs/>
        </w:rPr>
        <w:t>BMJ Medicine</w:t>
      </w:r>
      <w:r w:rsidRPr="009F61FA">
        <w:t xml:space="preserve">, 3(1), e000748. Available at: </w:t>
      </w:r>
      <w:hyperlink r:id="rId26" w:history="1">
        <w:r w:rsidRPr="009F61FA">
          <w:rPr>
            <w:rStyle w:val="Hyperlink"/>
          </w:rPr>
          <w:t>https://doi.org/10.1136/bmjmed-2023-000748</w:t>
        </w:r>
      </w:hyperlink>
      <w:r w:rsidRPr="009F61FA">
        <w:t xml:space="preserve"> (Accessed: 5 August 2026).</w:t>
      </w:r>
    </w:p>
    <w:p w14:paraId="41ACC11A" w14:textId="77777777" w:rsidR="002E69DD" w:rsidRPr="009F61FA" w:rsidRDefault="002E69DD" w:rsidP="002E69DD">
      <w:pPr>
        <w:ind w:left="720" w:hanging="720"/>
      </w:pPr>
      <w:proofErr w:type="spellStart"/>
      <w:r w:rsidRPr="009F61FA">
        <w:t>Hadžibajramović</w:t>
      </w:r>
      <w:proofErr w:type="spellEnd"/>
      <w:r w:rsidRPr="009F61FA">
        <w:t xml:space="preserve">, E., Hansson, M., Åkerström, M., Dencker, A. and Hensing, G. (2022) ‘Burnout among midwives: The factorial structure of the Burnout Assessment Tool and an assessment of burnout levels in a Swedish national sample’, </w:t>
      </w:r>
      <w:r w:rsidRPr="009F61FA">
        <w:rPr>
          <w:i/>
          <w:iCs/>
        </w:rPr>
        <w:t>BMC Health Services Research</w:t>
      </w:r>
      <w:r w:rsidRPr="009F61FA">
        <w:t xml:space="preserve">, 22, article 1167. Available at: </w:t>
      </w:r>
      <w:hyperlink r:id="rId27" w:history="1">
        <w:r w:rsidRPr="009F61FA">
          <w:rPr>
            <w:rStyle w:val="Hyperlink"/>
          </w:rPr>
          <w:t>https://doi.org/10.1186/s12913-022-08552-8</w:t>
        </w:r>
      </w:hyperlink>
      <w:r w:rsidRPr="009F61FA">
        <w:t xml:space="preserve"> (Accessed: 5 August 2026).</w:t>
      </w:r>
    </w:p>
    <w:p w14:paraId="1B78D518" w14:textId="77777777" w:rsidR="002E69DD" w:rsidRPr="009F61FA" w:rsidRDefault="002E69DD" w:rsidP="002E69DD">
      <w:pPr>
        <w:ind w:left="720" w:hanging="720"/>
      </w:pPr>
      <w:r w:rsidRPr="009F61FA">
        <w:t xml:space="preserve">Kumah, A., Nwogu, C.N., Issah, A., Obot, E., </w:t>
      </w:r>
      <w:proofErr w:type="spellStart"/>
      <w:r w:rsidRPr="009F61FA">
        <w:t>Kanamitie</w:t>
      </w:r>
      <w:proofErr w:type="spellEnd"/>
      <w:r w:rsidRPr="009F61FA">
        <w:t xml:space="preserve">, D.T., Sifa, J.S. and Aidoo, L.A. (2024) </w:t>
      </w:r>
      <w:proofErr w:type="spellStart"/>
      <w:r w:rsidRPr="009F61FA">
        <w:t>‘Cause</w:t>
      </w:r>
      <w:proofErr w:type="spellEnd"/>
      <w:r w:rsidRPr="009F61FA">
        <w:t xml:space="preserve">-and-effect (Fishbone) diagram: A tool for generating and organizing quality improvement ideas’, </w:t>
      </w:r>
      <w:r w:rsidRPr="009F61FA">
        <w:rPr>
          <w:i/>
          <w:iCs/>
        </w:rPr>
        <w:t>Global Journal on Quality and Safety in Healthcare</w:t>
      </w:r>
      <w:r w:rsidRPr="009F61FA">
        <w:t xml:space="preserve">, 7(2), pp. 85–87. Available at: </w:t>
      </w:r>
      <w:hyperlink r:id="rId28" w:history="1">
        <w:r w:rsidRPr="009F61FA">
          <w:rPr>
            <w:rStyle w:val="Hyperlink"/>
          </w:rPr>
          <w:t>https://doi.org/10.36401/jqsh-23-42</w:t>
        </w:r>
      </w:hyperlink>
      <w:r w:rsidRPr="009F61FA">
        <w:t xml:space="preserve"> (Accessed: 5 August 2026).</w:t>
      </w:r>
    </w:p>
    <w:p w14:paraId="0593BA9C" w14:textId="77777777" w:rsidR="002E69DD" w:rsidRPr="009F61FA" w:rsidRDefault="002E69DD" w:rsidP="002E69DD">
      <w:pPr>
        <w:ind w:left="720" w:hanging="720"/>
      </w:pPr>
      <w:r w:rsidRPr="009F61FA">
        <w:t xml:space="preserve">Lea, W., Lawton, R., Vincent, C. and O’Hara, J. (2023) ‘Exploring the “Black Box” of recommendation generation in local health care incident investigations: A scoping review’, </w:t>
      </w:r>
      <w:r w:rsidRPr="009F61FA">
        <w:rPr>
          <w:i/>
          <w:iCs/>
        </w:rPr>
        <w:t>Journal of Patient Safety</w:t>
      </w:r>
      <w:r w:rsidRPr="009F61FA">
        <w:t xml:space="preserve">, 19(8), pp. 553–563. Available at: </w:t>
      </w:r>
      <w:hyperlink r:id="rId29" w:history="1">
        <w:r w:rsidRPr="009F61FA">
          <w:rPr>
            <w:rStyle w:val="Hyperlink"/>
          </w:rPr>
          <w:t>https://doi.org/10.1097/pts.0000000000001164</w:t>
        </w:r>
      </w:hyperlink>
      <w:r w:rsidRPr="009F61FA">
        <w:t xml:space="preserve"> (Accessed: 5 August 2026).</w:t>
      </w:r>
    </w:p>
    <w:p w14:paraId="0F6AB1B1" w14:textId="77777777" w:rsidR="002E69DD" w:rsidRPr="009F61FA" w:rsidRDefault="002E69DD" w:rsidP="002E69DD">
      <w:pPr>
        <w:ind w:left="720" w:hanging="720"/>
      </w:pPr>
      <w:r w:rsidRPr="009F61FA">
        <w:t xml:space="preserve">Mackintosh, N., Chew, S., Armstrong, N., Duncan, P., Hill, M., Kelly, T., Sutton, L., Willars, J. and Tarrant, C. (2025) ‘Working to support cultures of safety in maternity and neonatal </w:t>
      </w:r>
      <w:r w:rsidRPr="009F61FA">
        <w:lastRenderedPageBreak/>
        <w:t xml:space="preserve">services: A qualitative interview study with service leaders and unit/safety leads’, </w:t>
      </w:r>
      <w:r w:rsidRPr="009F61FA">
        <w:rPr>
          <w:i/>
          <w:iCs/>
        </w:rPr>
        <w:t>Midwifery</w:t>
      </w:r>
      <w:r w:rsidRPr="009F61FA">
        <w:t xml:space="preserve">, 148, 104461. Available at: </w:t>
      </w:r>
      <w:hyperlink r:id="rId30" w:history="1">
        <w:r w:rsidRPr="009F61FA">
          <w:rPr>
            <w:rStyle w:val="Hyperlink"/>
          </w:rPr>
          <w:t>https://doi.org/10.1016/j.midw.2025.104461</w:t>
        </w:r>
      </w:hyperlink>
      <w:r w:rsidRPr="009F61FA">
        <w:t xml:space="preserve"> (Accessed: 5 August 2026).</w:t>
      </w:r>
    </w:p>
    <w:p w14:paraId="0B2F7D90" w14:textId="77777777" w:rsidR="002E69DD" w:rsidRPr="009F61FA" w:rsidRDefault="002E69DD" w:rsidP="002E69DD">
      <w:pPr>
        <w:ind w:left="720" w:hanging="720"/>
      </w:pPr>
      <w:r w:rsidRPr="009F61FA">
        <w:t xml:space="preserve">MacLellan, J., Collins, S., Myatt, M., Pope, C., Knighton, W. and Rai, T. (2022) ‘Black, Asian and minority ethnic women’s experiences of maternity services in the UK: A qualitative evidence synthesis’, </w:t>
      </w:r>
      <w:r w:rsidRPr="009F61FA">
        <w:rPr>
          <w:i/>
          <w:iCs/>
        </w:rPr>
        <w:t>Journal of Advanced Nursing</w:t>
      </w:r>
      <w:r w:rsidRPr="009F61FA">
        <w:t xml:space="preserve">, 78(7), pp. 2175–2190. Available at: </w:t>
      </w:r>
      <w:hyperlink r:id="rId31" w:tgtFrame="_new" w:history="1">
        <w:r w:rsidRPr="009F61FA">
          <w:rPr>
            <w:rStyle w:val="Hyperlink"/>
          </w:rPr>
          <w:t>https://doi.org/10.1111/jan.15233</w:t>
        </w:r>
      </w:hyperlink>
      <w:r w:rsidRPr="009F61FA">
        <w:t xml:space="preserve"> (Accessed: 5 August 2026).</w:t>
      </w:r>
    </w:p>
    <w:p w14:paraId="37F0C1DF" w14:textId="77777777" w:rsidR="002E69DD" w:rsidRPr="009F61FA" w:rsidRDefault="002E69DD" w:rsidP="002E69DD">
      <w:pPr>
        <w:ind w:left="720" w:hanging="720"/>
      </w:pPr>
      <w:r w:rsidRPr="009F61FA">
        <w:t xml:space="preserve">Mahmoud, H.A., </w:t>
      </w:r>
      <w:proofErr w:type="spellStart"/>
      <w:r w:rsidRPr="009F61FA">
        <w:t>Thavorn</w:t>
      </w:r>
      <w:proofErr w:type="spellEnd"/>
      <w:r w:rsidRPr="009F61FA">
        <w:t xml:space="preserve">, K., </w:t>
      </w:r>
      <w:proofErr w:type="spellStart"/>
      <w:r w:rsidRPr="009F61FA">
        <w:t>Mulpuru</w:t>
      </w:r>
      <w:proofErr w:type="spellEnd"/>
      <w:r w:rsidRPr="009F61FA">
        <w:t xml:space="preserve">, S., McIsaac, D., Abdelrazek, M.A., Mahmoud, A.A. and Forster, A.J. (2023) ‘Barriers and facilitators to improving patient safety learning systems: A systematic review of qualitative studies and meta-synthesis’, </w:t>
      </w:r>
      <w:r w:rsidRPr="009F61FA">
        <w:rPr>
          <w:i/>
          <w:iCs/>
        </w:rPr>
        <w:t>BMJ Open Quality</w:t>
      </w:r>
      <w:r w:rsidRPr="009F61FA">
        <w:t xml:space="preserve">, 12(2), e002134. Available at: </w:t>
      </w:r>
      <w:hyperlink r:id="rId32" w:history="1">
        <w:r w:rsidRPr="009F61FA">
          <w:rPr>
            <w:rStyle w:val="Hyperlink"/>
          </w:rPr>
          <w:t>https://doi.org/10.1136/bmjoq-2022-002134</w:t>
        </w:r>
      </w:hyperlink>
      <w:r w:rsidRPr="009F61FA">
        <w:t xml:space="preserve"> (Accessed: 5 August 2026).</w:t>
      </w:r>
    </w:p>
    <w:p w14:paraId="2A4A6992" w14:textId="77777777" w:rsidR="002E69DD" w:rsidRPr="009F61FA" w:rsidRDefault="002E69DD" w:rsidP="002E69DD">
      <w:pPr>
        <w:ind w:left="720" w:hanging="720"/>
      </w:pPr>
      <w:r w:rsidRPr="009F61FA">
        <w:t xml:space="preserve">Mendonca, Y.L., Sarto, R., </w:t>
      </w:r>
      <w:proofErr w:type="spellStart"/>
      <w:r w:rsidRPr="009F61FA">
        <w:t>Titeca</w:t>
      </w:r>
      <w:proofErr w:type="spellEnd"/>
      <w:r w:rsidRPr="009F61FA">
        <w:t xml:space="preserve">, H., Bethune, R. and Salmon, A. (2024) ‘Use of statistical process control in quality improvement projects in abdominal surgery: A PRISMA systematic review’, </w:t>
      </w:r>
      <w:r w:rsidRPr="009F61FA">
        <w:rPr>
          <w:i/>
          <w:iCs/>
        </w:rPr>
        <w:t>BMJ Open Quality</w:t>
      </w:r>
      <w:r w:rsidRPr="009F61FA">
        <w:t xml:space="preserve">, 13(1), e002328. Available at: </w:t>
      </w:r>
      <w:hyperlink r:id="rId33" w:history="1">
        <w:r w:rsidRPr="009F61FA">
          <w:rPr>
            <w:rStyle w:val="Hyperlink"/>
          </w:rPr>
          <w:t>https://doi.org/10.1136/bmjoq-2023-002328</w:t>
        </w:r>
      </w:hyperlink>
      <w:r w:rsidRPr="009F61FA">
        <w:t xml:space="preserve"> (Accessed: 5 August 2026).</w:t>
      </w:r>
    </w:p>
    <w:p w14:paraId="03C0CC8D" w14:textId="77777777" w:rsidR="002E69DD" w:rsidRPr="009F61FA" w:rsidRDefault="002E69DD" w:rsidP="002E69DD">
      <w:pPr>
        <w:ind w:left="720" w:hanging="720"/>
      </w:pPr>
      <w:r w:rsidRPr="009F61FA">
        <w:t xml:space="preserve">Moon, S.E.J., Hogden, A. and </w:t>
      </w:r>
      <w:proofErr w:type="spellStart"/>
      <w:r w:rsidRPr="009F61FA">
        <w:t>Eljiz</w:t>
      </w:r>
      <w:proofErr w:type="spellEnd"/>
      <w:r w:rsidRPr="009F61FA">
        <w:t xml:space="preserve">, K. (2022) ‘Sustaining improvement of hospital-wide initiative for patient safety and quality: A systematic scoping review’, </w:t>
      </w:r>
      <w:r w:rsidRPr="009F61FA">
        <w:rPr>
          <w:i/>
          <w:iCs/>
        </w:rPr>
        <w:t>BMJ Open Quality</w:t>
      </w:r>
      <w:r w:rsidRPr="009F61FA">
        <w:t xml:space="preserve">, 11(4), e002057. Available at: </w:t>
      </w:r>
      <w:hyperlink r:id="rId34" w:tgtFrame="_new" w:history="1">
        <w:r w:rsidRPr="009F61FA">
          <w:rPr>
            <w:rStyle w:val="Hyperlink"/>
          </w:rPr>
          <w:t>https://doi.org/10.1136/bmjoq-2022-002057</w:t>
        </w:r>
      </w:hyperlink>
      <w:r w:rsidRPr="009F61FA">
        <w:t xml:space="preserve"> (Accessed: 5 August 2026).</w:t>
      </w:r>
    </w:p>
    <w:p w14:paraId="1673EDC7" w14:textId="77777777" w:rsidR="002E69DD" w:rsidRPr="009F61FA" w:rsidRDefault="002E69DD" w:rsidP="002E69DD">
      <w:pPr>
        <w:ind w:left="720" w:hanging="720"/>
      </w:pPr>
      <w:r w:rsidRPr="009F61FA">
        <w:t xml:space="preserve">Nakatani, K., Nakagami-Yamaguchi, E., </w:t>
      </w:r>
      <w:proofErr w:type="spellStart"/>
      <w:r w:rsidRPr="009F61FA">
        <w:t>Hagawa</w:t>
      </w:r>
      <w:proofErr w:type="spellEnd"/>
      <w:r w:rsidRPr="009F61FA">
        <w:t xml:space="preserve">, N., </w:t>
      </w:r>
      <w:proofErr w:type="spellStart"/>
      <w:r w:rsidRPr="009F61FA">
        <w:t>Tokuwame</w:t>
      </w:r>
      <w:proofErr w:type="spellEnd"/>
      <w:r w:rsidRPr="009F61FA">
        <w:t xml:space="preserve">, A., Ehara, S., Nishimura, T. and </w:t>
      </w:r>
      <w:proofErr w:type="spellStart"/>
      <w:r w:rsidRPr="009F61FA">
        <w:t>Mizobata</w:t>
      </w:r>
      <w:proofErr w:type="spellEnd"/>
      <w:r w:rsidRPr="009F61FA">
        <w:t xml:space="preserve">, Y. (2024) ‘Evaluation of a new patient safety educational programme to reduce adverse events by encouraging staff to speak up: Application of the trigger tool methodology’, </w:t>
      </w:r>
      <w:r w:rsidRPr="009F61FA">
        <w:rPr>
          <w:i/>
          <w:iCs/>
        </w:rPr>
        <w:t>BMJ Open Quality</w:t>
      </w:r>
      <w:r w:rsidRPr="009F61FA">
        <w:t xml:space="preserve">, 13(1), e002162. Available at: </w:t>
      </w:r>
      <w:hyperlink r:id="rId35" w:history="1">
        <w:r w:rsidRPr="009F61FA">
          <w:rPr>
            <w:rStyle w:val="Hyperlink"/>
          </w:rPr>
          <w:t>https://doi.org/10.1136/bmjoq-2022-002162</w:t>
        </w:r>
      </w:hyperlink>
      <w:r w:rsidRPr="009F61FA">
        <w:t xml:space="preserve"> (Accessed: 5 August 2026).</w:t>
      </w:r>
    </w:p>
    <w:p w14:paraId="7875B9BD" w14:textId="77777777" w:rsidR="002E69DD" w:rsidRPr="009F61FA" w:rsidRDefault="002E69DD" w:rsidP="002E69DD">
      <w:pPr>
        <w:ind w:left="720" w:hanging="720"/>
      </w:pPr>
      <w:r w:rsidRPr="009F61FA">
        <w:t xml:space="preserve">NHS England (2022) </w:t>
      </w:r>
      <w:r w:rsidRPr="009F61FA">
        <w:rPr>
          <w:i/>
          <w:iCs/>
        </w:rPr>
        <w:t>Patient Safety Incident Response Framework</w:t>
      </w:r>
      <w:r w:rsidRPr="009F61FA">
        <w:t xml:space="preserve">. London: NHS England. Available at: </w:t>
      </w:r>
      <w:hyperlink r:id="rId36" w:history="1">
        <w:r w:rsidRPr="009F61FA">
          <w:rPr>
            <w:rStyle w:val="Hyperlink"/>
          </w:rPr>
          <w:t>https://www.england.nhs.uk/long-read/patient-safety-incident-response-framework/</w:t>
        </w:r>
      </w:hyperlink>
      <w:r w:rsidRPr="009F61FA">
        <w:t xml:space="preserve"> (Accessed: 5 August 2026).</w:t>
      </w:r>
    </w:p>
    <w:p w14:paraId="57638EAE" w14:textId="77777777" w:rsidR="002E69DD" w:rsidRPr="009F61FA" w:rsidRDefault="002E69DD" w:rsidP="002E69DD">
      <w:pPr>
        <w:ind w:left="720" w:hanging="720"/>
      </w:pPr>
      <w:r w:rsidRPr="009F61FA">
        <w:t xml:space="preserve">NHS England (2023) </w:t>
      </w:r>
      <w:r w:rsidRPr="009F61FA">
        <w:rPr>
          <w:i/>
          <w:iCs/>
        </w:rPr>
        <w:t>Three-year delivery plan for maternity and neonatal services</w:t>
      </w:r>
      <w:r w:rsidRPr="009F61FA">
        <w:t xml:space="preserve">. London: NHS England. Available at: </w:t>
      </w:r>
      <w:hyperlink r:id="rId37" w:history="1">
        <w:r w:rsidRPr="009F61FA">
          <w:rPr>
            <w:rStyle w:val="Hyperlink"/>
            <w:lang w:val="en-US"/>
          </w:rPr>
          <w:t>NHS England » Three year delivery plan for maternity and neonatal services</w:t>
        </w:r>
      </w:hyperlink>
      <w:r w:rsidRPr="009F61FA">
        <w:t xml:space="preserve"> (Accessed: 5 August 2026).</w:t>
      </w:r>
    </w:p>
    <w:p w14:paraId="21658F57" w14:textId="77777777" w:rsidR="002E69DD" w:rsidRPr="009F61FA" w:rsidRDefault="002E69DD" w:rsidP="002E69DD">
      <w:pPr>
        <w:ind w:left="720" w:hanging="720"/>
      </w:pPr>
      <w:r w:rsidRPr="009F61FA">
        <w:t xml:space="preserve">NHS England (2025) </w:t>
      </w:r>
      <w:r w:rsidRPr="009F61FA">
        <w:rPr>
          <w:i/>
          <w:iCs/>
        </w:rPr>
        <w:t>Saving babies’ lives: Version 3.2—A care bundle for reducing perinatal mortality</w:t>
      </w:r>
      <w:r w:rsidRPr="009F61FA">
        <w:t xml:space="preserve">. London: NHS England. Available at: </w:t>
      </w:r>
      <w:hyperlink r:id="rId38" w:history="1">
        <w:r w:rsidRPr="009F61FA">
          <w:rPr>
            <w:rStyle w:val="Hyperlink"/>
            <w:lang w:val="en-US"/>
          </w:rPr>
          <w:t>NHS England » Saving babies’ lives: version 3</w:t>
        </w:r>
      </w:hyperlink>
      <w:r w:rsidRPr="009F61FA">
        <w:t xml:space="preserve"> (Accessed: 5 August 2026).</w:t>
      </w:r>
    </w:p>
    <w:p w14:paraId="5038C62F" w14:textId="77777777" w:rsidR="002E69DD" w:rsidRPr="009F61FA" w:rsidRDefault="002E69DD" w:rsidP="002E69DD">
      <w:pPr>
        <w:ind w:left="720" w:hanging="720"/>
      </w:pPr>
      <w:r w:rsidRPr="009F61FA">
        <w:lastRenderedPageBreak/>
        <w:t xml:space="preserve">NHS Resolution (2025) </w:t>
      </w:r>
      <w:r w:rsidRPr="009F61FA">
        <w:rPr>
          <w:i/>
          <w:iCs/>
        </w:rPr>
        <w:t>Maternity and Perinatal Incentive Scheme: Year Seven, version 1.0</w:t>
      </w:r>
      <w:r w:rsidRPr="009F61FA">
        <w:t xml:space="preserve">. London: NHS Resolution. Available at: </w:t>
      </w:r>
      <w:hyperlink r:id="rId39" w:history="1">
        <w:r w:rsidRPr="009F61FA">
          <w:rPr>
            <w:rStyle w:val="Hyperlink"/>
            <w:lang w:val="en-US"/>
          </w:rPr>
          <w:t>MIS-Year-7-guidance.pdf</w:t>
        </w:r>
      </w:hyperlink>
      <w:r w:rsidRPr="009F61FA">
        <w:t xml:space="preserve"> (Accessed: 5 August 2026).</w:t>
      </w:r>
    </w:p>
    <w:p w14:paraId="2D17E127" w14:textId="77777777" w:rsidR="002E69DD" w:rsidRPr="009F61FA" w:rsidRDefault="002E69DD" w:rsidP="002E69DD">
      <w:pPr>
        <w:ind w:left="720" w:hanging="720"/>
      </w:pPr>
      <w:r w:rsidRPr="009F61FA">
        <w:t xml:space="preserve">Ockenden, D. (2022) </w:t>
      </w:r>
      <w:r w:rsidRPr="009F61FA">
        <w:rPr>
          <w:i/>
          <w:iCs/>
        </w:rPr>
        <w:t>Findings, conclusions and essential actions from the independent review of maternity services at the Shrewsbury and Telford Hospital NHS Trust: Our final report</w:t>
      </w:r>
      <w:r w:rsidRPr="009F61FA">
        <w:t xml:space="preserve">. HC 1219. London: The Stationery Office. Available at: </w:t>
      </w:r>
      <w:hyperlink r:id="rId40" w:history="1">
        <w:r w:rsidRPr="009F61FA">
          <w:rPr>
            <w:rStyle w:val="Hyperlink"/>
            <w:lang w:val="en-US"/>
          </w:rPr>
          <w:t xml:space="preserve">Final report of the </w:t>
        </w:r>
        <w:proofErr w:type="spellStart"/>
        <w:r w:rsidRPr="009F61FA">
          <w:rPr>
            <w:rStyle w:val="Hyperlink"/>
            <w:lang w:val="en-US"/>
          </w:rPr>
          <w:t>Ockenden</w:t>
        </w:r>
        <w:proofErr w:type="spellEnd"/>
        <w:r w:rsidRPr="009F61FA">
          <w:rPr>
            <w:rStyle w:val="Hyperlink"/>
            <w:lang w:val="en-US"/>
          </w:rPr>
          <w:t xml:space="preserve"> review - GOV.UK</w:t>
        </w:r>
      </w:hyperlink>
      <w:r w:rsidRPr="009F61FA">
        <w:t xml:space="preserve"> (Accessed: 5 August 2026).</w:t>
      </w:r>
    </w:p>
    <w:p w14:paraId="0825541D" w14:textId="77777777" w:rsidR="002E69DD" w:rsidRPr="002E69DD" w:rsidRDefault="002E69DD" w:rsidP="002E69DD">
      <w:pPr>
        <w:ind w:left="720" w:hanging="720"/>
      </w:pPr>
      <w:r w:rsidRPr="002E69DD">
        <w:t xml:space="preserve">Olagundoye, V., Quinlan, M. and Burrow, R. (2022) ‘Stress, anxiety, and erosion of trust: Maternity staff experiences with incident management’, </w:t>
      </w:r>
      <w:r w:rsidRPr="002E69DD">
        <w:rPr>
          <w:i/>
          <w:iCs/>
        </w:rPr>
        <w:t>AJOG Global Reports</w:t>
      </w:r>
      <w:r w:rsidRPr="002E69DD">
        <w:t xml:space="preserve">, 2(4), article 100084. Available at: </w:t>
      </w:r>
      <w:hyperlink r:id="rId41" w:tgtFrame="_new" w:history="1">
        <w:r w:rsidRPr="002E69DD">
          <w:rPr>
            <w:rStyle w:val="Hyperlink"/>
          </w:rPr>
          <w:t>https://doi.org/10.1016/j.xagr.2022.100084</w:t>
        </w:r>
      </w:hyperlink>
      <w:r w:rsidRPr="002E69DD">
        <w:t xml:space="preserve"> (Accessed: 5 August 2026).</w:t>
      </w:r>
    </w:p>
    <w:p w14:paraId="1B187FD4" w14:textId="77777777" w:rsidR="002E69DD" w:rsidRPr="009F61FA" w:rsidRDefault="002E69DD" w:rsidP="002E69DD">
      <w:pPr>
        <w:ind w:left="720" w:hanging="720"/>
      </w:pPr>
      <w:r w:rsidRPr="009F61FA">
        <w:t xml:space="preserve">Qasem, F. (2025) ‘Quality improvement in maternity care: Insights from system integration simulations’, </w:t>
      </w:r>
      <w:r w:rsidRPr="009F61FA">
        <w:rPr>
          <w:i/>
          <w:iCs/>
        </w:rPr>
        <w:t>BMJ Open Quality</w:t>
      </w:r>
      <w:r w:rsidRPr="009F61FA">
        <w:t xml:space="preserve">, 14(2), e003204. Available at: </w:t>
      </w:r>
      <w:hyperlink r:id="rId42" w:history="1">
        <w:r w:rsidRPr="009F61FA">
          <w:rPr>
            <w:rStyle w:val="Hyperlink"/>
          </w:rPr>
          <w:t>https://doi.org/10.1136/bmjoq-2024-003204</w:t>
        </w:r>
      </w:hyperlink>
      <w:r w:rsidRPr="009F61FA">
        <w:t xml:space="preserve"> (Accessed: 5 August 2026).</w:t>
      </w:r>
    </w:p>
    <w:p w14:paraId="15ECB0B3" w14:textId="77777777" w:rsidR="002E69DD" w:rsidRPr="009F61FA" w:rsidRDefault="002E69DD" w:rsidP="002E69DD">
      <w:pPr>
        <w:ind w:left="720" w:hanging="720"/>
      </w:pPr>
      <w:r w:rsidRPr="009F61FA">
        <w:t xml:space="preserve">Santana, M.-J., Ahmed, S., Fairie, P., Zelinsky, S., Wilkinson, G., McCarron, T.L., Mork, M., Patel, J. and </w:t>
      </w:r>
      <w:proofErr w:type="spellStart"/>
      <w:r w:rsidRPr="009F61FA">
        <w:t>Wasylak</w:t>
      </w:r>
      <w:proofErr w:type="spellEnd"/>
      <w:r w:rsidRPr="009F61FA">
        <w:t xml:space="preserve">, T. (2023) ‘Co-developing patient and family engagement indicators for health system improvement with healthcare system stakeholders: A consensus study’, </w:t>
      </w:r>
      <w:r w:rsidRPr="009F61FA">
        <w:rPr>
          <w:i/>
          <w:iCs/>
        </w:rPr>
        <w:t>BMJ Open</w:t>
      </w:r>
      <w:r w:rsidRPr="009F61FA">
        <w:t xml:space="preserve">, 13(2), e067609. Available at: </w:t>
      </w:r>
      <w:hyperlink r:id="rId43" w:tgtFrame="_new" w:history="1">
        <w:r w:rsidRPr="009F61FA">
          <w:rPr>
            <w:rStyle w:val="Hyperlink"/>
          </w:rPr>
          <w:t>https://doi.org/10.1136/bmjopen-2022-067609</w:t>
        </w:r>
      </w:hyperlink>
      <w:r w:rsidRPr="009F61FA">
        <w:t xml:space="preserve"> (Accessed: 5 August 2026).</w:t>
      </w:r>
    </w:p>
    <w:p w14:paraId="34437DD9" w14:textId="77777777" w:rsidR="002E69DD" w:rsidRPr="009F61FA" w:rsidRDefault="002E69DD" w:rsidP="002E69DD">
      <w:pPr>
        <w:ind w:left="720" w:hanging="720"/>
      </w:pPr>
      <w:r w:rsidRPr="009F61FA">
        <w:t xml:space="preserve">Santos, W.J., Graham, I.D., Lalonde, M., Demery Varin, M. and Squires, J.E. (2022) ‘The effectiveness of champions in implementing innovations in health care: A systematic review’, </w:t>
      </w:r>
      <w:r w:rsidRPr="009F61FA">
        <w:rPr>
          <w:i/>
          <w:iCs/>
        </w:rPr>
        <w:t>Implementation Science Communications</w:t>
      </w:r>
      <w:r w:rsidRPr="009F61FA">
        <w:t xml:space="preserve">, 3, article 80. Available at: </w:t>
      </w:r>
      <w:hyperlink r:id="rId44" w:tgtFrame="_new" w:history="1">
        <w:r w:rsidRPr="009F61FA">
          <w:rPr>
            <w:rStyle w:val="Hyperlink"/>
          </w:rPr>
          <w:t>https://doi.org/10.1186/s43058-022-00315-0</w:t>
        </w:r>
      </w:hyperlink>
      <w:r w:rsidRPr="009F61FA">
        <w:t xml:space="preserve"> (Accessed: 5 August 2026).</w:t>
      </w:r>
    </w:p>
    <w:p w14:paraId="1C3FB7DD" w14:textId="77777777" w:rsidR="002E69DD" w:rsidRPr="009F61FA" w:rsidRDefault="002E69DD" w:rsidP="002E69DD">
      <w:pPr>
        <w:ind w:left="720" w:hanging="720"/>
      </w:pPr>
      <w:r w:rsidRPr="009F61FA">
        <w:t>Shrewsbury and Telford Hospital NHS Trust (</w:t>
      </w:r>
      <w:proofErr w:type="spellStart"/>
      <w:r w:rsidRPr="009F61FA">
        <w:t>SaTH</w:t>
      </w:r>
      <w:proofErr w:type="spellEnd"/>
      <w:r w:rsidRPr="009F61FA">
        <w:t xml:space="preserve">) (2024) </w:t>
      </w:r>
      <w:r w:rsidRPr="009F61FA">
        <w:rPr>
          <w:i/>
          <w:iCs/>
        </w:rPr>
        <w:t>Open letter to everyone served by The Shrewsbury and Telford Hospital NHS Trust</w:t>
      </w:r>
      <w:r w:rsidRPr="009F61FA">
        <w:t xml:space="preserve">. 24 July. Available at: </w:t>
      </w:r>
      <w:hyperlink r:id="rId45" w:history="1">
        <w:r w:rsidRPr="009F61FA">
          <w:rPr>
            <w:rStyle w:val="Hyperlink"/>
          </w:rPr>
          <w:t>https://www.sath.nhs.uk/news/open-letter/</w:t>
        </w:r>
      </w:hyperlink>
      <w:r w:rsidRPr="009F61FA">
        <w:t xml:space="preserve"> (Accessed: 5 August 2026).</w:t>
      </w:r>
    </w:p>
    <w:p w14:paraId="537D5E71" w14:textId="77777777" w:rsidR="002E69DD" w:rsidRPr="009F61FA" w:rsidRDefault="002E69DD" w:rsidP="002E69DD">
      <w:pPr>
        <w:ind w:left="720" w:hanging="720"/>
      </w:pPr>
      <w:r w:rsidRPr="009F61FA">
        <w:t>Shrewsbury and Telford Hospital NHS Trust (</w:t>
      </w:r>
      <w:proofErr w:type="spellStart"/>
      <w:r w:rsidRPr="009F61FA">
        <w:t>SaTH</w:t>
      </w:r>
      <w:proofErr w:type="spellEnd"/>
      <w:r w:rsidRPr="009F61FA">
        <w:t xml:space="preserve">) (2025a) </w:t>
      </w:r>
      <w:r w:rsidRPr="009F61FA">
        <w:rPr>
          <w:i/>
          <w:iCs/>
        </w:rPr>
        <w:t>Integrated Maternity and Neonatal Report</w:t>
      </w:r>
      <w:r w:rsidRPr="009F61FA">
        <w:t xml:space="preserve">. Board of Directors’ meeting, 13 March. Available at: </w:t>
      </w:r>
      <w:hyperlink r:id="rId46" w:tgtFrame="_new" w:history="1">
        <w:r w:rsidRPr="009F61FA">
          <w:rPr>
            <w:rStyle w:val="Hyperlink"/>
          </w:rPr>
          <w:t>https://www.sath.nhs.uk/wp-content/uploads/2025/03/051.25-Integrated-Maternity-and-Neonatal-Report.pdf</w:t>
        </w:r>
      </w:hyperlink>
      <w:r w:rsidRPr="009F61FA">
        <w:t xml:space="preserve"> (Accessed: 5 August 2026).</w:t>
      </w:r>
    </w:p>
    <w:p w14:paraId="0B9D07FF" w14:textId="77777777" w:rsidR="002E69DD" w:rsidRPr="009F61FA" w:rsidRDefault="002E69DD" w:rsidP="002E69DD">
      <w:pPr>
        <w:ind w:left="720" w:hanging="720"/>
      </w:pPr>
      <w:r w:rsidRPr="009F61FA">
        <w:t>Shrewsbury and Telford Hospital NHS Trust (</w:t>
      </w:r>
      <w:proofErr w:type="spellStart"/>
      <w:r w:rsidRPr="009F61FA">
        <w:t>SaTH</w:t>
      </w:r>
      <w:proofErr w:type="spellEnd"/>
      <w:r w:rsidRPr="009F61FA">
        <w:t xml:space="preserve">) (2025b) </w:t>
      </w:r>
      <w:r w:rsidRPr="009F61FA">
        <w:rPr>
          <w:i/>
          <w:iCs/>
        </w:rPr>
        <w:t>Statement from The Shrewsbury and Telford Hospital NHS Trust</w:t>
      </w:r>
      <w:r w:rsidRPr="009F61FA">
        <w:t xml:space="preserve">. 19 June. Available at: </w:t>
      </w:r>
      <w:hyperlink r:id="rId47" w:history="1">
        <w:r w:rsidRPr="009F61FA">
          <w:rPr>
            <w:rStyle w:val="Hyperlink"/>
          </w:rPr>
          <w:t>https://www.sath.nhs.uk/news/statement-from-the-shrewsbury-and-telford-hospital-nhs-trust/</w:t>
        </w:r>
      </w:hyperlink>
      <w:r w:rsidRPr="009F61FA">
        <w:t xml:space="preserve"> (Accessed: 5 August 2026).</w:t>
      </w:r>
    </w:p>
    <w:p w14:paraId="2248672E" w14:textId="77777777" w:rsidR="002E69DD" w:rsidRPr="009F61FA" w:rsidRDefault="002E69DD" w:rsidP="002E69DD">
      <w:pPr>
        <w:ind w:left="720" w:hanging="720"/>
      </w:pPr>
      <w:r w:rsidRPr="009F61FA">
        <w:lastRenderedPageBreak/>
        <w:t xml:space="preserve">Sutton, E., Ibrahim, M., Plath, W., Booth, L., Sujan, M., McCulloch, P. and Mackintosh, N. (2025) ‘Understanding the enablers and barriers to implementing a patient-led escalation system: A qualitative study’, </w:t>
      </w:r>
      <w:r w:rsidRPr="009F61FA">
        <w:rPr>
          <w:i/>
          <w:iCs/>
        </w:rPr>
        <w:t>BMJ Quality &amp; Safety</w:t>
      </w:r>
      <w:r w:rsidRPr="009F61FA">
        <w:t xml:space="preserve">, 34(1), pp. 18–27. Available at: </w:t>
      </w:r>
      <w:hyperlink r:id="rId48" w:history="1">
        <w:r w:rsidRPr="009F61FA">
          <w:rPr>
            <w:rStyle w:val="Hyperlink"/>
          </w:rPr>
          <w:t>https://doi.org/10.1136/bmjqs-2024-017132</w:t>
        </w:r>
      </w:hyperlink>
      <w:r w:rsidRPr="009F61FA">
        <w:t xml:space="preserve"> (Accessed: 5 August 2026).</w:t>
      </w:r>
    </w:p>
    <w:p w14:paraId="4EAB0343" w14:textId="77777777" w:rsidR="002E69DD" w:rsidRPr="009F61FA" w:rsidRDefault="002E69DD" w:rsidP="002E69DD">
      <w:pPr>
        <w:ind w:left="720" w:hanging="720"/>
      </w:pPr>
      <w:r w:rsidRPr="009F61FA">
        <w:t xml:space="preserve">Tlapa, D., Tortorella, G., Fogliatto, F., Kumar, M., Mac Cawley, A., </w:t>
      </w:r>
      <w:proofErr w:type="spellStart"/>
      <w:r w:rsidRPr="009F61FA">
        <w:t>Vassolo</w:t>
      </w:r>
      <w:proofErr w:type="spellEnd"/>
      <w:r w:rsidRPr="009F61FA">
        <w:t xml:space="preserve">, R., Enberg, L. and Baez-Lopez, Y. (2022) ‘Effects of Lean interventions supported by digital technologies on healthcare services: A systematic review’, </w:t>
      </w:r>
      <w:r w:rsidRPr="009F61FA">
        <w:rPr>
          <w:i/>
          <w:iCs/>
        </w:rPr>
        <w:t>International Journal of Environmental Research and Public Health</w:t>
      </w:r>
      <w:r w:rsidRPr="009F61FA">
        <w:t xml:space="preserve">, 19(15), article 9018. Available at: </w:t>
      </w:r>
      <w:hyperlink r:id="rId49" w:tgtFrame="_new" w:history="1">
        <w:r w:rsidRPr="009F61FA">
          <w:rPr>
            <w:rStyle w:val="Hyperlink"/>
          </w:rPr>
          <w:t>https://doi.org/10.3390/ijerph19159018</w:t>
        </w:r>
      </w:hyperlink>
      <w:r w:rsidRPr="009F61FA">
        <w:t xml:space="preserve"> (Accessed: 5 August 2026).</w:t>
      </w:r>
    </w:p>
    <w:p w14:paraId="11A8F9FC" w14:textId="77777777" w:rsidR="002E69DD" w:rsidRPr="009F61FA" w:rsidRDefault="002E69DD" w:rsidP="002E69DD">
      <w:pPr>
        <w:ind w:left="720" w:hanging="720"/>
      </w:pPr>
      <w:r w:rsidRPr="009F61FA">
        <w:t xml:space="preserve">World Health Organization (WHO) (2025) </w:t>
      </w:r>
      <w:r w:rsidRPr="009F61FA">
        <w:rPr>
          <w:i/>
          <w:iCs/>
        </w:rPr>
        <w:t>Quality health services</w:t>
      </w:r>
      <w:r w:rsidRPr="009F61FA">
        <w:t xml:space="preserve">. 19 May. Available at: </w:t>
      </w:r>
      <w:hyperlink r:id="rId50" w:history="1">
        <w:r w:rsidRPr="009F61FA">
          <w:rPr>
            <w:rStyle w:val="Hyperlink"/>
            <w:lang w:val="en-US"/>
          </w:rPr>
          <w:t>Fact sheet: Quality health services</w:t>
        </w:r>
      </w:hyperlink>
      <w:r w:rsidRPr="009F61FA">
        <w:t xml:space="preserve"> (Accessed: 5 August 2026).</w:t>
      </w:r>
    </w:p>
    <w:p w14:paraId="1A8AE774" w14:textId="77777777" w:rsidR="002E69DD" w:rsidRPr="009F61FA" w:rsidRDefault="002E69DD" w:rsidP="002E69DD">
      <w:pPr>
        <w:ind w:left="720" w:hanging="720"/>
      </w:pPr>
      <w:r w:rsidRPr="009F61FA">
        <w:t xml:space="preserve">Yang, J., Liu, F., Yang, C., Wei, J., Ma, Y., Xu, L., Xie, J. and Wang, J. (2025) ‘Application of Donabedian three-dimensional model in outpatient care quality: A scoping review’, </w:t>
      </w:r>
      <w:r w:rsidRPr="009F61FA">
        <w:rPr>
          <w:i/>
          <w:iCs/>
        </w:rPr>
        <w:t>Journal of Nursing Management</w:t>
      </w:r>
      <w:r w:rsidRPr="009F61FA">
        <w:t xml:space="preserve">, 2025, article 6893336. Available at: </w:t>
      </w:r>
      <w:hyperlink r:id="rId51" w:history="1">
        <w:r w:rsidRPr="009F61FA">
          <w:rPr>
            <w:rStyle w:val="Hyperlink"/>
          </w:rPr>
          <w:t>https://doi.org/10.1155/jonm/6893336</w:t>
        </w:r>
      </w:hyperlink>
      <w:r w:rsidRPr="009F61FA">
        <w:t xml:space="preserve"> (Accessed: 5 August 2026).</w:t>
      </w:r>
    </w:p>
    <w:p w14:paraId="5DDE1BBD" w14:textId="77777777" w:rsidR="002E69DD" w:rsidRPr="009F61FA" w:rsidRDefault="002E69DD" w:rsidP="002E69DD">
      <w:pPr>
        <w:ind w:left="720" w:hanging="720"/>
      </w:pPr>
      <w:r w:rsidRPr="009F61FA">
        <w:t xml:space="preserve">Zewde, H.K. (2024) ‘Using the WHO individual near-miss case review cycle to improve quality of emergency obstetric care and maternal outcomes in Keren Hospital, Eritrea: An interrupted time-series analysis’, </w:t>
      </w:r>
      <w:r w:rsidRPr="009F61FA">
        <w:rPr>
          <w:i/>
          <w:iCs/>
        </w:rPr>
        <w:t>BMC Pregnancy and Childbirth</w:t>
      </w:r>
      <w:r w:rsidRPr="009F61FA">
        <w:t xml:space="preserve">, 24, article 266. Available at: </w:t>
      </w:r>
      <w:hyperlink r:id="rId52" w:history="1">
        <w:r w:rsidRPr="009F61FA">
          <w:rPr>
            <w:rStyle w:val="Hyperlink"/>
          </w:rPr>
          <w:t>https://doi.org/10.1186/s12884-024-06482-3</w:t>
        </w:r>
      </w:hyperlink>
      <w:r w:rsidRPr="009F61FA">
        <w:t xml:space="preserve"> (Accessed: 5 August 2026).</w:t>
      </w:r>
      <w:r>
        <w:br w:type="page"/>
      </w:r>
    </w:p>
    <w:p w14:paraId="15E15556" w14:textId="5E889CD5" w:rsidR="007C0305" w:rsidRDefault="00FE2757" w:rsidP="00FE2757">
      <w:pPr>
        <w:pStyle w:val="Heading1"/>
      </w:pPr>
      <w:bookmarkStart w:id="20" w:name="_Toc236892666"/>
      <w:r>
        <w:lastRenderedPageBreak/>
        <w:t>Appendices</w:t>
      </w:r>
      <w:bookmarkEnd w:id="20"/>
    </w:p>
    <w:p w14:paraId="1C972E62" w14:textId="1BF3FFFB" w:rsidR="00FE2757" w:rsidRDefault="00FE2757" w:rsidP="00FE2757">
      <w:pPr>
        <w:pStyle w:val="Heading2"/>
      </w:pPr>
      <w:bookmarkStart w:id="21" w:name="_Toc236892667"/>
      <w:r>
        <w:t xml:space="preserve">Appendix 1: </w:t>
      </w:r>
      <w:r w:rsidRPr="00FE2757">
        <w:t>Historical Failures, Current Controls and Remaining Assurance Questions</w:t>
      </w:r>
      <w:bookmarkEnd w:id="21"/>
    </w:p>
    <w:tbl>
      <w:tblPr>
        <w:tblStyle w:val="GridTable6Colorful-Accent4"/>
        <w:tblW w:w="0" w:type="auto"/>
        <w:tblLook w:val="04A0" w:firstRow="1" w:lastRow="0" w:firstColumn="1" w:lastColumn="0" w:noHBand="0" w:noVBand="1"/>
      </w:tblPr>
      <w:tblGrid>
        <w:gridCol w:w="2363"/>
        <w:gridCol w:w="2855"/>
        <w:gridCol w:w="4132"/>
      </w:tblGrid>
      <w:tr w:rsidR="00FE2757" w:rsidRPr="00436B7A" w14:paraId="2539D743" w14:textId="77777777" w:rsidTr="00FE27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7592DB" w14:textId="77777777" w:rsidR="00FE2757" w:rsidRPr="00436B7A" w:rsidRDefault="00FE2757" w:rsidP="00FE2757">
            <w:pPr>
              <w:jc w:val="center"/>
            </w:pPr>
            <w:r w:rsidRPr="00436B7A">
              <w:t>Historical failure</w:t>
            </w:r>
          </w:p>
        </w:tc>
        <w:tc>
          <w:tcPr>
            <w:tcW w:w="0" w:type="auto"/>
            <w:hideMark/>
          </w:tcPr>
          <w:p w14:paraId="158F806D" w14:textId="77777777" w:rsidR="00FE2757" w:rsidRPr="00436B7A"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436B7A">
              <w:t>Current control or evidence</w:t>
            </w:r>
          </w:p>
        </w:tc>
        <w:tc>
          <w:tcPr>
            <w:tcW w:w="0" w:type="auto"/>
            <w:hideMark/>
          </w:tcPr>
          <w:p w14:paraId="3D3E9729" w14:textId="77777777" w:rsidR="00FE2757" w:rsidRPr="00436B7A"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436B7A">
              <w:t>Remaining assurance question</w:t>
            </w:r>
          </w:p>
        </w:tc>
      </w:tr>
      <w:tr w:rsidR="00FE2757" w:rsidRPr="00436B7A" w14:paraId="25EDF202"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03F73D" w14:textId="77777777" w:rsidR="00FE2757" w:rsidRPr="00436B7A" w:rsidRDefault="00FE2757" w:rsidP="00D2053D">
            <w:pPr>
              <w:rPr>
                <w:b w:val="0"/>
                <w:bCs w:val="0"/>
                <w:i/>
                <w:iCs/>
              </w:rPr>
            </w:pPr>
            <w:r w:rsidRPr="00436B7A">
              <w:rPr>
                <w:b w:val="0"/>
                <w:bCs w:val="0"/>
                <w:i/>
                <w:iCs/>
              </w:rPr>
              <w:t>CTG interpretation and delayed escalation</w:t>
            </w:r>
          </w:p>
        </w:tc>
        <w:tc>
          <w:tcPr>
            <w:tcW w:w="0" w:type="auto"/>
            <w:hideMark/>
          </w:tcPr>
          <w:p w14:paraId="2E30A718"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 xml:space="preserve">Training, </w:t>
            </w:r>
            <w:proofErr w:type="spellStart"/>
            <w:r w:rsidRPr="00436B7A">
              <w:t>fetal</w:t>
            </w:r>
            <w:proofErr w:type="spellEnd"/>
            <w:r w:rsidRPr="00436B7A">
              <w:t>-monitoring controls and fresh-eyes procedures</w:t>
            </w:r>
          </w:p>
        </w:tc>
        <w:tc>
          <w:tcPr>
            <w:tcW w:w="0" w:type="auto"/>
            <w:hideMark/>
          </w:tcPr>
          <w:p w14:paraId="1B870595"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Are these processes consistently followed during staffing and workload pressures?</w:t>
            </w:r>
          </w:p>
        </w:tc>
      </w:tr>
      <w:tr w:rsidR="00FE2757" w:rsidRPr="00436B7A" w14:paraId="7985B454"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3469F824" w14:textId="77777777" w:rsidR="00FE2757" w:rsidRPr="00436B7A" w:rsidRDefault="00FE2757" w:rsidP="00D2053D">
            <w:pPr>
              <w:rPr>
                <w:b w:val="0"/>
                <w:bCs w:val="0"/>
                <w:i/>
                <w:iCs/>
              </w:rPr>
            </w:pPr>
            <w:r w:rsidRPr="00436B7A">
              <w:rPr>
                <w:b w:val="0"/>
                <w:bCs w:val="0"/>
                <w:i/>
                <w:iCs/>
              </w:rPr>
              <w:t>Weak incident learning</w:t>
            </w:r>
          </w:p>
        </w:tc>
        <w:tc>
          <w:tcPr>
            <w:tcW w:w="0" w:type="auto"/>
            <w:hideMark/>
          </w:tcPr>
          <w:p w14:paraId="60614682"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Governance reporting, audits and formal action tracking</w:t>
            </w:r>
          </w:p>
        </w:tc>
        <w:tc>
          <w:tcPr>
            <w:tcW w:w="0" w:type="auto"/>
            <w:hideMark/>
          </w:tcPr>
          <w:p w14:paraId="0EDAC35E"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Are completed actions re-audited and shown to change routine practice?</w:t>
            </w:r>
          </w:p>
        </w:tc>
      </w:tr>
      <w:tr w:rsidR="00FE2757" w:rsidRPr="00436B7A" w14:paraId="3B907D43"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3E9C9" w14:textId="77777777" w:rsidR="00FE2757" w:rsidRPr="00436B7A" w:rsidRDefault="00FE2757" w:rsidP="00D2053D">
            <w:pPr>
              <w:rPr>
                <w:b w:val="0"/>
                <w:bCs w:val="0"/>
                <w:i/>
                <w:iCs/>
              </w:rPr>
            </w:pPr>
            <w:r w:rsidRPr="00436B7A">
              <w:rPr>
                <w:b w:val="0"/>
                <w:bCs w:val="0"/>
                <w:i/>
                <w:iCs/>
              </w:rPr>
              <w:t>Family concerns overlooked</w:t>
            </w:r>
          </w:p>
        </w:tc>
        <w:tc>
          <w:tcPr>
            <w:tcW w:w="0" w:type="auto"/>
            <w:hideMark/>
          </w:tcPr>
          <w:p w14:paraId="290C93D2"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Feedback systems and maternity-user participation</w:t>
            </w:r>
          </w:p>
        </w:tc>
        <w:tc>
          <w:tcPr>
            <w:tcW w:w="0" w:type="auto"/>
            <w:hideMark/>
          </w:tcPr>
          <w:p w14:paraId="628FA3EC"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Do all families receive accessible escalation, acknowledgement and meaningful feedback?</w:t>
            </w:r>
          </w:p>
        </w:tc>
      </w:tr>
      <w:tr w:rsidR="00FE2757" w:rsidRPr="00436B7A" w14:paraId="54C09E08"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312235BA" w14:textId="77777777" w:rsidR="00FE2757" w:rsidRPr="00436B7A" w:rsidRDefault="00FE2757" w:rsidP="00D2053D">
            <w:pPr>
              <w:rPr>
                <w:b w:val="0"/>
                <w:bCs w:val="0"/>
                <w:i/>
                <w:iCs/>
              </w:rPr>
            </w:pPr>
            <w:r w:rsidRPr="00436B7A">
              <w:rPr>
                <w:b w:val="0"/>
                <w:bCs w:val="0"/>
                <w:i/>
                <w:iCs/>
              </w:rPr>
              <w:t>Weak board oversight</w:t>
            </w:r>
          </w:p>
        </w:tc>
        <w:tc>
          <w:tcPr>
            <w:tcW w:w="0" w:type="auto"/>
            <w:hideMark/>
          </w:tcPr>
          <w:p w14:paraId="0873F7DE"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Maternity dashboards and quarterly assurance reporting</w:t>
            </w:r>
          </w:p>
        </w:tc>
        <w:tc>
          <w:tcPr>
            <w:tcW w:w="0" w:type="auto"/>
            <w:hideMark/>
          </w:tcPr>
          <w:p w14:paraId="63F8A436"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Does oversight demonstrate sustained outcomes or mainly record completed activities?</w:t>
            </w:r>
          </w:p>
        </w:tc>
      </w:tr>
    </w:tbl>
    <w:p w14:paraId="4DDDECA4" w14:textId="7F5C50DC" w:rsidR="00FE2757" w:rsidRDefault="00FE2757" w:rsidP="00FE2757"/>
    <w:p w14:paraId="139707D4" w14:textId="77777777" w:rsidR="00FE2757" w:rsidRDefault="00FE2757">
      <w:pPr>
        <w:spacing w:after="200" w:line="276" w:lineRule="auto"/>
        <w:jc w:val="left"/>
      </w:pPr>
      <w:r>
        <w:br w:type="page"/>
      </w:r>
    </w:p>
    <w:p w14:paraId="1446E8C4" w14:textId="6B3C5EE8" w:rsidR="00FE2757" w:rsidRDefault="00FE2757" w:rsidP="00FE2757">
      <w:pPr>
        <w:pStyle w:val="Heading2"/>
      </w:pPr>
      <w:bookmarkStart w:id="22" w:name="_Toc236892668"/>
      <w:r>
        <w:lastRenderedPageBreak/>
        <w:t xml:space="preserve">Appendix 2: </w:t>
      </w:r>
      <w:r w:rsidRPr="00FE2757">
        <w:t xml:space="preserve">Donabedian Analysis of Sustained Maternity Safety at </w:t>
      </w:r>
      <w:proofErr w:type="spellStart"/>
      <w:r w:rsidRPr="00FE2757">
        <w:t>SaTH</w:t>
      </w:r>
      <w:bookmarkEnd w:id="22"/>
      <w:proofErr w:type="spellEnd"/>
    </w:p>
    <w:tbl>
      <w:tblPr>
        <w:tblStyle w:val="GridTable5Dark-Accent1"/>
        <w:tblW w:w="0" w:type="auto"/>
        <w:tblLook w:val="04A0" w:firstRow="1" w:lastRow="0" w:firstColumn="1" w:lastColumn="0" w:noHBand="0" w:noVBand="1"/>
      </w:tblPr>
      <w:tblGrid>
        <w:gridCol w:w="2379"/>
        <w:gridCol w:w="2423"/>
        <w:gridCol w:w="2308"/>
        <w:gridCol w:w="2240"/>
      </w:tblGrid>
      <w:tr w:rsidR="00FE2757" w:rsidRPr="00195716" w14:paraId="34FC8522" w14:textId="77777777" w:rsidTr="00FE27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15BB6D" w14:textId="77777777" w:rsidR="00FE2757" w:rsidRPr="00195716" w:rsidRDefault="00FE2757" w:rsidP="00FE2757">
            <w:pPr>
              <w:jc w:val="center"/>
            </w:pPr>
            <w:r w:rsidRPr="00195716">
              <w:t>Structure</w:t>
            </w:r>
          </w:p>
        </w:tc>
        <w:tc>
          <w:tcPr>
            <w:tcW w:w="0" w:type="auto"/>
            <w:hideMark/>
          </w:tcPr>
          <w:p w14:paraId="28C40749" w14:textId="77777777" w:rsidR="00FE2757" w:rsidRPr="00195716"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195716">
              <w:t>Process</w:t>
            </w:r>
          </w:p>
        </w:tc>
        <w:tc>
          <w:tcPr>
            <w:tcW w:w="0" w:type="auto"/>
            <w:hideMark/>
          </w:tcPr>
          <w:p w14:paraId="03584853" w14:textId="77777777" w:rsidR="00FE2757" w:rsidRPr="00195716"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195716">
              <w:t>Outcome</w:t>
            </w:r>
          </w:p>
        </w:tc>
        <w:tc>
          <w:tcPr>
            <w:tcW w:w="0" w:type="auto"/>
            <w:hideMark/>
          </w:tcPr>
          <w:p w14:paraId="6CDB5298" w14:textId="77777777" w:rsidR="00FE2757" w:rsidRPr="00195716"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195716">
              <w:t>Remaining evidence gap</w:t>
            </w:r>
          </w:p>
        </w:tc>
      </w:tr>
      <w:tr w:rsidR="00FE2757" w:rsidRPr="00195716" w14:paraId="4E7FE0B3"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8C4331" w14:textId="77777777" w:rsidR="00FE2757" w:rsidRPr="00195716" w:rsidRDefault="00FE2757" w:rsidP="00D2053D">
            <w:pPr>
              <w:rPr>
                <w:b w:val="0"/>
                <w:bCs w:val="0"/>
                <w:i/>
                <w:iCs/>
              </w:rPr>
            </w:pPr>
            <w:r w:rsidRPr="00195716">
              <w:rPr>
                <w:b w:val="0"/>
                <w:bCs w:val="0"/>
                <w:i/>
                <w:iCs/>
              </w:rPr>
              <w:t>Staffing, skill mix and leadership stability</w:t>
            </w:r>
          </w:p>
        </w:tc>
        <w:tc>
          <w:tcPr>
            <w:tcW w:w="0" w:type="auto"/>
            <w:hideMark/>
          </w:tcPr>
          <w:p w14:paraId="5DFA8079"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Risk assessment, CTG interpretation and senior escalation</w:t>
            </w:r>
          </w:p>
        </w:tc>
        <w:tc>
          <w:tcPr>
            <w:tcW w:w="0" w:type="auto"/>
            <w:hideMark/>
          </w:tcPr>
          <w:p w14:paraId="6E1F7B58"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Safety events and escalation timeliness</w:t>
            </w:r>
          </w:p>
        </w:tc>
        <w:tc>
          <w:tcPr>
            <w:tcW w:w="0" w:type="auto"/>
            <w:hideMark/>
          </w:tcPr>
          <w:p w14:paraId="48CBD38F"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Whether controls remain reliable during staffing pressure</w:t>
            </w:r>
          </w:p>
        </w:tc>
      </w:tr>
      <w:tr w:rsidR="00FE2757" w:rsidRPr="00195716" w14:paraId="695B3B99"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1ADC255F" w14:textId="77777777" w:rsidR="00FE2757" w:rsidRPr="00195716" w:rsidRDefault="00FE2757" w:rsidP="00D2053D">
            <w:pPr>
              <w:rPr>
                <w:b w:val="0"/>
                <w:bCs w:val="0"/>
                <w:i/>
                <w:iCs/>
              </w:rPr>
            </w:pPr>
            <w:r w:rsidRPr="00195716">
              <w:rPr>
                <w:b w:val="0"/>
                <w:bCs w:val="0"/>
                <w:i/>
                <w:iCs/>
              </w:rPr>
              <w:t>Training systems and multidisciplinary supervision</w:t>
            </w:r>
          </w:p>
        </w:tc>
        <w:tc>
          <w:tcPr>
            <w:tcW w:w="0" w:type="auto"/>
            <w:hideMark/>
          </w:tcPr>
          <w:p w14:paraId="0A926809"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Fresh-eyes review, communication and handover</w:t>
            </w:r>
          </w:p>
        </w:tc>
        <w:tc>
          <w:tcPr>
            <w:tcW w:w="0" w:type="auto"/>
            <w:hideMark/>
          </w:tcPr>
          <w:p w14:paraId="2DADCF6D"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Staff confidence and process reliability</w:t>
            </w:r>
          </w:p>
        </w:tc>
        <w:tc>
          <w:tcPr>
            <w:tcW w:w="0" w:type="auto"/>
            <w:hideMark/>
          </w:tcPr>
          <w:p w14:paraId="7FFB5E3D"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Whether training completion reflects applied competence</w:t>
            </w:r>
          </w:p>
        </w:tc>
      </w:tr>
      <w:tr w:rsidR="00FE2757" w:rsidRPr="00195716" w14:paraId="4CCF1F0D"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0A5D15" w14:textId="77777777" w:rsidR="00FE2757" w:rsidRPr="00195716" w:rsidRDefault="00FE2757" w:rsidP="00D2053D">
            <w:pPr>
              <w:rPr>
                <w:b w:val="0"/>
                <w:bCs w:val="0"/>
                <w:i/>
                <w:iCs/>
              </w:rPr>
            </w:pPr>
            <w:r w:rsidRPr="00195716">
              <w:rPr>
                <w:b w:val="0"/>
                <w:bCs w:val="0"/>
                <w:i/>
                <w:iCs/>
              </w:rPr>
              <w:t>Governance committees, dashboards and risk registers</w:t>
            </w:r>
          </w:p>
        </w:tc>
        <w:tc>
          <w:tcPr>
            <w:tcW w:w="0" w:type="auto"/>
            <w:hideMark/>
          </w:tcPr>
          <w:p w14:paraId="64A1DC2C"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PSIRF learning, action tracking and re-audit</w:t>
            </w:r>
          </w:p>
        </w:tc>
        <w:tc>
          <w:tcPr>
            <w:tcW w:w="0" w:type="auto"/>
            <w:hideMark/>
          </w:tcPr>
          <w:p w14:paraId="30887367"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Sustained implementation and fewer repeated themes</w:t>
            </w:r>
          </w:p>
        </w:tc>
        <w:tc>
          <w:tcPr>
            <w:tcW w:w="0" w:type="auto"/>
            <w:hideMark/>
          </w:tcPr>
          <w:p w14:paraId="7DC01413"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Whether completed actions produce lasting behavioural change</w:t>
            </w:r>
          </w:p>
        </w:tc>
      </w:tr>
      <w:tr w:rsidR="00FE2757" w:rsidRPr="00195716" w14:paraId="16DA3DD0"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40E72331" w14:textId="77777777" w:rsidR="00FE2757" w:rsidRPr="00195716" w:rsidRDefault="00FE2757" w:rsidP="00D2053D">
            <w:pPr>
              <w:rPr>
                <w:b w:val="0"/>
                <w:bCs w:val="0"/>
                <w:i/>
                <w:iCs/>
              </w:rPr>
            </w:pPr>
            <w:r w:rsidRPr="00195716">
              <w:rPr>
                <w:b w:val="0"/>
                <w:bCs w:val="0"/>
                <w:i/>
                <w:iCs/>
              </w:rPr>
              <w:t>Digital reporting and external assurance</w:t>
            </w:r>
          </w:p>
        </w:tc>
        <w:tc>
          <w:tcPr>
            <w:tcW w:w="0" w:type="auto"/>
            <w:hideMark/>
          </w:tcPr>
          <w:p w14:paraId="7E3DF719"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Integration of incidents, complaints and staff concerns</w:t>
            </w:r>
          </w:p>
        </w:tc>
        <w:tc>
          <w:tcPr>
            <w:tcW w:w="0" w:type="auto"/>
            <w:hideMark/>
          </w:tcPr>
          <w:p w14:paraId="2A3D744B"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Stronger governance and public confidence</w:t>
            </w:r>
          </w:p>
        </w:tc>
        <w:tc>
          <w:tcPr>
            <w:tcW w:w="0" w:type="auto"/>
            <w:hideMark/>
          </w:tcPr>
          <w:p w14:paraId="12A31E9E"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Whether reporting identifies risk rather than recording activity</w:t>
            </w:r>
          </w:p>
        </w:tc>
      </w:tr>
      <w:tr w:rsidR="00FE2757" w:rsidRPr="00195716" w14:paraId="256672B4"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8200B2" w14:textId="77777777" w:rsidR="00FE2757" w:rsidRPr="00195716" w:rsidRDefault="00FE2757" w:rsidP="00D2053D">
            <w:pPr>
              <w:rPr>
                <w:b w:val="0"/>
                <w:bCs w:val="0"/>
                <w:i/>
                <w:iCs/>
              </w:rPr>
            </w:pPr>
            <w:r w:rsidRPr="00195716">
              <w:rPr>
                <w:b w:val="0"/>
                <w:bCs w:val="0"/>
                <w:i/>
                <w:iCs/>
              </w:rPr>
              <w:t>MNVP and family-participation arrangements</w:t>
            </w:r>
          </w:p>
        </w:tc>
        <w:tc>
          <w:tcPr>
            <w:tcW w:w="0" w:type="auto"/>
            <w:hideMark/>
          </w:tcPr>
          <w:p w14:paraId="0F6185FB"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Family communication, escalation and feedback</w:t>
            </w:r>
          </w:p>
        </w:tc>
        <w:tc>
          <w:tcPr>
            <w:tcW w:w="0" w:type="auto"/>
            <w:hideMark/>
          </w:tcPr>
          <w:p w14:paraId="2B5DB571"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Patient experience and equitable involvement</w:t>
            </w:r>
          </w:p>
        </w:tc>
        <w:tc>
          <w:tcPr>
            <w:tcW w:w="0" w:type="auto"/>
            <w:hideMark/>
          </w:tcPr>
          <w:p w14:paraId="45067FED"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Whether all population groups experience accessible participation</w:t>
            </w:r>
          </w:p>
        </w:tc>
      </w:tr>
    </w:tbl>
    <w:p w14:paraId="365027DB" w14:textId="1D848989" w:rsidR="00FE2757" w:rsidRDefault="00FE2757" w:rsidP="00FE2757"/>
    <w:p w14:paraId="009D057F" w14:textId="77777777" w:rsidR="00FE2757" w:rsidRDefault="00FE2757">
      <w:pPr>
        <w:spacing w:after="200" w:line="276" w:lineRule="auto"/>
        <w:jc w:val="left"/>
      </w:pPr>
      <w:r>
        <w:br w:type="page"/>
      </w:r>
    </w:p>
    <w:p w14:paraId="1EE9DE3C" w14:textId="5DA9AD3A" w:rsidR="009C7FB4" w:rsidRPr="007C0305" w:rsidRDefault="00FE2757" w:rsidP="009C7FB4">
      <w:pPr>
        <w:pStyle w:val="Heading2"/>
      </w:pPr>
      <w:bookmarkStart w:id="23" w:name="_Toc236892669"/>
      <w:r>
        <w:lastRenderedPageBreak/>
        <w:t>Appendix 3:</w:t>
      </w:r>
      <w:r w:rsidR="009C7FB4">
        <w:t xml:space="preserve"> </w:t>
      </w:r>
      <w:r w:rsidR="009C7FB4" w:rsidRPr="007C0305">
        <w:t>Implementation and Evaluation Plan</w:t>
      </w:r>
      <w:bookmarkEnd w:id="23"/>
    </w:p>
    <w:tbl>
      <w:tblPr>
        <w:tblStyle w:val="TableGrid"/>
        <w:tblW w:w="0" w:type="auto"/>
        <w:tblLook w:val="04A0" w:firstRow="1" w:lastRow="0" w:firstColumn="1" w:lastColumn="0" w:noHBand="0" w:noVBand="1"/>
      </w:tblPr>
      <w:tblGrid>
        <w:gridCol w:w="1269"/>
        <w:gridCol w:w="1269"/>
        <w:gridCol w:w="1095"/>
        <w:gridCol w:w="1350"/>
        <w:gridCol w:w="1685"/>
        <w:gridCol w:w="1331"/>
        <w:gridCol w:w="1351"/>
      </w:tblGrid>
      <w:tr w:rsidR="009C7FB4" w:rsidRPr="00DB51B0" w14:paraId="0EE13478" w14:textId="77777777" w:rsidTr="00D2053D">
        <w:tc>
          <w:tcPr>
            <w:tcW w:w="0" w:type="auto"/>
            <w:hideMark/>
          </w:tcPr>
          <w:p w14:paraId="0CFF6D61" w14:textId="77777777" w:rsidR="009C7FB4" w:rsidRPr="00DB51B0" w:rsidRDefault="009C7FB4" w:rsidP="00D2053D">
            <w:pPr>
              <w:rPr>
                <w:b/>
                <w:bCs/>
              </w:rPr>
            </w:pPr>
            <w:r w:rsidRPr="00DB51B0">
              <w:rPr>
                <w:b/>
                <w:bCs/>
              </w:rPr>
              <w:t>Action</w:t>
            </w:r>
          </w:p>
        </w:tc>
        <w:tc>
          <w:tcPr>
            <w:tcW w:w="0" w:type="auto"/>
            <w:hideMark/>
          </w:tcPr>
          <w:p w14:paraId="3E13E3F3" w14:textId="77777777" w:rsidR="009C7FB4" w:rsidRPr="00DB51B0" w:rsidRDefault="009C7FB4" w:rsidP="00D2053D">
            <w:pPr>
              <w:rPr>
                <w:b/>
                <w:bCs/>
              </w:rPr>
            </w:pPr>
            <w:r w:rsidRPr="00DB51B0">
              <w:rPr>
                <w:b/>
                <w:bCs/>
              </w:rPr>
              <w:t>Owner</w:t>
            </w:r>
          </w:p>
        </w:tc>
        <w:tc>
          <w:tcPr>
            <w:tcW w:w="0" w:type="auto"/>
            <w:hideMark/>
          </w:tcPr>
          <w:p w14:paraId="1C1CC695" w14:textId="77777777" w:rsidR="009C7FB4" w:rsidRPr="00DB51B0" w:rsidRDefault="009C7FB4" w:rsidP="00D2053D">
            <w:pPr>
              <w:rPr>
                <w:b/>
                <w:bCs/>
              </w:rPr>
            </w:pPr>
            <w:r w:rsidRPr="00DB51B0">
              <w:rPr>
                <w:b/>
                <w:bCs/>
              </w:rPr>
              <w:t>Timescale</w:t>
            </w:r>
          </w:p>
        </w:tc>
        <w:tc>
          <w:tcPr>
            <w:tcW w:w="0" w:type="auto"/>
            <w:hideMark/>
          </w:tcPr>
          <w:p w14:paraId="16FB0BC9" w14:textId="77777777" w:rsidR="009C7FB4" w:rsidRPr="00DB51B0" w:rsidRDefault="009C7FB4" w:rsidP="00D2053D">
            <w:pPr>
              <w:rPr>
                <w:b/>
                <w:bCs/>
              </w:rPr>
            </w:pPr>
            <w:r w:rsidRPr="00DB51B0">
              <w:rPr>
                <w:b/>
                <w:bCs/>
              </w:rPr>
              <w:t>Resource</w:t>
            </w:r>
          </w:p>
        </w:tc>
        <w:tc>
          <w:tcPr>
            <w:tcW w:w="0" w:type="auto"/>
            <w:hideMark/>
          </w:tcPr>
          <w:p w14:paraId="37FFE6B3" w14:textId="77777777" w:rsidR="009C7FB4" w:rsidRPr="00DB51B0" w:rsidRDefault="009C7FB4" w:rsidP="00D2053D">
            <w:pPr>
              <w:rPr>
                <w:b/>
                <w:bCs/>
              </w:rPr>
            </w:pPr>
            <w:r w:rsidRPr="00DB51B0">
              <w:rPr>
                <w:b/>
                <w:bCs/>
              </w:rPr>
              <w:t>Measure</w:t>
            </w:r>
          </w:p>
        </w:tc>
        <w:tc>
          <w:tcPr>
            <w:tcW w:w="0" w:type="auto"/>
            <w:hideMark/>
          </w:tcPr>
          <w:p w14:paraId="6F424235" w14:textId="77777777" w:rsidR="009C7FB4" w:rsidRPr="00DB51B0" w:rsidRDefault="009C7FB4" w:rsidP="00D2053D">
            <w:pPr>
              <w:rPr>
                <w:b/>
                <w:bCs/>
              </w:rPr>
            </w:pPr>
            <w:r w:rsidRPr="00DB51B0">
              <w:rPr>
                <w:b/>
                <w:bCs/>
              </w:rPr>
              <w:t>Target basis</w:t>
            </w:r>
          </w:p>
        </w:tc>
        <w:tc>
          <w:tcPr>
            <w:tcW w:w="0" w:type="auto"/>
            <w:hideMark/>
          </w:tcPr>
          <w:p w14:paraId="5BF2DBA5" w14:textId="77777777" w:rsidR="009C7FB4" w:rsidRPr="00DB51B0" w:rsidRDefault="009C7FB4" w:rsidP="00D2053D">
            <w:pPr>
              <w:rPr>
                <w:b/>
                <w:bCs/>
              </w:rPr>
            </w:pPr>
            <w:r w:rsidRPr="00DB51B0">
              <w:rPr>
                <w:b/>
                <w:bCs/>
              </w:rPr>
              <w:t>Risk and mitigation</w:t>
            </w:r>
          </w:p>
        </w:tc>
      </w:tr>
      <w:tr w:rsidR="009C7FB4" w:rsidRPr="00DB51B0" w14:paraId="3AD2E971" w14:textId="77777777" w:rsidTr="00D2053D">
        <w:tc>
          <w:tcPr>
            <w:tcW w:w="0" w:type="auto"/>
            <w:hideMark/>
          </w:tcPr>
          <w:p w14:paraId="70A685CE" w14:textId="77777777" w:rsidR="009C7FB4" w:rsidRPr="00DB51B0" w:rsidRDefault="009C7FB4" w:rsidP="00D2053D">
            <w:r w:rsidRPr="00DB51B0">
              <w:t>Review recognition and escalation reliability</w:t>
            </w:r>
          </w:p>
        </w:tc>
        <w:tc>
          <w:tcPr>
            <w:tcW w:w="0" w:type="auto"/>
            <w:hideMark/>
          </w:tcPr>
          <w:p w14:paraId="3F68221A" w14:textId="77777777" w:rsidR="009C7FB4" w:rsidRPr="00DB51B0" w:rsidRDefault="009C7FB4" w:rsidP="00D2053D">
            <w:r w:rsidRPr="00DB51B0">
              <w:t>Maternity Safety Lead</w:t>
            </w:r>
          </w:p>
        </w:tc>
        <w:tc>
          <w:tcPr>
            <w:tcW w:w="0" w:type="auto"/>
            <w:hideMark/>
          </w:tcPr>
          <w:p w14:paraId="18F11970" w14:textId="77777777" w:rsidR="009C7FB4" w:rsidRPr="00DB51B0" w:rsidRDefault="009C7FB4" w:rsidP="00D2053D">
            <w:r w:rsidRPr="00DB51B0">
              <w:t>Monthly during pilot</w:t>
            </w:r>
          </w:p>
        </w:tc>
        <w:tc>
          <w:tcPr>
            <w:tcW w:w="0" w:type="auto"/>
            <w:hideMark/>
          </w:tcPr>
          <w:p w14:paraId="746996EE" w14:textId="77777777" w:rsidR="009C7FB4" w:rsidRPr="00DB51B0" w:rsidRDefault="009C7FB4" w:rsidP="00D2053D">
            <w:r w:rsidRPr="00DB51B0">
              <w:t>Protected review time and analyst support</w:t>
            </w:r>
          </w:p>
        </w:tc>
        <w:tc>
          <w:tcPr>
            <w:tcW w:w="0" w:type="auto"/>
            <w:hideMark/>
          </w:tcPr>
          <w:p w14:paraId="11D01FFA" w14:textId="77777777" w:rsidR="009C7FB4" w:rsidRPr="00DB51B0" w:rsidRDefault="009C7FB4" w:rsidP="00D2053D">
            <w:r w:rsidRPr="00DB51B0">
              <w:t>Fresh-eyes completion and median escalation time</w:t>
            </w:r>
          </w:p>
        </w:tc>
        <w:tc>
          <w:tcPr>
            <w:tcW w:w="0" w:type="auto"/>
            <w:hideMark/>
          </w:tcPr>
          <w:p w14:paraId="78676281" w14:textId="77777777" w:rsidR="009C7FB4" w:rsidRPr="00DB51B0" w:rsidRDefault="009C7FB4" w:rsidP="00D2053D">
            <w:r w:rsidRPr="00DB51B0">
              <w:t>Baseline data and clinical standards</w:t>
            </w:r>
          </w:p>
        </w:tc>
        <w:tc>
          <w:tcPr>
            <w:tcW w:w="0" w:type="auto"/>
            <w:hideMark/>
          </w:tcPr>
          <w:p w14:paraId="313AE0E8" w14:textId="77777777" w:rsidR="009C7FB4" w:rsidRPr="00DB51B0" w:rsidRDefault="009C7FB4" w:rsidP="00D2053D">
            <w:r w:rsidRPr="00DB51B0">
              <w:t>Workload burden; use sampled case reviews</w:t>
            </w:r>
          </w:p>
        </w:tc>
      </w:tr>
      <w:tr w:rsidR="009C7FB4" w:rsidRPr="00DB51B0" w14:paraId="48C5FDB8" w14:textId="77777777" w:rsidTr="00D2053D">
        <w:tc>
          <w:tcPr>
            <w:tcW w:w="0" w:type="auto"/>
            <w:hideMark/>
          </w:tcPr>
          <w:p w14:paraId="485260A1" w14:textId="77777777" w:rsidR="009C7FB4" w:rsidRPr="00DB51B0" w:rsidRDefault="009C7FB4" w:rsidP="00D2053D">
            <w:r w:rsidRPr="00DB51B0">
              <w:t>Re-audit PSIRF actions</w:t>
            </w:r>
          </w:p>
        </w:tc>
        <w:tc>
          <w:tcPr>
            <w:tcW w:w="0" w:type="auto"/>
            <w:hideMark/>
          </w:tcPr>
          <w:p w14:paraId="1B51CC65" w14:textId="77777777" w:rsidR="009C7FB4" w:rsidRPr="00DB51B0" w:rsidRDefault="009C7FB4" w:rsidP="00D2053D">
            <w:r w:rsidRPr="00DB51B0">
              <w:t>Patient Safety Lead</w:t>
            </w:r>
          </w:p>
        </w:tc>
        <w:tc>
          <w:tcPr>
            <w:tcW w:w="0" w:type="auto"/>
            <w:hideMark/>
          </w:tcPr>
          <w:p w14:paraId="2C1AF23E" w14:textId="77777777" w:rsidR="009C7FB4" w:rsidRPr="00DB51B0" w:rsidRDefault="009C7FB4" w:rsidP="00D2053D">
            <w:r w:rsidRPr="00DB51B0">
              <w:t>Quarterly</w:t>
            </w:r>
          </w:p>
        </w:tc>
        <w:tc>
          <w:tcPr>
            <w:tcW w:w="0" w:type="auto"/>
            <w:hideMark/>
          </w:tcPr>
          <w:p w14:paraId="20CC0D2A" w14:textId="77777777" w:rsidR="009C7FB4" w:rsidRPr="00DB51B0" w:rsidRDefault="009C7FB4" w:rsidP="00D2053D">
            <w:r w:rsidRPr="00DB51B0">
              <w:t>Action tracker and governance administration</w:t>
            </w:r>
          </w:p>
        </w:tc>
        <w:tc>
          <w:tcPr>
            <w:tcW w:w="0" w:type="auto"/>
            <w:hideMark/>
          </w:tcPr>
          <w:p w14:paraId="4F21D987" w14:textId="77777777" w:rsidR="009C7FB4" w:rsidRPr="00DB51B0" w:rsidRDefault="009C7FB4" w:rsidP="00D2053D">
            <w:r w:rsidRPr="00DB51B0">
              <w:t>Actions re-audited and remaining effective</w:t>
            </w:r>
          </w:p>
        </w:tc>
        <w:tc>
          <w:tcPr>
            <w:tcW w:w="0" w:type="auto"/>
            <w:hideMark/>
          </w:tcPr>
          <w:p w14:paraId="60A2DEA4" w14:textId="77777777" w:rsidR="009C7FB4" w:rsidRPr="00DB51B0" w:rsidRDefault="009C7FB4" w:rsidP="00D2053D">
            <w:r w:rsidRPr="00DB51B0">
              <w:t>Agreed deadlines and baseline performance</w:t>
            </w:r>
          </w:p>
        </w:tc>
        <w:tc>
          <w:tcPr>
            <w:tcW w:w="0" w:type="auto"/>
            <w:hideMark/>
          </w:tcPr>
          <w:p w14:paraId="6344282C" w14:textId="77777777" w:rsidR="009C7FB4" w:rsidRPr="00DB51B0" w:rsidRDefault="009C7FB4" w:rsidP="00D2053D">
            <w:r w:rsidRPr="00DB51B0">
              <w:t>Superficial closure; require evidence of behavioural change</w:t>
            </w:r>
          </w:p>
        </w:tc>
      </w:tr>
      <w:tr w:rsidR="009C7FB4" w:rsidRPr="00DB51B0" w14:paraId="4E3D4468" w14:textId="77777777" w:rsidTr="00D2053D">
        <w:tc>
          <w:tcPr>
            <w:tcW w:w="0" w:type="auto"/>
            <w:hideMark/>
          </w:tcPr>
          <w:p w14:paraId="6EA35E99" w14:textId="77777777" w:rsidR="009C7FB4" w:rsidRPr="00DB51B0" w:rsidRDefault="009C7FB4" w:rsidP="00D2053D">
            <w:r w:rsidRPr="00DB51B0">
              <w:t>Monitor staff and family safety signals</w:t>
            </w:r>
          </w:p>
        </w:tc>
        <w:tc>
          <w:tcPr>
            <w:tcW w:w="0" w:type="auto"/>
            <w:hideMark/>
          </w:tcPr>
          <w:p w14:paraId="0C70FCDC" w14:textId="77777777" w:rsidR="009C7FB4" w:rsidRPr="00DB51B0" w:rsidRDefault="009C7FB4" w:rsidP="00D2053D">
            <w:r w:rsidRPr="00DB51B0">
              <w:t>MNVP and improvement team</w:t>
            </w:r>
          </w:p>
        </w:tc>
        <w:tc>
          <w:tcPr>
            <w:tcW w:w="0" w:type="auto"/>
            <w:hideMark/>
          </w:tcPr>
          <w:p w14:paraId="65A13F57" w14:textId="77777777" w:rsidR="009C7FB4" w:rsidRPr="00DB51B0" w:rsidRDefault="009C7FB4" w:rsidP="00D2053D">
            <w:r w:rsidRPr="00DB51B0">
              <w:t>Monthly</w:t>
            </w:r>
          </w:p>
        </w:tc>
        <w:tc>
          <w:tcPr>
            <w:tcW w:w="0" w:type="auto"/>
            <w:hideMark/>
          </w:tcPr>
          <w:p w14:paraId="7607C804" w14:textId="77777777" w:rsidR="009C7FB4" w:rsidRPr="00DB51B0" w:rsidRDefault="009C7FB4" w:rsidP="00D2053D">
            <w:r w:rsidRPr="00DB51B0">
              <w:t>Accessible surveys, interpretation and feedback systems</w:t>
            </w:r>
          </w:p>
        </w:tc>
        <w:tc>
          <w:tcPr>
            <w:tcW w:w="0" w:type="auto"/>
            <w:hideMark/>
          </w:tcPr>
          <w:p w14:paraId="2391325F" w14:textId="77777777" w:rsidR="009C7FB4" w:rsidRPr="00DB51B0" w:rsidRDefault="009C7FB4" w:rsidP="00D2053D">
            <w:r w:rsidRPr="00DB51B0">
              <w:t>Confidence, involvement and concern acknowledgement</w:t>
            </w:r>
          </w:p>
        </w:tc>
        <w:tc>
          <w:tcPr>
            <w:tcW w:w="0" w:type="auto"/>
            <w:hideMark/>
          </w:tcPr>
          <w:p w14:paraId="1446362A" w14:textId="77777777" w:rsidR="009C7FB4" w:rsidRPr="00DB51B0" w:rsidRDefault="009C7FB4" w:rsidP="00D2053D">
            <w:r w:rsidRPr="00DB51B0">
              <w:t>Baseline and authoritative benchmarks</w:t>
            </w:r>
          </w:p>
        </w:tc>
        <w:tc>
          <w:tcPr>
            <w:tcW w:w="0" w:type="auto"/>
            <w:hideMark/>
          </w:tcPr>
          <w:p w14:paraId="64989FF4" w14:textId="77777777" w:rsidR="009C7FB4" w:rsidRPr="00DB51B0" w:rsidRDefault="009C7FB4" w:rsidP="00D2053D">
            <w:r w:rsidRPr="00DB51B0">
              <w:t>Unequal participation; provide accessible reporting routes</w:t>
            </w:r>
          </w:p>
        </w:tc>
      </w:tr>
      <w:tr w:rsidR="009C7FB4" w:rsidRPr="00DB51B0" w14:paraId="14B1D4EB" w14:textId="77777777" w:rsidTr="00D2053D">
        <w:tc>
          <w:tcPr>
            <w:tcW w:w="0" w:type="auto"/>
            <w:hideMark/>
          </w:tcPr>
          <w:p w14:paraId="1F7631C9" w14:textId="77777777" w:rsidR="009C7FB4" w:rsidRPr="00DB51B0" w:rsidRDefault="009C7FB4" w:rsidP="00D2053D">
            <w:r w:rsidRPr="00DB51B0">
              <w:t>Review sustained improvement</w:t>
            </w:r>
          </w:p>
        </w:tc>
        <w:tc>
          <w:tcPr>
            <w:tcW w:w="0" w:type="auto"/>
            <w:hideMark/>
          </w:tcPr>
          <w:p w14:paraId="1460A3FE" w14:textId="77777777" w:rsidR="009C7FB4" w:rsidRPr="00DB51B0" w:rsidRDefault="009C7FB4" w:rsidP="00D2053D">
            <w:r w:rsidRPr="00DB51B0">
              <w:t>MNTAC and Trust Board</w:t>
            </w:r>
          </w:p>
        </w:tc>
        <w:tc>
          <w:tcPr>
            <w:tcW w:w="0" w:type="auto"/>
            <w:hideMark/>
          </w:tcPr>
          <w:p w14:paraId="5A80150C" w14:textId="77777777" w:rsidR="009C7FB4" w:rsidRPr="00DB51B0" w:rsidRDefault="009C7FB4" w:rsidP="00D2053D">
            <w:r w:rsidRPr="00DB51B0">
              <w:t>Quarterly</w:t>
            </w:r>
          </w:p>
        </w:tc>
        <w:tc>
          <w:tcPr>
            <w:tcW w:w="0" w:type="auto"/>
            <w:hideMark/>
          </w:tcPr>
          <w:p w14:paraId="7EB45C06" w14:textId="77777777" w:rsidR="009C7FB4" w:rsidRPr="00DB51B0" w:rsidRDefault="009C7FB4" w:rsidP="00D2053D">
            <w:r w:rsidRPr="00DB51B0">
              <w:t>Dashboard and SPC capability</w:t>
            </w:r>
          </w:p>
        </w:tc>
        <w:tc>
          <w:tcPr>
            <w:tcW w:w="0" w:type="auto"/>
            <w:hideMark/>
          </w:tcPr>
          <w:p w14:paraId="683B5D3F" w14:textId="77777777" w:rsidR="009C7FB4" w:rsidRPr="00DB51B0" w:rsidRDefault="009C7FB4" w:rsidP="00D2053D">
            <w:r w:rsidRPr="00DB51B0">
              <w:t>Outcome, process, balancing and equity variation</w:t>
            </w:r>
          </w:p>
        </w:tc>
        <w:tc>
          <w:tcPr>
            <w:tcW w:w="0" w:type="auto"/>
            <w:hideMark/>
          </w:tcPr>
          <w:p w14:paraId="48751885" w14:textId="77777777" w:rsidR="009C7FB4" w:rsidRPr="00DB51B0" w:rsidRDefault="009C7FB4" w:rsidP="00D2053D">
            <w:r w:rsidRPr="00DB51B0">
              <w:t>Statistically demonstrated improvement</w:t>
            </w:r>
          </w:p>
        </w:tc>
        <w:tc>
          <w:tcPr>
            <w:tcW w:w="0" w:type="auto"/>
            <w:hideMark/>
          </w:tcPr>
          <w:p w14:paraId="4F3A8FF7" w14:textId="77777777" w:rsidR="009C7FB4" w:rsidRPr="00DB51B0" w:rsidRDefault="009C7FB4" w:rsidP="00D2053D">
            <w:r w:rsidRPr="00DB51B0">
              <w:t>Misleading averages; stratify results and validate independently</w:t>
            </w:r>
          </w:p>
        </w:tc>
      </w:tr>
    </w:tbl>
    <w:p w14:paraId="131B687F" w14:textId="0541FB37" w:rsidR="00FE2757" w:rsidRPr="00FE2757" w:rsidRDefault="00FE2757" w:rsidP="009C7FB4"/>
    <w:sectPr w:rsidR="00FE2757" w:rsidRPr="00FE2757" w:rsidSect="00BB7C44">
      <w:footerReference w:type="default" r:id="rId53"/>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4EB71" w14:textId="77777777" w:rsidR="00C45789" w:rsidRDefault="00C45789" w:rsidP="00BB7C44">
      <w:pPr>
        <w:spacing w:line="240" w:lineRule="auto"/>
      </w:pPr>
      <w:r>
        <w:separator/>
      </w:r>
    </w:p>
  </w:endnote>
  <w:endnote w:type="continuationSeparator" w:id="0">
    <w:p w14:paraId="6CC29387" w14:textId="77777777" w:rsidR="00C45789" w:rsidRDefault="00C45789" w:rsidP="00BB7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4835365"/>
      <w:docPartObj>
        <w:docPartGallery w:val="Page Numbers (Bottom of Page)"/>
        <w:docPartUnique/>
      </w:docPartObj>
    </w:sdtPr>
    <w:sdtEndPr>
      <w:rPr>
        <w:noProof/>
        <w:sz w:val="20"/>
        <w:szCs w:val="20"/>
      </w:rPr>
    </w:sdtEndPr>
    <w:sdtContent>
      <w:p w14:paraId="24A89016" w14:textId="5C36806F" w:rsidR="00BB7C44" w:rsidRDefault="00BB7C44">
        <w:pPr>
          <w:pStyle w:val="Footer"/>
          <w:jc w:val="right"/>
        </w:pPr>
        <w:r w:rsidRPr="00BB7C44">
          <w:rPr>
            <w:sz w:val="20"/>
            <w:szCs w:val="20"/>
          </w:rPr>
          <w:fldChar w:fldCharType="begin"/>
        </w:r>
        <w:r w:rsidRPr="00BB7C44">
          <w:rPr>
            <w:sz w:val="20"/>
            <w:szCs w:val="20"/>
          </w:rPr>
          <w:instrText xml:space="preserve"> PAGE   \* MERGEFORMAT </w:instrText>
        </w:r>
        <w:r w:rsidRPr="00BB7C44">
          <w:rPr>
            <w:sz w:val="20"/>
            <w:szCs w:val="20"/>
          </w:rPr>
          <w:fldChar w:fldCharType="separate"/>
        </w:r>
        <w:r w:rsidRPr="00BB7C44">
          <w:rPr>
            <w:noProof/>
            <w:sz w:val="20"/>
            <w:szCs w:val="20"/>
          </w:rPr>
          <w:t>2</w:t>
        </w:r>
        <w:r w:rsidRPr="00BB7C44">
          <w:rPr>
            <w:noProof/>
            <w:sz w:val="20"/>
            <w:szCs w:val="20"/>
          </w:rPr>
          <w:fldChar w:fldCharType="end"/>
        </w:r>
      </w:p>
    </w:sdtContent>
  </w:sdt>
  <w:p w14:paraId="62AAB5DF" w14:textId="77777777" w:rsidR="00BB7C44" w:rsidRDefault="00BB7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9ED9C" w14:textId="77777777" w:rsidR="00C45789" w:rsidRDefault="00C45789" w:rsidP="00BB7C44">
      <w:pPr>
        <w:spacing w:line="240" w:lineRule="auto"/>
      </w:pPr>
      <w:r>
        <w:separator/>
      </w:r>
    </w:p>
  </w:footnote>
  <w:footnote w:type="continuationSeparator" w:id="0">
    <w:p w14:paraId="38F2B641" w14:textId="77777777" w:rsidR="00C45789" w:rsidRDefault="00C45789" w:rsidP="00BB7C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A48C6"/>
    <w:multiLevelType w:val="hybridMultilevel"/>
    <w:tmpl w:val="54F48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266AD6"/>
    <w:multiLevelType w:val="multilevel"/>
    <w:tmpl w:val="DE82A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DD44F4"/>
    <w:multiLevelType w:val="hybridMultilevel"/>
    <w:tmpl w:val="E3166E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7173689">
    <w:abstractNumId w:val="1"/>
  </w:num>
  <w:num w:numId="2" w16cid:durableId="715550523">
    <w:abstractNumId w:val="2"/>
  </w:num>
  <w:num w:numId="3" w16cid:durableId="160492080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1EF"/>
    <w:rsid w:val="00012EE5"/>
    <w:rsid w:val="00020DBE"/>
    <w:rsid w:val="0002747B"/>
    <w:rsid w:val="00083895"/>
    <w:rsid w:val="001078AF"/>
    <w:rsid w:val="00175AD4"/>
    <w:rsid w:val="00195716"/>
    <w:rsid w:val="00195E10"/>
    <w:rsid w:val="001B44D5"/>
    <w:rsid w:val="0029609D"/>
    <w:rsid w:val="002E69DD"/>
    <w:rsid w:val="003B75B2"/>
    <w:rsid w:val="004245B7"/>
    <w:rsid w:val="0043679F"/>
    <w:rsid w:val="00436B7A"/>
    <w:rsid w:val="004D3ED2"/>
    <w:rsid w:val="004E580D"/>
    <w:rsid w:val="00586155"/>
    <w:rsid w:val="005D16A1"/>
    <w:rsid w:val="005D6E3B"/>
    <w:rsid w:val="0067636D"/>
    <w:rsid w:val="00684BEB"/>
    <w:rsid w:val="006A62D5"/>
    <w:rsid w:val="006B481A"/>
    <w:rsid w:val="006C10FE"/>
    <w:rsid w:val="00725E23"/>
    <w:rsid w:val="00731C16"/>
    <w:rsid w:val="00743BA2"/>
    <w:rsid w:val="007B39B8"/>
    <w:rsid w:val="007B6EF6"/>
    <w:rsid w:val="007C0305"/>
    <w:rsid w:val="007C7097"/>
    <w:rsid w:val="007E2379"/>
    <w:rsid w:val="00807E52"/>
    <w:rsid w:val="00920A7C"/>
    <w:rsid w:val="009C111B"/>
    <w:rsid w:val="009C1F7B"/>
    <w:rsid w:val="009C7FB4"/>
    <w:rsid w:val="009D31C8"/>
    <w:rsid w:val="009F2502"/>
    <w:rsid w:val="009F61FA"/>
    <w:rsid w:val="00A015BD"/>
    <w:rsid w:val="00A0584E"/>
    <w:rsid w:val="00A831EF"/>
    <w:rsid w:val="00AF25DD"/>
    <w:rsid w:val="00B5315A"/>
    <w:rsid w:val="00B65D9E"/>
    <w:rsid w:val="00B74818"/>
    <w:rsid w:val="00BA4DBB"/>
    <w:rsid w:val="00BB7C44"/>
    <w:rsid w:val="00BD6586"/>
    <w:rsid w:val="00BE0D06"/>
    <w:rsid w:val="00C346DE"/>
    <w:rsid w:val="00C45789"/>
    <w:rsid w:val="00C7380A"/>
    <w:rsid w:val="00CA30B1"/>
    <w:rsid w:val="00D43E14"/>
    <w:rsid w:val="00D60811"/>
    <w:rsid w:val="00D67705"/>
    <w:rsid w:val="00DB40D7"/>
    <w:rsid w:val="00DB51B0"/>
    <w:rsid w:val="00DC2090"/>
    <w:rsid w:val="00DE7776"/>
    <w:rsid w:val="00F36DFE"/>
    <w:rsid w:val="00F53AA9"/>
    <w:rsid w:val="00F87CD7"/>
    <w:rsid w:val="00FE27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438F9"/>
  <w15:chartTrackingRefBased/>
  <w15:docId w15:val="{526EF558-9B19-4E08-B9E6-9D00C4E6B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BEB"/>
    <w:pPr>
      <w:spacing w:after="0" w:line="360" w:lineRule="auto"/>
      <w:jc w:val="both"/>
    </w:pPr>
    <w:rPr>
      <w:rFonts w:ascii="Arial" w:hAnsi="Arial" w:cs="Arial"/>
      <w:lang w:val="en-IN"/>
    </w:rPr>
  </w:style>
  <w:style w:type="paragraph" w:styleId="Heading1">
    <w:name w:val="heading 1"/>
    <w:basedOn w:val="Normal"/>
    <w:next w:val="Normal"/>
    <w:link w:val="Heading1Char"/>
    <w:uiPriority w:val="9"/>
    <w:qFormat/>
    <w:rsid w:val="00A831EF"/>
    <w:pPr>
      <w:outlineLvl w:val="0"/>
    </w:pPr>
    <w:rPr>
      <w:b/>
      <w:bCs/>
      <w:sz w:val="28"/>
      <w:szCs w:val="28"/>
    </w:rPr>
  </w:style>
  <w:style w:type="paragraph" w:styleId="Heading2">
    <w:name w:val="heading 2"/>
    <w:basedOn w:val="Heading1"/>
    <w:next w:val="Normal"/>
    <w:link w:val="Heading2Char"/>
    <w:uiPriority w:val="9"/>
    <w:unhideWhenUsed/>
    <w:qFormat/>
    <w:rsid w:val="00A831EF"/>
    <w:pPr>
      <w:outlineLvl w:val="1"/>
    </w:pPr>
    <w:rPr>
      <w:sz w:val="26"/>
      <w:szCs w:val="26"/>
    </w:rPr>
  </w:style>
  <w:style w:type="paragraph" w:styleId="Heading3">
    <w:name w:val="heading 3"/>
    <w:basedOn w:val="Heading2"/>
    <w:next w:val="Normal"/>
    <w:link w:val="Heading3Char"/>
    <w:uiPriority w:val="9"/>
    <w:unhideWhenUsed/>
    <w:qFormat/>
    <w:rsid w:val="00A831EF"/>
    <w:pPr>
      <w:outlineLvl w:val="2"/>
    </w:pPr>
    <w:rPr>
      <w:sz w:val="24"/>
      <w:szCs w:val="24"/>
    </w:rPr>
  </w:style>
  <w:style w:type="paragraph" w:styleId="Heading4">
    <w:name w:val="heading 4"/>
    <w:basedOn w:val="Normal"/>
    <w:next w:val="Normal"/>
    <w:link w:val="Heading4Char"/>
    <w:uiPriority w:val="9"/>
    <w:unhideWhenUsed/>
    <w:qFormat/>
    <w:rsid w:val="00083895"/>
    <w:pPr>
      <w:jc w:val="center"/>
      <w:outlineLvl w:val="3"/>
    </w:pPr>
    <w:rPr>
      <w:b/>
      <w:bCs/>
    </w:rPr>
  </w:style>
  <w:style w:type="paragraph" w:styleId="Heading5">
    <w:name w:val="heading 5"/>
    <w:basedOn w:val="Normal"/>
    <w:next w:val="Normal"/>
    <w:link w:val="Heading5Char"/>
    <w:uiPriority w:val="9"/>
    <w:unhideWhenUsed/>
    <w:qFormat/>
    <w:rsid w:val="006A62D5"/>
    <w:pPr>
      <w:jc w:val="center"/>
      <w:outlineLvl w:val="4"/>
    </w:pPr>
    <w:rPr>
      <w:b/>
      <w:bCs/>
    </w:rPr>
  </w:style>
  <w:style w:type="paragraph" w:styleId="Heading6">
    <w:name w:val="heading 6"/>
    <w:basedOn w:val="Normal"/>
    <w:next w:val="Normal"/>
    <w:link w:val="Heading6Char"/>
    <w:uiPriority w:val="9"/>
    <w:semiHidden/>
    <w:unhideWhenUsed/>
    <w:qFormat/>
    <w:rsid w:val="00A831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1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1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1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1EF"/>
    <w:rPr>
      <w:rFonts w:ascii="Arial" w:hAnsi="Arial" w:cs="Arial"/>
      <w:b/>
      <w:bCs/>
      <w:sz w:val="28"/>
      <w:szCs w:val="28"/>
      <w:lang w:val="en-IN"/>
    </w:rPr>
  </w:style>
  <w:style w:type="character" w:customStyle="1" w:styleId="Heading2Char">
    <w:name w:val="Heading 2 Char"/>
    <w:basedOn w:val="DefaultParagraphFont"/>
    <w:link w:val="Heading2"/>
    <w:uiPriority w:val="9"/>
    <w:rsid w:val="00A831EF"/>
    <w:rPr>
      <w:rFonts w:ascii="Arial" w:hAnsi="Arial" w:cs="Arial"/>
      <w:b/>
      <w:bCs/>
      <w:sz w:val="26"/>
      <w:szCs w:val="26"/>
      <w:lang w:val="en-IN"/>
    </w:rPr>
  </w:style>
  <w:style w:type="character" w:customStyle="1" w:styleId="Heading3Char">
    <w:name w:val="Heading 3 Char"/>
    <w:basedOn w:val="DefaultParagraphFont"/>
    <w:link w:val="Heading3"/>
    <w:uiPriority w:val="9"/>
    <w:rsid w:val="00A831EF"/>
    <w:rPr>
      <w:rFonts w:ascii="Arial" w:hAnsi="Arial" w:cs="Arial"/>
      <w:b/>
      <w:bCs/>
      <w:sz w:val="24"/>
      <w:szCs w:val="24"/>
      <w:lang w:val="en-IN"/>
    </w:rPr>
  </w:style>
  <w:style w:type="character" w:customStyle="1" w:styleId="Heading4Char">
    <w:name w:val="Heading 4 Char"/>
    <w:basedOn w:val="DefaultParagraphFont"/>
    <w:link w:val="Heading4"/>
    <w:uiPriority w:val="9"/>
    <w:rsid w:val="00083895"/>
    <w:rPr>
      <w:rFonts w:ascii="Arial" w:hAnsi="Arial" w:cs="Arial"/>
      <w:b/>
      <w:bCs/>
      <w:lang w:val="en-IN"/>
    </w:rPr>
  </w:style>
  <w:style w:type="character" w:customStyle="1" w:styleId="Heading5Char">
    <w:name w:val="Heading 5 Char"/>
    <w:basedOn w:val="DefaultParagraphFont"/>
    <w:link w:val="Heading5"/>
    <w:uiPriority w:val="9"/>
    <w:rsid w:val="006A62D5"/>
    <w:rPr>
      <w:rFonts w:ascii="Arial" w:hAnsi="Arial" w:cs="Arial"/>
      <w:b/>
      <w:bCs/>
      <w:lang w:val="en-IN"/>
    </w:rPr>
  </w:style>
  <w:style w:type="character" w:customStyle="1" w:styleId="Heading6Char">
    <w:name w:val="Heading 6 Char"/>
    <w:basedOn w:val="DefaultParagraphFont"/>
    <w:link w:val="Heading6"/>
    <w:uiPriority w:val="9"/>
    <w:semiHidden/>
    <w:rsid w:val="00A831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1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1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1EF"/>
    <w:rPr>
      <w:rFonts w:eastAsiaTheme="majorEastAsia" w:cstheme="majorBidi"/>
      <w:color w:val="272727" w:themeColor="text1" w:themeTint="D8"/>
    </w:rPr>
  </w:style>
  <w:style w:type="paragraph" w:styleId="Title">
    <w:name w:val="Title"/>
    <w:basedOn w:val="Normal"/>
    <w:next w:val="Normal"/>
    <w:link w:val="TitleChar"/>
    <w:uiPriority w:val="10"/>
    <w:qFormat/>
    <w:rsid w:val="00A831EF"/>
    <w:pPr>
      <w:jc w:val="center"/>
    </w:pPr>
    <w:rPr>
      <w:b/>
      <w:bCs/>
      <w:sz w:val="32"/>
      <w:szCs w:val="32"/>
    </w:rPr>
  </w:style>
  <w:style w:type="character" w:customStyle="1" w:styleId="TitleChar">
    <w:name w:val="Title Char"/>
    <w:basedOn w:val="DefaultParagraphFont"/>
    <w:link w:val="Title"/>
    <w:uiPriority w:val="10"/>
    <w:rsid w:val="00A831EF"/>
    <w:rPr>
      <w:rFonts w:ascii="Arial" w:hAnsi="Arial" w:cs="Arial"/>
      <w:b/>
      <w:bCs/>
      <w:sz w:val="32"/>
      <w:szCs w:val="32"/>
    </w:rPr>
  </w:style>
  <w:style w:type="paragraph" w:styleId="Subtitle">
    <w:name w:val="Subtitle"/>
    <w:basedOn w:val="Normal"/>
    <w:next w:val="Normal"/>
    <w:link w:val="SubtitleChar"/>
    <w:uiPriority w:val="11"/>
    <w:qFormat/>
    <w:rsid w:val="00A831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1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31EF"/>
    <w:rPr>
      <w:i/>
      <w:iCs/>
      <w:color w:val="404040" w:themeColor="text1" w:themeTint="BF"/>
    </w:rPr>
  </w:style>
  <w:style w:type="paragraph" w:styleId="ListParagraph">
    <w:name w:val="List Paragraph"/>
    <w:basedOn w:val="Normal"/>
    <w:uiPriority w:val="34"/>
    <w:qFormat/>
    <w:rsid w:val="00A831EF"/>
    <w:pPr>
      <w:ind w:left="720"/>
      <w:contextualSpacing/>
    </w:pPr>
  </w:style>
  <w:style w:type="character" w:styleId="IntenseEmphasis">
    <w:name w:val="Intense Emphasis"/>
    <w:basedOn w:val="DefaultParagraphFont"/>
    <w:uiPriority w:val="21"/>
    <w:qFormat/>
    <w:rsid w:val="00A831EF"/>
    <w:rPr>
      <w:i/>
      <w:iCs/>
      <w:color w:val="365F91" w:themeColor="accent1" w:themeShade="BF"/>
    </w:rPr>
  </w:style>
  <w:style w:type="paragraph" w:styleId="IntenseQuote">
    <w:name w:val="Intense Quote"/>
    <w:basedOn w:val="Normal"/>
    <w:next w:val="Normal"/>
    <w:link w:val="IntenseQuoteChar"/>
    <w:uiPriority w:val="30"/>
    <w:qFormat/>
    <w:rsid w:val="00A831E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831EF"/>
    <w:rPr>
      <w:i/>
      <w:iCs/>
      <w:color w:val="365F91" w:themeColor="accent1" w:themeShade="BF"/>
    </w:rPr>
  </w:style>
  <w:style w:type="character" w:styleId="IntenseReference">
    <w:name w:val="Intense Reference"/>
    <w:basedOn w:val="DefaultParagraphFont"/>
    <w:uiPriority w:val="32"/>
    <w:qFormat/>
    <w:rsid w:val="00A831EF"/>
    <w:rPr>
      <w:b/>
      <w:bCs/>
      <w:smallCaps/>
      <w:color w:val="365F91" w:themeColor="accent1" w:themeShade="BF"/>
      <w:spacing w:val="5"/>
    </w:rPr>
  </w:style>
  <w:style w:type="character" w:styleId="Hyperlink">
    <w:name w:val="Hyperlink"/>
    <w:basedOn w:val="DefaultParagraphFont"/>
    <w:uiPriority w:val="99"/>
    <w:unhideWhenUsed/>
    <w:rsid w:val="00A831EF"/>
    <w:rPr>
      <w:color w:val="0000FF" w:themeColor="hyperlink"/>
      <w:u w:val="single"/>
    </w:rPr>
  </w:style>
  <w:style w:type="character" w:styleId="UnresolvedMention">
    <w:name w:val="Unresolved Mention"/>
    <w:basedOn w:val="DefaultParagraphFont"/>
    <w:uiPriority w:val="99"/>
    <w:semiHidden/>
    <w:unhideWhenUsed/>
    <w:rsid w:val="00A831EF"/>
    <w:rPr>
      <w:color w:val="605E5C"/>
      <w:shd w:val="clear" w:color="auto" w:fill="E1DFDD"/>
    </w:rPr>
  </w:style>
  <w:style w:type="table" w:styleId="TableGrid">
    <w:name w:val="Table Grid"/>
    <w:basedOn w:val="TableNormal"/>
    <w:uiPriority w:val="59"/>
    <w:rsid w:val="00A83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31EF"/>
    <w:pPr>
      <w:keepNext/>
      <w:keepLines/>
      <w:spacing w:before="240" w:line="259" w:lineRule="auto"/>
      <w:outlineLvl w:val="9"/>
    </w:pPr>
    <w:rPr>
      <w:rFonts w:asciiTheme="majorHAnsi" w:eastAsiaTheme="majorEastAsia" w:hAnsiTheme="majorHAnsi" w:cstheme="majorBidi"/>
      <w:b w:val="0"/>
      <w:bCs w:val="0"/>
      <w:color w:val="365F91" w:themeColor="accent1" w:themeShade="BF"/>
      <w:kern w:val="0"/>
      <w:sz w:val="32"/>
      <w:szCs w:val="32"/>
      <w:lang w:val="en-US"/>
    </w:rPr>
  </w:style>
  <w:style w:type="paragraph" w:styleId="TOC1">
    <w:name w:val="toc 1"/>
    <w:basedOn w:val="Normal"/>
    <w:next w:val="Normal"/>
    <w:autoRedefine/>
    <w:uiPriority w:val="39"/>
    <w:unhideWhenUsed/>
    <w:rsid w:val="00A831EF"/>
    <w:pPr>
      <w:spacing w:after="100"/>
    </w:pPr>
  </w:style>
  <w:style w:type="paragraph" w:styleId="TOC2">
    <w:name w:val="toc 2"/>
    <w:basedOn w:val="Normal"/>
    <w:next w:val="Normal"/>
    <w:autoRedefine/>
    <w:uiPriority w:val="39"/>
    <w:unhideWhenUsed/>
    <w:rsid w:val="00A831EF"/>
    <w:pPr>
      <w:spacing w:after="100"/>
      <w:ind w:left="220"/>
    </w:pPr>
  </w:style>
  <w:style w:type="character" w:styleId="FollowedHyperlink">
    <w:name w:val="FollowedHyperlink"/>
    <w:basedOn w:val="DefaultParagraphFont"/>
    <w:uiPriority w:val="99"/>
    <w:semiHidden/>
    <w:unhideWhenUsed/>
    <w:rsid w:val="00F53AA9"/>
    <w:rPr>
      <w:color w:val="800080" w:themeColor="followedHyperlink"/>
      <w:u w:val="single"/>
    </w:rPr>
  </w:style>
  <w:style w:type="table" w:styleId="GridTable6Colorful-Accent4">
    <w:name w:val="Grid Table 6 Colorful Accent 4"/>
    <w:basedOn w:val="TableNormal"/>
    <w:uiPriority w:val="51"/>
    <w:rsid w:val="00FE2757"/>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5Dark-Accent4">
    <w:name w:val="Grid Table 5 Dark Accent 4"/>
    <w:basedOn w:val="TableNormal"/>
    <w:uiPriority w:val="50"/>
    <w:rsid w:val="00FE27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1">
    <w:name w:val="Grid Table 5 Dark Accent 1"/>
    <w:basedOn w:val="TableNormal"/>
    <w:uiPriority w:val="50"/>
    <w:rsid w:val="00FE27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NoSpacing">
    <w:name w:val="No Spacing"/>
    <w:uiPriority w:val="1"/>
    <w:qFormat/>
    <w:rsid w:val="009F61FA"/>
    <w:pPr>
      <w:spacing w:after="0" w:line="240" w:lineRule="auto"/>
      <w:jc w:val="both"/>
    </w:pPr>
    <w:rPr>
      <w:rFonts w:ascii="Arial" w:hAnsi="Arial" w:cs="Arial"/>
      <w:lang w:val="en-IN"/>
    </w:rPr>
  </w:style>
  <w:style w:type="paragraph" w:styleId="Header">
    <w:name w:val="header"/>
    <w:basedOn w:val="Normal"/>
    <w:link w:val="HeaderChar"/>
    <w:uiPriority w:val="99"/>
    <w:unhideWhenUsed/>
    <w:rsid w:val="00BB7C44"/>
    <w:pPr>
      <w:tabs>
        <w:tab w:val="center" w:pos="4513"/>
        <w:tab w:val="right" w:pos="9026"/>
      </w:tabs>
      <w:spacing w:line="240" w:lineRule="auto"/>
    </w:pPr>
  </w:style>
  <w:style w:type="character" w:customStyle="1" w:styleId="HeaderChar">
    <w:name w:val="Header Char"/>
    <w:basedOn w:val="DefaultParagraphFont"/>
    <w:link w:val="Header"/>
    <w:uiPriority w:val="99"/>
    <w:rsid w:val="00BB7C44"/>
    <w:rPr>
      <w:rFonts w:ascii="Arial" w:hAnsi="Arial" w:cs="Arial"/>
      <w:lang w:val="en-IN"/>
    </w:rPr>
  </w:style>
  <w:style w:type="paragraph" w:styleId="Footer">
    <w:name w:val="footer"/>
    <w:basedOn w:val="Normal"/>
    <w:link w:val="FooterChar"/>
    <w:uiPriority w:val="99"/>
    <w:unhideWhenUsed/>
    <w:rsid w:val="00BB7C44"/>
    <w:pPr>
      <w:tabs>
        <w:tab w:val="center" w:pos="4513"/>
        <w:tab w:val="right" w:pos="9026"/>
      </w:tabs>
      <w:spacing w:line="240" w:lineRule="auto"/>
    </w:pPr>
  </w:style>
  <w:style w:type="character" w:customStyle="1" w:styleId="FooterChar">
    <w:name w:val="Footer Char"/>
    <w:basedOn w:val="DefaultParagraphFont"/>
    <w:link w:val="Footer"/>
    <w:uiPriority w:val="99"/>
    <w:rsid w:val="00BB7C44"/>
    <w:rPr>
      <w:rFonts w:ascii="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56522">
      <w:bodyDiv w:val="1"/>
      <w:marLeft w:val="0"/>
      <w:marRight w:val="0"/>
      <w:marTop w:val="0"/>
      <w:marBottom w:val="0"/>
      <w:divBdr>
        <w:top w:val="none" w:sz="0" w:space="0" w:color="auto"/>
        <w:left w:val="none" w:sz="0" w:space="0" w:color="auto"/>
        <w:bottom w:val="none" w:sz="0" w:space="0" w:color="auto"/>
        <w:right w:val="none" w:sz="0" w:space="0" w:color="auto"/>
      </w:divBdr>
      <w:divsChild>
        <w:div w:id="2132169954">
          <w:marLeft w:val="0"/>
          <w:marRight w:val="0"/>
          <w:marTop w:val="0"/>
          <w:marBottom w:val="0"/>
          <w:divBdr>
            <w:top w:val="none" w:sz="0" w:space="0" w:color="auto"/>
            <w:left w:val="none" w:sz="0" w:space="0" w:color="auto"/>
            <w:bottom w:val="none" w:sz="0" w:space="0" w:color="auto"/>
            <w:right w:val="none" w:sz="0" w:space="0" w:color="auto"/>
          </w:divBdr>
          <w:divsChild>
            <w:div w:id="983319807">
              <w:marLeft w:val="0"/>
              <w:marRight w:val="0"/>
              <w:marTop w:val="0"/>
              <w:marBottom w:val="0"/>
              <w:divBdr>
                <w:top w:val="none" w:sz="0" w:space="0" w:color="auto"/>
                <w:left w:val="none" w:sz="0" w:space="0" w:color="auto"/>
                <w:bottom w:val="none" w:sz="0" w:space="0" w:color="auto"/>
                <w:right w:val="none" w:sz="0" w:space="0" w:color="auto"/>
              </w:divBdr>
              <w:divsChild>
                <w:div w:id="925848083">
                  <w:marLeft w:val="0"/>
                  <w:marRight w:val="0"/>
                  <w:marTop w:val="0"/>
                  <w:marBottom w:val="0"/>
                  <w:divBdr>
                    <w:top w:val="none" w:sz="0" w:space="0" w:color="auto"/>
                    <w:left w:val="none" w:sz="0" w:space="0" w:color="auto"/>
                    <w:bottom w:val="none" w:sz="0" w:space="0" w:color="auto"/>
                    <w:right w:val="none" w:sz="0" w:space="0" w:color="auto"/>
                  </w:divBdr>
                  <w:divsChild>
                    <w:div w:id="2109427495">
                      <w:marLeft w:val="0"/>
                      <w:marRight w:val="0"/>
                      <w:marTop w:val="0"/>
                      <w:marBottom w:val="0"/>
                      <w:divBdr>
                        <w:top w:val="none" w:sz="0" w:space="0" w:color="auto"/>
                        <w:left w:val="none" w:sz="0" w:space="0" w:color="auto"/>
                        <w:bottom w:val="none" w:sz="0" w:space="0" w:color="auto"/>
                        <w:right w:val="none" w:sz="0" w:space="0" w:color="auto"/>
                      </w:divBdr>
                      <w:divsChild>
                        <w:div w:id="859973681">
                          <w:marLeft w:val="0"/>
                          <w:marRight w:val="0"/>
                          <w:marTop w:val="0"/>
                          <w:marBottom w:val="0"/>
                          <w:divBdr>
                            <w:top w:val="none" w:sz="0" w:space="0" w:color="auto"/>
                            <w:left w:val="none" w:sz="0" w:space="0" w:color="auto"/>
                            <w:bottom w:val="none" w:sz="0" w:space="0" w:color="auto"/>
                            <w:right w:val="none" w:sz="0" w:space="0" w:color="auto"/>
                          </w:divBdr>
                          <w:divsChild>
                            <w:div w:id="142168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173666">
      <w:bodyDiv w:val="1"/>
      <w:marLeft w:val="0"/>
      <w:marRight w:val="0"/>
      <w:marTop w:val="0"/>
      <w:marBottom w:val="0"/>
      <w:divBdr>
        <w:top w:val="none" w:sz="0" w:space="0" w:color="auto"/>
        <w:left w:val="none" w:sz="0" w:space="0" w:color="auto"/>
        <w:bottom w:val="none" w:sz="0" w:space="0" w:color="auto"/>
        <w:right w:val="none" w:sz="0" w:space="0" w:color="auto"/>
      </w:divBdr>
    </w:div>
    <w:div w:id="149174980">
      <w:bodyDiv w:val="1"/>
      <w:marLeft w:val="0"/>
      <w:marRight w:val="0"/>
      <w:marTop w:val="0"/>
      <w:marBottom w:val="0"/>
      <w:divBdr>
        <w:top w:val="none" w:sz="0" w:space="0" w:color="auto"/>
        <w:left w:val="none" w:sz="0" w:space="0" w:color="auto"/>
        <w:bottom w:val="none" w:sz="0" w:space="0" w:color="auto"/>
        <w:right w:val="none" w:sz="0" w:space="0" w:color="auto"/>
      </w:divBdr>
    </w:div>
    <w:div w:id="157579971">
      <w:bodyDiv w:val="1"/>
      <w:marLeft w:val="0"/>
      <w:marRight w:val="0"/>
      <w:marTop w:val="0"/>
      <w:marBottom w:val="0"/>
      <w:divBdr>
        <w:top w:val="none" w:sz="0" w:space="0" w:color="auto"/>
        <w:left w:val="none" w:sz="0" w:space="0" w:color="auto"/>
        <w:bottom w:val="none" w:sz="0" w:space="0" w:color="auto"/>
        <w:right w:val="none" w:sz="0" w:space="0" w:color="auto"/>
      </w:divBdr>
    </w:div>
    <w:div w:id="167210076">
      <w:bodyDiv w:val="1"/>
      <w:marLeft w:val="0"/>
      <w:marRight w:val="0"/>
      <w:marTop w:val="0"/>
      <w:marBottom w:val="0"/>
      <w:divBdr>
        <w:top w:val="none" w:sz="0" w:space="0" w:color="auto"/>
        <w:left w:val="none" w:sz="0" w:space="0" w:color="auto"/>
        <w:bottom w:val="none" w:sz="0" w:space="0" w:color="auto"/>
        <w:right w:val="none" w:sz="0" w:space="0" w:color="auto"/>
      </w:divBdr>
    </w:div>
    <w:div w:id="232743961">
      <w:bodyDiv w:val="1"/>
      <w:marLeft w:val="0"/>
      <w:marRight w:val="0"/>
      <w:marTop w:val="0"/>
      <w:marBottom w:val="0"/>
      <w:divBdr>
        <w:top w:val="none" w:sz="0" w:space="0" w:color="auto"/>
        <w:left w:val="none" w:sz="0" w:space="0" w:color="auto"/>
        <w:bottom w:val="none" w:sz="0" w:space="0" w:color="auto"/>
        <w:right w:val="none" w:sz="0" w:space="0" w:color="auto"/>
      </w:divBdr>
    </w:div>
    <w:div w:id="235483568">
      <w:bodyDiv w:val="1"/>
      <w:marLeft w:val="0"/>
      <w:marRight w:val="0"/>
      <w:marTop w:val="0"/>
      <w:marBottom w:val="0"/>
      <w:divBdr>
        <w:top w:val="none" w:sz="0" w:space="0" w:color="auto"/>
        <w:left w:val="none" w:sz="0" w:space="0" w:color="auto"/>
        <w:bottom w:val="none" w:sz="0" w:space="0" w:color="auto"/>
        <w:right w:val="none" w:sz="0" w:space="0" w:color="auto"/>
      </w:divBdr>
    </w:div>
    <w:div w:id="257560790">
      <w:bodyDiv w:val="1"/>
      <w:marLeft w:val="0"/>
      <w:marRight w:val="0"/>
      <w:marTop w:val="0"/>
      <w:marBottom w:val="0"/>
      <w:divBdr>
        <w:top w:val="none" w:sz="0" w:space="0" w:color="auto"/>
        <w:left w:val="none" w:sz="0" w:space="0" w:color="auto"/>
        <w:bottom w:val="none" w:sz="0" w:space="0" w:color="auto"/>
        <w:right w:val="none" w:sz="0" w:space="0" w:color="auto"/>
      </w:divBdr>
      <w:divsChild>
        <w:div w:id="1741706797">
          <w:marLeft w:val="0"/>
          <w:marRight w:val="0"/>
          <w:marTop w:val="0"/>
          <w:marBottom w:val="0"/>
          <w:divBdr>
            <w:top w:val="none" w:sz="0" w:space="0" w:color="auto"/>
            <w:left w:val="none" w:sz="0" w:space="0" w:color="auto"/>
            <w:bottom w:val="none" w:sz="0" w:space="0" w:color="auto"/>
            <w:right w:val="none" w:sz="0" w:space="0" w:color="auto"/>
          </w:divBdr>
          <w:divsChild>
            <w:div w:id="15338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030580">
      <w:bodyDiv w:val="1"/>
      <w:marLeft w:val="0"/>
      <w:marRight w:val="0"/>
      <w:marTop w:val="0"/>
      <w:marBottom w:val="0"/>
      <w:divBdr>
        <w:top w:val="none" w:sz="0" w:space="0" w:color="auto"/>
        <w:left w:val="none" w:sz="0" w:space="0" w:color="auto"/>
        <w:bottom w:val="none" w:sz="0" w:space="0" w:color="auto"/>
        <w:right w:val="none" w:sz="0" w:space="0" w:color="auto"/>
      </w:divBdr>
      <w:divsChild>
        <w:div w:id="383254612">
          <w:marLeft w:val="0"/>
          <w:marRight w:val="0"/>
          <w:marTop w:val="0"/>
          <w:marBottom w:val="0"/>
          <w:divBdr>
            <w:top w:val="none" w:sz="0" w:space="0" w:color="auto"/>
            <w:left w:val="none" w:sz="0" w:space="0" w:color="auto"/>
            <w:bottom w:val="none" w:sz="0" w:space="0" w:color="auto"/>
            <w:right w:val="none" w:sz="0" w:space="0" w:color="auto"/>
          </w:divBdr>
          <w:divsChild>
            <w:div w:id="143971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67805">
      <w:bodyDiv w:val="1"/>
      <w:marLeft w:val="0"/>
      <w:marRight w:val="0"/>
      <w:marTop w:val="0"/>
      <w:marBottom w:val="0"/>
      <w:divBdr>
        <w:top w:val="none" w:sz="0" w:space="0" w:color="auto"/>
        <w:left w:val="none" w:sz="0" w:space="0" w:color="auto"/>
        <w:bottom w:val="none" w:sz="0" w:space="0" w:color="auto"/>
        <w:right w:val="none" w:sz="0" w:space="0" w:color="auto"/>
      </w:divBdr>
      <w:divsChild>
        <w:div w:id="237906167">
          <w:marLeft w:val="0"/>
          <w:marRight w:val="0"/>
          <w:marTop w:val="0"/>
          <w:marBottom w:val="0"/>
          <w:divBdr>
            <w:top w:val="none" w:sz="0" w:space="0" w:color="auto"/>
            <w:left w:val="none" w:sz="0" w:space="0" w:color="auto"/>
            <w:bottom w:val="none" w:sz="0" w:space="0" w:color="auto"/>
            <w:right w:val="none" w:sz="0" w:space="0" w:color="auto"/>
          </w:divBdr>
          <w:divsChild>
            <w:div w:id="501893219">
              <w:marLeft w:val="0"/>
              <w:marRight w:val="0"/>
              <w:marTop w:val="0"/>
              <w:marBottom w:val="0"/>
              <w:divBdr>
                <w:top w:val="none" w:sz="0" w:space="0" w:color="auto"/>
                <w:left w:val="none" w:sz="0" w:space="0" w:color="auto"/>
                <w:bottom w:val="none" w:sz="0" w:space="0" w:color="auto"/>
                <w:right w:val="none" w:sz="0" w:space="0" w:color="auto"/>
              </w:divBdr>
              <w:divsChild>
                <w:div w:id="1523782011">
                  <w:marLeft w:val="0"/>
                  <w:marRight w:val="0"/>
                  <w:marTop w:val="0"/>
                  <w:marBottom w:val="0"/>
                  <w:divBdr>
                    <w:top w:val="none" w:sz="0" w:space="0" w:color="auto"/>
                    <w:left w:val="none" w:sz="0" w:space="0" w:color="auto"/>
                    <w:bottom w:val="none" w:sz="0" w:space="0" w:color="auto"/>
                    <w:right w:val="none" w:sz="0" w:space="0" w:color="auto"/>
                  </w:divBdr>
                  <w:divsChild>
                    <w:div w:id="858858798">
                      <w:marLeft w:val="0"/>
                      <w:marRight w:val="0"/>
                      <w:marTop w:val="0"/>
                      <w:marBottom w:val="0"/>
                      <w:divBdr>
                        <w:top w:val="none" w:sz="0" w:space="0" w:color="auto"/>
                        <w:left w:val="none" w:sz="0" w:space="0" w:color="auto"/>
                        <w:bottom w:val="none" w:sz="0" w:space="0" w:color="auto"/>
                        <w:right w:val="none" w:sz="0" w:space="0" w:color="auto"/>
                      </w:divBdr>
                      <w:divsChild>
                        <w:div w:id="1317224123">
                          <w:marLeft w:val="0"/>
                          <w:marRight w:val="0"/>
                          <w:marTop w:val="0"/>
                          <w:marBottom w:val="0"/>
                          <w:divBdr>
                            <w:top w:val="none" w:sz="0" w:space="0" w:color="auto"/>
                            <w:left w:val="none" w:sz="0" w:space="0" w:color="auto"/>
                            <w:bottom w:val="none" w:sz="0" w:space="0" w:color="auto"/>
                            <w:right w:val="none" w:sz="0" w:space="0" w:color="auto"/>
                          </w:divBdr>
                          <w:divsChild>
                            <w:div w:id="1263032772">
                              <w:marLeft w:val="0"/>
                              <w:marRight w:val="0"/>
                              <w:marTop w:val="0"/>
                              <w:marBottom w:val="0"/>
                              <w:divBdr>
                                <w:top w:val="none" w:sz="0" w:space="0" w:color="auto"/>
                                <w:left w:val="none" w:sz="0" w:space="0" w:color="auto"/>
                                <w:bottom w:val="none" w:sz="0" w:space="0" w:color="auto"/>
                                <w:right w:val="none" w:sz="0" w:space="0" w:color="auto"/>
                              </w:divBdr>
                              <w:divsChild>
                                <w:div w:id="2065253286">
                                  <w:marLeft w:val="0"/>
                                  <w:marRight w:val="0"/>
                                  <w:marTop w:val="0"/>
                                  <w:marBottom w:val="0"/>
                                  <w:divBdr>
                                    <w:top w:val="none" w:sz="0" w:space="0" w:color="auto"/>
                                    <w:left w:val="none" w:sz="0" w:space="0" w:color="auto"/>
                                    <w:bottom w:val="none" w:sz="0" w:space="0" w:color="auto"/>
                                    <w:right w:val="none" w:sz="0" w:space="0" w:color="auto"/>
                                  </w:divBdr>
                                  <w:divsChild>
                                    <w:div w:id="133523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9067575">
      <w:bodyDiv w:val="1"/>
      <w:marLeft w:val="0"/>
      <w:marRight w:val="0"/>
      <w:marTop w:val="0"/>
      <w:marBottom w:val="0"/>
      <w:divBdr>
        <w:top w:val="none" w:sz="0" w:space="0" w:color="auto"/>
        <w:left w:val="none" w:sz="0" w:space="0" w:color="auto"/>
        <w:bottom w:val="none" w:sz="0" w:space="0" w:color="auto"/>
        <w:right w:val="none" w:sz="0" w:space="0" w:color="auto"/>
      </w:divBdr>
    </w:div>
    <w:div w:id="336007650">
      <w:bodyDiv w:val="1"/>
      <w:marLeft w:val="0"/>
      <w:marRight w:val="0"/>
      <w:marTop w:val="0"/>
      <w:marBottom w:val="0"/>
      <w:divBdr>
        <w:top w:val="none" w:sz="0" w:space="0" w:color="auto"/>
        <w:left w:val="none" w:sz="0" w:space="0" w:color="auto"/>
        <w:bottom w:val="none" w:sz="0" w:space="0" w:color="auto"/>
        <w:right w:val="none" w:sz="0" w:space="0" w:color="auto"/>
      </w:divBdr>
    </w:div>
    <w:div w:id="340472117">
      <w:bodyDiv w:val="1"/>
      <w:marLeft w:val="0"/>
      <w:marRight w:val="0"/>
      <w:marTop w:val="0"/>
      <w:marBottom w:val="0"/>
      <w:divBdr>
        <w:top w:val="none" w:sz="0" w:space="0" w:color="auto"/>
        <w:left w:val="none" w:sz="0" w:space="0" w:color="auto"/>
        <w:bottom w:val="none" w:sz="0" w:space="0" w:color="auto"/>
        <w:right w:val="none" w:sz="0" w:space="0" w:color="auto"/>
      </w:divBdr>
    </w:div>
    <w:div w:id="371855598">
      <w:bodyDiv w:val="1"/>
      <w:marLeft w:val="0"/>
      <w:marRight w:val="0"/>
      <w:marTop w:val="0"/>
      <w:marBottom w:val="0"/>
      <w:divBdr>
        <w:top w:val="none" w:sz="0" w:space="0" w:color="auto"/>
        <w:left w:val="none" w:sz="0" w:space="0" w:color="auto"/>
        <w:bottom w:val="none" w:sz="0" w:space="0" w:color="auto"/>
        <w:right w:val="none" w:sz="0" w:space="0" w:color="auto"/>
      </w:divBdr>
      <w:divsChild>
        <w:div w:id="628245334">
          <w:blockQuote w:val="1"/>
          <w:marLeft w:val="720"/>
          <w:marRight w:val="720"/>
          <w:marTop w:val="100"/>
          <w:marBottom w:val="100"/>
          <w:divBdr>
            <w:top w:val="none" w:sz="0" w:space="0" w:color="auto"/>
            <w:left w:val="none" w:sz="0" w:space="0" w:color="auto"/>
            <w:bottom w:val="none" w:sz="0" w:space="0" w:color="auto"/>
            <w:right w:val="none" w:sz="0" w:space="0" w:color="auto"/>
          </w:divBdr>
        </w:div>
        <w:div w:id="1509322957">
          <w:blockQuote w:val="1"/>
          <w:marLeft w:val="720"/>
          <w:marRight w:val="720"/>
          <w:marTop w:val="100"/>
          <w:marBottom w:val="100"/>
          <w:divBdr>
            <w:top w:val="none" w:sz="0" w:space="0" w:color="auto"/>
            <w:left w:val="none" w:sz="0" w:space="0" w:color="auto"/>
            <w:bottom w:val="none" w:sz="0" w:space="0" w:color="auto"/>
            <w:right w:val="none" w:sz="0" w:space="0" w:color="auto"/>
          </w:divBdr>
        </w:div>
        <w:div w:id="424955899">
          <w:blockQuote w:val="1"/>
          <w:marLeft w:val="720"/>
          <w:marRight w:val="720"/>
          <w:marTop w:val="100"/>
          <w:marBottom w:val="100"/>
          <w:divBdr>
            <w:top w:val="none" w:sz="0" w:space="0" w:color="auto"/>
            <w:left w:val="none" w:sz="0" w:space="0" w:color="auto"/>
            <w:bottom w:val="none" w:sz="0" w:space="0" w:color="auto"/>
            <w:right w:val="none" w:sz="0" w:space="0" w:color="auto"/>
          </w:divBdr>
        </w:div>
        <w:div w:id="1638025961">
          <w:marLeft w:val="0"/>
          <w:marRight w:val="0"/>
          <w:marTop w:val="0"/>
          <w:marBottom w:val="0"/>
          <w:divBdr>
            <w:top w:val="none" w:sz="0" w:space="0" w:color="auto"/>
            <w:left w:val="none" w:sz="0" w:space="0" w:color="auto"/>
            <w:bottom w:val="none" w:sz="0" w:space="0" w:color="auto"/>
            <w:right w:val="none" w:sz="0" w:space="0" w:color="auto"/>
          </w:divBdr>
          <w:divsChild>
            <w:div w:id="820969488">
              <w:marLeft w:val="0"/>
              <w:marRight w:val="0"/>
              <w:marTop w:val="0"/>
              <w:marBottom w:val="0"/>
              <w:divBdr>
                <w:top w:val="none" w:sz="0" w:space="0" w:color="auto"/>
                <w:left w:val="none" w:sz="0" w:space="0" w:color="auto"/>
                <w:bottom w:val="none" w:sz="0" w:space="0" w:color="auto"/>
                <w:right w:val="none" w:sz="0" w:space="0" w:color="auto"/>
              </w:divBdr>
            </w:div>
          </w:divsChild>
        </w:div>
        <w:div w:id="149299830">
          <w:blockQuote w:val="1"/>
          <w:marLeft w:val="720"/>
          <w:marRight w:val="720"/>
          <w:marTop w:val="100"/>
          <w:marBottom w:val="100"/>
          <w:divBdr>
            <w:top w:val="none" w:sz="0" w:space="0" w:color="auto"/>
            <w:left w:val="none" w:sz="0" w:space="0" w:color="auto"/>
            <w:bottom w:val="none" w:sz="0" w:space="0" w:color="auto"/>
            <w:right w:val="none" w:sz="0" w:space="0" w:color="auto"/>
          </w:divBdr>
        </w:div>
        <w:div w:id="52798674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3884750">
          <w:marLeft w:val="0"/>
          <w:marRight w:val="0"/>
          <w:marTop w:val="0"/>
          <w:marBottom w:val="0"/>
          <w:divBdr>
            <w:top w:val="none" w:sz="0" w:space="0" w:color="auto"/>
            <w:left w:val="none" w:sz="0" w:space="0" w:color="auto"/>
            <w:bottom w:val="none" w:sz="0" w:space="0" w:color="auto"/>
            <w:right w:val="none" w:sz="0" w:space="0" w:color="auto"/>
          </w:divBdr>
          <w:divsChild>
            <w:div w:id="757411938">
              <w:marLeft w:val="0"/>
              <w:marRight w:val="0"/>
              <w:marTop w:val="0"/>
              <w:marBottom w:val="0"/>
              <w:divBdr>
                <w:top w:val="none" w:sz="0" w:space="0" w:color="auto"/>
                <w:left w:val="none" w:sz="0" w:space="0" w:color="auto"/>
                <w:bottom w:val="none" w:sz="0" w:space="0" w:color="auto"/>
                <w:right w:val="none" w:sz="0" w:space="0" w:color="auto"/>
              </w:divBdr>
            </w:div>
          </w:divsChild>
        </w:div>
        <w:div w:id="585185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626695094">
          <w:blockQuote w:val="1"/>
          <w:marLeft w:val="720"/>
          <w:marRight w:val="720"/>
          <w:marTop w:val="100"/>
          <w:marBottom w:val="100"/>
          <w:divBdr>
            <w:top w:val="none" w:sz="0" w:space="0" w:color="auto"/>
            <w:left w:val="none" w:sz="0" w:space="0" w:color="auto"/>
            <w:bottom w:val="none" w:sz="0" w:space="0" w:color="auto"/>
            <w:right w:val="none" w:sz="0" w:space="0" w:color="auto"/>
          </w:divBdr>
        </w:div>
        <w:div w:id="1560048986">
          <w:blockQuote w:val="1"/>
          <w:marLeft w:val="720"/>
          <w:marRight w:val="720"/>
          <w:marTop w:val="100"/>
          <w:marBottom w:val="100"/>
          <w:divBdr>
            <w:top w:val="none" w:sz="0" w:space="0" w:color="auto"/>
            <w:left w:val="none" w:sz="0" w:space="0" w:color="auto"/>
            <w:bottom w:val="none" w:sz="0" w:space="0" w:color="auto"/>
            <w:right w:val="none" w:sz="0" w:space="0" w:color="auto"/>
          </w:divBdr>
        </w:div>
        <w:div w:id="1854301185">
          <w:blockQuote w:val="1"/>
          <w:marLeft w:val="720"/>
          <w:marRight w:val="720"/>
          <w:marTop w:val="100"/>
          <w:marBottom w:val="100"/>
          <w:divBdr>
            <w:top w:val="none" w:sz="0" w:space="0" w:color="auto"/>
            <w:left w:val="none" w:sz="0" w:space="0" w:color="auto"/>
            <w:bottom w:val="none" w:sz="0" w:space="0" w:color="auto"/>
            <w:right w:val="none" w:sz="0" w:space="0" w:color="auto"/>
          </w:divBdr>
        </w:div>
        <w:div w:id="992219186">
          <w:marLeft w:val="0"/>
          <w:marRight w:val="0"/>
          <w:marTop w:val="0"/>
          <w:marBottom w:val="0"/>
          <w:divBdr>
            <w:top w:val="none" w:sz="0" w:space="0" w:color="auto"/>
            <w:left w:val="none" w:sz="0" w:space="0" w:color="auto"/>
            <w:bottom w:val="none" w:sz="0" w:space="0" w:color="auto"/>
            <w:right w:val="none" w:sz="0" w:space="0" w:color="auto"/>
          </w:divBdr>
          <w:divsChild>
            <w:div w:id="1950116019">
              <w:marLeft w:val="0"/>
              <w:marRight w:val="0"/>
              <w:marTop w:val="0"/>
              <w:marBottom w:val="0"/>
              <w:divBdr>
                <w:top w:val="none" w:sz="0" w:space="0" w:color="auto"/>
                <w:left w:val="none" w:sz="0" w:space="0" w:color="auto"/>
                <w:bottom w:val="none" w:sz="0" w:space="0" w:color="auto"/>
                <w:right w:val="none" w:sz="0" w:space="0" w:color="auto"/>
              </w:divBdr>
            </w:div>
          </w:divsChild>
        </w:div>
        <w:div w:id="20423169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180407">
      <w:bodyDiv w:val="1"/>
      <w:marLeft w:val="0"/>
      <w:marRight w:val="0"/>
      <w:marTop w:val="0"/>
      <w:marBottom w:val="0"/>
      <w:divBdr>
        <w:top w:val="none" w:sz="0" w:space="0" w:color="auto"/>
        <w:left w:val="none" w:sz="0" w:space="0" w:color="auto"/>
        <w:bottom w:val="none" w:sz="0" w:space="0" w:color="auto"/>
        <w:right w:val="none" w:sz="0" w:space="0" w:color="auto"/>
      </w:divBdr>
    </w:div>
    <w:div w:id="401607396">
      <w:bodyDiv w:val="1"/>
      <w:marLeft w:val="0"/>
      <w:marRight w:val="0"/>
      <w:marTop w:val="0"/>
      <w:marBottom w:val="0"/>
      <w:divBdr>
        <w:top w:val="none" w:sz="0" w:space="0" w:color="auto"/>
        <w:left w:val="none" w:sz="0" w:space="0" w:color="auto"/>
        <w:bottom w:val="none" w:sz="0" w:space="0" w:color="auto"/>
        <w:right w:val="none" w:sz="0" w:space="0" w:color="auto"/>
      </w:divBdr>
    </w:div>
    <w:div w:id="408119151">
      <w:bodyDiv w:val="1"/>
      <w:marLeft w:val="0"/>
      <w:marRight w:val="0"/>
      <w:marTop w:val="0"/>
      <w:marBottom w:val="0"/>
      <w:divBdr>
        <w:top w:val="none" w:sz="0" w:space="0" w:color="auto"/>
        <w:left w:val="none" w:sz="0" w:space="0" w:color="auto"/>
        <w:bottom w:val="none" w:sz="0" w:space="0" w:color="auto"/>
        <w:right w:val="none" w:sz="0" w:space="0" w:color="auto"/>
      </w:divBdr>
      <w:divsChild>
        <w:div w:id="1762531844">
          <w:marLeft w:val="0"/>
          <w:marRight w:val="0"/>
          <w:marTop w:val="0"/>
          <w:marBottom w:val="0"/>
          <w:divBdr>
            <w:top w:val="none" w:sz="0" w:space="0" w:color="auto"/>
            <w:left w:val="none" w:sz="0" w:space="0" w:color="auto"/>
            <w:bottom w:val="none" w:sz="0" w:space="0" w:color="auto"/>
            <w:right w:val="none" w:sz="0" w:space="0" w:color="auto"/>
          </w:divBdr>
          <w:divsChild>
            <w:div w:id="1174226458">
              <w:marLeft w:val="0"/>
              <w:marRight w:val="0"/>
              <w:marTop w:val="0"/>
              <w:marBottom w:val="0"/>
              <w:divBdr>
                <w:top w:val="none" w:sz="0" w:space="0" w:color="auto"/>
                <w:left w:val="none" w:sz="0" w:space="0" w:color="auto"/>
                <w:bottom w:val="none" w:sz="0" w:space="0" w:color="auto"/>
                <w:right w:val="none" w:sz="0" w:space="0" w:color="auto"/>
              </w:divBdr>
              <w:divsChild>
                <w:div w:id="240022831">
                  <w:marLeft w:val="0"/>
                  <w:marRight w:val="0"/>
                  <w:marTop w:val="0"/>
                  <w:marBottom w:val="0"/>
                  <w:divBdr>
                    <w:top w:val="none" w:sz="0" w:space="0" w:color="auto"/>
                    <w:left w:val="none" w:sz="0" w:space="0" w:color="auto"/>
                    <w:bottom w:val="none" w:sz="0" w:space="0" w:color="auto"/>
                    <w:right w:val="none" w:sz="0" w:space="0" w:color="auto"/>
                  </w:divBdr>
                  <w:divsChild>
                    <w:div w:id="183834039">
                      <w:marLeft w:val="0"/>
                      <w:marRight w:val="0"/>
                      <w:marTop w:val="0"/>
                      <w:marBottom w:val="0"/>
                      <w:divBdr>
                        <w:top w:val="none" w:sz="0" w:space="0" w:color="auto"/>
                        <w:left w:val="none" w:sz="0" w:space="0" w:color="auto"/>
                        <w:bottom w:val="none" w:sz="0" w:space="0" w:color="auto"/>
                        <w:right w:val="none" w:sz="0" w:space="0" w:color="auto"/>
                      </w:divBdr>
                      <w:divsChild>
                        <w:div w:id="1238519844">
                          <w:marLeft w:val="0"/>
                          <w:marRight w:val="0"/>
                          <w:marTop w:val="0"/>
                          <w:marBottom w:val="0"/>
                          <w:divBdr>
                            <w:top w:val="none" w:sz="0" w:space="0" w:color="auto"/>
                            <w:left w:val="none" w:sz="0" w:space="0" w:color="auto"/>
                            <w:bottom w:val="none" w:sz="0" w:space="0" w:color="auto"/>
                            <w:right w:val="none" w:sz="0" w:space="0" w:color="auto"/>
                          </w:divBdr>
                          <w:divsChild>
                            <w:div w:id="119527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987820">
      <w:bodyDiv w:val="1"/>
      <w:marLeft w:val="0"/>
      <w:marRight w:val="0"/>
      <w:marTop w:val="0"/>
      <w:marBottom w:val="0"/>
      <w:divBdr>
        <w:top w:val="none" w:sz="0" w:space="0" w:color="auto"/>
        <w:left w:val="none" w:sz="0" w:space="0" w:color="auto"/>
        <w:bottom w:val="none" w:sz="0" w:space="0" w:color="auto"/>
        <w:right w:val="none" w:sz="0" w:space="0" w:color="auto"/>
      </w:divBdr>
    </w:div>
    <w:div w:id="461384552">
      <w:bodyDiv w:val="1"/>
      <w:marLeft w:val="0"/>
      <w:marRight w:val="0"/>
      <w:marTop w:val="0"/>
      <w:marBottom w:val="0"/>
      <w:divBdr>
        <w:top w:val="none" w:sz="0" w:space="0" w:color="auto"/>
        <w:left w:val="none" w:sz="0" w:space="0" w:color="auto"/>
        <w:bottom w:val="none" w:sz="0" w:space="0" w:color="auto"/>
        <w:right w:val="none" w:sz="0" w:space="0" w:color="auto"/>
      </w:divBdr>
    </w:div>
    <w:div w:id="484474248">
      <w:bodyDiv w:val="1"/>
      <w:marLeft w:val="0"/>
      <w:marRight w:val="0"/>
      <w:marTop w:val="0"/>
      <w:marBottom w:val="0"/>
      <w:divBdr>
        <w:top w:val="none" w:sz="0" w:space="0" w:color="auto"/>
        <w:left w:val="none" w:sz="0" w:space="0" w:color="auto"/>
        <w:bottom w:val="none" w:sz="0" w:space="0" w:color="auto"/>
        <w:right w:val="none" w:sz="0" w:space="0" w:color="auto"/>
      </w:divBdr>
    </w:div>
    <w:div w:id="531922827">
      <w:bodyDiv w:val="1"/>
      <w:marLeft w:val="0"/>
      <w:marRight w:val="0"/>
      <w:marTop w:val="0"/>
      <w:marBottom w:val="0"/>
      <w:divBdr>
        <w:top w:val="none" w:sz="0" w:space="0" w:color="auto"/>
        <w:left w:val="none" w:sz="0" w:space="0" w:color="auto"/>
        <w:bottom w:val="none" w:sz="0" w:space="0" w:color="auto"/>
        <w:right w:val="none" w:sz="0" w:space="0" w:color="auto"/>
      </w:divBdr>
      <w:divsChild>
        <w:div w:id="751660664">
          <w:marLeft w:val="-720"/>
          <w:marRight w:val="0"/>
          <w:marTop w:val="0"/>
          <w:marBottom w:val="0"/>
          <w:divBdr>
            <w:top w:val="none" w:sz="0" w:space="0" w:color="auto"/>
            <w:left w:val="none" w:sz="0" w:space="0" w:color="auto"/>
            <w:bottom w:val="none" w:sz="0" w:space="0" w:color="auto"/>
            <w:right w:val="none" w:sz="0" w:space="0" w:color="auto"/>
          </w:divBdr>
        </w:div>
      </w:divsChild>
    </w:div>
    <w:div w:id="535047058">
      <w:bodyDiv w:val="1"/>
      <w:marLeft w:val="0"/>
      <w:marRight w:val="0"/>
      <w:marTop w:val="0"/>
      <w:marBottom w:val="0"/>
      <w:divBdr>
        <w:top w:val="none" w:sz="0" w:space="0" w:color="auto"/>
        <w:left w:val="none" w:sz="0" w:space="0" w:color="auto"/>
        <w:bottom w:val="none" w:sz="0" w:space="0" w:color="auto"/>
        <w:right w:val="none" w:sz="0" w:space="0" w:color="auto"/>
      </w:divBdr>
    </w:div>
    <w:div w:id="545869821">
      <w:bodyDiv w:val="1"/>
      <w:marLeft w:val="0"/>
      <w:marRight w:val="0"/>
      <w:marTop w:val="0"/>
      <w:marBottom w:val="0"/>
      <w:divBdr>
        <w:top w:val="none" w:sz="0" w:space="0" w:color="auto"/>
        <w:left w:val="none" w:sz="0" w:space="0" w:color="auto"/>
        <w:bottom w:val="none" w:sz="0" w:space="0" w:color="auto"/>
        <w:right w:val="none" w:sz="0" w:space="0" w:color="auto"/>
      </w:divBdr>
    </w:div>
    <w:div w:id="570774346">
      <w:bodyDiv w:val="1"/>
      <w:marLeft w:val="0"/>
      <w:marRight w:val="0"/>
      <w:marTop w:val="0"/>
      <w:marBottom w:val="0"/>
      <w:divBdr>
        <w:top w:val="none" w:sz="0" w:space="0" w:color="auto"/>
        <w:left w:val="none" w:sz="0" w:space="0" w:color="auto"/>
        <w:bottom w:val="none" w:sz="0" w:space="0" w:color="auto"/>
        <w:right w:val="none" w:sz="0" w:space="0" w:color="auto"/>
      </w:divBdr>
    </w:div>
    <w:div w:id="576212544">
      <w:bodyDiv w:val="1"/>
      <w:marLeft w:val="0"/>
      <w:marRight w:val="0"/>
      <w:marTop w:val="0"/>
      <w:marBottom w:val="0"/>
      <w:divBdr>
        <w:top w:val="none" w:sz="0" w:space="0" w:color="auto"/>
        <w:left w:val="none" w:sz="0" w:space="0" w:color="auto"/>
        <w:bottom w:val="none" w:sz="0" w:space="0" w:color="auto"/>
        <w:right w:val="none" w:sz="0" w:space="0" w:color="auto"/>
      </w:divBdr>
    </w:div>
    <w:div w:id="577787774">
      <w:bodyDiv w:val="1"/>
      <w:marLeft w:val="0"/>
      <w:marRight w:val="0"/>
      <w:marTop w:val="0"/>
      <w:marBottom w:val="0"/>
      <w:divBdr>
        <w:top w:val="none" w:sz="0" w:space="0" w:color="auto"/>
        <w:left w:val="none" w:sz="0" w:space="0" w:color="auto"/>
        <w:bottom w:val="none" w:sz="0" w:space="0" w:color="auto"/>
        <w:right w:val="none" w:sz="0" w:space="0" w:color="auto"/>
      </w:divBdr>
    </w:div>
    <w:div w:id="585265067">
      <w:bodyDiv w:val="1"/>
      <w:marLeft w:val="0"/>
      <w:marRight w:val="0"/>
      <w:marTop w:val="0"/>
      <w:marBottom w:val="0"/>
      <w:divBdr>
        <w:top w:val="none" w:sz="0" w:space="0" w:color="auto"/>
        <w:left w:val="none" w:sz="0" w:space="0" w:color="auto"/>
        <w:bottom w:val="none" w:sz="0" w:space="0" w:color="auto"/>
        <w:right w:val="none" w:sz="0" w:space="0" w:color="auto"/>
      </w:divBdr>
    </w:div>
    <w:div w:id="616181281">
      <w:bodyDiv w:val="1"/>
      <w:marLeft w:val="0"/>
      <w:marRight w:val="0"/>
      <w:marTop w:val="0"/>
      <w:marBottom w:val="0"/>
      <w:divBdr>
        <w:top w:val="none" w:sz="0" w:space="0" w:color="auto"/>
        <w:left w:val="none" w:sz="0" w:space="0" w:color="auto"/>
        <w:bottom w:val="none" w:sz="0" w:space="0" w:color="auto"/>
        <w:right w:val="none" w:sz="0" w:space="0" w:color="auto"/>
      </w:divBdr>
    </w:div>
    <w:div w:id="703554001">
      <w:bodyDiv w:val="1"/>
      <w:marLeft w:val="0"/>
      <w:marRight w:val="0"/>
      <w:marTop w:val="0"/>
      <w:marBottom w:val="0"/>
      <w:divBdr>
        <w:top w:val="none" w:sz="0" w:space="0" w:color="auto"/>
        <w:left w:val="none" w:sz="0" w:space="0" w:color="auto"/>
        <w:bottom w:val="none" w:sz="0" w:space="0" w:color="auto"/>
        <w:right w:val="none" w:sz="0" w:space="0" w:color="auto"/>
      </w:divBdr>
      <w:divsChild>
        <w:div w:id="1990019488">
          <w:marLeft w:val="0"/>
          <w:marRight w:val="0"/>
          <w:marTop w:val="0"/>
          <w:marBottom w:val="0"/>
          <w:divBdr>
            <w:top w:val="none" w:sz="0" w:space="0" w:color="auto"/>
            <w:left w:val="none" w:sz="0" w:space="0" w:color="auto"/>
            <w:bottom w:val="none" w:sz="0" w:space="0" w:color="auto"/>
            <w:right w:val="none" w:sz="0" w:space="0" w:color="auto"/>
          </w:divBdr>
          <w:divsChild>
            <w:div w:id="2014260650">
              <w:marLeft w:val="0"/>
              <w:marRight w:val="0"/>
              <w:marTop w:val="0"/>
              <w:marBottom w:val="0"/>
              <w:divBdr>
                <w:top w:val="none" w:sz="0" w:space="0" w:color="auto"/>
                <w:left w:val="none" w:sz="0" w:space="0" w:color="auto"/>
                <w:bottom w:val="none" w:sz="0" w:space="0" w:color="auto"/>
                <w:right w:val="none" w:sz="0" w:space="0" w:color="auto"/>
              </w:divBdr>
              <w:divsChild>
                <w:div w:id="1204946547">
                  <w:marLeft w:val="0"/>
                  <w:marRight w:val="0"/>
                  <w:marTop w:val="0"/>
                  <w:marBottom w:val="0"/>
                  <w:divBdr>
                    <w:top w:val="none" w:sz="0" w:space="0" w:color="auto"/>
                    <w:left w:val="none" w:sz="0" w:space="0" w:color="auto"/>
                    <w:bottom w:val="none" w:sz="0" w:space="0" w:color="auto"/>
                    <w:right w:val="none" w:sz="0" w:space="0" w:color="auto"/>
                  </w:divBdr>
                  <w:divsChild>
                    <w:div w:id="1514345262">
                      <w:marLeft w:val="0"/>
                      <w:marRight w:val="0"/>
                      <w:marTop w:val="0"/>
                      <w:marBottom w:val="0"/>
                      <w:divBdr>
                        <w:top w:val="none" w:sz="0" w:space="0" w:color="auto"/>
                        <w:left w:val="none" w:sz="0" w:space="0" w:color="auto"/>
                        <w:bottom w:val="none" w:sz="0" w:space="0" w:color="auto"/>
                        <w:right w:val="none" w:sz="0" w:space="0" w:color="auto"/>
                      </w:divBdr>
                      <w:divsChild>
                        <w:div w:id="1205870163">
                          <w:marLeft w:val="0"/>
                          <w:marRight w:val="0"/>
                          <w:marTop w:val="0"/>
                          <w:marBottom w:val="0"/>
                          <w:divBdr>
                            <w:top w:val="none" w:sz="0" w:space="0" w:color="auto"/>
                            <w:left w:val="none" w:sz="0" w:space="0" w:color="auto"/>
                            <w:bottom w:val="none" w:sz="0" w:space="0" w:color="auto"/>
                            <w:right w:val="none" w:sz="0" w:space="0" w:color="auto"/>
                          </w:divBdr>
                          <w:divsChild>
                            <w:div w:id="582833023">
                              <w:marLeft w:val="0"/>
                              <w:marRight w:val="0"/>
                              <w:marTop w:val="0"/>
                              <w:marBottom w:val="0"/>
                              <w:divBdr>
                                <w:top w:val="none" w:sz="0" w:space="0" w:color="auto"/>
                                <w:left w:val="none" w:sz="0" w:space="0" w:color="auto"/>
                                <w:bottom w:val="none" w:sz="0" w:space="0" w:color="auto"/>
                                <w:right w:val="none" w:sz="0" w:space="0" w:color="auto"/>
                              </w:divBdr>
                              <w:divsChild>
                                <w:div w:id="760224904">
                                  <w:marLeft w:val="0"/>
                                  <w:marRight w:val="0"/>
                                  <w:marTop w:val="0"/>
                                  <w:marBottom w:val="0"/>
                                  <w:divBdr>
                                    <w:top w:val="none" w:sz="0" w:space="0" w:color="auto"/>
                                    <w:left w:val="none" w:sz="0" w:space="0" w:color="auto"/>
                                    <w:bottom w:val="none" w:sz="0" w:space="0" w:color="auto"/>
                                    <w:right w:val="none" w:sz="0" w:space="0" w:color="auto"/>
                                  </w:divBdr>
                                  <w:divsChild>
                                    <w:div w:id="201819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042636">
      <w:bodyDiv w:val="1"/>
      <w:marLeft w:val="0"/>
      <w:marRight w:val="0"/>
      <w:marTop w:val="0"/>
      <w:marBottom w:val="0"/>
      <w:divBdr>
        <w:top w:val="none" w:sz="0" w:space="0" w:color="auto"/>
        <w:left w:val="none" w:sz="0" w:space="0" w:color="auto"/>
        <w:bottom w:val="none" w:sz="0" w:space="0" w:color="auto"/>
        <w:right w:val="none" w:sz="0" w:space="0" w:color="auto"/>
      </w:divBdr>
    </w:div>
    <w:div w:id="753209804">
      <w:bodyDiv w:val="1"/>
      <w:marLeft w:val="0"/>
      <w:marRight w:val="0"/>
      <w:marTop w:val="0"/>
      <w:marBottom w:val="0"/>
      <w:divBdr>
        <w:top w:val="none" w:sz="0" w:space="0" w:color="auto"/>
        <w:left w:val="none" w:sz="0" w:space="0" w:color="auto"/>
        <w:bottom w:val="none" w:sz="0" w:space="0" w:color="auto"/>
        <w:right w:val="none" w:sz="0" w:space="0" w:color="auto"/>
      </w:divBdr>
    </w:div>
    <w:div w:id="767893668">
      <w:bodyDiv w:val="1"/>
      <w:marLeft w:val="0"/>
      <w:marRight w:val="0"/>
      <w:marTop w:val="0"/>
      <w:marBottom w:val="0"/>
      <w:divBdr>
        <w:top w:val="none" w:sz="0" w:space="0" w:color="auto"/>
        <w:left w:val="none" w:sz="0" w:space="0" w:color="auto"/>
        <w:bottom w:val="none" w:sz="0" w:space="0" w:color="auto"/>
        <w:right w:val="none" w:sz="0" w:space="0" w:color="auto"/>
      </w:divBdr>
    </w:div>
    <w:div w:id="774594740">
      <w:bodyDiv w:val="1"/>
      <w:marLeft w:val="0"/>
      <w:marRight w:val="0"/>
      <w:marTop w:val="0"/>
      <w:marBottom w:val="0"/>
      <w:divBdr>
        <w:top w:val="none" w:sz="0" w:space="0" w:color="auto"/>
        <w:left w:val="none" w:sz="0" w:space="0" w:color="auto"/>
        <w:bottom w:val="none" w:sz="0" w:space="0" w:color="auto"/>
        <w:right w:val="none" w:sz="0" w:space="0" w:color="auto"/>
      </w:divBdr>
      <w:divsChild>
        <w:div w:id="1402673205">
          <w:marLeft w:val="0"/>
          <w:marRight w:val="0"/>
          <w:marTop w:val="0"/>
          <w:marBottom w:val="0"/>
          <w:divBdr>
            <w:top w:val="none" w:sz="0" w:space="0" w:color="auto"/>
            <w:left w:val="none" w:sz="0" w:space="0" w:color="auto"/>
            <w:bottom w:val="none" w:sz="0" w:space="0" w:color="auto"/>
            <w:right w:val="none" w:sz="0" w:space="0" w:color="auto"/>
          </w:divBdr>
          <w:divsChild>
            <w:div w:id="1748304104">
              <w:marLeft w:val="0"/>
              <w:marRight w:val="0"/>
              <w:marTop w:val="0"/>
              <w:marBottom w:val="0"/>
              <w:divBdr>
                <w:top w:val="none" w:sz="0" w:space="0" w:color="auto"/>
                <w:left w:val="none" w:sz="0" w:space="0" w:color="auto"/>
                <w:bottom w:val="none" w:sz="0" w:space="0" w:color="auto"/>
                <w:right w:val="none" w:sz="0" w:space="0" w:color="auto"/>
              </w:divBdr>
              <w:divsChild>
                <w:div w:id="1588687626">
                  <w:marLeft w:val="0"/>
                  <w:marRight w:val="0"/>
                  <w:marTop w:val="0"/>
                  <w:marBottom w:val="0"/>
                  <w:divBdr>
                    <w:top w:val="none" w:sz="0" w:space="0" w:color="auto"/>
                    <w:left w:val="none" w:sz="0" w:space="0" w:color="auto"/>
                    <w:bottom w:val="none" w:sz="0" w:space="0" w:color="auto"/>
                    <w:right w:val="none" w:sz="0" w:space="0" w:color="auto"/>
                  </w:divBdr>
                  <w:divsChild>
                    <w:div w:id="587080335">
                      <w:marLeft w:val="0"/>
                      <w:marRight w:val="0"/>
                      <w:marTop w:val="0"/>
                      <w:marBottom w:val="0"/>
                      <w:divBdr>
                        <w:top w:val="none" w:sz="0" w:space="0" w:color="auto"/>
                        <w:left w:val="none" w:sz="0" w:space="0" w:color="auto"/>
                        <w:bottom w:val="none" w:sz="0" w:space="0" w:color="auto"/>
                        <w:right w:val="none" w:sz="0" w:space="0" w:color="auto"/>
                      </w:divBdr>
                      <w:divsChild>
                        <w:div w:id="638844989">
                          <w:marLeft w:val="0"/>
                          <w:marRight w:val="0"/>
                          <w:marTop w:val="0"/>
                          <w:marBottom w:val="0"/>
                          <w:divBdr>
                            <w:top w:val="none" w:sz="0" w:space="0" w:color="auto"/>
                            <w:left w:val="none" w:sz="0" w:space="0" w:color="auto"/>
                            <w:bottom w:val="none" w:sz="0" w:space="0" w:color="auto"/>
                            <w:right w:val="none" w:sz="0" w:space="0" w:color="auto"/>
                          </w:divBdr>
                          <w:divsChild>
                            <w:div w:id="1881285295">
                              <w:marLeft w:val="0"/>
                              <w:marRight w:val="0"/>
                              <w:marTop w:val="0"/>
                              <w:marBottom w:val="0"/>
                              <w:divBdr>
                                <w:top w:val="none" w:sz="0" w:space="0" w:color="auto"/>
                                <w:left w:val="none" w:sz="0" w:space="0" w:color="auto"/>
                                <w:bottom w:val="none" w:sz="0" w:space="0" w:color="auto"/>
                                <w:right w:val="none" w:sz="0" w:space="0" w:color="auto"/>
                              </w:divBdr>
                              <w:divsChild>
                                <w:div w:id="272400092">
                                  <w:marLeft w:val="0"/>
                                  <w:marRight w:val="0"/>
                                  <w:marTop w:val="0"/>
                                  <w:marBottom w:val="0"/>
                                  <w:divBdr>
                                    <w:top w:val="none" w:sz="0" w:space="0" w:color="auto"/>
                                    <w:left w:val="none" w:sz="0" w:space="0" w:color="auto"/>
                                    <w:bottom w:val="none" w:sz="0" w:space="0" w:color="auto"/>
                                    <w:right w:val="none" w:sz="0" w:space="0" w:color="auto"/>
                                  </w:divBdr>
                                  <w:divsChild>
                                    <w:div w:id="30154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5046984">
      <w:bodyDiv w:val="1"/>
      <w:marLeft w:val="0"/>
      <w:marRight w:val="0"/>
      <w:marTop w:val="0"/>
      <w:marBottom w:val="0"/>
      <w:divBdr>
        <w:top w:val="none" w:sz="0" w:space="0" w:color="auto"/>
        <w:left w:val="none" w:sz="0" w:space="0" w:color="auto"/>
        <w:bottom w:val="none" w:sz="0" w:space="0" w:color="auto"/>
        <w:right w:val="none" w:sz="0" w:space="0" w:color="auto"/>
      </w:divBdr>
      <w:divsChild>
        <w:div w:id="1239168659">
          <w:marLeft w:val="0"/>
          <w:marRight w:val="0"/>
          <w:marTop w:val="0"/>
          <w:marBottom w:val="0"/>
          <w:divBdr>
            <w:top w:val="none" w:sz="0" w:space="0" w:color="auto"/>
            <w:left w:val="none" w:sz="0" w:space="0" w:color="auto"/>
            <w:bottom w:val="none" w:sz="0" w:space="0" w:color="auto"/>
            <w:right w:val="none" w:sz="0" w:space="0" w:color="auto"/>
          </w:divBdr>
          <w:divsChild>
            <w:div w:id="79187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233869">
      <w:bodyDiv w:val="1"/>
      <w:marLeft w:val="0"/>
      <w:marRight w:val="0"/>
      <w:marTop w:val="0"/>
      <w:marBottom w:val="0"/>
      <w:divBdr>
        <w:top w:val="none" w:sz="0" w:space="0" w:color="auto"/>
        <w:left w:val="none" w:sz="0" w:space="0" w:color="auto"/>
        <w:bottom w:val="none" w:sz="0" w:space="0" w:color="auto"/>
        <w:right w:val="none" w:sz="0" w:space="0" w:color="auto"/>
      </w:divBdr>
    </w:div>
    <w:div w:id="839079680">
      <w:bodyDiv w:val="1"/>
      <w:marLeft w:val="0"/>
      <w:marRight w:val="0"/>
      <w:marTop w:val="0"/>
      <w:marBottom w:val="0"/>
      <w:divBdr>
        <w:top w:val="none" w:sz="0" w:space="0" w:color="auto"/>
        <w:left w:val="none" w:sz="0" w:space="0" w:color="auto"/>
        <w:bottom w:val="none" w:sz="0" w:space="0" w:color="auto"/>
        <w:right w:val="none" w:sz="0" w:space="0" w:color="auto"/>
      </w:divBdr>
    </w:div>
    <w:div w:id="875702015">
      <w:bodyDiv w:val="1"/>
      <w:marLeft w:val="0"/>
      <w:marRight w:val="0"/>
      <w:marTop w:val="0"/>
      <w:marBottom w:val="0"/>
      <w:divBdr>
        <w:top w:val="none" w:sz="0" w:space="0" w:color="auto"/>
        <w:left w:val="none" w:sz="0" w:space="0" w:color="auto"/>
        <w:bottom w:val="none" w:sz="0" w:space="0" w:color="auto"/>
        <w:right w:val="none" w:sz="0" w:space="0" w:color="auto"/>
      </w:divBdr>
    </w:div>
    <w:div w:id="881329965">
      <w:bodyDiv w:val="1"/>
      <w:marLeft w:val="0"/>
      <w:marRight w:val="0"/>
      <w:marTop w:val="0"/>
      <w:marBottom w:val="0"/>
      <w:divBdr>
        <w:top w:val="none" w:sz="0" w:space="0" w:color="auto"/>
        <w:left w:val="none" w:sz="0" w:space="0" w:color="auto"/>
        <w:bottom w:val="none" w:sz="0" w:space="0" w:color="auto"/>
        <w:right w:val="none" w:sz="0" w:space="0" w:color="auto"/>
      </w:divBdr>
      <w:divsChild>
        <w:div w:id="1612740284">
          <w:marLeft w:val="0"/>
          <w:marRight w:val="0"/>
          <w:marTop w:val="0"/>
          <w:marBottom w:val="0"/>
          <w:divBdr>
            <w:top w:val="none" w:sz="0" w:space="0" w:color="auto"/>
            <w:left w:val="none" w:sz="0" w:space="0" w:color="auto"/>
            <w:bottom w:val="none" w:sz="0" w:space="0" w:color="auto"/>
            <w:right w:val="none" w:sz="0" w:space="0" w:color="auto"/>
          </w:divBdr>
          <w:divsChild>
            <w:div w:id="1376537851">
              <w:marLeft w:val="0"/>
              <w:marRight w:val="0"/>
              <w:marTop w:val="0"/>
              <w:marBottom w:val="0"/>
              <w:divBdr>
                <w:top w:val="none" w:sz="0" w:space="0" w:color="auto"/>
                <w:left w:val="none" w:sz="0" w:space="0" w:color="auto"/>
                <w:bottom w:val="none" w:sz="0" w:space="0" w:color="auto"/>
                <w:right w:val="none" w:sz="0" w:space="0" w:color="auto"/>
              </w:divBdr>
              <w:divsChild>
                <w:div w:id="1423380039">
                  <w:marLeft w:val="0"/>
                  <w:marRight w:val="0"/>
                  <w:marTop w:val="0"/>
                  <w:marBottom w:val="0"/>
                  <w:divBdr>
                    <w:top w:val="none" w:sz="0" w:space="0" w:color="auto"/>
                    <w:left w:val="none" w:sz="0" w:space="0" w:color="auto"/>
                    <w:bottom w:val="none" w:sz="0" w:space="0" w:color="auto"/>
                    <w:right w:val="none" w:sz="0" w:space="0" w:color="auto"/>
                  </w:divBdr>
                  <w:divsChild>
                    <w:div w:id="1673995702">
                      <w:marLeft w:val="0"/>
                      <w:marRight w:val="0"/>
                      <w:marTop w:val="0"/>
                      <w:marBottom w:val="0"/>
                      <w:divBdr>
                        <w:top w:val="none" w:sz="0" w:space="0" w:color="auto"/>
                        <w:left w:val="none" w:sz="0" w:space="0" w:color="auto"/>
                        <w:bottom w:val="none" w:sz="0" w:space="0" w:color="auto"/>
                        <w:right w:val="none" w:sz="0" w:space="0" w:color="auto"/>
                      </w:divBdr>
                      <w:divsChild>
                        <w:div w:id="1115976117">
                          <w:marLeft w:val="0"/>
                          <w:marRight w:val="0"/>
                          <w:marTop w:val="0"/>
                          <w:marBottom w:val="0"/>
                          <w:divBdr>
                            <w:top w:val="none" w:sz="0" w:space="0" w:color="auto"/>
                            <w:left w:val="none" w:sz="0" w:space="0" w:color="auto"/>
                            <w:bottom w:val="none" w:sz="0" w:space="0" w:color="auto"/>
                            <w:right w:val="none" w:sz="0" w:space="0" w:color="auto"/>
                          </w:divBdr>
                          <w:divsChild>
                            <w:div w:id="54541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2010725">
      <w:bodyDiv w:val="1"/>
      <w:marLeft w:val="0"/>
      <w:marRight w:val="0"/>
      <w:marTop w:val="0"/>
      <w:marBottom w:val="0"/>
      <w:divBdr>
        <w:top w:val="none" w:sz="0" w:space="0" w:color="auto"/>
        <w:left w:val="none" w:sz="0" w:space="0" w:color="auto"/>
        <w:bottom w:val="none" w:sz="0" w:space="0" w:color="auto"/>
        <w:right w:val="none" w:sz="0" w:space="0" w:color="auto"/>
      </w:divBdr>
    </w:div>
    <w:div w:id="934942870">
      <w:bodyDiv w:val="1"/>
      <w:marLeft w:val="0"/>
      <w:marRight w:val="0"/>
      <w:marTop w:val="0"/>
      <w:marBottom w:val="0"/>
      <w:divBdr>
        <w:top w:val="none" w:sz="0" w:space="0" w:color="auto"/>
        <w:left w:val="none" w:sz="0" w:space="0" w:color="auto"/>
        <w:bottom w:val="none" w:sz="0" w:space="0" w:color="auto"/>
        <w:right w:val="none" w:sz="0" w:space="0" w:color="auto"/>
      </w:divBdr>
    </w:div>
    <w:div w:id="970015167">
      <w:bodyDiv w:val="1"/>
      <w:marLeft w:val="0"/>
      <w:marRight w:val="0"/>
      <w:marTop w:val="0"/>
      <w:marBottom w:val="0"/>
      <w:divBdr>
        <w:top w:val="none" w:sz="0" w:space="0" w:color="auto"/>
        <w:left w:val="none" w:sz="0" w:space="0" w:color="auto"/>
        <w:bottom w:val="none" w:sz="0" w:space="0" w:color="auto"/>
        <w:right w:val="none" w:sz="0" w:space="0" w:color="auto"/>
      </w:divBdr>
    </w:div>
    <w:div w:id="986668637">
      <w:bodyDiv w:val="1"/>
      <w:marLeft w:val="0"/>
      <w:marRight w:val="0"/>
      <w:marTop w:val="0"/>
      <w:marBottom w:val="0"/>
      <w:divBdr>
        <w:top w:val="none" w:sz="0" w:space="0" w:color="auto"/>
        <w:left w:val="none" w:sz="0" w:space="0" w:color="auto"/>
        <w:bottom w:val="none" w:sz="0" w:space="0" w:color="auto"/>
        <w:right w:val="none" w:sz="0" w:space="0" w:color="auto"/>
      </w:divBdr>
      <w:divsChild>
        <w:div w:id="87970927">
          <w:marLeft w:val="-720"/>
          <w:marRight w:val="0"/>
          <w:marTop w:val="0"/>
          <w:marBottom w:val="0"/>
          <w:divBdr>
            <w:top w:val="none" w:sz="0" w:space="0" w:color="auto"/>
            <w:left w:val="none" w:sz="0" w:space="0" w:color="auto"/>
            <w:bottom w:val="none" w:sz="0" w:space="0" w:color="auto"/>
            <w:right w:val="none" w:sz="0" w:space="0" w:color="auto"/>
          </w:divBdr>
        </w:div>
      </w:divsChild>
    </w:div>
    <w:div w:id="1007290221">
      <w:bodyDiv w:val="1"/>
      <w:marLeft w:val="0"/>
      <w:marRight w:val="0"/>
      <w:marTop w:val="0"/>
      <w:marBottom w:val="0"/>
      <w:divBdr>
        <w:top w:val="none" w:sz="0" w:space="0" w:color="auto"/>
        <w:left w:val="none" w:sz="0" w:space="0" w:color="auto"/>
        <w:bottom w:val="none" w:sz="0" w:space="0" w:color="auto"/>
        <w:right w:val="none" w:sz="0" w:space="0" w:color="auto"/>
      </w:divBdr>
      <w:divsChild>
        <w:div w:id="782651132">
          <w:marLeft w:val="0"/>
          <w:marRight w:val="0"/>
          <w:marTop w:val="0"/>
          <w:marBottom w:val="0"/>
          <w:divBdr>
            <w:top w:val="none" w:sz="0" w:space="0" w:color="auto"/>
            <w:left w:val="none" w:sz="0" w:space="0" w:color="auto"/>
            <w:bottom w:val="none" w:sz="0" w:space="0" w:color="auto"/>
            <w:right w:val="none" w:sz="0" w:space="0" w:color="auto"/>
          </w:divBdr>
          <w:divsChild>
            <w:div w:id="1473983296">
              <w:marLeft w:val="0"/>
              <w:marRight w:val="0"/>
              <w:marTop w:val="0"/>
              <w:marBottom w:val="0"/>
              <w:divBdr>
                <w:top w:val="none" w:sz="0" w:space="0" w:color="auto"/>
                <w:left w:val="none" w:sz="0" w:space="0" w:color="auto"/>
                <w:bottom w:val="none" w:sz="0" w:space="0" w:color="auto"/>
                <w:right w:val="none" w:sz="0" w:space="0" w:color="auto"/>
              </w:divBdr>
              <w:divsChild>
                <w:div w:id="1287397150">
                  <w:marLeft w:val="0"/>
                  <w:marRight w:val="0"/>
                  <w:marTop w:val="0"/>
                  <w:marBottom w:val="0"/>
                  <w:divBdr>
                    <w:top w:val="none" w:sz="0" w:space="0" w:color="auto"/>
                    <w:left w:val="none" w:sz="0" w:space="0" w:color="auto"/>
                    <w:bottom w:val="none" w:sz="0" w:space="0" w:color="auto"/>
                    <w:right w:val="none" w:sz="0" w:space="0" w:color="auto"/>
                  </w:divBdr>
                  <w:divsChild>
                    <w:div w:id="1125274755">
                      <w:marLeft w:val="0"/>
                      <w:marRight w:val="0"/>
                      <w:marTop w:val="0"/>
                      <w:marBottom w:val="0"/>
                      <w:divBdr>
                        <w:top w:val="none" w:sz="0" w:space="0" w:color="auto"/>
                        <w:left w:val="none" w:sz="0" w:space="0" w:color="auto"/>
                        <w:bottom w:val="none" w:sz="0" w:space="0" w:color="auto"/>
                        <w:right w:val="none" w:sz="0" w:space="0" w:color="auto"/>
                      </w:divBdr>
                      <w:divsChild>
                        <w:div w:id="489104451">
                          <w:marLeft w:val="0"/>
                          <w:marRight w:val="0"/>
                          <w:marTop w:val="0"/>
                          <w:marBottom w:val="0"/>
                          <w:divBdr>
                            <w:top w:val="none" w:sz="0" w:space="0" w:color="auto"/>
                            <w:left w:val="none" w:sz="0" w:space="0" w:color="auto"/>
                            <w:bottom w:val="none" w:sz="0" w:space="0" w:color="auto"/>
                            <w:right w:val="none" w:sz="0" w:space="0" w:color="auto"/>
                          </w:divBdr>
                          <w:divsChild>
                            <w:div w:id="302588237">
                              <w:marLeft w:val="0"/>
                              <w:marRight w:val="0"/>
                              <w:marTop w:val="0"/>
                              <w:marBottom w:val="0"/>
                              <w:divBdr>
                                <w:top w:val="none" w:sz="0" w:space="0" w:color="auto"/>
                                <w:left w:val="none" w:sz="0" w:space="0" w:color="auto"/>
                                <w:bottom w:val="none" w:sz="0" w:space="0" w:color="auto"/>
                                <w:right w:val="none" w:sz="0" w:space="0" w:color="auto"/>
                              </w:divBdr>
                              <w:divsChild>
                                <w:div w:id="95516821">
                                  <w:marLeft w:val="0"/>
                                  <w:marRight w:val="0"/>
                                  <w:marTop w:val="0"/>
                                  <w:marBottom w:val="0"/>
                                  <w:divBdr>
                                    <w:top w:val="none" w:sz="0" w:space="0" w:color="auto"/>
                                    <w:left w:val="none" w:sz="0" w:space="0" w:color="auto"/>
                                    <w:bottom w:val="none" w:sz="0" w:space="0" w:color="auto"/>
                                    <w:right w:val="none" w:sz="0" w:space="0" w:color="auto"/>
                                  </w:divBdr>
                                  <w:divsChild>
                                    <w:div w:id="172891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5572584">
      <w:bodyDiv w:val="1"/>
      <w:marLeft w:val="0"/>
      <w:marRight w:val="0"/>
      <w:marTop w:val="0"/>
      <w:marBottom w:val="0"/>
      <w:divBdr>
        <w:top w:val="none" w:sz="0" w:space="0" w:color="auto"/>
        <w:left w:val="none" w:sz="0" w:space="0" w:color="auto"/>
        <w:bottom w:val="none" w:sz="0" w:space="0" w:color="auto"/>
        <w:right w:val="none" w:sz="0" w:space="0" w:color="auto"/>
      </w:divBdr>
      <w:divsChild>
        <w:div w:id="1360937807">
          <w:marLeft w:val="0"/>
          <w:marRight w:val="0"/>
          <w:marTop w:val="0"/>
          <w:marBottom w:val="0"/>
          <w:divBdr>
            <w:top w:val="none" w:sz="0" w:space="0" w:color="auto"/>
            <w:left w:val="none" w:sz="0" w:space="0" w:color="auto"/>
            <w:bottom w:val="none" w:sz="0" w:space="0" w:color="auto"/>
            <w:right w:val="none" w:sz="0" w:space="0" w:color="auto"/>
          </w:divBdr>
          <w:divsChild>
            <w:div w:id="653802152">
              <w:marLeft w:val="0"/>
              <w:marRight w:val="0"/>
              <w:marTop w:val="0"/>
              <w:marBottom w:val="0"/>
              <w:divBdr>
                <w:top w:val="none" w:sz="0" w:space="0" w:color="auto"/>
                <w:left w:val="none" w:sz="0" w:space="0" w:color="auto"/>
                <w:bottom w:val="none" w:sz="0" w:space="0" w:color="auto"/>
                <w:right w:val="none" w:sz="0" w:space="0" w:color="auto"/>
              </w:divBdr>
              <w:divsChild>
                <w:div w:id="894901051">
                  <w:marLeft w:val="0"/>
                  <w:marRight w:val="0"/>
                  <w:marTop w:val="0"/>
                  <w:marBottom w:val="0"/>
                  <w:divBdr>
                    <w:top w:val="none" w:sz="0" w:space="0" w:color="auto"/>
                    <w:left w:val="none" w:sz="0" w:space="0" w:color="auto"/>
                    <w:bottom w:val="none" w:sz="0" w:space="0" w:color="auto"/>
                    <w:right w:val="none" w:sz="0" w:space="0" w:color="auto"/>
                  </w:divBdr>
                  <w:divsChild>
                    <w:div w:id="1042095858">
                      <w:marLeft w:val="0"/>
                      <w:marRight w:val="0"/>
                      <w:marTop w:val="0"/>
                      <w:marBottom w:val="0"/>
                      <w:divBdr>
                        <w:top w:val="none" w:sz="0" w:space="0" w:color="auto"/>
                        <w:left w:val="none" w:sz="0" w:space="0" w:color="auto"/>
                        <w:bottom w:val="none" w:sz="0" w:space="0" w:color="auto"/>
                        <w:right w:val="none" w:sz="0" w:space="0" w:color="auto"/>
                      </w:divBdr>
                      <w:divsChild>
                        <w:div w:id="1265991400">
                          <w:marLeft w:val="0"/>
                          <w:marRight w:val="0"/>
                          <w:marTop w:val="0"/>
                          <w:marBottom w:val="0"/>
                          <w:divBdr>
                            <w:top w:val="none" w:sz="0" w:space="0" w:color="auto"/>
                            <w:left w:val="none" w:sz="0" w:space="0" w:color="auto"/>
                            <w:bottom w:val="none" w:sz="0" w:space="0" w:color="auto"/>
                            <w:right w:val="none" w:sz="0" w:space="0" w:color="auto"/>
                          </w:divBdr>
                          <w:divsChild>
                            <w:div w:id="562563825">
                              <w:marLeft w:val="0"/>
                              <w:marRight w:val="0"/>
                              <w:marTop w:val="0"/>
                              <w:marBottom w:val="0"/>
                              <w:divBdr>
                                <w:top w:val="none" w:sz="0" w:space="0" w:color="auto"/>
                                <w:left w:val="none" w:sz="0" w:space="0" w:color="auto"/>
                                <w:bottom w:val="none" w:sz="0" w:space="0" w:color="auto"/>
                                <w:right w:val="none" w:sz="0" w:space="0" w:color="auto"/>
                              </w:divBdr>
                              <w:divsChild>
                                <w:div w:id="1028025666">
                                  <w:marLeft w:val="0"/>
                                  <w:marRight w:val="0"/>
                                  <w:marTop w:val="0"/>
                                  <w:marBottom w:val="0"/>
                                  <w:divBdr>
                                    <w:top w:val="none" w:sz="0" w:space="0" w:color="auto"/>
                                    <w:left w:val="none" w:sz="0" w:space="0" w:color="auto"/>
                                    <w:bottom w:val="none" w:sz="0" w:space="0" w:color="auto"/>
                                    <w:right w:val="none" w:sz="0" w:space="0" w:color="auto"/>
                                  </w:divBdr>
                                  <w:divsChild>
                                    <w:div w:id="108515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7485181">
      <w:bodyDiv w:val="1"/>
      <w:marLeft w:val="0"/>
      <w:marRight w:val="0"/>
      <w:marTop w:val="0"/>
      <w:marBottom w:val="0"/>
      <w:divBdr>
        <w:top w:val="none" w:sz="0" w:space="0" w:color="auto"/>
        <w:left w:val="none" w:sz="0" w:space="0" w:color="auto"/>
        <w:bottom w:val="none" w:sz="0" w:space="0" w:color="auto"/>
        <w:right w:val="none" w:sz="0" w:space="0" w:color="auto"/>
      </w:divBdr>
    </w:div>
    <w:div w:id="1157771709">
      <w:bodyDiv w:val="1"/>
      <w:marLeft w:val="0"/>
      <w:marRight w:val="0"/>
      <w:marTop w:val="0"/>
      <w:marBottom w:val="0"/>
      <w:divBdr>
        <w:top w:val="none" w:sz="0" w:space="0" w:color="auto"/>
        <w:left w:val="none" w:sz="0" w:space="0" w:color="auto"/>
        <w:bottom w:val="none" w:sz="0" w:space="0" w:color="auto"/>
        <w:right w:val="none" w:sz="0" w:space="0" w:color="auto"/>
      </w:divBdr>
    </w:div>
    <w:div w:id="1167087296">
      <w:bodyDiv w:val="1"/>
      <w:marLeft w:val="0"/>
      <w:marRight w:val="0"/>
      <w:marTop w:val="0"/>
      <w:marBottom w:val="0"/>
      <w:divBdr>
        <w:top w:val="none" w:sz="0" w:space="0" w:color="auto"/>
        <w:left w:val="none" w:sz="0" w:space="0" w:color="auto"/>
        <w:bottom w:val="none" w:sz="0" w:space="0" w:color="auto"/>
        <w:right w:val="none" w:sz="0" w:space="0" w:color="auto"/>
      </w:divBdr>
    </w:div>
    <w:div w:id="1226188168">
      <w:bodyDiv w:val="1"/>
      <w:marLeft w:val="0"/>
      <w:marRight w:val="0"/>
      <w:marTop w:val="0"/>
      <w:marBottom w:val="0"/>
      <w:divBdr>
        <w:top w:val="none" w:sz="0" w:space="0" w:color="auto"/>
        <w:left w:val="none" w:sz="0" w:space="0" w:color="auto"/>
        <w:bottom w:val="none" w:sz="0" w:space="0" w:color="auto"/>
        <w:right w:val="none" w:sz="0" w:space="0" w:color="auto"/>
      </w:divBdr>
    </w:div>
    <w:div w:id="1302686671">
      <w:bodyDiv w:val="1"/>
      <w:marLeft w:val="0"/>
      <w:marRight w:val="0"/>
      <w:marTop w:val="0"/>
      <w:marBottom w:val="0"/>
      <w:divBdr>
        <w:top w:val="none" w:sz="0" w:space="0" w:color="auto"/>
        <w:left w:val="none" w:sz="0" w:space="0" w:color="auto"/>
        <w:bottom w:val="none" w:sz="0" w:space="0" w:color="auto"/>
        <w:right w:val="none" w:sz="0" w:space="0" w:color="auto"/>
      </w:divBdr>
    </w:div>
    <w:div w:id="1335642376">
      <w:bodyDiv w:val="1"/>
      <w:marLeft w:val="0"/>
      <w:marRight w:val="0"/>
      <w:marTop w:val="0"/>
      <w:marBottom w:val="0"/>
      <w:divBdr>
        <w:top w:val="none" w:sz="0" w:space="0" w:color="auto"/>
        <w:left w:val="none" w:sz="0" w:space="0" w:color="auto"/>
        <w:bottom w:val="none" w:sz="0" w:space="0" w:color="auto"/>
        <w:right w:val="none" w:sz="0" w:space="0" w:color="auto"/>
      </w:divBdr>
    </w:div>
    <w:div w:id="1352533004">
      <w:bodyDiv w:val="1"/>
      <w:marLeft w:val="0"/>
      <w:marRight w:val="0"/>
      <w:marTop w:val="0"/>
      <w:marBottom w:val="0"/>
      <w:divBdr>
        <w:top w:val="none" w:sz="0" w:space="0" w:color="auto"/>
        <w:left w:val="none" w:sz="0" w:space="0" w:color="auto"/>
        <w:bottom w:val="none" w:sz="0" w:space="0" w:color="auto"/>
        <w:right w:val="none" w:sz="0" w:space="0" w:color="auto"/>
      </w:divBdr>
      <w:divsChild>
        <w:div w:id="1419986971">
          <w:marLeft w:val="0"/>
          <w:marRight w:val="0"/>
          <w:marTop w:val="0"/>
          <w:marBottom w:val="0"/>
          <w:divBdr>
            <w:top w:val="none" w:sz="0" w:space="0" w:color="auto"/>
            <w:left w:val="none" w:sz="0" w:space="0" w:color="auto"/>
            <w:bottom w:val="none" w:sz="0" w:space="0" w:color="auto"/>
            <w:right w:val="none" w:sz="0" w:space="0" w:color="auto"/>
          </w:divBdr>
          <w:divsChild>
            <w:div w:id="67700241">
              <w:marLeft w:val="0"/>
              <w:marRight w:val="0"/>
              <w:marTop w:val="0"/>
              <w:marBottom w:val="0"/>
              <w:divBdr>
                <w:top w:val="none" w:sz="0" w:space="0" w:color="auto"/>
                <w:left w:val="none" w:sz="0" w:space="0" w:color="auto"/>
                <w:bottom w:val="none" w:sz="0" w:space="0" w:color="auto"/>
                <w:right w:val="none" w:sz="0" w:space="0" w:color="auto"/>
              </w:divBdr>
              <w:divsChild>
                <w:div w:id="1019161183">
                  <w:marLeft w:val="0"/>
                  <w:marRight w:val="0"/>
                  <w:marTop w:val="0"/>
                  <w:marBottom w:val="0"/>
                  <w:divBdr>
                    <w:top w:val="none" w:sz="0" w:space="0" w:color="auto"/>
                    <w:left w:val="none" w:sz="0" w:space="0" w:color="auto"/>
                    <w:bottom w:val="none" w:sz="0" w:space="0" w:color="auto"/>
                    <w:right w:val="none" w:sz="0" w:space="0" w:color="auto"/>
                  </w:divBdr>
                  <w:divsChild>
                    <w:div w:id="2050644953">
                      <w:marLeft w:val="0"/>
                      <w:marRight w:val="0"/>
                      <w:marTop w:val="0"/>
                      <w:marBottom w:val="0"/>
                      <w:divBdr>
                        <w:top w:val="none" w:sz="0" w:space="0" w:color="auto"/>
                        <w:left w:val="none" w:sz="0" w:space="0" w:color="auto"/>
                        <w:bottom w:val="none" w:sz="0" w:space="0" w:color="auto"/>
                        <w:right w:val="none" w:sz="0" w:space="0" w:color="auto"/>
                      </w:divBdr>
                      <w:divsChild>
                        <w:div w:id="1676296883">
                          <w:marLeft w:val="0"/>
                          <w:marRight w:val="0"/>
                          <w:marTop w:val="0"/>
                          <w:marBottom w:val="0"/>
                          <w:divBdr>
                            <w:top w:val="none" w:sz="0" w:space="0" w:color="auto"/>
                            <w:left w:val="none" w:sz="0" w:space="0" w:color="auto"/>
                            <w:bottom w:val="none" w:sz="0" w:space="0" w:color="auto"/>
                            <w:right w:val="none" w:sz="0" w:space="0" w:color="auto"/>
                          </w:divBdr>
                          <w:divsChild>
                            <w:div w:id="681660958">
                              <w:marLeft w:val="0"/>
                              <w:marRight w:val="0"/>
                              <w:marTop w:val="0"/>
                              <w:marBottom w:val="0"/>
                              <w:divBdr>
                                <w:top w:val="none" w:sz="0" w:space="0" w:color="auto"/>
                                <w:left w:val="none" w:sz="0" w:space="0" w:color="auto"/>
                                <w:bottom w:val="none" w:sz="0" w:space="0" w:color="auto"/>
                                <w:right w:val="none" w:sz="0" w:space="0" w:color="auto"/>
                              </w:divBdr>
                              <w:divsChild>
                                <w:div w:id="1296716436">
                                  <w:marLeft w:val="0"/>
                                  <w:marRight w:val="0"/>
                                  <w:marTop w:val="0"/>
                                  <w:marBottom w:val="0"/>
                                  <w:divBdr>
                                    <w:top w:val="none" w:sz="0" w:space="0" w:color="auto"/>
                                    <w:left w:val="none" w:sz="0" w:space="0" w:color="auto"/>
                                    <w:bottom w:val="none" w:sz="0" w:space="0" w:color="auto"/>
                                    <w:right w:val="none" w:sz="0" w:space="0" w:color="auto"/>
                                  </w:divBdr>
                                  <w:divsChild>
                                    <w:div w:id="163664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2925392">
      <w:bodyDiv w:val="1"/>
      <w:marLeft w:val="0"/>
      <w:marRight w:val="0"/>
      <w:marTop w:val="0"/>
      <w:marBottom w:val="0"/>
      <w:divBdr>
        <w:top w:val="none" w:sz="0" w:space="0" w:color="auto"/>
        <w:left w:val="none" w:sz="0" w:space="0" w:color="auto"/>
        <w:bottom w:val="none" w:sz="0" w:space="0" w:color="auto"/>
        <w:right w:val="none" w:sz="0" w:space="0" w:color="auto"/>
      </w:divBdr>
      <w:divsChild>
        <w:div w:id="313338398">
          <w:marLeft w:val="0"/>
          <w:marRight w:val="0"/>
          <w:marTop w:val="0"/>
          <w:marBottom w:val="0"/>
          <w:divBdr>
            <w:top w:val="none" w:sz="0" w:space="0" w:color="auto"/>
            <w:left w:val="none" w:sz="0" w:space="0" w:color="auto"/>
            <w:bottom w:val="none" w:sz="0" w:space="0" w:color="auto"/>
            <w:right w:val="none" w:sz="0" w:space="0" w:color="auto"/>
          </w:divBdr>
          <w:divsChild>
            <w:div w:id="119356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36844">
      <w:bodyDiv w:val="1"/>
      <w:marLeft w:val="0"/>
      <w:marRight w:val="0"/>
      <w:marTop w:val="0"/>
      <w:marBottom w:val="0"/>
      <w:divBdr>
        <w:top w:val="none" w:sz="0" w:space="0" w:color="auto"/>
        <w:left w:val="none" w:sz="0" w:space="0" w:color="auto"/>
        <w:bottom w:val="none" w:sz="0" w:space="0" w:color="auto"/>
        <w:right w:val="none" w:sz="0" w:space="0" w:color="auto"/>
      </w:divBdr>
    </w:div>
    <w:div w:id="1439716981">
      <w:bodyDiv w:val="1"/>
      <w:marLeft w:val="0"/>
      <w:marRight w:val="0"/>
      <w:marTop w:val="0"/>
      <w:marBottom w:val="0"/>
      <w:divBdr>
        <w:top w:val="none" w:sz="0" w:space="0" w:color="auto"/>
        <w:left w:val="none" w:sz="0" w:space="0" w:color="auto"/>
        <w:bottom w:val="none" w:sz="0" w:space="0" w:color="auto"/>
        <w:right w:val="none" w:sz="0" w:space="0" w:color="auto"/>
      </w:divBdr>
    </w:div>
    <w:div w:id="1442260935">
      <w:bodyDiv w:val="1"/>
      <w:marLeft w:val="0"/>
      <w:marRight w:val="0"/>
      <w:marTop w:val="0"/>
      <w:marBottom w:val="0"/>
      <w:divBdr>
        <w:top w:val="none" w:sz="0" w:space="0" w:color="auto"/>
        <w:left w:val="none" w:sz="0" w:space="0" w:color="auto"/>
        <w:bottom w:val="none" w:sz="0" w:space="0" w:color="auto"/>
        <w:right w:val="none" w:sz="0" w:space="0" w:color="auto"/>
      </w:divBdr>
      <w:divsChild>
        <w:div w:id="436145048">
          <w:marLeft w:val="-720"/>
          <w:marRight w:val="0"/>
          <w:marTop w:val="0"/>
          <w:marBottom w:val="0"/>
          <w:divBdr>
            <w:top w:val="none" w:sz="0" w:space="0" w:color="auto"/>
            <w:left w:val="none" w:sz="0" w:space="0" w:color="auto"/>
            <w:bottom w:val="none" w:sz="0" w:space="0" w:color="auto"/>
            <w:right w:val="none" w:sz="0" w:space="0" w:color="auto"/>
          </w:divBdr>
        </w:div>
      </w:divsChild>
    </w:div>
    <w:div w:id="1502159561">
      <w:bodyDiv w:val="1"/>
      <w:marLeft w:val="0"/>
      <w:marRight w:val="0"/>
      <w:marTop w:val="0"/>
      <w:marBottom w:val="0"/>
      <w:divBdr>
        <w:top w:val="none" w:sz="0" w:space="0" w:color="auto"/>
        <w:left w:val="none" w:sz="0" w:space="0" w:color="auto"/>
        <w:bottom w:val="none" w:sz="0" w:space="0" w:color="auto"/>
        <w:right w:val="none" w:sz="0" w:space="0" w:color="auto"/>
      </w:divBdr>
    </w:div>
    <w:div w:id="1502890846">
      <w:bodyDiv w:val="1"/>
      <w:marLeft w:val="0"/>
      <w:marRight w:val="0"/>
      <w:marTop w:val="0"/>
      <w:marBottom w:val="0"/>
      <w:divBdr>
        <w:top w:val="none" w:sz="0" w:space="0" w:color="auto"/>
        <w:left w:val="none" w:sz="0" w:space="0" w:color="auto"/>
        <w:bottom w:val="none" w:sz="0" w:space="0" w:color="auto"/>
        <w:right w:val="none" w:sz="0" w:space="0" w:color="auto"/>
      </w:divBdr>
    </w:div>
    <w:div w:id="1515683471">
      <w:bodyDiv w:val="1"/>
      <w:marLeft w:val="0"/>
      <w:marRight w:val="0"/>
      <w:marTop w:val="0"/>
      <w:marBottom w:val="0"/>
      <w:divBdr>
        <w:top w:val="none" w:sz="0" w:space="0" w:color="auto"/>
        <w:left w:val="none" w:sz="0" w:space="0" w:color="auto"/>
        <w:bottom w:val="none" w:sz="0" w:space="0" w:color="auto"/>
        <w:right w:val="none" w:sz="0" w:space="0" w:color="auto"/>
      </w:divBdr>
      <w:divsChild>
        <w:div w:id="2002734251">
          <w:marLeft w:val="0"/>
          <w:marRight w:val="0"/>
          <w:marTop w:val="0"/>
          <w:marBottom w:val="0"/>
          <w:divBdr>
            <w:top w:val="none" w:sz="0" w:space="0" w:color="auto"/>
            <w:left w:val="none" w:sz="0" w:space="0" w:color="auto"/>
            <w:bottom w:val="none" w:sz="0" w:space="0" w:color="auto"/>
            <w:right w:val="none" w:sz="0" w:space="0" w:color="auto"/>
          </w:divBdr>
          <w:divsChild>
            <w:div w:id="154895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281856">
      <w:bodyDiv w:val="1"/>
      <w:marLeft w:val="0"/>
      <w:marRight w:val="0"/>
      <w:marTop w:val="0"/>
      <w:marBottom w:val="0"/>
      <w:divBdr>
        <w:top w:val="none" w:sz="0" w:space="0" w:color="auto"/>
        <w:left w:val="none" w:sz="0" w:space="0" w:color="auto"/>
        <w:bottom w:val="none" w:sz="0" w:space="0" w:color="auto"/>
        <w:right w:val="none" w:sz="0" w:space="0" w:color="auto"/>
      </w:divBdr>
      <w:divsChild>
        <w:div w:id="1654480575">
          <w:marLeft w:val="0"/>
          <w:marRight w:val="0"/>
          <w:marTop w:val="0"/>
          <w:marBottom w:val="0"/>
          <w:divBdr>
            <w:top w:val="none" w:sz="0" w:space="0" w:color="auto"/>
            <w:left w:val="none" w:sz="0" w:space="0" w:color="auto"/>
            <w:bottom w:val="none" w:sz="0" w:space="0" w:color="auto"/>
            <w:right w:val="none" w:sz="0" w:space="0" w:color="auto"/>
          </w:divBdr>
          <w:divsChild>
            <w:div w:id="128727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7213">
      <w:bodyDiv w:val="1"/>
      <w:marLeft w:val="0"/>
      <w:marRight w:val="0"/>
      <w:marTop w:val="0"/>
      <w:marBottom w:val="0"/>
      <w:divBdr>
        <w:top w:val="none" w:sz="0" w:space="0" w:color="auto"/>
        <w:left w:val="none" w:sz="0" w:space="0" w:color="auto"/>
        <w:bottom w:val="none" w:sz="0" w:space="0" w:color="auto"/>
        <w:right w:val="none" w:sz="0" w:space="0" w:color="auto"/>
      </w:divBdr>
      <w:divsChild>
        <w:div w:id="2586352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24227638">
          <w:blockQuote w:val="1"/>
          <w:marLeft w:val="720"/>
          <w:marRight w:val="720"/>
          <w:marTop w:val="100"/>
          <w:marBottom w:val="100"/>
          <w:divBdr>
            <w:top w:val="none" w:sz="0" w:space="0" w:color="auto"/>
            <w:left w:val="none" w:sz="0" w:space="0" w:color="auto"/>
            <w:bottom w:val="none" w:sz="0" w:space="0" w:color="auto"/>
            <w:right w:val="none" w:sz="0" w:space="0" w:color="auto"/>
          </w:divBdr>
        </w:div>
        <w:div w:id="1653362073">
          <w:blockQuote w:val="1"/>
          <w:marLeft w:val="720"/>
          <w:marRight w:val="720"/>
          <w:marTop w:val="100"/>
          <w:marBottom w:val="100"/>
          <w:divBdr>
            <w:top w:val="none" w:sz="0" w:space="0" w:color="auto"/>
            <w:left w:val="none" w:sz="0" w:space="0" w:color="auto"/>
            <w:bottom w:val="none" w:sz="0" w:space="0" w:color="auto"/>
            <w:right w:val="none" w:sz="0" w:space="0" w:color="auto"/>
          </w:divBdr>
        </w:div>
        <w:div w:id="815416954">
          <w:marLeft w:val="0"/>
          <w:marRight w:val="0"/>
          <w:marTop w:val="0"/>
          <w:marBottom w:val="0"/>
          <w:divBdr>
            <w:top w:val="none" w:sz="0" w:space="0" w:color="auto"/>
            <w:left w:val="none" w:sz="0" w:space="0" w:color="auto"/>
            <w:bottom w:val="none" w:sz="0" w:space="0" w:color="auto"/>
            <w:right w:val="none" w:sz="0" w:space="0" w:color="auto"/>
          </w:divBdr>
          <w:divsChild>
            <w:div w:id="1139690996">
              <w:marLeft w:val="0"/>
              <w:marRight w:val="0"/>
              <w:marTop w:val="0"/>
              <w:marBottom w:val="0"/>
              <w:divBdr>
                <w:top w:val="none" w:sz="0" w:space="0" w:color="auto"/>
                <w:left w:val="none" w:sz="0" w:space="0" w:color="auto"/>
                <w:bottom w:val="none" w:sz="0" w:space="0" w:color="auto"/>
                <w:right w:val="none" w:sz="0" w:space="0" w:color="auto"/>
              </w:divBdr>
            </w:div>
          </w:divsChild>
        </w:div>
        <w:div w:id="1750730296">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5600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0563661">
          <w:marLeft w:val="0"/>
          <w:marRight w:val="0"/>
          <w:marTop w:val="0"/>
          <w:marBottom w:val="0"/>
          <w:divBdr>
            <w:top w:val="none" w:sz="0" w:space="0" w:color="auto"/>
            <w:left w:val="none" w:sz="0" w:space="0" w:color="auto"/>
            <w:bottom w:val="none" w:sz="0" w:space="0" w:color="auto"/>
            <w:right w:val="none" w:sz="0" w:space="0" w:color="auto"/>
          </w:divBdr>
          <w:divsChild>
            <w:div w:id="2001032965">
              <w:marLeft w:val="0"/>
              <w:marRight w:val="0"/>
              <w:marTop w:val="0"/>
              <w:marBottom w:val="0"/>
              <w:divBdr>
                <w:top w:val="none" w:sz="0" w:space="0" w:color="auto"/>
                <w:left w:val="none" w:sz="0" w:space="0" w:color="auto"/>
                <w:bottom w:val="none" w:sz="0" w:space="0" w:color="auto"/>
                <w:right w:val="none" w:sz="0" w:space="0" w:color="auto"/>
              </w:divBdr>
            </w:div>
          </w:divsChild>
        </w:div>
        <w:div w:id="125049388">
          <w:blockQuote w:val="1"/>
          <w:marLeft w:val="720"/>
          <w:marRight w:val="720"/>
          <w:marTop w:val="100"/>
          <w:marBottom w:val="100"/>
          <w:divBdr>
            <w:top w:val="none" w:sz="0" w:space="0" w:color="auto"/>
            <w:left w:val="none" w:sz="0" w:space="0" w:color="auto"/>
            <w:bottom w:val="none" w:sz="0" w:space="0" w:color="auto"/>
            <w:right w:val="none" w:sz="0" w:space="0" w:color="auto"/>
          </w:divBdr>
        </w:div>
        <w:div w:id="618531649">
          <w:blockQuote w:val="1"/>
          <w:marLeft w:val="720"/>
          <w:marRight w:val="720"/>
          <w:marTop w:val="100"/>
          <w:marBottom w:val="100"/>
          <w:divBdr>
            <w:top w:val="none" w:sz="0" w:space="0" w:color="auto"/>
            <w:left w:val="none" w:sz="0" w:space="0" w:color="auto"/>
            <w:bottom w:val="none" w:sz="0" w:space="0" w:color="auto"/>
            <w:right w:val="none" w:sz="0" w:space="0" w:color="auto"/>
          </w:divBdr>
        </w:div>
        <w:div w:id="1312754366">
          <w:blockQuote w:val="1"/>
          <w:marLeft w:val="720"/>
          <w:marRight w:val="720"/>
          <w:marTop w:val="100"/>
          <w:marBottom w:val="100"/>
          <w:divBdr>
            <w:top w:val="none" w:sz="0" w:space="0" w:color="auto"/>
            <w:left w:val="none" w:sz="0" w:space="0" w:color="auto"/>
            <w:bottom w:val="none" w:sz="0" w:space="0" w:color="auto"/>
            <w:right w:val="none" w:sz="0" w:space="0" w:color="auto"/>
          </w:divBdr>
        </w:div>
        <w:div w:id="777259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085884047">
          <w:marLeft w:val="0"/>
          <w:marRight w:val="0"/>
          <w:marTop w:val="0"/>
          <w:marBottom w:val="0"/>
          <w:divBdr>
            <w:top w:val="none" w:sz="0" w:space="0" w:color="auto"/>
            <w:left w:val="none" w:sz="0" w:space="0" w:color="auto"/>
            <w:bottom w:val="none" w:sz="0" w:space="0" w:color="auto"/>
            <w:right w:val="none" w:sz="0" w:space="0" w:color="auto"/>
          </w:divBdr>
          <w:divsChild>
            <w:div w:id="260380458">
              <w:marLeft w:val="0"/>
              <w:marRight w:val="0"/>
              <w:marTop w:val="0"/>
              <w:marBottom w:val="0"/>
              <w:divBdr>
                <w:top w:val="none" w:sz="0" w:space="0" w:color="auto"/>
                <w:left w:val="none" w:sz="0" w:space="0" w:color="auto"/>
                <w:bottom w:val="none" w:sz="0" w:space="0" w:color="auto"/>
                <w:right w:val="none" w:sz="0" w:space="0" w:color="auto"/>
              </w:divBdr>
            </w:div>
          </w:divsChild>
        </w:div>
        <w:div w:id="11686414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265663">
      <w:bodyDiv w:val="1"/>
      <w:marLeft w:val="0"/>
      <w:marRight w:val="0"/>
      <w:marTop w:val="0"/>
      <w:marBottom w:val="0"/>
      <w:divBdr>
        <w:top w:val="none" w:sz="0" w:space="0" w:color="auto"/>
        <w:left w:val="none" w:sz="0" w:space="0" w:color="auto"/>
        <w:bottom w:val="none" w:sz="0" w:space="0" w:color="auto"/>
        <w:right w:val="none" w:sz="0" w:space="0" w:color="auto"/>
      </w:divBdr>
    </w:div>
    <w:div w:id="1697729316">
      <w:bodyDiv w:val="1"/>
      <w:marLeft w:val="0"/>
      <w:marRight w:val="0"/>
      <w:marTop w:val="0"/>
      <w:marBottom w:val="0"/>
      <w:divBdr>
        <w:top w:val="none" w:sz="0" w:space="0" w:color="auto"/>
        <w:left w:val="none" w:sz="0" w:space="0" w:color="auto"/>
        <w:bottom w:val="none" w:sz="0" w:space="0" w:color="auto"/>
        <w:right w:val="none" w:sz="0" w:space="0" w:color="auto"/>
      </w:divBdr>
    </w:div>
    <w:div w:id="1715812134">
      <w:bodyDiv w:val="1"/>
      <w:marLeft w:val="0"/>
      <w:marRight w:val="0"/>
      <w:marTop w:val="0"/>
      <w:marBottom w:val="0"/>
      <w:divBdr>
        <w:top w:val="none" w:sz="0" w:space="0" w:color="auto"/>
        <w:left w:val="none" w:sz="0" w:space="0" w:color="auto"/>
        <w:bottom w:val="none" w:sz="0" w:space="0" w:color="auto"/>
        <w:right w:val="none" w:sz="0" w:space="0" w:color="auto"/>
      </w:divBdr>
      <w:divsChild>
        <w:div w:id="486168531">
          <w:marLeft w:val="0"/>
          <w:marRight w:val="0"/>
          <w:marTop w:val="0"/>
          <w:marBottom w:val="0"/>
          <w:divBdr>
            <w:top w:val="none" w:sz="0" w:space="0" w:color="auto"/>
            <w:left w:val="none" w:sz="0" w:space="0" w:color="auto"/>
            <w:bottom w:val="none" w:sz="0" w:space="0" w:color="auto"/>
            <w:right w:val="none" w:sz="0" w:space="0" w:color="auto"/>
          </w:divBdr>
          <w:divsChild>
            <w:div w:id="153819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034154">
      <w:bodyDiv w:val="1"/>
      <w:marLeft w:val="0"/>
      <w:marRight w:val="0"/>
      <w:marTop w:val="0"/>
      <w:marBottom w:val="0"/>
      <w:divBdr>
        <w:top w:val="none" w:sz="0" w:space="0" w:color="auto"/>
        <w:left w:val="none" w:sz="0" w:space="0" w:color="auto"/>
        <w:bottom w:val="none" w:sz="0" w:space="0" w:color="auto"/>
        <w:right w:val="none" w:sz="0" w:space="0" w:color="auto"/>
      </w:divBdr>
    </w:div>
    <w:div w:id="1747921195">
      <w:bodyDiv w:val="1"/>
      <w:marLeft w:val="0"/>
      <w:marRight w:val="0"/>
      <w:marTop w:val="0"/>
      <w:marBottom w:val="0"/>
      <w:divBdr>
        <w:top w:val="none" w:sz="0" w:space="0" w:color="auto"/>
        <w:left w:val="none" w:sz="0" w:space="0" w:color="auto"/>
        <w:bottom w:val="none" w:sz="0" w:space="0" w:color="auto"/>
        <w:right w:val="none" w:sz="0" w:space="0" w:color="auto"/>
      </w:divBdr>
    </w:div>
    <w:div w:id="1754741470">
      <w:bodyDiv w:val="1"/>
      <w:marLeft w:val="0"/>
      <w:marRight w:val="0"/>
      <w:marTop w:val="0"/>
      <w:marBottom w:val="0"/>
      <w:divBdr>
        <w:top w:val="none" w:sz="0" w:space="0" w:color="auto"/>
        <w:left w:val="none" w:sz="0" w:space="0" w:color="auto"/>
        <w:bottom w:val="none" w:sz="0" w:space="0" w:color="auto"/>
        <w:right w:val="none" w:sz="0" w:space="0" w:color="auto"/>
      </w:divBdr>
    </w:div>
    <w:div w:id="1779374535">
      <w:bodyDiv w:val="1"/>
      <w:marLeft w:val="0"/>
      <w:marRight w:val="0"/>
      <w:marTop w:val="0"/>
      <w:marBottom w:val="0"/>
      <w:divBdr>
        <w:top w:val="none" w:sz="0" w:space="0" w:color="auto"/>
        <w:left w:val="none" w:sz="0" w:space="0" w:color="auto"/>
        <w:bottom w:val="none" w:sz="0" w:space="0" w:color="auto"/>
        <w:right w:val="none" w:sz="0" w:space="0" w:color="auto"/>
      </w:divBdr>
    </w:div>
    <w:div w:id="1798837071">
      <w:bodyDiv w:val="1"/>
      <w:marLeft w:val="0"/>
      <w:marRight w:val="0"/>
      <w:marTop w:val="0"/>
      <w:marBottom w:val="0"/>
      <w:divBdr>
        <w:top w:val="none" w:sz="0" w:space="0" w:color="auto"/>
        <w:left w:val="none" w:sz="0" w:space="0" w:color="auto"/>
        <w:bottom w:val="none" w:sz="0" w:space="0" w:color="auto"/>
        <w:right w:val="none" w:sz="0" w:space="0" w:color="auto"/>
      </w:divBdr>
      <w:divsChild>
        <w:div w:id="548960050">
          <w:marLeft w:val="0"/>
          <w:marRight w:val="0"/>
          <w:marTop w:val="0"/>
          <w:marBottom w:val="0"/>
          <w:divBdr>
            <w:top w:val="none" w:sz="0" w:space="0" w:color="auto"/>
            <w:left w:val="none" w:sz="0" w:space="0" w:color="auto"/>
            <w:bottom w:val="none" w:sz="0" w:space="0" w:color="auto"/>
            <w:right w:val="none" w:sz="0" w:space="0" w:color="auto"/>
          </w:divBdr>
          <w:divsChild>
            <w:div w:id="121754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108440">
      <w:bodyDiv w:val="1"/>
      <w:marLeft w:val="0"/>
      <w:marRight w:val="0"/>
      <w:marTop w:val="0"/>
      <w:marBottom w:val="0"/>
      <w:divBdr>
        <w:top w:val="none" w:sz="0" w:space="0" w:color="auto"/>
        <w:left w:val="none" w:sz="0" w:space="0" w:color="auto"/>
        <w:bottom w:val="none" w:sz="0" w:space="0" w:color="auto"/>
        <w:right w:val="none" w:sz="0" w:space="0" w:color="auto"/>
      </w:divBdr>
    </w:div>
    <w:div w:id="1799910688">
      <w:bodyDiv w:val="1"/>
      <w:marLeft w:val="0"/>
      <w:marRight w:val="0"/>
      <w:marTop w:val="0"/>
      <w:marBottom w:val="0"/>
      <w:divBdr>
        <w:top w:val="none" w:sz="0" w:space="0" w:color="auto"/>
        <w:left w:val="none" w:sz="0" w:space="0" w:color="auto"/>
        <w:bottom w:val="none" w:sz="0" w:space="0" w:color="auto"/>
        <w:right w:val="none" w:sz="0" w:space="0" w:color="auto"/>
      </w:divBdr>
    </w:div>
    <w:div w:id="1805001238">
      <w:bodyDiv w:val="1"/>
      <w:marLeft w:val="0"/>
      <w:marRight w:val="0"/>
      <w:marTop w:val="0"/>
      <w:marBottom w:val="0"/>
      <w:divBdr>
        <w:top w:val="none" w:sz="0" w:space="0" w:color="auto"/>
        <w:left w:val="none" w:sz="0" w:space="0" w:color="auto"/>
        <w:bottom w:val="none" w:sz="0" w:space="0" w:color="auto"/>
        <w:right w:val="none" w:sz="0" w:space="0" w:color="auto"/>
      </w:divBdr>
      <w:divsChild>
        <w:div w:id="1064447459">
          <w:marLeft w:val="0"/>
          <w:marRight w:val="0"/>
          <w:marTop w:val="0"/>
          <w:marBottom w:val="0"/>
          <w:divBdr>
            <w:top w:val="none" w:sz="0" w:space="0" w:color="auto"/>
            <w:left w:val="none" w:sz="0" w:space="0" w:color="auto"/>
            <w:bottom w:val="none" w:sz="0" w:space="0" w:color="auto"/>
            <w:right w:val="none" w:sz="0" w:space="0" w:color="auto"/>
          </w:divBdr>
          <w:divsChild>
            <w:div w:id="1872692503">
              <w:marLeft w:val="0"/>
              <w:marRight w:val="0"/>
              <w:marTop w:val="0"/>
              <w:marBottom w:val="0"/>
              <w:divBdr>
                <w:top w:val="none" w:sz="0" w:space="0" w:color="auto"/>
                <w:left w:val="none" w:sz="0" w:space="0" w:color="auto"/>
                <w:bottom w:val="none" w:sz="0" w:space="0" w:color="auto"/>
                <w:right w:val="none" w:sz="0" w:space="0" w:color="auto"/>
              </w:divBdr>
              <w:divsChild>
                <w:div w:id="1597246421">
                  <w:marLeft w:val="0"/>
                  <w:marRight w:val="0"/>
                  <w:marTop w:val="0"/>
                  <w:marBottom w:val="0"/>
                  <w:divBdr>
                    <w:top w:val="none" w:sz="0" w:space="0" w:color="auto"/>
                    <w:left w:val="none" w:sz="0" w:space="0" w:color="auto"/>
                    <w:bottom w:val="none" w:sz="0" w:space="0" w:color="auto"/>
                    <w:right w:val="none" w:sz="0" w:space="0" w:color="auto"/>
                  </w:divBdr>
                  <w:divsChild>
                    <w:div w:id="164979298">
                      <w:marLeft w:val="0"/>
                      <w:marRight w:val="0"/>
                      <w:marTop w:val="0"/>
                      <w:marBottom w:val="0"/>
                      <w:divBdr>
                        <w:top w:val="none" w:sz="0" w:space="0" w:color="auto"/>
                        <w:left w:val="none" w:sz="0" w:space="0" w:color="auto"/>
                        <w:bottom w:val="none" w:sz="0" w:space="0" w:color="auto"/>
                        <w:right w:val="none" w:sz="0" w:space="0" w:color="auto"/>
                      </w:divBdr>
                      <w:divsChild>
                        <w:div w:id="1137993342">
                          <w:marLeft w:val="0"/>
                          <w:marRight w:val="0"/>
                          <w:marTop w:val="0"/>
                          <w:marBottom w:val="0"/>
                          <w:divBdr>
                            <w:top w:val="none" w:sz="0" w:space="0" w:color="auto"/>
                            <w:left w:val="none" w:sz="0" w:space="0" w:color="auto"/>
                            <w:bottom w:val="none" w:sz="0" w:space="0" w:color="auto"/>
                            <w:right w:val="none" w:sz="0" w:space="0" w:color="auto"/>
                          </w:divBdr>
                          <w:divsChild>
                            <w:div w:id="212903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5760510">
      <w:bodyDiv w:val="1"/>
      <w:marLeft w:val="0"/>
      <w:marRight w:val="0"/>
      <w:marTop w:val="0"/>
      <w:marBottom w:val="0"/>
      <w:divBdr>
        <w:top w:val="none" w:sz="0" w:space="0" w:color="auto"/>
        <w:left w:val="none" w:sz="0" w:space="0" w:color="auto"/>
        <w:bottom w:val="none" w:sz="0" w:space="0" w:color="auto"/>
        <w:right w:val="none" w:sz="0" w:space="0" w:color="auto"/>
      </w:divBdr>
    </w:div>
    <w:div w:id="1833333736">
      <w:bodyDiv w:val="1"/>
      <w:marLeft w:val="0"/>
      <w:marRight w:val="0"/>
      <w:marTop w:val="0"/>
      <w:marBottom w:val="0"/>
      <w:divBdr>
        <w:top w:val="none" w:sz="0" w:space="0" w:color="auto"/>
        <w:left w:val="none" w:sz="0" w:space="0" w:color="auto"/>
        <w:bottom w:val="none" w:sz="0" w:space="0" w:color="auto"/>
        <w:right w:val="none" w:sz="0" w:space="0" w:color="auto"/>
      </w:divBdr>
      <w:divsChild>
        <w:div w:id="489492390">
          <w:marLeft w:val="0"/>
          <w:marRight w:val="0"/>
          <w:marTop w:val="0"/>
          <w:marBottom w:val="0"/>
          <w:divBdr>
            <w:top w:val="none" w:sz="0" w:space="0" w:color="auto"/>
            <w:left w:val="none" w:sz="0" w:space="0" w:color="auto"/>
            <w:bottom w:val="none" w:sz="0" w:space="0" w:color="auto"/>
            <w:right w:val="none" w:sz="0" w:space="0" w:color="auto"/>
          </w:divBdr>
          <w:divsChild>
            <w:div w:id="152740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07947">
      <w:bodyDiv w:val="1"/>
      <w:marLeft w:val="0"/>
      <w:marRight w:val="0"/>
      <w:marTop w:val="0"/>
      <w:marBottom w:val="0"/>
      <w:divBdr>
        <w:top w:val="none" w:sz="0" w:space="0" w:color="auto"/>
        <w:left w:val="none" w:sz="0" w:space="0" w:color="auto"/>
        <w:bottom w:val="none" w:sz="0" w:space="0" w:color="auto"/>
        <w:right w:val="none" w:sz="0" w:space="0" w:color="auto"/>
      </w:divBdr>
      <w:divsChild>
        <w:div w:id="968168662">
          <w:marLeft w:val="0"/>
          <w:marRight w:val="0"/>
          <w:marTop w:val="0"/>
          <w:marBottom w:val="0"/>
          <w:divBdr>
            <w:top w:val="none" w:sz="0" w:space="0" w:color="auto"/>
            <w:left w:val="none" w:sz="0" w:space="0" w:color="auto"/>
            <w:bottom w:val="none" w:sz="0" w:space="0" w:color="auto"/>
            <w:right w:val="none" w:sz="0" w:space="0" w:color="auto"/>
          </w:divBdr>
          <w:divsChild>
            <w:div w:id="116801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114857">
      <w:bodyDiv w:val="1"/>
      <w:marLeft w:val="0"/>
      <w:marRight w:val="0"/>
      <w:marTop w:val="0"/>
      <w:marBottom w:val="0"/>
      <w:divBdr>
        <w:top w:val="none" w:sz="0" w:space="0" w:color="auto"/>
        <w:left w:val="none" w:sz="0" w:space="0" w:color="auto"/>
        <w:bottom w:val="none" w:sz="0" w:space="0" w:color="auto"/>
        <w:right w:val="none" w:sz="0" w:space="0" w:color="auto"/>
      </w:divBdr>
      <w:divsChild>
        <w:div w:id="1368220365">
          <w:marLeft w:val="0"/>
          <w:marRight w:val="0"/>
          <w:marTop w:val="0"/>
          <w:marBottom w:val="0"/>
          <w:divBdr>
            <w:top w:val="none" w:sz="0" w:space="0" w:color="auto"/>
            <w:left w:val="none" w:sz="0" w:space="0" w:color="auto"/>
            <w:bottom w:val="none" w:sz="0" w:space="0" w:color="auto"/>
            <w:right w:val="none" w:sz="0" w:space="0" w:color="auto"/>
          </w:divBdr>
          <w:divsChild>
            <w:div w:id="395982497">
              <w:marLeft w:val="0"/>
              <w:marRight w:val="0"/>
              <w:marTop w:val="0"/>
              <w:marBottom w:val="0"/>
              <w:divBdr>
                <w:top w:val="none" w:sz="0" w:space="0" w:color="auto"/>
                <w:left w:val="none" w:sz="0" w:space="0" w:color="auto"/>
                <w:bottom w:val="none" w:sz="0" w:space="0" w:color="auto"/>
                <w:right w:val="none" w:sz="0" w:space="0" w:color="auto"/>
              </w:divBdr>
              <w:divsChild>
                <w:div w:id="813714805">
                  <w:marLeft w:val="0"/>
                  <w:marRight w:val="0"/>
                  <w:marTop w:val="0"/>
                  <w:marBottom w:val="0"/>
                  <w:divBdr>
                    <w:top w:val="none" w:sz="0" w:space="0" w:color="auto"/>
                    <w:left w:val="none" w:sz="0" w:space="0" w:color="auto"/>
                    <w:bottom w:val="none" w:sz="0" w:space="0" w:color="auto"/>
                    <w:right w:val="none" w:sz="0" w:space="0" w:color="auto"/>
                  </w:divBdr>
                  <w:divsChild>
                    <w:div w:id="490566312">
                      <w:marLeft w:val="0"/>
                      <w:marRight w:val="0"/>
                      <w:marTop w:val="0"/>
                      <w:marBottom w:val="0"/>
                      <w:divBdr>
                        <w:top w:val="none" w:sz="0" w:space="0" w:color="auto"/>
                        <w:left w:val="none" w:sz="0" w:space="0" w:color="auto"/>
                        <w:bottom w:val="none" w:sz="0" w:space="0" w:color="auto"/>
                        <w:right w:val="none" w:sz="0" w:space="0" w:color="auto"/>
                      </w:divBdr>
                      <w:divsChild>
                        <w:div w:id="114905234">
                          <w:marLeft w:val="0"/>
                          <w:marRight w:val="0"/>
                          <w:marTop w:val="0"/>
                          <w:marBottom w:val="0"/>
                          <w:divBdr>
                            <w:top w:val="none" w:sz="0" w:space="0" w:color="auto"/>
                            <w:left w:val="none" w:sz="0" w:space="0" w:color="auto"/>
                            <w:bottom w:val="none" w:sz="0" w:space="0" w:color="auto"/>
                            <w:right w:val="none" w:sz="0" w:space="0" w:color="auto"/>
                          </w:divBdr>
                          <w:divsChild>
                            <w:div w:id="436489548">
                              <w:marLeft w:val="0"/>
                              <w:marRight w:val="0"/>
                              <w:marTop w:val="0"/>
                              <w:marBottom w:val="0"/>
                              <w:divBdr>
                                <w:top w:val="none" w:sz="0" w:space="0" w:color="auto"/>
                                <w:left w:val="none" w:sz="0" w:space="0" w:color="auto"/>
                                <w:bottom w:val="none" w:sz="0" w:space="0" w:color="auto"/>
                                <w:right w:val="none" w:sz="0" w:space="0" w:color="auto"/>
                              </w:divBdr>
                              <w:divsChild>
                                <w:div w:id="886523886">
                                  <w:marLeft w:val="0"/>
                                  <w:marRight w:val="0"/>
                                  <w:marTop w:val="0"/>
                                  <w:marBottom w:val="0"/>
                                  <w:divBdr>
                                    <w:top w:val="none" w:sz="0" w:space="0" w:color="auto"/>
                                    <w:left w:val="none" w:sz="0" w:space="0" w:color="auto"/>
                                    <w:bottom w:val="none" w:sz="0" w:space="0" w:color="auto"/>
                                    <w:right w:val="none" w:sz="0" w:space="0" w:color="auto"/>
                                  </w:divBdr>
                                  <w:divsChild>
                                    <w:div w:id="87099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8617548">
      <w:bodyDiv w:val="1"/>
      <w:marLeft w:val="0"/>
      <w:marRight w:val="0"/>
      <w:marTop w:val="0"/>
      <w:marBottom w:val="0"/>
      <w:divBdr>
        <w:top w:val="none" w:sz="0" w:space="0" w:color="auto"/>
        <w:left w:val="none" w:sz="0" w:space="0" w:color="auto"/>
        <w:bottom w:val="none" w:sz="0" w:space="0" w:color="auto"/>
        <w:right w:val="none" w:sz="0" w:space="0" w:color="auto"/>
      </w:divBdr>
    </w:div>
    <w:div w:id="1882399808">
      <w:bodyDiv w:val="1"/>
      <w:marLeft w:val="0"/>
      <w:marRight w:val="0"/>
      <w:marTop w:val="0"/>
      <w:marBottom w:val="0"/>
      <w:divBdr>
        <w:top w:val="none" w:sz="0" w:space="0" w:color="auto"/>
        <w:left w:val="none" w:sz="0" w:space="0" w:color="auto"/>
        <w:bottom w:val="none" w:sz="0" w:space="0" w:color="auto"/>
        <w:right w:val="none" w:sz="0" w:space="0" w:color="auto"/>
      </w:divBdr>
      <w:divsChild>
        <w:div w:id="2059936056">
          <w:marLeft w:val="-720"/>
          <w:marRight w:val="0"/>
          <w:marTop w:val="0"/>
          <w:marBottom w:val="0"/>
          <w:divBdr>
            <w:top w:val="none" w:sz="0" w:space="0" w:color="auto"/>
            <w:left w:val="none" w:sz="0" w:space="0" w:color="auto"/>
            <w:bottom w:val="none" w:sz="0" w:space="0" w:color="auto"/>
            <w:right w:val="none" w:sz="0" w:space="0" w:color="auto"/>
          </w:divBdr>
        </w:div>
      </w:divsChild>
    </w:div>
    <w:div w:id="1907832661">
      <w:bodyDiv w:val="1"/>
      <w:marLeft w:val="0"/>
      <w:marRight w:val="0"/>
      <w:marTop w:val="0"/>
      <w:marBottom w:val="0"/>
      <w:divBdr>
        <w:top w:val="none" w:sz="0" w:space="0" w:color="auto"/>
        <w:left w:val="none" w:sz="0" w:space="0" w:color="auto"/>
        <w:bottom w:val="none" w:sz="0" w:space="0" w:color="auto"/>
        <w:right w:val="none" w:sz="0" w:space="0" w:color="auto"/>
      </w:divBdr>
      <w:divsChild>
        <w:div w:id="1082723802">
          <w:marLeft w:val="0"/>
          <w:marRight w:val="0"/>
          <w:marTop w:val="0"/>
          <w:marBottom w:val="0"/>
          <w:divBdr>
            <w:top w:val="none" w:sz="0" w:space="0" w:color="auto"/>
            <w:left w:val="none" w:sz="0" w:space="0" w:color="auto"/>
            <w:bottom w:val="none" w:sz="0" w:space="0" w:color="auto"/>
            <w:right w:val="none" w:sz="0" w:space="0" w:color="auto"/>
          </w:divBdr>
          <w:divsChild>
            <w:div w:id="147167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9433">
      <w:bodyDiv w:val="1"/>
      <w:marLeft w:val="0"/>
      <w:marRight w:val="0"/>
      <w:marTop w:val="0"/>
      <w:marBottom w:val="0"/>
      <w:divBdr>
        <w:top w:val="none" w:sz="0" w:space="0" w:color="auto"/>
        <w:left w:val="none" w:sz="0" w:space="0" w:color="auto"/>
        <w:bottom w:val="none" w:sz="0" w:space="0" w:color="auto"/>
        <w:right w:val="none" w:sz="0" w:space="0" w:color="auto"/>
      </w:divBdr>
      <w:divsChild>
        <w:div w:id="1405907592">
          <w:marLeft w:val="0"/>
          <w:marRight w:val="0"/>
          <w:marTop w:val="0"/>
          <w:marBottom w:val="0"/>
          <w:divBdr>
            <w:top w:val="none" w:sz="0" w:space="0" w:color="auto"/>
            <w:left w:val="none" w:sz="0" w:space="0" w:color="auto"/>
            <w:bottom w:val="none" w:sz="0" w:space="0" w:color="auto"/>
            <w:right w:val="none" w:sz="0" w:space="0" w:color="auto"/>
          </w:divBdr>
          <w:divsChild>
            <w:div w:id="194854485">
              <w:marLeft w:val="0"/>
              <w:marRight w:val="0"/>
              <w:marTop w:val="0"/>
              <w:marBottom w:val="0"/>
              <w:divBdr>
                <w:top w:val="none" w:sz="0" w:space="0" w:color="auto"/>
                <w:left w:val="none" w:sz="0" w:space="0" w:color="auto"/>
                <w:bottom w:val="none" w:sz="0" w:space="0" w:color="auto"/>
                <w:right w:val="none" w:sz="0" w:space="0" w:color="auto"/>
              </w:divBdr>
              <w:divsChild>
                <w:div w:id="1030031017">
                  <w:marLeft w:val="0"/>
                  <w:marRight w:val="0"/>
                  <w:marTop w:val="0"/>
                  <w:marBottom w:val="0"/>
                  <w:divBdr>
                    <w:top w:val="none" w:sz="0" w:space="0" w:color="auto"/>
                    <w:left w:val="none" w:sz="0" w:space="0" w:color="auto"/>
                    <w:bottom w:val="none" w:sz="0" w:space="0" w:color="auto"/>
                    <w:right w:val="none" w:sz="0" w:space="0" w:color="auto"/>
                  </w:divBdr>
                  <w:divsChild>
                    <w:div w:id="35278178">
                      <w:marLeft w:val="0"/>
                      <w:marRight w:val="0"/>
                      <w:marTop w:val="0"/>
                      <w:marBottom w:val="0"/>
                      <w:divBdr>
                        <w:top w:val="none" w:sz="0" w:space="0" w:color="auto"/>
                        <w:left w:val="none" w:sz="0" w:space="0" w:color="auto"/>
                        <w:bottom w:val="none" w:sz="0" w:space="0" w:color="auto"/>
                        <w:right w:val="none" w:sz="0" w:space="0" w:color="auto"/>
                      </w:divBdr>
                      <w:divsChild>
                        <w:div w:id="1973945965">
                          <w:marLeft w:val="0"/>
                          <w:marRight w:val="0"/>
                          <w:marTop w:val="0"/>
                          <w:marBottom w:val="0"/>
                          <w:divBdr>
                            <w:top w:val="none" w:sz="0" w:space="0" w:color="auto"/>
                            <w:left w:val="none" w:sz="0" w:space="0" w:color="auto"/>
                            <w:bottom w:val="none" w:sz="0" w:space="0" w:color="auto"/>
                            <w:right w:val="none" w:sz="0" w:space="0" w:color="auto"/>
                          </w:divBdr>
                          <w:divsChild>
                            <w:div w:id="662708890">
                              <w:marLeft w:val="0"/>
                              <w:marRight w:val="0"/>
                              <w:marTop w:val="0"/>
                              <w:marBottom w:val="0"/>
                              <w:divBdr>
                                <w:top w:val="none" w:sz="0" w:space="0" w:color="auto"/>
                                <w:left w:val="none" w:sz="0" w:space="0" w:color="auto"/>
                                <w:bottom w:val="none" w:sz="0" w:space="0" w:color="auto"/>
                                <w:right w:val="none" w:sz="0" w:space="0" w:color="auto"/>
                              </w:divBdr>
                              <w:divsChild>
                                <w:div w:id="1872498533">
                                  <w:marLeft w:val="0"/>
                                  <w:marRight w:val="0"/>
                                  <w:marTop w:val="0"/>
                                  <w:marBottom w:val="0"/>
                                  <w:divBdr>
                                    <w:top w:val="none" w:sz="0" w:space="0" w:color="auto"/>
                                    <w:left w:val="none" w:sz="0" w:space="0" w:color="auto"/>
                                    <w:bottom w:val="none" w:sz="0" w:space="0" w:color="auto"/>
                                    <w:right w:val="none" w:sz="0" w:space="0" w:color="auto"/>
                                  </w:divBdr>
                                  <w:divsChild>
                                    <w:div w:id="161586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1960946">
      <w:bodyDiv w:val="1"/>
      <w:marLeft w:val="0"/>
      <w:marRight w:val="0"/>
      <w:marTop w:val="0"/>
      <w:marBottom w:val="0"/>
      <w:divBdr>
        <w:top w:val="none" w:sz="0" w:space="0" w:color="auto"/>
        <w:left w:val="none" w:sz="0" w:space="0" w:color="auto"/>
        <w:bottom w:val="none" w:sz="0" w:space="0" w:color="auto"/>
        <w:right w:val="none" w:sz="0" w:space="0" w:color="auto"/>
      </w:divBdr>
    </w:div>
    <w:div w:id="1963070047">
      <w:bodyDiv w:val="1"/>
      <w:marLeft w:val="0"/>
      <w:marRight w:val="0"/>
      <w:marTop w:val="0"/>
      <w:marBottom w:val="0"/>
      <w:divBdr>
        <w:top w:val="none" w:sz="0" w:space="0" w:color="auto"/>
        <w:left w:val="none" w:sz="0" w:space="0" w:color="auto"/>
        <w:bottom w:val="none" w:sz="0" w:space="0" w:color="auto"/>
        <w:right w:val="none" w:sz="0" w:space="0" w:color="auto"/>
      </w:divBdr>
    </w:div>
    <w:div w:id="1964577805">
      <w:bodyDiv w:val="1"/>
      <w:marLeft w:val="0"/>
      <w:marRight w:val="0"/>
      <w:marTop w:val="0"/>
      <w:marBottom w:val="0"/>
      <w:divBdr>
        <w:top w:val="none" w:sz="0" w:space="0" w:color="auto"/>
        <w:left w:val="none" w:sz="0" w:space="0" w:color="auto"/>
        <w:bottom w:val="none" w:sz="0" w:space="0" w:color="auto"/>
        <w:right w:val="none" w:sz="0" w:space="0" w:color="auto"/>
      </w:divBdr>
      <w:divsChild>
        <w:div w:id="73204606">
          <w:marLeft w:val="0"/>
          <w:marRight w:val="0"/>
          <w:marTop w:val="0"/>
          <w:marBottom w:val="0"/>
          <w:divBdr>
            <w:top w:val="none" w:sz="0" w:space="0" w:color="auto"/>
            <w:left w:val="none" w:sz="0" w:space="0" w:color="auto"/>
            <w:bottom w:val="none" w:sz="0" w:space="0" w:color="auto"/>
            <w:right w:val="none" w:sz="0" w:space="0" w:color="auto"/>
          </w:divBdr>
          <w:divsChild>
            <w:div w:id="21963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237392">
      <w:bodyDiv w:val="1"/>
      <w:marLeft w:val="0"/>
      <w:marRight w:val="0"/>
      <w:marTop w:val="0"/>
      <w:marBottom w:val="0"/>
      <w:divBdr>
        <w:top w:val="none" w:sz="0" w:space="0" w:color="auto"/>
        <w:left w:val="none" w:sz="0" w:space="0" w:color="auto"/>
        <w:bottom w:val="none" w:sz="0" w:space="0" w:color="auto"/>
        <w:right w:val="none" w:sz="0" w:space="0" w:color="auto"/>
      </w:divBdr>
    </w:div>
    <w:div w:id="2026977101">
      <w:bodyDiv w:val="1"/>
      <w:marLeft w:val="0"/>
      <w:marRight w:val="0"/>
      <w:marTop w:val="0"/>
      <w:marBottom w:val="0"/>
      <w:divBdr>
        <w:top w:val="none" w:sz="0" w:space="0" w:color="auto"/>
        <w:left w:val="none" w:sz="0" w:space="0" w:color="auto"/>
        <w:bottom w:val="none" w:sz="0" w:space="0" w:color="auto"/>
        <w:right w:val="none" w:sz="0" w:space="0" w:color="auto"/>
      </w:divBdr>
    </w:div>
    <w:div w:id="2034455394">
      <w:bodyDiv w:val="1"/>
      <w:marLeft w:val="0"/>
      <w:marRight w:val="0"/>
      <w:marTop w:val="0"/>
      <w:marBottom w:val="0"/>
      <w:divBdr>
        <w:top w:val="none" w:sz="0" w:space="0" w:color="auto"/>
        <w:left w:val="none" w:sz="0" w:space="0" w:color="auto"/>
        <w:bottom w:val="none" w:sz="0" w:space="0" w:color="auto"/>
        <w:right w:val="none" w:sz="0" w:space="0" w:color="auto"/>
      </w:divBdr>
    </w:div>
    <w:div w:id="2052461103">
      <w:bodyDiv w:val="1"/>
      <w:marLeft w:val="0"/>
      <w:marRight w:val="0"/>
      <w:marTop w:val="0"/>
      <w:marBottom w:val="0"/>
      <w:divBdr>
        <w:top w:val="none" w:sz="0" w:space="0" w:color="auto"/>
        <w:left w:val="none" w:sz="0" w:space="0" w:color="auto"/>
        <w:bottom w:val="none" w:sz="0" w:space="0" w:color="auto"/>
        <w:right w:val="none" w:sz="0" w:space="0" w:color="auto"/>
      </w:divBdr>
      <w:divsChild>
        <w:div w:id="420104841">
          <w:marLeft w:val="0"/>
          <w:marRight w:val="0"/>
          <w:marTop w:val="0"/>
          <w:marBottom w:val="0"/>
          <w:divBdr>
            <w:top w:val="none" w:sz="0" w:space="0" w:color="auto"/>
            <w:left w:val="none" w:sz="0" w:space="0" w:color="auto"/>
            <w:bottom w:val="none" w:sz="0" w:space="0" w:color="auto"/>
            <w:right w:val="none" w:sz="0" w:space="0" w:color="auto"/>
          </w:divBdr>
          <w:divsChild>
            <w:div w:id="172139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741658">
      <w:bodyDiv w:val="1"/>
      <w:marLeft w:val="0"/>
      <w:marRight w:val="0"/>
      <w:marTop w:val="0"/>
      <w:marBottom w:val="0"/>
      <w:divBdr>
        <w:top w:val="none" w:sz="0" w:space="0" w:color="auto"/>
        <w:left w:val="none" w:sz="0" w:space="0" w:color="auto"/>
        <w:bottom w:val="none" w:sz="0" w:space="0" w:color="auto"/>
        <w:right w:val="none" w:sz="0" w:space="0" w:color="auto"/>
      </w:divBdr>
    </w:div>
    <w:div w:id="2107801481">
      <w:bodyDiv w:val="1"/>
      <w:marLeft w:val="0"/>
      <w:marRight w:val="0"/>
      <w:marTop w:val="0"/>
      <w:marBottom w:val="0"/>
      <w:divBdr>
        <w:top w:val="none" w:sz="0" w:space="0" w:color="auto"/>
        <w:left w:val="none" w:sz="0" w:space="0" w:color="auto"/>
        <w:bottom w:val="none" w:sz="0" w:space="0" w:color="auto"/>
        <w:right w:val="none" w:sz="0" w:space="0" w:color="auto"/>
      </w:divBdr>
    </w:div>
    <w:div w:id="211878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2.wdp"/><Relationship Id="rId18" Type="http://schemas.openxmlformats.org/officeDocument/2006/relationships/hyperlink" Target="https://businessmap.io/lean-management/improvement/5-whys-analysis-tool" TargetMode="External"/><Relationship Id="rId26" Type="http://schemas.openxmlformats.org/officeDocument/2006/relationships/hyperlink" Target="https://doi.org/10.1136/bmjmed-2023-000748" TargetMode="External"/><Relationship Id="rId39" Type="http://schemas.openxmlformats.org/officeDocument/2006/relationships/hyperlink" Target="https://resolution.nhs.uk/wp-content/uploads/2025/04/MIS-Year-7-guidance.pdf" TargetMode="External"/><Relationship Id="rId21" Type="http://schemas.openxmlformats.org/officeDocument/2006/relationships/hyperlink" Target="https://www.cqc.org.uk/publications/maternity-services-2022-2024" TargetMode="External"/><Relationship Id="rId34" Type="http://schemas.openxmlformats.org/officeDocument/2006/relationships/hyperlink" Target="https://doi.org/10.1136/bmjoq-2022-002057" TargetMode="External"/><Relationship Id="rId42" Type="http://schemas.openxmlformats.org/officeDocument/2006/relationships/hyperlink" Target="https://doi.org/10.1136/bmjoq-2024-003204" TargetMode="External"/><Relationship Id="rId47" Type="http://schemas.openxmlformats.org/officeDocument/2006/relationships/hyperlink" Target="https://www.sath.nhs.uk/news/statement-from-the-shrewsbury-and-telford-hospital-nhs-trust/" TargetMode="External"/><Relationship Id="rId50" Type="http://schemas.openxmlformats.org/officeDocument/2006/relationships/hyperlink" Target="https://www.who.int/news-room/fact-sheets/detail/quality-health-services"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cbi.nlm.nih.gov/books/NBK599556/" TargetMode="External"/><Relationship Id="rId29" Type="http://schemas.openxmlformats.org/officeDocument/2006/relationships/hyperlink" Target="https://doi.org/10.1097/pts.0000000000001164" TargetMode="External"/><Relationship Id="rId11" Type="http://schemas.openxmlformats.org/officeDocument/2006/relationships/image" Target="media/image4.png"/><Relationship Id="rId24" Type="http://schemas.openxmlformats.org/officeDocument/2006/relationships/hyperlink" Target="https://doi.org/10.1136/bmjoq-2022-001896" TargetMode="External"/><Relationship Id="rId32" Type="http://schemas.openxmlformats.org/officeDocument/2006/relationships/hyperlink" Target="https://doi.org/10.1136/bmjoq-2022-002134" TargetMode="External"/><Relationship Id="rId37" Type="http://schemas.openxmlformats.org/officeDocument/2006/relationships/hyperlink" Target="https://www.england.nhs.uk/publication/three-year-delivery-plan-for-maternity-and-neonatal-services/" TargetMode="External"/><Relationship Id="rId40" Type="http://schemas.openxmlformats.org/officeDocument/2006/relationships/hyperlink" Target="https://www.gov.uk/government/publications/final-report-of-the-ockenden-review" TargetMode="External"/><Relationship Id="rId45" Type="http://schemas.openxmlformats.org/officeDocument/2006/relationships/hyperlink" Target="https://www.sath.nhs.uk/news/open-letter/" TargetMode="External"/><Relationship Id="rId53" Type="http://schemas.openxmlformats.org/officeDocument/2006/relationships/footer" Target="footer1.xml"/><Relationship Id="rId5" Type="http://schemas.openxmlformats.org/officeDocument/2006/relationships/footnotes" Target="footnotes.xml"/><Relationship Id="rId10" Type="http://schemas.microsoft.com/office/2007/relationships/hdphoto" Target="media/hdphoto1.wdp"/><Relationship Id="rId19" Type="http://schemas.openxmlformats.org/officeDocument/2006/relationships/hyperlink" Target="https://www.cqc.org.uk/press-release/cqc-finds-improvements-services-run-shrewsbury-and-telford-hospital-nhs-trust-more" TargetMode="External"/><Relationship Id="rId31" Type="http://schemas.openxmlformats.org/officeDocument/2006/relationships/hyperlink" Target="https://doi.org/10.1111/jan.15233" TargetMode="External"/><Relationship Id="rId44" Type="http://schemas.openxmlformats.org/officeDocument/2006/relationships/hyperlink" Target="https://doi.org/10.1186/s43058-022-00315-0" TargetMode="External"/><Relationship Id="rId52" Type="http://schemas.openxmlformats.org/officeDocument/2006/relationships/hyperlink" Target="https://doi.org/10.1186/s12884-024-0648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mc.ncbi.nlm.nih.gov/articles/PMC10275632/" TargetMode="External"/><Relationship Id="rId22" Type="http://schemas.openxmlformats.org/officeDocument/2006/relationships/hyperlink" Target="https://doi.org/10.1136/bmjoq-2022-002047" TargetMode="External"/><Relationship Id="rId27" Type="http://schemas.openxmlformats.org/officeDocument/2006/relationships/hyperlink" Target="https://doi.org/10.1186/s12913-022-08552-8" TargetMode="External"/><Relationship Id="rId30" Type="http://schemas.openxmlformats.org/officeDocument/2006/relationships/hyperlink" Target="https://doi.org/10.1016/j.midw.2025.104461" TargetMode="External"/><Relationship Id="rId35" Type="http://schemas.openxmlformats.org/officeDocument/2006/relationships/hyperlink" Target="https://doi.org/10.1136/bmjoq-2022-002162" TargetMode="External"/><Relationship Id="rId43" Type="http://schemas.openxmlformats.org/officeDocument/2006/relationships/hyperlink" Target="https://doi.org/10.1136/bmjopen-2022-067609" TargetMode="External"/><Relationship Id="rId48" Type="http://schemas.openxmlformats.org/officeDocument/2006/relationships/hyperlink" Target="https://doi.org/10.1136/bmjqs-2024-017132" TargetMode="External"/><Relationship Id="rId8" Type="http://schemas.openxmlformats.org/officeDocument/2006/relationships/image" Target="media/image2.png"/><Relationship Id="rId51" Type="http://schemas.openxmlformats.org/officeDocument/2006/relationships/hyperlink" Target="https://doi.org/10.1155/jonm/6893336"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doi.org/10.1136/bmjoq-2025-003432" TargetMode="External"/><Relationship Id="rId25" Type="http://schemas.openxmlformats.org/officeDocument/2006/relationships/hyperlink" Target="https://doi.org/10.1136/bmjoq-2023-002506?utm_source=chatgpt.com" TargetMode="External"/><Relationship Id="rId33" Type="http://schemas.openxmlformats.org/officeDocument/2006/relationships/hyperlink" Target="https://doi.org/10.1136/bmjoq-2023-002328" TargetMode="External"/><Relationship Id="rId38" Type="http://schemas.openxmlformats.org/officeDocument/2006/relationships/hyperlink" Target="https://www.england.nhs.uk/long-read/saving-babies-lives-version-3-2/" TargetMode="External"/><Relationship Id="rId46" Type="http://schemas.openxmlformats.org/officeDocument/2006/relationships/hyperlink" Target="https://www.sath.nhs.uk/wp-content/uploads/2025/03/051.25-Integrated-Maternity-and-Neonatal-Report.pdf" TargetMode="External"/><Relationship Id="rId20" Type="http://schemas.openxmlformats.org/officeDocument/2006/relationships/hyperlink" Target="https://www.cqc.org.uk/provider/RXW/surveys/65" TargetMode="External"/><Relationship Id="rId41" Type="http://schemas.openxmlformats.org/officeDocument/2006/relationships/hyperlink" Target="https://doi.org/10.1016/j.xagr.2022.100084"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36/bmjoq-2023-002262?utm_source=chatgpt.com" TargetMode="External"/><Relationship Id="rId23" Type="http://schemas.openxmlformats.org/officeDocument/2006/relationships/hyperlink" Target="https://doi.org/10.1016/j.ijnurstu.2023.104671" TargetMode="External"/><Relationship Id="rId28" Type="http://schemas.openxmlformats.org/officeDocument/2006/relationships/hyperlink" Target="https://doi.org/10.36401/jqsh-23-42" TargetMode="External"/><Relationship Id="rId36" Type="http://schemas.openxmlformats.org/officeDocument/2006/relationships/hyperlink" Target="https://www.england.nhs.uk/long-read/patient-safety-incident-response-framework/" TargetMode="External"/><Relationship Id="rId49" Type="http://schemas.openxmlformats.org/officeDocument/2006/relationships/hyperlink" Target="https://doi.org/10.3390/ijerph19159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23</Pages>
  <Words>6700</Words>
  <Characters>38193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Dev Gajera</cp:lastModifiedBy>
  <cp:revision>2</cp:revision>
  <dcterms:created xsi:type="dcterms:W3CDTF">2026-08-05T07:07:00Z</dcterms:created>
  <dcterms:modified xsi:type="dcterms:W3CDTF">2026-08-14T11:24:00Z</dcterms:modified>
</cp:coreProperties>
</file>