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A3C64C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w:t>
            </w:r>
            <w:r w:rsidR="002F590D">
              <w:rPr>
                <w:b/>
                <w:color w:val="auto"/>
                <w:sz w:val="32"/>
              </w:rPr>
              <w:t>Elyse Hopkins</w:t>
            </w:r>
            <w:r>
              <w:rPr>
                <w:b/>
                <w:color w:val="auto"/>
                <w:sz w:val="32"/>
              </w:rPr>
              <w:t>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CDAE6FF" w:rsidR="00575A8F" w:rsidRDefault="00575A8F" w:rsidP="00E6298B">
            <w:pPr>
              <w:overflowPunct/>
              <w:autoSpaceDE/>
              <w:autoSpaceDN/>
              <w:adjustRightInd/>
              <w:ind w:right="107"/>
              <w:textAlignment w:val="auto"/>
              <w:rPr>
                <w:b/>
                <w:color w:val="auto"/>
                <w:sz w:val="32"/>
              </w:rPr>
            </w:pPr>
            <w:r>
              <w:rPr>
                <w:b/>
                <w:color w:val="auto"/>
                <w:sz w:val="32"/>
              </w:rPr>
              <w:t>__</w:t>
            </w:r>
            <w:r w:rsidR="002F46E9">
              <w:rPr>
                <w:b/>
                <w:color w:val="auto"/>
                <w:sz w:val="32"/>
              </w:rPr>
              <w:t>2125</w:t>
            </w:r>
            <w:r w:rsidR="00523608">
              <w:rPr>
                <w:b/>
                <w:color w:val="auto"/>
                <w:sz w:val="32"/>
              </w:rPr>
              <w:t>204</w:t>
            </w:r>
            <w:r>
              <w:rPr>
                <w:b/>
                <w:color w:val="auto"/>
                <w:sz w:val="32"/>
              </w:rPr>
              <w:t>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52360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bookmarkStart w:id="0" w:name="_Hlk109734978"/>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bookmarkEnd w:id="0"/>
    </w:tbl>
    <w:p w14:paraId="38640916" w14:textId="77777777" w:rsidR="003B2A14" w:rsidRPr="00270EEB" w:rsidRDefault="003B2A14" w:rsidP="00E6298B">
      <w:pPr>
        <w:ind w:right="107"/>
        <w:jc w:val="both"/>
        <w:rPr>
          <w:sz w:val="24"/>
          <w:szCs w:val="24"/>
        </w:rPr>
      </w:pPr>
    </w:p>
    <w:p w14:paraId="70BD58D9" w14:textId="1D23025E" w:rsidR="003B2A14" w:rsidRDefault="003B2A14" w:rsidP="00E6298B">
      <w:pPr>
        <w:ind w:right="107"/>
        <w:jc w:val="both"/>
        <w:rPr>
          <w:b/>
          <w:sz w:val="24"/>
          <w:szCs w:val="24"/>
        </w:rPr>
      </w:pPr>
      <w:r w:rsidRPr="00450C83">
        <w:rPr>
          <w:b/>
          <w:sz w:val="24"/>
          <w:szCs w:val="24"/>
        </w:rPr>
        <w:t>ANSWER:</w:t>
      </w:r>
    </w:p>
    <w:p w14:paraId="631E8007" w14:textId="24226902" w:rsidR="00C267F2" w:rsidRDefault="00C267F2" w:rsidP="00E6298B">
      <w:pPr>
        <w:ind w:right="107"/>
        <w:jc w:val="both"/>
        <w:rPr>
          <w:bCs/>
          <w:sz w:val="24"/>
          <w:szCs w:val="24"/>
        </w:rPr>
      </w:pPr>
    </w:p>
    <w:p w14:paraId="362E5A3A" w14:textId="4E9930B7" w:rsidR="00C267F2" w:rsidRPr="00C267F2" w:rsidRDefault="00C267F2" w:rsidP="003F7473">
      <w:pPr>
        <w:spacing w:line="360" w:lineRule="auto"/>
        <w:ind w:right="107"/>
        <w:jc w:val="both"/>
        <w:rPr>
          <w:bCs/>
          <w:sz w:val="24"/>
          <w:szCs w:val="24"/>
        </w:rPr>
      </w:pPr>
      <w:r>
        <w:rPr>
          <w:bCs/>
          <w:sz w:val="24"/>
          <w:szCs w:val="24"/>
        </w:rPr>
        <w:t xml:space="preserve"> </w:t>
      </w:r>
      <w:r w:rsidRPr="00C267F2">
        <w:rPr>
          <w:bCs/>
          <w:sz w:val="24"/>
          <w:szCs w:val="24"/>
        </w:rPr>
        <w:t>Managing conflict is one of the core strategies to effectively communicate with members of the public within policing; the way in which problems are dealt with effectively to identify and help victims of serious crime are all done by effective communication strategies to problem solve. Within this task</w:t>
      </w:r>
      <w:r w:rsidR="00A66E20">
        <w:rPr>
          <w:bCs/>
          <w:sz w:val="24"/>
          <w:szCs w:val="24"/>
        </w:rPr>
        <w:t>,</w:t>
      </w:r>
      <w:r w:rsidRPr="00C267F2">
        <w:rPr>
          <w:bCs/>
          <w:sz w:val="24"/>
          <w:szCs w:val="24"/>
        </w:rPr>
        <w:t xml:space="preserve"> I will be reviewing and analysing an incident I have attended</w:t>
      </w:r>
      <w:r w:rsidR="00096772">
        <w:rPr>
          <w:bCs/>
          <w:sz w:val="24"/>
          <w:szCs w:val="24"/>
        </w:rPr>
        <w:t>,</w:t>
      </w:r>
      <w:r w:rsidRPr="00C267F2">
        <w:rPr>
          <w:bCs/>
          <w:sz w:val="24"/>
          <w:szCs w:val="24"/>
        </w:rPr>
        <w:t xml:space="preserve"> whereby I reduced conflict between family members which reduced the situation from escalating further. I will research upon effective strategies to reduce conflict and abuse, along with comparing how my methods related to other sources and reflect upon how to improve for future situations. </w:t>
      </w:r>
    </w:p>
    <w:p w14:paraId="2B48356B" w14:textId="4BD4FF68" w:rsidR="00C267F2" w:rsidRPr="00C267F2" w:rsidRDefault="00C267F2" w:rsidP="003F7473">
      <w:pPr>
        <w:spacing w:line="360" w:lineRule="auto"/>
        <w:ind w:right="107"/>
        <w:jc w:val="both"/>
        <w:rPr>
          <w:bCs/>
          <w:sz w:val="24"/>
          <w:szCs w:val="24"/>
        </w:rPr>
      </w:pPr>
      <w:r w:rsidRPr="00C267F2">
        <w:rPr>
          <w:bCs/>
          <w:sz w:val="24"/>
          <w:szCs w:val="24"/>
        </w:rPr>
        <w:t xml:space="preserve"> Identifying and recognising conflict specifically within a personal setting is vital to give the best support for a victim of a crime; whether it is a domestic violence incident, hate crime or public order; one study suggested that recognising violence can differ culturally by area or upbringing (Bruck et al, 2010, p.34) therefore, perception of conflict and violence can be experienced differently from victim to victim. Additionally, it is also effective for the other party involved to recognise areas that they need to work upon specific factors to reduce problems for the future. During my tutorship I have attended various calls regarding domestic violence whereby upon attending, conflict is ongoing between parties involved. Most specifically, I attended an incident whereby an argument occurred between a teenage son and father which happened on a local street, early hours of the morning. The son was under the influence of alcohol and upon speaking to the parents, it was identified that the son had assaulted the father whilst he was trying to calm him down. Referring to </w:t>
      </w:r>
      <w:r w:rsidRPr="00C267F2">
        <w:rPr>
          <w:bCs/>
          <w:sz w:val="24"/>
          <w:szCs w:val="24"/>
        </w:rPr>
        <w:lastRenderedPageBreak/>
        <w:t xml:space="preserve">my training school practices and keeping in mind legislation surrounding assault, I spoke to the victim and witness to gather further information on the incident, myself and my colleague separated both parties by a distance for safety and prevention of further conflict. I initially ensured that the father was okay following incident, this included asking questions regarding well being, where specifically did the offender assault him, and lastly safeguarding strategies and referrals. Using guidelines by the College of Policing (2020) on conflict management states that “training in specific communication skills can help reduce assaults” (p.2). Communication skills were vital during my time at training school, specifically when it came to interviewing, I applied my knowledge of rapport building into practice when speaking to the victim and offender. </w:t>
      </w:r>
    </w:p>
    <w:p w14:paraId="0C361541" w14:textId="77777777" w:rsidR="00C267F2" w:rsidRPr="00C267F2" w:rsidRDefault="00C267F2" w:rsidP="003F7473">
      <w:pPr>
        <w:spacing w:line="360" w:lineRule="auto"/>
        <w:ind w:right="107"/>
        <w:jc w:val="both"/>
        <w:rPr>
          <w:bCs/>
          <w:sz w:val="24"/>
          <w:szCs w:val="24"/>
        </w:rPr>
      </w:pPr>
      <w:r w:rsidRPr="00C267F2">
        <w:rPr>
          <w:bCs/>
          <w:sz w:val="24"/>
          <w:szCs w:val="24"/>
        </w:rPr>
        <w:t xml:space="preserve"> Rapport building within this context becomes vital for the service user or victim to feel that they can voice issues and build confidence within the police service:</w:t>
      </w:r>
    </w:p>
    <w:p w14:paraId="11DA07C1" w14:textId="77777777" w:rsidR="00C267F2" w:rsidRPr="00C267F2" w:rsidRDefault="00C267F2" w:rsidP="003F7473">
      <w:pPr>
        <w:spacing w:line="360" w:lineRule="auto"/>
        <w:ind w:right="107"/>
        <w:jc w:val="both"/>
        <w:rPr>
          <w:bCs/>
          <w:sz w:val="24"/>
          <w:szCs w:val="24"/>
        </w:rPr>
      </w:pPr>
      <w:r w:rsidRPr="00C267F2">
        <w:rPr>
          <w:bCs/>
          <w:sz w:val="24"/>
          <w:szCs w:val="24"/>
        </w:rPr>
        <w:t xml:space="preserve"> “rapport generally appears to involve a “harmonious, sympathetic connection to another”” </w:t>
      </w:r>
    </w:p>
    <w:p w14:paraId="74681FDF" w14:textId="77777777" w:rsidR="00C267F2" w:rsidRPr="00C267F2" w:rsidRDefault="00C267F2" w:rsidP="003F7473">
      <w:pPr>
        <w:spacing w:line="360" w:lineRule="auto"/>
        <w:ind w:right="107"/>
        <w:jc w:val="both"/>
        <w:rPr>
          <w:bCs/>
          <w:sz w:val="24"/>
          <w:szCs w:val="24"/>
        </w:rPr>
      </w:pPr>
      <w:r w:rsidRPr="00C267F2">
        <w:rPr>
          <w:bCs/>
          <w:sz w:val="24"/>
          <w:szCs w:val="24"/>
        </w:rPr>
        <w:t xml:space="preserve">((Newberry &amp; Stubbs, 1990, p. 14) as cited in KIECKHAEFER </w:t>
      </w:r>
      <w:r w:rsidRPr="00ED2AA3">
        <w:rPr>
          <w:bCs/>
          <w:i/>
          <w:iCs/>
          <w:sz w:val="24"/>
          <w:szCs w:val="24"/>
        </w:rPr>
        <w:t>et al</w:t>
      </w:r>
      <w:r w:rsidRPr="00C267F2">
        <w:rPr>
          <w:bCs/>
          <w:sz w:val="24"/>
          <w:szCs w:val="24"/>
        </w:rPr>
        <w:t>, 2013, p.2) thus building a connection would benefit the feelings of the victim along with collecting and gathering evidence. Additionally, Kieckhaeffer et al suggest that rapport building helps improve memory to an incident which further strengthens evidence (2013, p.3). Further, rapport building was just as effective when speaking to the offender; the emotional state of the offender caused problems to speak rationally when speaking to him about the incident, therefore I resorted to chatting to him about personal events and hobbies to distract the subject to prevent outburst, reducing his mood to communicate on a more civil level. Speaking to the subject in a calm and non judgemental way proved effective to speaking to the subject to collect his account of the incident. Within policing being open and fair are two of the core principles in the code of ethics; regardless of the situation a police constable must speak to an individual with no bias or judgement (</w:t>
      </w:r>
      <w:r w:rsidRPr="00ED2AA3">
        <w:rPr>
          <w:bCs/>
          <w:i/>
          <w:iCs/>
          <w:sz w:val="24"/>
          <w:szCs w:val="24"/>
        </w:rPr>
        <w:t>College of Policing</w:t>
      </w:r>
      <w:r w:rsidRPr="00C267F2">
        <w:rPr>
          <w:bCs/>
          <w:sz w:val="24"/>
          <w:szCs w:val="24"/>
        </w:rPr>
        <w:t xml:space="preserve">, 2014, p.1-2). By speaking to the individual by asking questions in relation to their job and hobbies, I was able to get to a level of socialising whereby he was able to speak in a mutual tone, which eventually led to the offender explaining that a personal matter had upset him and only struck his father to shove him away. Once information was gathered, in place of blaming the offender, it was decided to continue the route down the conversation of asking more about his personal life. As stated the individual was drunk, according a study by Watt et al, the demographics of violent offenders specifically men under the age of thirty, were shown more likely to be violent whilst under the influence of alcohol (p.2). Thus, it would be counterproductive at this point to continually scall the person whilst being </w:t>
      </w:r>
      <w:r w:rsidRPr="00C267F2">
        <w:rPr>
          <w:bCs/>
          <w:sz w:val="24"/>
          <w:szCs w:val="24"/>
        </w:rPr>
        <w:lastRenderedPageBreak/>
        <w:t>in close proximity within the car when they have shown to be violent and a likelihood of them failing to remember the encounter from black out memory loss from alcohol consumption (White, 2003, p.189).</w:t>
      </w:r>
    </w:p>
    <w:p w14:paraId="599BA705" w14:textId="77777777" w:rsidR="00C267F2" w:rsidRPr="00C267F2" w:rsidRDefault="00C267F2" w:rsidP="003F7473">
      <w:pPr>
        <w:spacing w:line="360" w:lineRule="auto"/>
        <w:ind w:right="107"/>
        <w:jc w:val="both"/>
        <w:rPr>
          <w:bCs/>
          <w:sz w:val="24"/>
          <w:szCs w:val="24"/>
        </w:rPr>
      </w:pPr>
      <w:r w:rsidRPr="00C267F2">
        <w:rPr>
          <w:bCs/>
          <w:sz w:val="24"/>
          <w:szCs w:val="24"/>
        </w:rPr>
        <w:t xml:space="preserve"> Due to the age of the offender, I had to consider alternative options than to take him to custody, therefore with every consideration I referred to the National Decision Model (</w:t>
      </w:r>
      <w:r w:rsidRPr="00717904">
        <w:rPr>
          <w:bCs/>
          <w:i/>
          <w:iCs/>
          <w:sz w:val="24"/>
          <w:szCs w:val="24"/>
        </w:rPr>
        <w:t>College of Policing</w:t>
      </w:r>
      <w:r w:rsidRPr="00C267F2">
        <w:rPr>
          <w:bCs/>
          <w:sz w:val="24"/>
          <w:szCs w:val="24"/>
        </w:rPr>
        <w:t>, 2022) to decide how to resolve the situation. Initially, the father did not wish to convict for assault, alternatively for the son to leave the address and to do a community resolution in place of conviction.  Youth offenders being placed in Custody are only applicable to be there as a means of a last resort when all alternative options have been explored, once in custody, they are then referred to Young offender institutions or YOI (</w:t>
      </w:r>
      <w:r w:rsidRPr="00717904">
        <w:rPr>
          <w:bCs/>
          <w:i/>
          <w:iCs/>
          <w:sz w:val="24"/>
          <w:szCs w:val="24"/>
        </w:rPr>
        <w:t>NAO</w:t>
      </w:r>
      <w:r w:rsidRPr="00C267F2">
        <w:rPr>
          <w:bCs/>
          <w:sz w:val="24"/>
          <w:szCs w:val="24"/>
        </w:rPr>
        <w:t xml:space="preserve">, 2022). With the case of this individual reallocating him to an address away from the victim would be more suited. Tactical communication skills had encouraged the individual to go to a different address until it would be decided with what the victim would want to do with the individual. </w:t>
      </w:r>
    </w:p>
    <w:p w14:paraId="43635225" w14:textId="77777777" w:rsidR="00C267F2" w:rsidRPr="00C267F2" w:rsidRDefault="00C267F2" w:rsidP="003F7473">
      <w:pPr>
        <w:spacing w:line="360" w:lineRule="auto"/>
        <w:ind w:right="107"/>
        <w:jc w:val="both"/>
        <w:rPr>
          <w:bCs/>
          <w:sz w:val="24"/>
          <w:szCs w:val="24"/>
        </w:rPr>
      </w:pPr>
      <w:r w:rsidRPr="00C267F2">
        <w:rPr>
          <w:bCs/>
          <w:sz w:val="24"/>
          <w:szCs w:val="24"/>
        </w:rPr>
        <w:t xml:space="preserve"> On behalf of the victim, I completed a skeleton DASH form as there were children at the address, it would also be raised to the schools that a child at the address has been associated with a Domestic Violence related incident.  the Domestic Abuse Stalking and Harassment form is a risk assessment tool to analyse the risk of reoccurring abuse (Almond </w:t>
      </w:r>
      <w:r w:rsidRPr="00717904">
        <w:rPr>
          <w:bCs/>
          <w:i/>
          <w:iCs/>
          <w:sz w:val="24"/>
          <w:szCs w:val="24"/>
        </w:rPr>
        <w:t>et al</w:t>
      </w:r>
      <w:r w:rsidRPr="00C267F2">
        <w:rPr>
          <w:bCs/>
          <w:sz w:val="24"/>
          <w:szCs w:val="24"/>
        </w:rPr>
        <w:t xml:space="preserve">, 2017, p.59) therefore, accuracy must be paramount in order to help the victim. Even within the case if a form is refused, as a constable I am able to complete the form on behalf of the victim (Turner </w:t>
      </w:r>
      <w:r w:rsidRPr="00717904">
        <w:rPr>
          <w:bCs/>
          <w:i/>
          <w:iCs/>
          <w:sz w:val="24"/>
          <w:szCs w:val="24"/>
        </w:rPr>
        <w:t>et al</w:t>
      </w:r>
      <w:r w:rsidRPr="00C267F2">
        <w:rPr>
          <w:bCs/>
          <w:sz w:val="24"/>
          <w:szCs w:val="24"/>
        </w:rPr>
        <w:t xml:space="preserve">, 2019, p.1015). There are various reasons to why a victim may not choose to complete the form or press for conviction, specifically with family members between a father and son, a study suggested that specifically male victims may feel that they are failing in their role as being a protector of a husband or father figure (Hanson and Lysova, 2021, p.10), thereby suggesting victims could be too proud or dismissive of their own welfare to retain being in a position of power and responsibility within the family dynamic. </w:t>
      </w:r>
    </w:p>
    <w:p w14:paraId="54531B6C" w14:textId="77777777" w:rsidR="00C267F2" w:rsidRPr="00C267F2" w:rsidRDefault="00C267F2" w:rsidP="003F7473">
      <w:pPr>
        <w:spacing w:line="360" w:lineRule="auto"/>
        <w:ind w:right="107"/>
        <w:jc w:val="both"/>
        <w:rPr>
          <w:bCs/>
          <w:sz w:val="24"/>
          <w:szCs w:val="24"/>
        </w:rPr>
      </w:pPr>
      <w:r w:rsidRPr="00C267F2">
        <w:rPr>
          <w:bCs/>
          <w:sz w:val="24"/>
          <w:szCs w:val="24"/>
        </w:rPr>
        <w:t xml:space="preserve">Therefore, by constables completing the forms may improve and aid victims of domestic abuse regardless of a characteristic or gender. </w:t>
      </w:r>
    </w:p>
    <w:p w14:paraId="134FF11A" w14:textId="77777777" w:rsidR="00C267F2" w:rsidRPr="00C267F2" w:rsidRDefault="00C267F2" w:rsidP="003F7473">
      <w:pPr>
        <w:spacing w:line="360" w:lineRule="auto"/>
        <w:ind w:right="107"/>
        <w:jc w:val="both"/>
        <w:rPr>
          <w:bCs/>
          <w:sz w:val="24"/>
          <w:szCs w:val="24"/>
        </w:rPr>
      </w:pPr>
      <w:r w:rsidRPr="00C267F2">
        <w:rPr>
          <w:bCs/>
          <w:sz w:val="24"/>
          <w:szCs w:val="24"/>
        </w:rPr>
        <w:t xml:space="preserve"> Later hours of the morning the offender returned to the victim’s address and caused damage to the victim’s property, by the time I arrived the offender left the address leaving myself and my colleague to speak to the victim again. Once more speaking to the victim in a calm and approachable way to ensure that the victim is okay, it was eventually decided that the victim wanted the offender to be convicted for assault as it was believed to be the </w:t>
      </w:r>
      <w:r w:rsidRPr="00C267F2">
        <w:rPr>
          <w:bCs/>
          <w:sz w:val="24"/>
          <w:szCs w:val="24"/>
        </w:rPr>
        <w:lastRenderedPageBreak/>
        <w:t xml:space="preserve">best course of action. All means were considered to prevent arrest, however given the circumstances that the offender returned after being warned that if assaults continued that he would be arrested. The male offender was located later in the day by the morning relief and arrested for Section 39 common assault under the Criminal Justice Act 1988. </w:t>
      </w:r>
    </w:p>
    <w:p w14:paraId="7CE13760" w14:textId="77777777" w:rsidR="00C267F2" w:rsidRPr="00C267F2" w:rsidRDefault="00C267F2" w:rsidP="003F7473">
      <w:pPr>
        <w:spacing w:line="360" w:lineRule="auto"/>
        <w:ind w:right="107"/>
        <w:jc w:val="both"/>
        <w:rPr>
          <w:bCs/>
          <w:sz w:val="24"/>
          <w:szCs w:val="24"/>
        </w:rPr>
      </w:pPr>
    </w:p>
    <w:p w14:paraId="67166245" w14:textId="77777777" w:rsidR="00C267F2" w:rsidRPr="00C267F2" w:rsidRDefault="00C267F2" w:rsidP="003F7473">
      <w:pPr>
        <w:spacing w:line="360" w:lineRule="auto"/>
        <w:ind w:right="107"/>
        <w:jc w:val="both"/>
        <w:rPr>
          <w:bCs/>
          <w:sz w:val="24"/>
          <w:szCs w:val="24"/>
        </w:rPr>
      </w:pPr>
      <w:r w:rsidRPr="00C267F2">
        <w:rPr>
          <w:bCs/>
          <w:sz w:val="24"/>
          <w:szCs w:val="24"/>
        </w:rPr>
        <w:t xml:space="preserve">It was felt that the greatest difficulty was trying to get the victim to open up and press for conviction against his son, understandably by the circumstances the victim did not wish to initially go ahead as the son was 16 years old, although he had been previously abusive, the offender had not abused in a physical way towards the parents prior to the incident. It seemed as well that the father was in shock that he was hit which may have caused the delay in action being done as it may have been something the father never had to deal with before until then. And lastly reluctancy to prosecute as identified through study could derive from the parental position that the stepfather was in, there could be guilt felt to pursue charges against the son and challenges surrounding masculine culture. </w:t>
      </w:r>
    </w:p>
    <w:p w14:paraId="60C4EFC5" w14:textId="77777777" w:rsidR="00C267F2" w:rsidRPr="00C267F2" w:rsidRDefault="00C267F2" w:rsidP="003F7473">
      <w:pPr>
        <w:spacing w:line="360" w:lineRule="auto"/>
        <w:ind w:right="107"/>
        <w:jc w:val="both"/>
        <w:rPr>
          <w:bCs/>
          <w:sz w:val="24"/>
          <w:szCs w:val="24"/>
        </w:rPr>
      </w:pPr>
      <w:r w:rsidRPr="00C267F2">
        <w:rPr>
          <w:bCs/>
          <w:sz w:val="24"/>
          <w:szCs w:val="24"/>
        </w:rPr>
        <w:t xml:space="preserve">In regards to conflict management, initially it was felt that the skills adopted from training and sources by College of Policing deemed successful to an extent; separating the parties at the beginning proved useful to prevent further arguments within that moment of time, it additionally aided in reducing temperaments with both the offender and victim to get them to be level headed of the situation. Most specifically speaking with the victim in a more reassuring way and follow ups about the incident calmed the victim down whilst when I spoke to the offender, conversing with the offender building a rapport with topics irrelevant to the offence proved more successful in getting to speak on the same level. It was seen as a way of distracting and preventing further distress by the offender which could have aided in reducing hostility between him and my colleagues. </w:t>
      </w:r>
    </w:p>
    <w:p w14:paraId="7E2F3852" w14:textId="1946B819" w:rsidR="00C267F2" w:rsidRPr="00C267F2" w:rsidRDefault="00C267F2" w:rsidP="003F7473">
      <w:pPr>
        <w:spacing w:line="360" w:lineRule="auto"/>
        <w:ind w:right="107"/>
        <w:jc w:val="both"/>
        <w:rPr>
          <w:bCs/>
          <w:sz w:val="24"/>
          <w:szCs w:val="24"/>
        </w:rPr>
      </w:pPr>
      <w:r w:rsidRPr="00C267F2">
        <w:rPr>
          <w:bCs/>
          <w:sz w:val="24"/>
          <w:szCs w:val="24"/>
        </w:rPr>
        <w:t>It was believed that due to the offender consuming alcohol and potentially drugs, it may have been the reason to why the offender returned to the address, potentially forgetting that we had warned him about further assaulting the victim. Despite best efforts to prevent him from further offending, I believe what was done by considering all the options and using the National Decision model was effective in that moment of time</w:t>
      </w:r>
      <w:r w:rsidR="00F46FB1">
        <w:rPr>
          <w:bCs/>
          <w:sz w:val="24"/>
          <w:szCs w:val="24"/>
        </w:rPr>
        <w:t xml:space="preserve"> (</w:t>
      </w:r>
      <w:r w:rsidR="00F46FB1" w:rsidRPr="00F46FB1">
        <w:rPr>
          <w:bCs/>
          <w:i/>
          <w:iCs/>
          <w:sz w:val="24"/>
          <w:szCs w:val="24"/>
        </w:rPr>
        <w:t>College of Policing</w:t>
      </w:r>
      <w:r w:rsidR="00F46FB1">
        <w:rPr>
          <w:bCs/>
          <w:sz w:val="24"/>
          <w:szCs w:val="24"/>
        </w:rPr>
        <w:t>, 2013)</w:t>
      </w:r>
      <w:r w:rsidRPr="00C267F2">
        <w:rPr>
          <w:bCs/>
          <w:sz w:val="24"/>
          <w:szCs w:val="24"/>
        </w:rPr>
        <w:t xml:space="preserve">. However, whether building a stronger rapport with the victim could have encouraged the victim to decide at an earlier time to prosecute the offender, which in turn may have prevented the later return of the offender to the address causing further problems. </w:t>
      </w:r>
    </w:p>
    <w:p w14:paraId="7490A73C" w14:textId="7D5E1E30" w:rsidR="00C267F2" w:rsidRPr="00C267F2" w:rsidRDefault="00C267F2" w:rsidP="003F7473">
      <w:pPr>
        <w:spacing w:line="360" w:lineRule="auto"/>
        <w:ind w:right="107"/>
        <w:jc w:val="both"/>
        <w:rPr>
          <w:bCs/>
          <w:sz w:val="24"/>
          <w:szCs w:val="24"/>
        </w:rPr>
      </w:pPr>
      <w:r w:rsidRPr="00C267F2">
        <w:rPr>
          <w:bCs/>
          <w:sz w:val="24"/>
          <w:szCs w:val="24"/>
        </w:rPr>
        <w:lastRenderedPageBreak/>
        <w:t xml:space="preserve"> Overall, It is believed that the actions I took to reduce conflict and hostility proved successful, however given the time frame and the uncertainty from the victim whether to prosecute had resulted the offender to return to the address. Additionally, the age and current mental state of the offender caused further risk assessments to be made of whether to take him into custody, conflict management in references to communication skills were not as successful as anticipated as people under the influence are more difficult to maintain conversation such as failing to recall events (White,2003, p.188). Nonetheless, I was satisfied that I was eventually able to get prosecution from the victim</w:t>
      </w:r>
      <w:r w:rsidR="00C203C5">
        <w:rPr>
          <w:bCs/>
          <w:sz w:val="24"/>
          <w:szCs w:val="24"/>
        </w:rPr>
        <w:t>.</w:t>
      </w:r>
      <w:r w:rsidRPr="00C267F2">
        <w:rPr>
          <w:bCs/>
          <w:sz w:val="24"/>
          <w:szCs w:val="24"/>
        </w:rPr>
        <w:t xml:space="preserve"> </w:t>
      </w:r>
    </w:p>
    <w:p w14:paraId="6C6C95F7" w14:textId="77777777" w:rsidR="00C267F2" w:rsidRPr="00C267F2" w:rsidRDefault="00C267F2" w:rsidP="003F7473">
      <w:pPr>
        <w:spacing w:line="360" w:lineRule="auto"/>
        <w:ind w:right="107"/>
        <w:jc w:val="both"/>
        <w:rPr>
          <w:bCs/>
          <w:sz w:val="24"/>
          <w:szCs w:val="24"/>
        </w:rPr>
      </w:pPr>
    </w:p>
    <w:p w14:paraId="57232ABF" w14:textId="5679062F" w:rsidR="00C267F2" w:rsidRPr="00C267F2" w:rsidRDefault="00C203C5" w:rsidP="003F7473">
      <w:pPr>
        <w:spacing w:line="360" w:lineRule="auto"/>
        <w:ind w:right="107"/>
        <w:jc w:val="both"/>
        <w:rPr>
          <w:bCs/>
          <w:sz w:val="24"/>
          <w:szCs w:val="24"/>
        </w:rPr>
      </w:pPr>
      <w:r>
        <w:rPr>
          <w:bCs/>
          <w:sz w:val="24"/>
          <w:szCs w:val="24"/>
        </w:rPr>
        <w:t xml:space="preserve">The </w:t>
      </w:r>
      <w:r w:rsidR="00C267F2" w:rsidRPr="00C267F2">
        <w:rPr>
          <w:bCs/>
          <w:sz w:val="24"/>
          <w:szCs w:val="24"/>
        </w:rPr>
        <w:t>father refused DASH form and initially refusing to press charge for assault changes his mind after a second encounter and spoke further to the father. Masculine culture theories</w:t>
      </w:r>
      <w:r w:rsidR="000E63F0">
        <w:rPr>
          <w:bCs/>
          <w:sz w:val="24"/>
          <w:szCs w:val="24"/>
        </w:rPr>
        <w:t xml:space="preserve"> </w:t>
      </w:r>
      <w:r w:rsidR="002C7A85">
        <w:rPr>
          <w:bCs/>
          <w:sz w:val="24"/>
          <w:szCs w:val="24"/>
        </w:rPr>
        <w:t xml:space="preserve">studied </w:t>
      </w:r>
      <w:r w:rsidR="000E63F0">
        <w:rPr>
          <w:bCs/>
          <w:sz w:val="24"/>
          <w:szCs w:val="24"/>
        </w:rPr>
        <w:t xml:space="preserve">may have played a part into the </w:t>
      </w:r>
      <w:r w:rsidR="002C7A85">
        <w:rPr>
          <w:bCs/>
          <w:sz w:val="24"/>
          <w:szCs w:val="24"/>
        </w:rPr>
        <w:t xml:space="preserve">hesitation to prosecute; </w:t>
      </w:r>
      <w:r w:rsidR="00815713">
        <w:rPr>
          <w:bCs/>
          <w:sz w:val="24"/>
          <w:szCs w:val="24"/>
        </w:rPr>
        <w:t>but once speaking to the victim</w:t>
      </w:r>
      <w:r w:rsidR="000A00CC">
        <w:rPr>
          <w:bCs/>
          <w:sz w:val="24"/>
          <w:szCs w:val="24"/>
        </w:rPr>
        <w:t>,</w:t>
      </w:r>
      <w:r w:rsidR="00815713">
        <w:rPr>
          <w:bCs/>
          <w:sz w:val="24"/>
          <w:szCs w:val="24"/>
        </w:rPr>
        <w:t xml:space="preserve"> specifically after the second attack </w:t>
      </w:r>
      <w:r w:rsidR="00E625BD">
        <w:rPr>
          <w:bCs/>
          <w:sz w:val="24"/>
          <w:szCs w:val="24"/>
        </w:rPr>
        <w:t xml:space="preserve">made it easier to </w:t>
      </w:r>
      <w:r w:rsidR="00D2620E">
        <w:rPr>
          <w:bCs/>
          <w:sz w:val="24"/>
          <w:szCs w:val="24"/>
        </w:rPr>
        <w:t xml:space="preserve">get the victim </w:t>
      </w:r>
      <w:r w:rsidR="000A00CC">
        <w:rPr>
          <w:bCs/>
          <w:sz w:val="24"/>
          <w:szCs w:val="24"/>
        </w:rPr>
        <w:t xml:space="preserve">to see the situation more clearly. </w:t>
      </w:r>
      <w:r w:rsidR="00C33C02">
        <w:rPr>
          <w:bCs/>
          <w:sz w:val="24"/>
          <w:szCs w:val="24"/>
        </w:rPr>
        <w:t xml:space="preserve">It is strongly felt from the encounter, </w:t>
      </w:r>
      <w:r w:rsidR="00FB6578">
        <w:rPr>
          <w:bCs/>
          <w:sz w:val="24"/>
          <w:szCs w:val="24"/>
        </w:rPr>
        <w:t xml:space="preserve">the importance of social skills proved </w:t>
      </w:r>
      <w:r w:rsidR="004E7483">
        <w:rPr>
          <w:bCs/>
          <w:sz w:val="24"/>
          <w:szCs w:val="24"/>
        </w:rPr>
        <w:t xml:space="preserve">crucial to achieve </w:t>
      </w:r>
      <w:r w:rsidR="000418A7">
        <w:rPr>
          <w:bCs/>
          <w:sz w:val="24"/>
          <w:szCs w:val="24"/>
        </w:rPr>
        <w:t xml:space="preserve">justice </w:t>
      </w:r>
      <w:r w:rsidR="00792801">
        <w:rPr>
          <w:bCs/>
          <w:sz w:val="24"/>
          <w:szCs w:val="24"/>
        </w:rPr>
        <w:t xml:space="preserve">as a means of convincing the victim to prosecute, </w:t>
      </w:r>
      <w:r w:rsidR="00FC198B">
        <w:rPr>
          <w:bCs/>
          <w:sz w:val="24"/>
          <w:szCs w:val="24"/>
        </w:rPr>
        <w:t xml:space="preserve">as well to </w:t>
      </w:r>
      <w:r w:rsidR="00792801">
        <w:rPr>
          <w:bCs/>
          <w:sz w:val="24"/>
          <w:szCs w:val="24"/>
        </w:rPr>
        <w:t>getting the perpetrator to calm down</w:t>
      </w:r>
      <w:r w:rsidR="00C8629E">
        <w:rPr>
          <w:bCs/>
          <w:sz w:val="24"/>
          <w:szCs w:val="24"/>
        </w:rPr>
        <w:t xml:space="preserve">. </w:t>
      </w:r>
    </w:p>
    <w:p w14:paraId="6A73DBDF" w14:textId="77777777" w:rsidR="00AA666E" w:rsidRPr="00270EEB" w:rsidRDefault="00AA666E" w:rsidP="003F7473">
      <w:pPr>
        <w:spacing w:line="360" w:lineRule="auto"/>
        <w:ind w:right="107"/>
        <w:jc w:val="both"/>
        <w:rPr>
          <w:sz w:val="24"/>
          <w:szCs w:val="24"/>
        </w:rPr>
      </w:pPr>
    </w:p>
    <w:p w14:paraId="79C6F38B" w14:textId="77777777" w:rsidR="00AA666E" w:rsidRPr="00270EEB" w:rsidRDefault="00AA666E" w:rsidP="003F7473">
      <w:pPr>
        <w:spacing w:line="360" w:lineRule="auto"/>
        <w:ind w:right="107"/>
        <w:jc w:val="both"/>
        <w:rPr>
          <w:sz w:val="24"/>
          <w:szCs w:val="24"/>
        </w:rPr>
      </w:pPr>
    </w:p>
    <w:p w14:paraId="607A0D29" w14:textId="396E8137" w:rsidR="00AA666E" w:rsidRPr="00270EEB" w:rsidRDefault="00C8629E" w:rsidP="003F7473">
      <w:pPr>
        <w:spacing w:line="360" w:lineRule="auto"/>
        <w:ind w:right="107"/>
        <w:jc w:val="both"/>
        <w:rPr>
          <w:sz w:val="24"/>
          <w:szCs w:val="24"/>
        </w:rPr>
      </w:pPr>
      <w:r>
        <w:rPr>
          <w:sz w:val="24"/>
          <w:szCs w:val="24"/>
        </w:rPr>
        <w:t>Word count: 190</w:t>
      </w:r>
      <w:r w:rsidR="00F46FB1">
        <w:rPr>
          <w:sz w:val="24"/>
          <w:szCs w:val="24"/>
        </w:rPr>
        <w:t>8</w:t>
      </w:r>
    </w:p>
    <w:p w14:paraId="4557CCDD" w14:textId="77777777" w:rsidR="008B28E7" w:rsidRPr="00270EEB" w:rsidRDefault="008B28E7" w:rsidP="003F7473">
      <w:pPr>
        <w:spacing w:line="360" w:lineRule="auto"/>
        <w:ind w:right="107"/>
        <w:jc w:val="both"/>
        <w:rPr>
          <w:sz w:val="24"/>
          <w:szCs w:val="24"/>
        </w:rPr>
      </w:pPr>
    </w:p>
    <w:p w14:paraId="545B147F" w14:textId="77777777" w:rsidR="008B28E7" w:rsidRPr="00270EEB" w:rsidRDefault="008B28E7" w:rsidP="003F7473">
      <w:pPr>
        <w:spacing w:line="360" w:lineRule="auto"/>
        <w:ind w:right="107"/>
        <w:jc w:val="both"/>
        <w:rPr>
          <w:sz w:val="24"/>
          <w:szCs w:val="24"/>
        </w:rPr>
      </w:pPr>
    </w:p>
    <w:p w14:paraId="452E40A6" w14:textId="77777777" w:rsidR="008B28E7" w:rsidRPr="00270EEB" w:rsidRDefault="008B28E7" w:rsidP="003F7473">
      <w:pPr>
        <w:spacing w:line="360" w:lineRule="auto"/>
        <w:ind w:right="107"/>
        <w:jc w:val="both"/>
        <w:rPr>
          <w:sz w:val="24"/>
          <w:szCs w:val="24"/>
        </w:rPr>
      </w:pPr>
    </w:p>
    <w:p w14:paraId="1A730B74" w14:textId="77777777" w:rsidR="008B28E7" w:rsidRPr="00270EEB" w:rsidRDefault="008B28E7" w:rsidP="003F7473">
      <w:pPr>
        <w:spacing w:line="360" w:lineRule="auto"/>
        <w:ind w:right="107"/>
        <w:jc w:val="both"/>
        <w:rPr>
          <w:sz w:val="24"/>
          <w:szCs w:val="24"/>
        </w:rPr>
      </w:pPr>
    </w:p>
    <w:p w14:paraId="4A8B313D" w14:textId="77777777" w:rsidR="008B28E7" w:rsidRPr="00270EEB" w:rsidRDefault="008B28E7" w:rsidP="003F7473">
      <w:pPr>
        <w:spacing w:line="360" w:lineRule="auto"/>
        <w:ind w:right="107"/>
        <w:jc w:val="both"/>
        <w:rPr>
          <w:sz w:val="24"/>
          <w:szCs w:val="24"/>
        </w:rPr>
      </w:pPr>
    </w:p>
    <w:p w14:paraId="58ECD1AB" w14:textId="77777777" w:rsidR="008B28E7" w:rsidRPr="00270EEB" w:rsidRDefault="008B28E7" w:rsidP="003F7473">
      <w:pPr>
        <w:spacing w:line="360" w:lineRule="auto"/>
        <w:ind w:right="107"/>
        <w:jc w:val="both"/>
        <w:rPr>
          <w:sz w:val="24"/>
          <w:szCs w:val="24"/>
        </w:rPr>
      </w:pPr>
    </w:p>
    <w:p w14:paraId="1034652A" w14:textId="77777777" w:rsidR="008B28E7" w:rsidRPr="00270EEB" w:rsidRDefault="008B28E7" w:rsidP="003F7473">
      <w:pPr>
        <w:spacing w:line="360" w:lineRule="auto"/>
        <w:ind w:right="107"/>
        <w:jc w:val="both"/>
        <w:rPr>
          <w:sz w:val="24"/>
          <w:szCs w:val="24"/>
        </w:rPr>
      </w:pPr>
    </w:p>
    <w:p w14:paraId="4519C025" w14:textId="77777777" w:rsidR="008B28E7" w:rsidRPr="00270EEB" w:rsidRDefault="008B28E7" w:rsidP="003F7473">
      <w:pPr>
        <w:spacing w:line="360" w:lineRule="auto"/>
        <w:ind w:right="107"/>
        <w:jc w:val="both"/>
        <w:rPr>
          <w:sz w:val="24"/>
          <w:szCs w:val="24"/>
        </w:rPr>
      </w:pPr>
    </w:p>
    <w:p w14:paraId="07ED14A6" w14:textId="77777777" w:rsidR="00AA666E" w:rsidRPr="00270EEB" w:rsidRDefault="00AA666E" w:rsidP="003F7473">
      <w:pPr>
        <w:spacing w:line="360" w:lineRule="auto"/>
        <w:ind w:right="107"/>
        <w:jc w:val="both"/>
        <w:rPr>
          <w:sz w:val="24"/>
          <w:szCs w:val="24"/>
        </w:rPr>
      </w:pPr>
    </w:p>
    <w:p w14:paraId="2D3DE98A" w14:textId="77777777" w:rsidR="00AA666E" w:rsidRPr="00025650" w:rsidRDefault="00AA666E" w:rsidP="003F7473">
      <w:pPr>
        <w:spacing w:line="360" w:lineRule="auto"/>
        <w:ind w:right="107"/>
        <w:jc w:val="both"/>
        <w:rPr>
          <w:b/>
          <w:sz w:val="24"/>
          <w:szCs w:val="24"/>
        </w:rPr>
      </w:pPr>
    </w:p>
    <w:p w14:paraId="3B3526AE" w14:textId="77777777" w:rsidR="00025650" w:rsidRDefault="00025650" w:rsidP="003F7473">
      <w:pPr>
        <w:spacing w:line="360" w:lineRule="auto"/>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bookmarkStart w:id="1" w:name="_Hlk109734853"/>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bookmarkEnd w:id="1"/>
            <w:r w:rsidRPr="366F6C5C">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6F980465" w:rsidR="00112751" w:rsidRDefault="00112751" w:rsidP="00E6298B">
      <w:pPr>
        <w:ind w:right="107"/>
        <w:jc w:val="both"/>
        <w:rPr>
          <w:b/>
          <w:sz w:val="24"/>
          <w:szCs w:val="24"/>
        </w:rPr>
      </w:pPr>
      <w:r w:rsidRPr="00450C83">
        <w:rPr>
          <w:b/>
          <w:sz w:val="24"/>
          <w:szCs w:val="24"/>
        </w:rPr>
        <w:t>ANSWER:</w:t>
      </w:r>
    </w:p>
    <w:p w14:paraId="35ED891C" w14:textId="74B1B8BB" w:rsidR="00EF2BEF" w:rsidRDefault="00EF2BEF" w:rsidP="00E6298B">
      <w:pPr>
        <w:ind w:right="107"/>
        <w:jc w:val="both"/>
        <w:rPr>
          <w:b/>
          <w:sz w:val="24"/>
          <w:szCs w:val="24"/>
        </w:rPr>
      </w:pPr>
    </w:p>
    <w:p w14:paraId="0BD28B0A" w14:textId="77777777" w:rsidR="00EF2BEF" w:rsidRPr="00EF2BEF" w:rsidRDefault="00EF2BEF" w:rsidP="00EF2BEF">
      <w:pPr>
        <w:spacing w:line="360" w:lineRule="auto"/>
        <w:ind w:right="107"/>
        <w:jc w:val="both"/>
        <w:rPr>
          <w:bCs/>
          <w:sz w:val="24"/>
          <w:szCs w:val="24"/>
        </w:rPr>
      </w:pPr>
      <w:r w:rsidRPr="00EF2BEF">
        <w:rPr>
          <w:bCs/>
          <w:sz w:val="24"/>
          <w:szCs w:val="24"/>
        </w:rPr>
        <w:t xml:space="preserve">In this task, I will be exploring the theories of stop search, the occurrence I attended in which I carried out a stop search on an individual, and discuss the use of language as the individual had a language preference when communicating with them. I will then discuss my experience at the time and after the incident, and how I dealt with a situation going forward. I will then reflect upon the incident using the Borton Reflective Model along with Rolfe’s Framework for Reflective Practice to demonstrate how I utilised my personal and professional policing knowledge and powers to resolve the occurrence.  </w:t>
      </w:r>
    </w:p>
    <w:p w14:paraId="272CA719" w14:textId="613F181E" w:rsidR="00EF2BEF" w:rsidRPr="00EF2BEF" w:rsidRDefault="00EF2BEF" w:rsidP="00EF2BEF">
      <w:pPr>
        <w:spacing w:line="360" w:lineRule="auto"/>
        <w:ind w:right="107"/>
        <w:jc w:val="both"/>
        <w:rPr>
          <w:bCs/>
          <w:sz w:val="24"/>
          <w:szCs w:val="24"/>
        </w:rPr>
      </w:pPr>
      <w:r w:rsidRPr="00EF2BEF">
        <w:rPr>
          <w:bCs/>
          <w:sz w:val="24"/>
          <w:szCs w:val="24"/>
        </w:rPr>
        <w:t xml:space="preserve">The purpose of stop search within policing practices is the necessity to stop, question and search a person including clothes or vehicle in a public place, if the constable has reasonably grounds to suspect that the person may have on them anything that is related to or in connection with an offence (Weber, Bowling, 2011, p.353).  Moreover, Weber and Bowling further state that stop search is considered to be a recognised example of the use of “coercive and intrusive power” to exercise crime prevention. In attest to this, with it being labelled as “contentious” practice to police communities, that invites “publicly visible interaction” to stop search, much debate has accumulated over policing powers most specifically in the last few decades (Weber, Bowling, 2011).  Controversies surrounding the use of powers under what circumstances, the dubiety of what is considered to be a lawful search from officers and members of the public. As a result from previous search </w:t>
      </w:r>
      <w:r w:rsidRPr="00EF2BEF">
        <w:rPr>
          <w:bCs/>
          <w:sz w:val="24"/>
          <w:szCs w:val="24"/>
        </w:rPr>
        <w:lastRenderedPageBreak/>
        <w:t>incidents headlined through the media, most notably the Scarman report and the Stephen Lawrence Enquiry, it has brought much attention to how the police exercise powers, and how in turn has heightened scrutiny in policing practices (Bowling, Phillips, 2007, p.936). A finding in Scotland has stated whereby officer practices into non statutory stop searches have raised concern over the proportionality and fairness of the practice (Murray, 2014, p.22). Therefore, having guidance from my tutor and sergeant was crucial into ensuring what I did fell under my powers as a constable.</w:t>
      </w:r>
    </w:p>
    <w:p w14:paraId="771320DA" w14:textId="77777777" w:rsidR="00EF2BEF" w:rsidRPr="00EF2BEF" w:rsidRDefault="00EF2BEF" w:rsidP="00EF2BEF">
      <w:pPr>
        <w:spacing w:line="360" w:lineRule="auto"/>
        <w:ind w:right="107"/>
        <w:jc w:val="both"/>
        <w:rPr>
          <w:bCs/>
          <w:sz w:val="24"/>
          <w:szCs w:val="24"/>
        </w:rPr>
      </w:pPr>
      <w:r w:rsidRPr="00EF2BEF">
        <w:rPr>
          <w:bCs/>
          <w:sz w:val="24"/>
          <w:szCs w:val="24"/>
        </w:rPr>
        <w:t xml:space="preserve">During my time at training, I would brush up on legislative studies by saying it repetitively and act it out, this method of studying proved beneficial for when I did roleplay assessments and exams, thus I continued it into my tutorship period by repeating phrases and acronyms (Idstein and Jenkins, 2014, p.321-323). Prior going into a situation or call, I would research upon what could be the legislation available to me along with my use of powers, as a means to prevent myself being placed into a situation whereby I am unable to carry out a lawful exercise of my powers. with my tutor being present, I would ask them if I was unsure in order to clarify before interacting with a subject or victim. </w:t>
      </w:r>
    </w:p>
    <w:p w14:paraId="33E042EF" w14:textId="77777777" w:rsidR="00EF2BEF" w:rsidRPr="00EF2BEF" w:rsidRDefault="00EF2BEF" w:rsidP="00EF2BEF">
      <w:pPr>
        <w:spacing w:line="360" w:lineRule="auto"/>
        <w:ind w:right="107"/>
        <w:jc w:val="both"/>
        <w:rPr>
          <w:bCs/>
          <w:sz w:val="24"/>
          <w:szCs w:val="24"/>
        </w:rPr>
      </w:pPr>
      <w:r w:rsidRPr="00EF2BEF">
        <w:rPr>
          <w:bCs/>
          <w:sz w:val="24"/>
          <w:szCs w:val="24"/>
        </w:rPr>
        <w:t>In reference to the National Decision model, the first part of the cycle is collection/ information gathering (</w:t>
      </w:r>
      <w:r w:rsidRPr="00872016">
        <w:rPr>
          <w:bCs/>
          <w:i/>
          <w:iCs/>
          <w:sz w:val="24"/>
          <w:szCs w:val="24"/>
        </w:rPr>
        <w:t>College of Policing</w:t>
      </w:r>
      <w:r w:rsidRPr="00EF2BEF">
        <w:rPr>
          <w:bCs/>
          <w:sz w:val="24"/>
          <w:szCs w:val="24"/>
        </w:rPr>
        <w:t xml:space="preserve">, 2014), the call I attended in the early hours of the morning towards the end of my night shift was a report of two males acting suspiciously along a high street in the area I am based. I was given the description of the two individuals and what they were carrying, followed by a search of the area was covered to locate them. </w:t>
      </w:r>
    </w:p>
    <w:p w14:paraId="3D74887E" w14:textId="77777777" w:rsidR="00EF2BEF" w:rsidRPr="00EF2BEF" w:rsidRDefault="00EF2BEF" w:rsidP="00EF2BEF">
      <w:pPr>
        <w:spacing w:line="360" w:lineRule="auto"/>
        <w:ind w:right="107"/>
        <w:jc w:val="both"/>
        <w:rPr>
          <w:bCs/>
          <w:sz w:val="24"/>
          <w:szCs w:val="24"/>
        </w:rPr>
      </w:pPr>
      <w:r w:rsidRPr="00EF2BEF">
        <w:rPr>
          <w:bCs/>
          <w:sz w:val="24"/>
          <w:szCs w:val="24"/>
        </w:rPr>
        <w:t>It was noted upon the search of the area, bags that were placed by a charity shop were disturbed, thus this gave me suspicions that a theft had occurred; the two males in question were reported to have bags on them at the time of report, therefore I kept in mind the definition of theft under section 1 of the Theft Act 1968 (Dyson, 2020, p.48)</w:t>
      </w:r>
    </w:p>
    <w:p w14:paraId="3AA5100F" w14:textId="77777777" w:rsidR="00EF2BEF" w:rsidRPr="00EF2BEF" w:rsidRDefault="00EF2BEF" w:rsidP="00EF2BEF">
      <w:pPr>
        <w:spacing w:line="360" w:lineRule="auto"/>
        <w:ind w:right="107"/>
        <w:jc w:val="both"/>
        <w:rPr>
          <w:bCs/>
          <w:sz w:val="24"/>
          <w:szCs w:val="24"/>
        </w:rPr>
      </w:pPr>
      <w:r w:rsidRPr="00EF2BEF">
        <w:rPr>
          <w:bCs/>
          <w:sz w:val="24"/>
          <w:szCs w:val="24"/>
        </w:rPr>
        <w:t xml:space="preserve"> Referring to the Borton Reflective model, the stage of “What” in the model, in my experience of the occurrence describes what the situation or incident was, and how I dealt with it, which included my thoughts and feelings as the time (Rolfe, 2014 p.488). I previously stated that from the information known about the individuals and the circumstances, I was under the impression that a potential theft had taken place. My initial thoughts at the time I felt comfortable with myself in knowing the legislation and powers surround the Theft Act as I made myself most familiar from research and studies for exams in training school. Therefore, I did not feel anxious to stop and question the individuals as I was comfortable in myself if I were to be trivialised, additional to this my </w:t>
      </w:r>
      <w:r w:rsidRPr="00EF2BEF">
        <w:rPr>
          <w:bCs/>
          <w:sz w:val="24"/>
          <w:szCs w:val="24"/>
        </w:rPr>
        <w:lastRenderedPageBreak/>
        <w:t>tutor was present, therefore he would be able to step in if needed.  I did however felt slight anxiousness as I was pre-empting the situation whereby if the person was a male whether there would be problems into carrying out a search due to opposite gender search. Although it is acceptable to carry out opposite gendered stop searches, I was pre-empting that I were to be challenged by the male, as reports of young males are more likely to be stop and searched (Schafer et al, 2006, p.190-191) as a result, it implicates gender bias, igniting speculation of unlawful stop searches. Additionally, racial profiling has become a big concern for controversy surrounding searches being “disproportionate”, once again speculating the use of powers of when to search someone under a legitimate policing purpose (Sollund, 2006, p.286).</w:t>
      </w:r>
    </w:p>
    <w:p w14:paraId="6965D175" w14:textId="77777777" w:rsidR="00EF2BEF" w:rsidRPr="00EF2BEF" w:rsidRDefault="00EF2BEF" w:rsidP="00EF2BEF">
      <w:pPr>
        <w:spacing w:line="360" w:lineRule="auto"/>
        <w:ind w:right="107"/>
        <w:jc w:val="both"/>
        <w:rPr>
          <w:bCs/>
          <w:sz w:val="24"/>
          <w:szCs w:val="24"/>
        </w:rPr>
      </w:pPr>
      <w:r w:rsidRPr="00EF2BEF">
        <w:rPr>
          <w:bCs/>
          <w:sz w:val="24"/>
          <w:szCs w:val="24"/>
        </w:rPr>
        <w:t xml:space="preserve"> I was however reassured that I had other colleagues present and witnessing my conduction of the search, I would be scrutinised by them along with the person being searched and the use for my body-worn camera as best professional practice (College of Policing, 2021). Once of the individuals was located from description match, he was asked questions, most notably why the person was carrying a hoover at 04:30 hrs in the morning, there was only one individual in place of two, questions were asked about where the other person was and what were they carrying in the bags. </w:t>
      </w:r>
    </w:p>
    <w:p w14:paraId="022176AF" w14:textId="77777777" w:rsidR="00EF2BEF" w:rsidRPr="00EF2BEF" w:rsidRDefault="00EF2BEF" w:rsidP="00EF2BEF">
      <w:pPr>
        <w:spacing w:line="360" w:lineRule="auto"/>
        <w:ind w:right="107"/>
        <w:jc w:val="both"/>
        <w:rPr>
          <w:bCs/>
          <w:sz w:val="24"/>
          <w:szCs w:val="24"/>
        </w:rPr>
      </w:pPr>
      <w:r w:rsidRPr="00EF2BEF">
        <w:rPr>
          <w:bCs/>
          <w:sz w:val="24"/>
          <w:szCs w:val="24"/>
        </w:rPr>
        <w:t>The male disclosed to my Sergeant that a friend was borrowing the hoover along with other items, it was stated that the items which were contained in the other bags carried by his friend were parts for the hoover, the items in question were not present however, as it was with the friend who had happened to have gone home. Upon asking the male why specifically at the time of the morning to do it, he expressed that he has antisocial working hours and felt it was convenient to lend items, the male seemed flustered when answering. Following onto the next phase of the Borton reflective model of “So What?” after summarising the circumstances given by the person in question, I had my body worn camera on and then carried out the search under section 1 of the Police and Criminal Evidence Act 1984 (</w:t>
      </w:r>
      <w:r w:rsidRPr="00551621">
        <w:rPr>
          <w:bCs/>
          <w:i/>
          <w:iCs/>
          <w:sz w:val="24"/>
          <w:szCs w:val="24"/>
        </w:rPr>
        <w:t>College of Policing</w:t>
      </w:r>
      <w:r w:rsidRPr="00EF2BEF">
        <w:rPr>
          <w:bCs/>
          <w:sz w:val="24"/>
          <w:szCs w:val="24"/>
        </w:rPr>
        <w:t xml:space="preserve">, 2019). This was due to the ongoing suspicion whether if the male had anything on him that would have been in connection to a theft; such as unusual items on his person, or tools for going equipped, I had then gone into the final phase of “Now What?” ; given by the information what am I to do as a constable (Rolfe, 2014, p.488). The male at the time of the search was already handcuffed by my sergeant, the male only wore a shirt and jeans with shoes, therefore there was no need for removal of an outer layer and any items found were handed to my tutor who was present. It was confirmed that he was okay for me to carry out the search, as previously stated I </w:t>
      </w:r>
      <w:r w:rsidRPr="00EF2BEF">
        <w:rPr>
          <w:bCs/>
          <w:sz w:val="24"/>
          <w:szCs w:val="24"/>
        </w:rPr>
        <w:lastRenderedPageBreak/>
        <w:t>had my body worn camera on, and other colleagues present. I went through the acronym widely used within policing when searching called GOWISELY; I explained to the male why he was being searched due to the intelligence given he matched the description of one of the people I was pursuing, I then identified myself and my station along with informing him of his rights to a search record with lastly informing him that he was being detained (</w:t>
      </w:r>
      <w:r w:rsidRPr="00551621">
        <w:rPr>
          <w:bCs/>
          <w:i/>
          <w:iCs/>
          <w:sz w:val="24"/>
          <w:szCs w:val="24"/>
        </w:rPr>
        <w:t>College of Policing</w:t>
      </w:r>
      <w:r w:rsidRPr="00EF2BEF">
        <w:rPr>
          <w:bCs/>
          <w:sz w:val="24"/>
          <w:szCs w:val="24"/>
        </w:rPr>
        <w:t xml:space="preserve">, 2016). The Search lasted around four minutes </w:t>
      </w:r>
    </w:p>
    <w:p w14:paraId="58D2D0BE" w14:textId="77777777" w:rsidR="00EF2BEF" w:rsidRPr="00EF2BEF" w:rsidRDefault="00EF2BEF" w:rsidP="00EF2BEF">
      <w:pPr>
        <w:spacing w:line="360" w:lineRule="auto"/>
        <w:ind w:right="107"/>
        <w:jc w:val="both"/>
        <w:rPr>
          <w:bCs/>
          <w:sz w:val="24"/>
          <w:szCs w:val="24"/>
        </w:rPr>
      </w:pPr>
      <w:r w:rsidRPr="00EF2BEF">
        <w:rPr>
          <w:bCs/>
          <w:sz w:val="24"/>
          <w:szCs w:val="24"/>
        </w:rPr>
        <w:t xml:space="preserve">Prior to doing the search, I initially felt nervous to ensure I had hit all the points covering GOWISELY, aside from points to cover I was felt at ease.  The male was compliant and did not seem to be aggravated, my tutor was keeping observations and switched whenever I moved sides for quadrant searching as learnt in training. By doing a quadrant search on the individual it was more organised to not miss out areas on the person, additionally by getting my tutor to observe and swap when switching sides gives greater observations and prevents the detained person from discarding items. </w:t>
      </w:r>
    </w:p>
    <w:p w14:paraId="2A9EF992" w14:textId="77777777" w:rsidR="00EF2BEF" w:rsidRPr="00EF2BEF" w:rsidRDefault="00EF2BEF" w:rsidP="00EF2BEF">
      <w:pPr>
        <w:spacing w:line="360" w:lineRule="auto"/>
        <w:ind w:right="107"/>
        <w:jc w:val="both"/>
        <w:rPr>
          <w:bCs/>
          <w:sz w:val="24"/>
          <w:szCs w:val="24"/>
        </w:rPr>
      </w:pPr>
      <w:r w:rsidRPr="00EF2BEF">
        <w:rPr>
          <w:bCs/>
          <w:sz w:val="24"/>
          <w:szCs w:val="24"/>
        </w:rPr>
        <w:t xml:space="preserve"> The only things that were located on the person were a mobile phone, a rolled up cigarette and house key. Nothing further suggested that the male had any stolen items on him, along with the demeanour shown by the individual did not seem to suggest he had done any wrong doing. Upon completion of the search the male then asked when he would be able to obtain the search record, followed by asking if any of use spoke Welsh. In line with my knowledge of the Equality Act 2010 and being a Welsh speaker, I responded to him in Welsh as he seemed pleased that the option was there that if he had decided to speak in Welsh, he was able to freely (</w:t>
      </w:r>
      <w:r w:rsidRPr="00F403B9">
        <w:rPr>
          <w:bCs/>
          <w:i/>
          <w:iCs/>
          <w:sz w:val="24"/>
          <w:szCs w:val="24"/>
        </w:rPr>
        <w:t>Gov.Uk</w:t>
      </w:r>
      <w:r w:rsidRPr="00EF2BEF">
        <w:rPr>
          <w:bCs/>
          <w:sz w:val="24"/>
          <w:szCs w:val="24"/>
        </w:rPr>
        <w:t xml:space="preserve">, 2015). I collected details off him for the record and informed him when he would be able to receive it. The male was then let off whilst I went to have a debrief with Sergeant. From the debrief, my Sergeant expressed that he was satisfied with the stop search, I felt I was coherent in the way I addressed myself to the person and kept conversation. Additionally, I felt I had covered all the aspects of stop search and was thorough in the way I searched clothing. Furthermore, the way I catered to the preference of the detainee that he wished to converse in the medium of Welsh, I strongly believe that it aided the situation for it to go more harmoniously. Once the situation was resolved and the male went home, I went back to the station and logged the occurrence in, I reviewed my body worn footage to reflect upon my actions. </w:t>
      </w:r>
    </w:p>
    <w:p w14:paraId="6108DBA9" w14:textId="2FD919C7" w:rsidR="00EF2BEF" w:rsidRPr="00EF2BEF" w:rsidRDefault="00EF2BEF" w:rsidP="00EF2BEF">
      <w:pPr>
        <w:spacing w:line="360" w:lineRule="auto"/>
        <w:ind w:right="107"/>
        <w:jc w:val="both"/>
        <w:rPr>
          <w:bCs/>
          <w:sz w:val="24"/>
          <w:szCs w:val="24"/>
        </w:rPr>
      </w:pPr>
      <w:r w:rsidRPr="00EF2BEF">
        <w:rPr>
          <w:bCs/>
          <w:sz w:val="24"/>
          <w:szCs w:val="24"/>
        </w:rPr>
        <w:t xml:space="preserve"> All in all, I was satisfied with keeping the situation calm and utilising my knowledge to attend the needs of the individual. Using the structure of GOWISELY to inform the detainee, in hand with the going through the Borton reflective model, it gave navigation into effectively taking in information and how to use the information to achieve an outcome. </w:t>
      </w:r>
      <w:r w:rsidRPr="00EF2BEF">
        <w:rPr>
          <w:bCs/>
          <w:sz w:val="24"/>
          <w:szCs w:val="24"/>
        </w:rPr>
        <w:lastRenderedPageBreak/>
        <w:t xml:space="preserve">this occurrence has set me up for future stop searches in understanding my power of searching, specifically under what grounds to do so as a constable.  </w:t>
      </w:r>
    </w:p>
    <w:p w14:paraId="31C7AA31" w14:textId="77777777" w:rsidR="00112751" w:rsidRPr="00EF2BEF" w:rsidRDefault="00112751" w:rsidP="00EF2BEF">
      <w:pPr>
        <w:spacing w:line="360" w:lineRule="auto"/>
        <w:ind w:right="107"/>
        <w:jc w:val="both"/>
        <w:rPr>
          <w:bCs/>
          <w:sz w:val="24"/>
          <w:szCs w:val="24"/>
        </w:rPr>
      </w:pPr>
    </w:p>
    <w:p w14:paraId="53D8D511" w14:textId="44A204D0" w:rsidR="00112751" w:rsidRPr="00270EEB" w:rsidRDefault="00294B90" w:rsidP="00E6298B">
      <w:pPr>
        <w:ind w:right="107"/>
        <w:jc w:val="both"/>
        <w:rPr>
          <w:sz w:val="24"/>
          <w:szCs w:val="24"/>
        </w:rPr>
      </w:pPr>
      <w:r>
        <w:rPr>
          <w:sz w:val="24"/>
          <w:szCs w:val="24"/>
        </w:rPr>
        <w:t>Word count: 1816</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A9536A2"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95D97F5" w14:textId="17128E04" w:rsidR="00253253" w:rsidRPr="00AE5A47" w:rsidRDefault="00253253" w:rsidP="00E6298B">
      <w:pPr>
        <w:keepNext/>
        <w:spacing w:before="240" w:after="60"/>
        <w:ind w:right="107"/>
        <w:jc w:val="both"/>
        <w:rPr>
          <w:bCs/>
          <w:i/>
          <w:iCs/>
          <w:sz w:val="24"/>
          <w:szCs w:val="24"/>
        </w:rPr>
      </w:pPr>
      <w:r w:rsidRPr="00AE5A47">
        <w:rPr>
          <w:bCs/>
          <w:sz w:val="24"/>
          <w:szCs w:val="24"/>
        </w:rPr>
        <w:t>Bowling,</w:t>
      </w:r>
      <w:r w:rsidR="00631CCB" w:rsidRPr="00AE5A47">
        <w:rPr>
          <w:bCs/>
          <w:sz w:val="24"/>
          <w:szCs w:val="24"/>
        </w:rPr>
        <w:t xml:space="preserve"> </w:t>
      </w:r>
      <w:r w:rsidRPr="00AE5A47">
        <w:rPr>
          <w:bCs/>
          <w:sz w:val="24"/>
          <w:szCs w:val="24"/>
        </w:rPr>
        <w:t xml:space="preserve">B. Phillips, C. (2007) P.937 </w:t>
      </w:r>
      <w:r w:rsidRPr="00AE5A47">
        <w:rPr>
          <w:bCs/>
          <w:i/>
          <w:iCs/>
          <w:sz w:val="24"/>
          <w:szCs w:val="24"/>
        </w:rPr>
        <w:t>‘Disproportionate and Discriminatory: Reviewing the Evidence on Police Stop and Search’</w:t>
      </w:r>
    </w:p>
    <w:p w14:paraId="1398FEA0" w14:textId="3CFA18DE" w:rsidR="0031270D" w:rsidRPr="00AE5A47" w:rsidRDefault="00631CCB" w:rsidP="00E6298B">
      <w:pPr>
        <w:keepNext/>
        <w:spacing w:before="240" w:after="60"/>
        <w:ind w:right="107"/>
        <w:jc w:val="both"/>
        <w:rPr>
          <w:bCs/>
          <w:sz w:val="24"/>
          <w:szCs w:val="24"/>
        </w:rPr>
      </w:pPr>
      <w:r w:rsidRPr="00AE5A47">
        <w:rPr>
          <w:bCs/>
          <w:sz w:val="24"/>
          <w:szCs w:val="24"/>
        </w:rPr>
        <w:t>Bowling, B. Weber, L (2011). ‘</w:t>
      </w:r>
      <w:r w:rsidRPr="00AE5A47">
        <w:rPr>
          <w:bCs/>
          <w:i/>
          <w:iCs/>
          <w:sz w:val="24"/>
          <w:szCs w:val="24"/>
        </w:rPr>
        <w:t>Stop and search in global context: an overview</w:t>
      </w:r>
      <w:r w:rsidR="00AE5A47">
        <w:rPr>
          <w:bCs/>
          <w:i/>
          <w:iCs/>
          <w:sz w:val="24"/>
          <w:szCs w:val="24"/>
        </w:rPr>
        <w:t>’</w:t>
      </w:r>
      <w:r w:rsidRPr="00AE5A47">
        <w:rPr>
          <w:bCs/>
          <w:sz w:val="24"/>
          <w:szCs w:val="24"/>
        </w:rPr>
        <w:t>. P353-488. Available at: https://doi.org/10.1080/10439463.2011.618735  (Accessed: 25 September 2022).</w:t>
      </w:r>
    </w:p>
    <w:p w14:paraId="2C41444A" w14:textId="0A2064FC" w:rsidR="00631CCB" w:rsidRPr="00AE5A47" w:rsidRDefault="007224F8" w:rsidP="00E6298B">
      <w:pPr>
        <w:keepNext/>
        <w:spacing w:before="240" w:after="60"/>
        <w:ind w:right="107"/>
        <w:jc w:val="both"/>
        <w:rPr>
          <w:bCs/>
          <w:sz w:val="24"/>
          <w:szCs w:val="24"/>
        </w:rPr>
      </w:pPr>
      <w:r w:rsidRPr="00AE5A47">
        <w:rPr>
          <w:bCs/>
          <w:sz w:val="24"/>
          <w:szCs w:val="24"/>
        </w:rPr>
        <w:t>College of Policing. (2014). ‘The National Decision Model’. Available at: https://www.college.police.uk/app/national-decision-model/national-decision-model?highlight=neighbourhood%20policing (Accessed: 25 September 2022).</w:t>
      </w:r>
    </w:p>
    <w:p w14:paraId="17CEC6AE" w14:textId="1BFA2045" w:rsidR="007224F8" w:rsidRPr="00AE5A47" w:rsidRDefault="00CE69FF" w:rsidP="00E6298B">
      <w:pPr>
        <w:keepNext/>
        <w:spacing w:before="240" w:after="60"/>
        <w:ind w:right="107"/>
        <w:jc w:val="both"/>
        <w:rPr>
          <w:bCs/>
          <w:sz w:val="24"/>
          <w:szCs w:val="24"/>
        </w:rPr>
      </w:pPr>
      <w:r w:rsidRPr="00AE5A47">
        <w:rPr>
          <w:bCs/>
          <w:sz w:val="24"/>
          <w:szCs w:val="24"/>
        </w:rPr>
        <w:t>College of Policing. (2016). ‘Quick reference guide: professional interaction’. Available at: https://www.college.police.uk/app/stop-and-search/quick-reference-guides/quick-reference-guide-professional-interaction#explain-to-the-person-in-a-manner-they-understand-what-you-are-doing-and-why. (Accessed: 25 September 2022).</w:t>
      </w:r>
    </w:p>
    <w:p w14:paraId="65B4C969" w14:textId="5B5C3067" w:rsidR="0043362C" w:rsidRPr="00AE5A47" w:rsidRDefault="0043362C" w:rsidP="00E6298B">
      <w:pPr>
        <w:keepNext/>
        <w:spacing w:before="240" w:after="60"/>
        <w:ind w:right="107"/>
        <w:jc w:val="both"/>
        <w:rPr>
          <w:bCs/>
          <w:sz w:val="24"/>
          <w:szCs w:val="24"/>
        </w:rPr>
      </w:pPr>
      <w:r w:rsidRPr="00AE5A47">
        <w:rPr>
          <w:bCs/>
          <w:sz w:val="24"/>
          <w:szCs w:val="24"/>
        </w:rPr>
        <w:t>College of Policing. (2019). ‘Stop and Search Legal Basis’. Available at: https://www.college.police.uk/app/stop-and-search/legal/legal-basis(Accessed: 25 September 2022).</w:t>
      </w:r>
    </w:p>
    <w:p w14:paraId="7AB9D86D" w14:textId="65277B52" w:rsidR="00B70BE9" w:rsidRPr="00AE5A47" w:rsidRDefault="00B70BE9" w:rsidP="00E6298B">
      <w:pPr>
        <w:keepNext/>
        <w:spacing w:before="240" w:after="60"/>
        <w:ind w:right="107"/>
        <w:jc w:val="both"/>
        <w:rPr>
          <w:bCs/>
          <w:sz w:val="24"/>
          <w:szCs w:val="24"/>
        </w:rPr>
      </w:pPr>
      <w:r w:rsidRPr="00AE5A47">
        <w:rPr>
          <w:bCs/>
          <w:sz w:val="24"/>
          <w:szCs w:val="24"/>
        </w:rPr>
        <w:t>College of Policing. (2022). ‘Exploring escalation and de-escalation within London Stop and Search encounters captured on Body Worn Video’. Available at: https://www.college.police.uk/research/projects/exploring-escalation-and-de-escalation-within-london-stop-and-search-encounters-captured-body-worn-video.(Accessed: 25 September, 2022).</w:t>
      </w:r>
    </w:p>
    <w:p w14:paraId="36B2E849" w14:textId="763B1E79" w:rsidR="00406232" w:rsidRPr="00AE5A47" w:rsidRDefault="00B04937" w:rsidP="00E6298B">
      <w:pPr>
        <w:keepNext/>
        <w:spacing w:before="240" w:after="60"/>
        <w:ind w:right="107"/>
        <w:jc w:val="both"/>
        <w:rPr>
          <w:bCs/>
          <w:sz w:val="24"/>
          <w:szCs w:val="24"/>
        </w:rPr>
      </w:pPr>
      <w:r w:rsidRPr="00AE5A47">
        <w:rPr>
          <w:bCs/>
          <w:sz w:val="24"/>
          <w:szCs w:val="24"/>
        </w:rPr>
        <w:t xml:space="preserve">Dyson, M. (2020) ‘Theft Act 1968’ (29th edition). </w:t>
      </w:r>
      <w:r w:rsidRPr="00AE5A47">
        <w:rPr>
          <w:bCs/>
          <w:i/>
          <w:iCs/>
          <w:sz w:val="24"/>
          <w:szCs w:val="24"/>
        </w:rPr>
        <w:t>Blackstones Statutes Criminal Law 2019-2020</w:t>
      </w:r>
      <w:r w:rsidRPr="00AE5A47">
        <w:rPr>
          <w:bCs/>
          <w:sz w:val="24"/>
          <w:szCs w:val="24"/>
        </w:rPr>
        <w:t>. Oxford University Press. P.48</w:t>
      </w:r>
    </w:p>
    <w:p w14:paraId="550CF3B4" w14:textId="5321633E" w:rsidR="00734E45" w:rsidRPr="00AE5A47" w:rsidRDefault="00734E45" w:rsidP="00E6298B">
      <w:pPr>
        <w:keepNext/>
        <w:spacing w:before="240" w:after="60"/>
        <w:ind w:right="107"/>
        <w:jc w:val="both"/>
        <w:rPr>
          <w:bCs/>
          <w:sz w:val="24"/>
          <w:szCs w:val="24"/>
        </w:rPr>
      </w:pPr>
      <w:r w:rsidRPr="00AE5A47">
        <w:rPr>
          <w:bCs/>
          <w:sz w:val="24"/>
          <w:szCs w:val="24"/>
        </w:rPr>
        <w:t>Gov.uk. (2015). Equality Act 2010. Available at: https://www.gov.uk/guidance/equality-act-2010-guidance (Accessed: 25 September 2022).</w:t>
      </w:r>
    </w:p>
    <w:p w14:paraId="42E920C2" w14:textId="73936BDA" w:rsidR="003921D9" w:rsidRPr="00AE5A47" w:rsidRDefault="003921D9" w:rsidP="00E6298B">
      <w:pPr>
        <w:keepNext/>
        <w:spacing w:before="240" w:after="60"/>
        <w:ind w:right="107"/>
        <w:jc w:val="both"/>
        <w:rPr>
          <w:bCs/>
          <w:sz w:val="24"/>
          <w:szCs w:val="24"/>
        </w:rPr>
      </w:pPr>
      <w:r w:rsidRPr="00AE5A47">
        <w:rPr>
          <w:bCs/>
          <w:sz w:val="24"/>
          <w:szCs w:val="24"/>
        </w:rPr>
        <w:t>Idstein, P.  Jenkins, R.  (2014). ‘</w:t>
      </w:r>
      <w:r w:rsidRPr="007E5459">
        <w:rPr>
          <w:bCs/>
          <w:i/>
          <w:iCs/>
          <w:sz w:val="24"/>
          <w:szCs w:val="24"/>
        </w:rPr>
        <w:t>Underlining versus Repetitive Reading’</w:t>
      </w:r>
      <w:r w:rsidRPr="00AE5A47">
        <w:rPr>
          <w:bCs/>
          <w:sz w:val="24"/>
          <w:szCs w:val="24"/>
        </w:rPr>
        <w:t>. P321-323. Available at: https://www.tandfonline.com/doi/abs/10.1080/00220671.1972.10884331?journalCode=vjer20 (Accessed 25 September 2022).</w:t>
      </w:r>
    </w:p>
    <w:p w14:paraId="441A7F37" w14:textId="799D8B85" w:rsidR="004403B8" w:rsidRPr="00AE5A47" w:rsidRDefault="004403B8" w:rsidP="00E6298B">
      <w:pPr>
        <w:keepNext/>
        <w:spacing w:before="240" w:after="60"/>
        <w:ind w:right="107"/>
        <w:jc w:val="both"/>
        <w:rPr>
          <w:bCs/>
          <w:sz w:val="24"/>
          <w:szCs w:val="24"/>
        </w:rPr>
      </w:pPr>
      <w:r w:rsidRPr="00AE5A47">
        <w:rPr>
          <w:bCs/>
          <w:sz w:val="24"/>
          <w:szCs w:val="24"/>
        </w:rPr>
        <w:t>Murray, K. (2014). ‘</w:t>
      </w:r>
      <w:r w:rsidRPr="007E5459">
        <w:rPr>
          <w:bCs/>
          <w:i/>
          <w:iCs/>
          <w:sz w:val="24"/>
          <w:szCs w:val="24"/>
        </w:rPr>
        <w:t>Stop and search in Scotland: An evaluation of police practice’</w:t>
      </w:r>
      <w:r w:rsidRPr="00AE5A47">
        <w:rPr>
          <w:bCs/>
          <w:sz w:val="24"/>
          <w:szCs w:val="24"/>
        </w:rPr>
        <w:t>. University of Edingburgh. Available at: https://www.sccjr.ac.uk/wp-content/uploads/2014/01/Stop_and_Search_in_Scotland1.pdf. (Accessed: 25 September 2022).</w:t>
      </w:r>
    </w:p>
    <w:p w14:paraId="2BFE5AF0" w14:textId="5E756646" w:rsidR="003921D9" w:rsidRPr="00AE5A47" w:rsidRDefault="0029633B" w:rsidP="00E6298B">
      <w:pPr>
        <w:keepNext/>
        <w:spacing w:before="240" w:after="60"/>
        <w:ind w:right="107"/>
        <w:jc w:val="both"/>
        <w:rPr>
          <w:bCs/>
          <w:sz w:val="24"/>
          <w:szCs w:val="24"/>
        </w:rPr>
      </w:pPr>
      <w:r w:rsidRPr="00AE5A47">
        <w:rPr>
          <w:bCs/>
          <w:sz w:val="24"/>
          <w:szCs w:val="24"/>
        </w:rPr>
        <w:lastRenderedPageBreak/>
        <w:t>Quinton, P. (2011). ‘</w:t>
      </w:r>
      <w:r w:rsidRPr="007E5459">
        <w:rPr>
          <w:bCs/>
          <w:i/>
          <w:iCs/>
          <w:sz w:val="24"/>
          <w:szCs w:val="24"/>
        </w:rPr>
        <w:t>The formation of suspicions: police stop and search practices in England and</w:t>
      </w:r>
      <w:r w:rsidR="007E5459">
        <w:rPr>
          <w:bCs/>
          <w:i/>
          <w:iCs/>
          <w:sz w:val="24"/>
          <w:szCs w:val="24"/>
        </w:rPr>
        <w:t xml:space="preserve"> </w:t>
      </w:r>
      <w:r w:rsidRPr="007E5459">
        <w:rPr>
          <w:bCs/>
          <w:i/>
          <w:iCs/>
          <w:sz w:val="24"/>
          <w:szCs w:val="24"/>
        </w:rPr>
        <w:t>Wales’</w:t>
      </w:r>
      <w:r w:rsidRPr="00AE5A47">
        <w:rPr>
          <w:bCs/>
          <w:sz w:val="24"/>
          <w:szCs w:val="24"/>
        </w:rPr>
        <w:t>. P. 357-368. Available at: https://doi.org/10.1080/10439463.2011.610193 (Accessed: 25 September 2022).</w:t>
      </w:r>
    </w:p>
    <w:p w14:paraId="11C66EA5" w14:textId="76AC2C75" w:rsidR="0029633B" w:rsidRPr="00AE5A47" w:rsidRDefault="00242362" w:rsidP="00E6298B">
      <w:pPr>
        <w:keepNext/>
        <w:spacing w:before="240" w:after="60"/>
        <w:ind w:right="107"/>
        <w:jc w:val="both"/>
        <w:rPr>
          <w:bCs/>
          <w:sz w:val="24"/>
          <w:szCs w:val="24"/>
        </w:rPr>
      </w:pPr>
      <w:r w:rsidRPr="00AE5A47">
        <w:rPr>
          <w:bCs/>
          <w:sz w:val="24"/>
          <w:szCs w:val="24"/>
        </w:rPr>
        <w:t>Roach, K. Baumgartner, F. Christiani, L. Epp, D. Shoub, K. (2020). ‘</w:t>
      </w:r>
      <w:r w:rsidRPr="007E5459">
        <w:rPr>
          <w:bCs/>
          <w:i/>
          <w:iCs/>
          <w:sz w:val="24"/>
          <w:szCs w:val="24"/>
        </w:rPr>
        <w:t>At the Intersection: Race, Gender, and Discretion in Police Traffic Stop Outcomes’. Journal of Race Ethnicity and Politics.</w:t>
      </w:r>
      <w:r w:rsidRPr="00AE5A47">
        <w:rPr>
          <w:bCs/>
          <w:sz w:val="24"/>
          <w:szCs w:val="24"/>
        </w:rPr>
        <w:t xml:space="preserve"> Available at: https://fbaum.unc.edu/articles/AtTheIntersection-JREP-forthcoming2020.pdf (Accessed: 25 September 2022).</w:t>
      </w:r>
    </w:p>
    <w:p w14:paraId="61AB08C1" w14:textId="77777777" w:rsidR="006B5B12" w:rsidRPr="00AE5A47" w:rsidRDefault="006B5B12" w:rsidP="006B5B12">
      <w:pPr>
        <w:keepNext/>
        <w:spacing w:before="240" w:after="60"/>
        <w:ind w:right="107"/>
        <w:jc w:val="both"/>
        <w:rPr>
          <w:bCs/>
          <w:sz w:val="24"/>
          <w:szCs w:val="24"/>
        </w:rPr>
      </w:pPr>
      <w:r w:rsidRPr="00AE5A47">
        <w:rPr>
          <w:bCs/>
          <w:sz w:val="24"/>
          <w:szCs w:val="24"/>
        </w:rPr>
        <w:t>Rolfe, G. (2014). ‘</w:t>
      </w:r>
      <w:r w:rsidRPr="007E5459">
        <w:rPr>
          <w:bCs/>
          <w:i/>
          <w:iCs/>
          <w:sz w:val="24"/>
          <w:szCs w:val="24"/>
        </w:rPr>
        <w:t>Reach touch and teach: Terry Borton’</w:t>
      </w:r>
      <w:r w:rsidRPr="00AE5A47">
        <w:rPr>
          <w:bCs/>
          <w:sz w:val="24"/>
          <w:szCs w:val="24"/>
        </w:rPr>
        <w:t>. Elsevier Ltd</w:t>
      </w:r>
    </w:p>
    <w:p w14:paraId="46327592" w14:textId="1B373F83" w:rsidR="00242362" w:rsidRPr="00AE5A47" w:rsidRDefault="006B5B12" w:rsidP="006B5B12">
      <w:pPr>
        <w:keepNext/>
        <w:spacing w:before="240" w:after="60"/>
        <w:ind w:right="107"/>
        <w:jc w:val="both"/>
        <w:rPr>
          <w:bCs/>
          <w:sz w:val="24"/>
          <w:szCs w:val="24"/>
        </w:rPr>
      </w:pPr>
      <w:r w:rsidRPr="00AE5A47">
        <w:rPr>
          <w:bCs/>
          <w:sz w:val="24"/>
          <w:szCs w:val="24"/>
        </w:rPr>
        <w:t>Nurse education today, 2014, Vol.34 (4), p.488-548</w:t>
      </w:r>
    </w:p>
    <w:p w14:paraId="318C3405" w14:textId="74D0DB72" w:rsidR="006B5B12" w:rsidRPr="00AE5A47" w:rsidRDefault="00713F55" w:rsidP="006B5B12">
      <w:pPr>
        <w:keepNext/>
        <w:spacing w:before="240" w:after="60"/>
        <w:ind w:right="107"/>
        <w:jc w:val="both"/>
        <w:rPr>
          <w:bCs/>
          <w:sz w:val="24"/>
          <w:szCs w:val="24"/>
        </w:rPr>
      </w:pPr>
      <w:r w:rsidRPr="00AE5A47">
        <w:rPr>
          <w:bCs/>
          <w:sz w:val="24"/>
          <w:szCs w:val="24"/>
        </w:rPr>
        <w:t>Schafer, J. A. Carter, D.L.  Katz-Bannister, A. Wells, W. (2006).</w:t>
      </w:r>
      <w:r w:rsidR="007E5459" w:rsidRPr="007E5459">
        <w:rPr>
          <w:bCs/>
          <w:i/>
          <w:iCs/>
          <w:sz w:val="24"/>
          <w:szCs w:val="24"/>
        </w:rPr>
        <w:t>’</w:t>
      </w:r>
      <w:r w:rsidRPr="007E5459">
        <w:rPr>
          <w:bCs/>
          <w:i/>
          <w:iCs/>
          <w:sz w:val="24"/>
          <w:szCs w:val="24"/>
        </w:rPr>
        <w:t>Decision Making in Traffic Stop Encounters: A Multivariate Analysis of Police Behavior</w:t>
      </w:r>
      <w:r w:rsidRPr="00AE5A47">
        <w:rPr>
          <w:bCs/>
          <w:sz w:val="24"/>
          <w:szCs w:val="24"/>
        </w:rPr>
        <w:t>’. SAGE publications. P. 190-191. Available at: https://www.researchgate.net/profile/Joseph-Schafer-2/publication/239278975_Decision_Making_in_Traffic_Stop_Encounters_A_Multivariate_Analysis_of_Police_Behavior/links/0c96052d0286b3f1db000000/Decision-Making-in-Traffic-Stop-Encounters-A-Multivariate-Analysis-of-Police-Behavior.pdf(Accessed: 25 September 2022).</w:t>
      </w:r>
    </w:p>
    <w:p w14:paraId="3BD9B5DE" w14:textId="77777777" w:rsidR="00631CCB" w:rsidRPr="00AE5A47" w:rsidRDefault="00631CCB" w:rsidP="00E6298B">
      <w:pPr>
        <w:keepNext/>
        <w:spacing w:before="240" w:after="60"/>
        <w:ind w:right="107"/>
        <w:jc w:val="both"/>
        <w:rPr>
          <w:bCs/>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8193"/>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18A7"/>
    <w:rsid w:val="00041A76"/>
    <w:rsid w:val="00045B87"/>
    <w:rsid w:val="00045C07"/>
    <w:rsid w:val="00054483"/>
    <w:rsid w:val="00055D43"/>
    <w:rsid w:val="00056FAC"/>
    <w:rsid w:val="00057751"/>
    <w:rsid w:val="00062E39"/>
    <w:rsid w:val="00080E58"/>
    <w:rsid w:val="00080E5B"/>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772"/>
    <w:rsid w:val="00096DEA"/>
    <w:rsid w:val="000A00CC"/>
    <w:rsid w:val="000A4240"/>
    <w:rsid w:val="000A469A"/>
    <w:rsid w:val="000B1E96"/>
    <w:rsid w:val="000C378F"/>
    <w:rsid w:val="000C6892"/>
    <w:rsid w:val="000C6FFE"/>
    <w:rsid w:val="000D0BB6"/>
    <w:rsid w:val="000E26B0"/>
    <w:rsid w:val="000E63F0"/>
    <w:rsid w:val="000F1599"/>
    <w:rsid w:val="000F1769"/>
    <w:rsid w:val="000F6196"/>
    <w:rsid w:val="000F7ECD"/>
    <w:rsid w:val="00102E64"/>
    <w:rsid w:val="0010312C"/>
    <w:rsid w:val="00106DC7"/>
    <w:rsid w:val="00112391"/>
    <w:rsid w:val="00112751"/>
    <w:rsid w:val="00114F52"/>
    <w:rsid w:val="00121901"/>
    <w:rsid w:val="00127E21"/>
    <w:rsid w:val="0013340D"/>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362"/>
    <w:rsid w:val="0024288B"/>
    <w:rsid w:val="00253253"/>
    <w:rsid w:val="0025394E"/>
    <w:rsid w:val="00255D8E"/>
    <w:rsid w:val="002657E9"/>
    <w:rsid w:val="0026665E"/>
    <w:rsid w:val="00270EEB"/>
    <w:rsid w:val="0027147E"/>
    <w:rsid w:val="002751B4"/>
    <w:rsid w:val="002761F4"/>
    <w:rsid w:val="002775E1"/>
    <w:rsid w:val="00277844"/>
    <w:rsid w:val="00277979"/>
    <w:rsid w:val="002808EB"/>
    <w:rsid w:val="00291ADD"/>
    <w:rsid w:val="00294868"/>
    <w:rsid w:val="00294B90"/>
    <w:rsid w:val="00295CA1"/>
    <w:rsid w:val="0029633B"/>
    <w:rsid w:val="002A291A"/>
    <w:rsid w:val="002A5604"/>
    <w:rsid w:val="002B1701"/>
    <w:rsid w:val="002B23C3"/>
    <w:rsid w:val="002B443A"/>
    <w:rsid w:val="002B5B35"/>
    <w:rsid w:val="002C256A"/>
    <w:rsid w:val="002C496D"/>
    <w:rsid w:val="002C7A85"/>
    <w:rsid w:val="002D05EB"/>
    <w:rsid w:val="002D2F29"/>
    <w:rsid w:val="002E7017"/>
    <w:rsid w:val="002F46E9"/>
    <w:rsid w:val="002F4F6E"/>
    <w:rsid w:val="002F590D"/>
    <w:rsid w:val="003015C3"/>
    <w:rsid w:val="0030C684"/>
    <w:rsid w:val="0031270D"/>
    <w:rsid w:val="0031350A"/>
    <w:rsid w:val="00316815"/>
    <w:rsid w:val="003168CA"/>
    <w:rsid w:val="00321255"/>
    <w:rsid w:val="0032230D"/>
    <w:rsid w:val="00322A0B"/>
    <w:rsid w:val="00335FC5"/>
    <w:rsid w:val="003516C0"/>
    <w:rsid w:val="00352E59"/>
    <w:rsid w:val="00354DBE"/>
    <w:rsid w:val="00355210"/>
    <w:rsid w:val="00365DF9"/>
    <w:rsid w:val="00367D93"/>
    <w:rsid w:val="00372DB4"/>
    <w:rsid w:val="00375AF5"/>
    <w:rsid w:val="003761BD"/>
    <w:rsid w:val="00385414"/>
    <w:rsid w:val="00390074"/>
    <w:rsid w:val="003921D9"/>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3F7473"/>
    <w:rsid w:val="004046F0"/>
    <w:rsid w:val="00406232"/>
    <w:rsid w:val="0040668F"/>
    <w:rsid w:val="00412677"/>
    <w:rsid w:val="00413251"/>
    <w:rsid w:val="0043362C"/>
    <w:rsid w:val="004348AE"/>
    <w:rsid w:val="004376C0"/>
    <w:rsid w:val="004403B8"/>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483"/>
    <w:rsid w:val="004E7B8B"/>
    <w:rsid w:val="004E7BDD"/>
    <w:rsid w:val="004F1E21"/>
    <w:rsid w:val="004F740D"/>
    <w:rsid w:val="004F7B8F"/>
    <w:rsid w:val="00500748"/>
    <w:rsid w:val="005011D6"/>
    <w:rsid w:val="0050167A"/>
    <w:rsid w:val="005042F1"/>
    <w:rsid w:val="00504B92"/>
    <w:rsid w:val="00513C7D"/>
    <w:rsid w:val="00521123"/>
    <w:rsid w:val="00521221"/>
    <w:rsid w:val="00523608"/>
    <w:rsid w:val="0052653C"/>
    <w:rsid w:val="00536FA9"/>
    <w:rsid w:val="005414F4"/>
    <w:rsid w:val="00546187"/>
    <w:rsid w:val="005463F1"/>
    <w:rsid w:val="0055162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1CCB"/>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B12"/>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13F55"/>
    <w:rsid w:val="00717904"/>
    <w:rsid w:val="007204AE"/>
    <w:rsid w:val="007224F8"/>
    <w:rsid w:val="0072678F"/>
    <w:rsid w:val="00727C4C"/>
    <w:rsid w:val="00732FB9"/>
    <w:rsid w:val="00734809"/>
    <w:rsid w:val="00734E45"/>
    <w:rsid w:val="00734E90"/>
    <w:rsid w:val="007406E1"/>
    <w:rsid w:val="00743E40"/>
    <w:rsid w:val="00745FDB"/>
    <w:rsid w:val="00751263"/>
    <w:rsid w:val="0075704F"/>
    <w:rsid w:val="00763B2D"/>
    <w:rsid w:val="00772924"/>
    <w:rsid w:val="00772C15"/>
    <w:rsid w:val="007872F2"/>
    <w:rsid w:val="007908E0"/>
    <w:rsid w:val="00792181"/>
    <w:rsid w:val="0079280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5459"/>
    <w:rsid w:val="007F371B"/>
    <w:rsid w:val="007F3F7E"/>
    <w:rsid w:val="007F5497"/>
    <w:rsid w:val="00813CEC"/>
    <w:rsid w:val="0081534C"/>
    <w:rsid w:val="00815713"/>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2016"/>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7A7"/>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66E20"/>
    <w:rsid w:val="00A732EA"/>
    <w:rsid w:val="00A7489E"/>
    <w:rsid w:val="00A8015F"/>
    <w:rsid w:val="00A80BD2"/>
    <w:rsid w:val="00A85039"/>
    <w:rsid w:val="00A906AA"/>
    <w:rsid w:val="00A94C5E"/>
    <w:rsid w:val="00AA241A"/>
    <w:rsid w:val="00AA252C"/>
    <w:rsid w:val="00AA37BB"/>
    <w:rsid w:val="00AA46DB"/>
    <w:rsid w:val="00AA666E"/>
    <w:rsid w:val="00AB5518"/>
    <w:rsid w:val="00AC01D4"/>
    <w:rsid w:val="00AC4637"/>
    <w:rsid w:val="00AC4A04"/>
    <w:rsid w:val="00AD336F"/>
    <w:rsid w:val="00AD3550"/>
    <w:rsid w:val="00AD6ECE"/>
    <w:rsid w:val="00AE2564"/>
    <w:rsid w:val="00AE301F"/>
    <w:rsid w:val="00AE3302"/>
    <w:rsid w:val="00AE5A47"/>
    <w:rsid w:val="00AE7077"/>
    <w:rsid w:val="00AF5609"/>
    <w:rsid w:val="00AF5D6A"/>
    <w:rsid w:val="00AF61C2"/>
    <w:rsid w:val="00AF6CC6"/>
    <w:rsid w:val="00B0296A"/>
    <w:rsid w:val="00B03185"/>
    <w:rsid w:val="00B04937"/>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0BE9"/>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03C5"/>
    <w:rsid w:val="00C23F17"/>
    <w:rsid w:val="00C267F2"/>
    <w:rsid w:val="00C26D0D"/>
    <w:rsid w:val="00C27C95"/>
    <w:rsid w:val="00C300D2"/>
    <w:rsid w:val="00C3270F"/>
    <w:rsid w:val="00C3278B"/>
    <w:rsid w:val="00C33375"/>
    <w:rsid w:val="00C33C02"/>
    <w:rsid w:val="00C34C23"/>
    <w:rsid w:val="00C42005"/>
    <w:rsid w:val="00C44446"/>
    <w:rsid w:val="00C4664D"/>
    <w:rsid w:val="00C472AA"/>
    <w:rsid w:val="00C50A05"/>
    <w:rsid w:val="00C54AED"/>
    <w:rsid w:val="00C63D00"/>
    <w:rsid w:val="00C6441B"/>
    <w:rsid w:val="00C7108B"/>
    <w:rsid w:val="00C8089F"/>
    <w:rsid w:val="00C836CC"/>
    <w:rsid w:val="00C8629E"/>
    <w:rsid w:val="00C87A74"/>
    <w:rsid w:val="00C92C71"/>
    <w:rsid w:val="00C93F8F"/>
    <w:rsid w:val="00CA3593"/>
    <w:rsid w:val="00CB143A"/>
    <w:rsid w:val="00CB258E"/>
    <w:rsid w:val="00CB3C8F"/>
    <w:rsid w:val="00CC02F1"/>
    <w:rsid w:val="00CC11A6"/>
    <w:rsid w:val="00CC135E"/>
    <w:rsid w:val="00CC4414"/>
    <w:rsid w:val="00CD5D3F"/>
    <w:rsid w:val="00CE69FF"/>
    <w:rsid w:val="00CF3DB3"/>
    <w:rsid w:val="00D052BC"/>
    <w:rsid w:val="00D07026"/>
    <w:rsid w:val="00D11888"/>
    <w:rsid w:val="00D22C8F"/>
    <w:rsid w:val="00D2620E"/>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736"/>
    <w:rsid w:val="00E50821"/>
    <w:rsid w:val="00E51F91"/>
    <w:rsid w:val="00E625BD"/>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33A3"/>
    <w:rsid w:val="00EA4D48"/>
    <w:rsid w:val="00EB2173"/>
    <w:rsid w:val="00EB62E6"/>
    <w:rsid w:val="00ED1B30"/>
    <w:rsid w:val="00ED250E"/>
    <w:rsid w:val="00ED2AA3"/>
    <w:rsid w:val="00ED6516"/>
    <w:rsid w:val="00EE1AC1"/>
    <w:rsid w:val="00EE39D6"/>
    <w:rsid w:val="00EE52AD"/>
    <w:rsid w:val="00EF2BEF"/>
    <w:rsid w:val="00F01F92"/>
    <w:rsid w:val="00F10A08"/>
    <w:rsid w:val="00F22AC5"/>
    <w:rsid w:val="00F254D1"/>
    <w:rsid w:val="00F32B82"/>
    <w:rsid w:val="00F403B9"/>
    <w:rsid w:val="00F4043E"/>
    <w:rsid w:val="00F41BBC"/>
    <w:rsid w:val="00F43B9D"/>
    <w:rsid w:val="00F444F0"/>
    <w:rsid w:val="00F46FB1"/>
    <w:rsid w:val="00F50847"/>
    <w:rsid w:val="00F53F27"/>
    <w:rsid w:val="00F546D1"/>
    <w:rsid w:val="00F66272"/>
    <w:rsid w:val="00F709C0"/>
    <w:rsid w:val="00F927A1"/>
    <w:rsid w:val="00F92E4D"/>
    <w:rsid w:val="00FA2BC2"/>
    <w:rsid w:val="00FA3764"/>
    <w:rsid w:val="00FA56ED"/>
    <w:rsid w:val="00FB4993"/>
    <w:rsid w:val="00FB5FA6"/>
    <w:rsid w:val="00FB6578"/>
    <w:rsid w:val="00FC1310"/>
    <w:rsid w:val="00FC198B"/>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B4DBC44"/>
  <w15:docId w15:val="{B1C648F8-F1B6-4B6B-A105-84A27BBC3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22</Pages>
  <Words>5313</Words>
  <Characters>30288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Hopkins, Elyse</cp:lastModifiedBy>
  <cp:revision>59</cp:revision>
  <cp:lastPrinted>2019-08-13T11:47:00Z</cp:lastPrinted>
  <dcterms:created xsi:type="dcterms:W3CDTF">2022-09-25T21:03:00Z</dcterms:created>
  <dcterms:modified xsi:type="dcterms:W3CDTF">2022-09-25T22:33:00Z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2022-07-26T12:26:02Z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cbbddbfe-d038-42e8-a170-c5fa7175675b</vt:lpwstr>
  </property>
  <property fmtid="{D5CDD505-2E9C-101B-9397-08002B2CF9AE}" pid="9" name="MSIP_Label_f2acd28b-79a3-4a0f-b0ff-4b75658b1549_ContentBits">
    <vt:lpwstr>0</vt:lpwstr>
  </property>
</Properties>
</file>