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3D76A" w14:textId="0EA9E292" w:rsidR="006F6D44" w:rsidRDefault="00750294">
      <w:pPr>
        <w:spacing w:after="400"/>
        <w:jc w:val="center"/>
        <w:rPr>
          <w:b/>
          <w:bCs/>
          <w:sz w:val="32"/>
          <w:szCs w:val="32"/>
        </w:rPr>
      </w:pPr>
      <w:r>
        <w:rPr>
          <w:b/>
          <w:bCs/>
          <w:sz w:val="32"/>
          <w:szCs w:val="32"/>
        </w:rPr>
        <w:t xml:space="preserve">Lenuta Raducanu </w:t>
      </w:r>
    </w:p>
    <w:p w14:paraId="2804172F" w14:textId="5DAFCE49" w:rsidR="00750294" w:rsidRDefault="00750294">
      <w:pPr>
        <w:spacing w:after="400"/>
        <w:jc w:val="center"/>
        <w:rPr>
          <w:b/>
          <w:bCs/>
          <w:sz w:val="32"/>
          <w:szCs w:val="32"/>
        </w:rPr>
      </w:pPr>
      <w:r>
        <w:rPr>
          <w:b/>
          <w:bCs/>
          <w:sz w:val="32"/>
          <w:szCs w:val="32"/>
        </w:rPr>
        <w:t>The Ethics of Life and Death (HPPH 5904)</w:t>
      </w:r>
    </w:p>
    <w:p w14:paraId="0BE18129" w14:textId="1D616AE0" w:rsidR="00750294" w:rsidRDefault="00750294">
      <w:pPr>
        <w:spacing w:after="400"/>
        <w:jc w:val="center"/>
      </w:pPr>
      <w:r>
        <w:rPr>
          <w:b/>
          <w:bCs/>
          <w:sz w:val="32"/>
          <w:szCs w:val="32"/>
        </w:rPr>
        <w:t xml:space="preserve">Essay </w:t>
      </w:r>
    </w:p>
    <w:p w14:paraId="6E5BEA14" w14:textId="77777777" w:rsidR="006F6D44" w:rsidRDefault="0023545F">
      <w:pPr>
        <w:spacing w:after="100"/>
        <w:jc w:val="center"/>
      </w:pPr>
      <w:r>
        <w:rPr>
          <w:i/>
          <w:iCs/>
        </w:rPr>
        <w:t>Does an organism only possess a serious right to life if it possesses the concept of a self as a continuing subject of experiences?</w:t>
      </w:r>
    </w:p>
    <w:p w14:paraId="572FE2AC" w14:textId="77777777" w:rsidR="006F6D44" w:rsidRDefault="006F6D44">
      <w:pPr>
        <w:spacing w:after="300"/>
      </w:pPr>
    </w:p>
    <w:p w14:paraId="320C0210" w14:textId="7F8ECCBC" w:rsidR="006F6D44" w:rsidRDefault="006F6D44">
      <w:pPr>
        <w:spacing w:after="100"/>
      </w:pPr>
    </w:p>
    <w:p w14:paraId="11B7E4C0" w14:textId="77777777" w:rsidR="006F6D44" w:rsidRDefault="006F6D44">
      <w:pPr>
        <w:spacing w:after="200"/>
      </w:pPr>
    </w:p>
    <w:p w14:paraId="6A73747F" w14:textId="5C06D774" w:rsidR="006F6D44" w:rsidRDefault="0023545F" w:rsidP="00750294">
      <w:pPr>
        <w:rPr>
          <w:b/>
          <w:bCs/>
        </w:rPr>
      </w:pPr>
      <w:r>
        <w:rPr>
          <w:b/>
          <w:bCs/>
        </w:rPr>
        <w:t>Introduction</w:t>
      </w:r>
    </w:p>
    <w:p w14:paraId="2893D229" w14:textId="77777777" w:rsidR="00750294" w:rsidRDefault="00750294" w:rsidP="00750294"/>
    <w:p w14:paraId="6A492B4A" w14:textId="77777777" w:rsidR="006F6D44" w:rsidRDefault="0023545F">
      <w:pPr>
        <w:spacing w:after="200" w:line="360" w:lineRule="auto"/>
        <w:jc w:val="both"/>
      </w:pPr>
      <w:r>
        <w:t xml:space="preserve">The question of who or what possesses a right to life is one of the most enduring and contested issues in moral philosophy. It lies at the intersection of debates about abortion, animal rights, euthanasia, and the moral status of cognitively impaired human beings. In his seminal 1972 article, </w:t>
      </w:r>
      <w:r>
        <w:rPr>
          <w:i/>
          <w:iCs/>
        </w:rPr>
        <w:t>Abortion and Infanticide</w:t>
      </w:r>
      <w:r>
        <w:t>, the American philosopher Michael Tooley advanced a provocative thesis: that a serious right to life belongs only to those entities that possess the concept of themselves as continuing subjects of experience.</w:t>
      </w:r>
      <w:r>
        <w:rPr>
          <w:vertAlign w:val="superscript"/>
        </w:rPr>
        <w:t>1</w:t>
      </w:r>
      <w:r>
        <w:t xml:space="preserve"> For Tooley, possessing this concept entails not merely being alive or sentient, but being self-aware in a temporally extended sense, understanding that one has existed in the past and will, if not killed, continue to exist into the future. An entity that cannot form such a sel</w:t>
      </w:r>
      <w:r>
        <w:t>f-concept, Tooley argued, cannot coherently desire its own continued existence, and therefore cannot possess a right whose violation would consist in the frustration of precisely that desire.</w:t>
      </w:r>
    </w:p>
    <w:p w14:paraId="140E9917" w14:textId="77777777" w:rsidR="006F6D44" w:rsidRDefault="0023545F">
      <w:pPr>
        <w:spacing w:after="200" w:line="360" w:lineRule="auto"/>
        <w:jc w:val="both"/>
      </w:pPr>
      <w:r>
        <w:t>This essay critically examines Tooley’s claim. It begins by explaining the philosophical underpinnings of his argument and the desire-based theory of rights upon which it rests. It then considers the far-reaching implications of his view, particularly its exclusion of foetuses, neonates, and most non-human animals from the class of right-holders. The essay proceeds to evaluate three major objections: that the criterion of self-awareness sets the bar unacceptably high, that it produces morally troubling cons</w:t>
      </w:r>
      <w:r>
        <w:t>equences for cognitively impaired humans, and that alternative frameworks offer more defensible grounds for attributing a right to life. In doing so, the essay engages with the positions of Peter Singer, Tom Regan, and proponents of the sanctity-of-life tradition, ultimately arguing that while Tooley’s analysis is philosophically rigorous, it is too narrow to serve as the sole criterion for moral status.</w:t>
      </w:r>
    </w:p>
    <w:p w14:paraId="0F13CDB7" w14:textId="77777777" w:rsidR="006F6D44" w:rsidRDefault="0023545F">
      <w:pPr>
        <w:spacing w:before="360" w:after="200"/>
      </w:pPr>
      <w:r>
        <w:rPr>
          <w:b/>
          <w:bCs/>
        </w:rPr>
        <w:lastRenderedPageBreak/>
        <w:t>Tooley’s Desire-Based Account of the Right to Life</w:t>
      </w:r>
    </w:p>
    <w:p w14:paraId="05C7AE77" w14:textId="77777777" w:rsidR="006F6D44" w:rsidRDefault="0023545F">
      <w:pPr>
        <w:spacing w:after="200" w:line="360" w:lineRule="auto"/>
        <w:jc w:val="both"/>
      </w:pPr>
      <w:r>
        <w:t>Tooley’s argument rests upon what may be termed a desire-based, or interest-based, theory of rights. On this account, to have a right to X presupposes that one is capable of desiring X. Rights, for Tooley, are not metaphysical properties inhering in beings by virtue of their species membership or biological nature; rather, they are protections of interests, and interests require a subject capable of having them.</w:t>
      </w:r>
      <w:r>
        <w:rPr>
          <w:vertAlign w:val="superscript"/>
        </w:rPr>
        <w:t>2</w:t>
      </w:r>
      <w:r>
        <w:t xml:space="preserve"> Applied to the right to life, this yields a specific and demanding criterion: an entity has a serious right to life only if it can desire its own continued existence, and desiring one’s continued existence requires understanding oneself as a persisting entity, a self that extends through time.</w:t>
      </w:r>
    </w:p>
    <w:p w14:paraId="587CBB8F" w14:textId="77777777" w:rsidR="006F6D44" w:rsidRDefault="0023545F">
      <w:pPr>
        <w:spacing w:after="200" w:line="360" w:lineRule="auto"/>
        <w:jc w:val="both"/>
      </w:pPr>
      <w:r>
        <w:t>The philosophical significance of this claim is considerable. It draws a sharp line between beings that are merely alive (or even merely sentient) and those that are persons in a morally relevant sense. A foetus, a neonate, or a non-human animal such as a fish may be biologically alive and capable of experiencing pleasure or pain, yet none of these, on Tooley’s account, possesses the requisite self-concept. The capacity for sensation, while morally relevant in other ways, does not by itself ground a right t</w:t>
      </w:r>
      <w:r>
        <w:t>o life. What is required is a higher-order cognitive capacity: the ability to represent oneself to oneself as a being with temporal continuity.</w:t>
      </w:r>
      <w:r>
        <w:rPr>
          <w:vertAlign w:val="superscript"/>
        </w:rPr>
        <w:t>3</w:t>
      </w:r>
    </w:p>
    <w:p w14:paraId="44343CDC" w14:textId="77777777" w:rsidR="006F6D44" w:rsidRDefault="0023545F">
      <w:pPr>
        <w:spacing w:after="200" w:line="360" w:lineRule="auto"/>
        <w:jc w:val="both"/>
      </w:pPr>
      <w:r>
        <w:t xml:space="preserve">It is important to note that Tooley does not claim that entities lacking self-awareness have no moral status whatsoever. He acknowledges that sentient creatures may possess rights against suffering or cruelty, and that there may be strong utilitarian reasons to protect their welfare. His point is narrower but more philosophically radical: the </w:t>
      </w:r>
      <w:r>
        <w:rPr>
          <w:i/>
          <w:iCs/>
        </w:rPr>
        <w:t>specific</w:t>
      </w:r>
      <w:r>
        <w:t xml:space="preserve"> right to continued existence (the right not to be killed) requires a specific cognitive substrate that many living beings simply do not have.</w:t>
      </w:r>
    </w:p>
    <w:p w14:paraId="230F8A95" w14:textId="77777777" w:rsidR="006F6D44" w:rsidRDefault="0023545F">
      <w:pPr>
        <w:spacing w:before="360" w:after="200"/>
      </w:pPr>
      <w:r>
        <w:rPr>
          <w:b/>
          <w:bCs/>
        </w:rPr>
        <w:t>Implications: Who Is Excluded?</w:t>
      </w:r>
    </w:p>
    <w:p w14:paraId="2644349F" w14:textId="77777777" w:rsidR="006F6D44" w:rsidRDefault="0023545F">
      <w:pPr>
        <w:spacing w:after="200" w:line="360" w:lineRule="auto"/>
        <w:jc w:val="both"/>
      </w:pPr>
      <w:r>
        <w:t>The most immediate and controversial implication of Tooley’s view is that it excludes human foetuses and newborn infants from the class of beings possessing a serious right to life. Since neonates are not yet capable of self-awareness in the relevant sense, they cannot, on Tooley’s framework, possess a desire for their own continued existence and therefore cannot hold the right to life. Tooley himself accepted this conclusion, arguing that infanticide, while potentially wrong on other grounds (such as the d</w:t>
      </w:r>
      <w:r>
        <w:t>istress it causes to parents), is not wrong in the same way that killing a self-aware person is wrong.</w:t>
      </w:r>
      <w:r>
        <w:rPr>
          <w:vertAlign w:val="superscript"/>
        </w:rPr>
        <w:t>4</w:t>
      </w:r>
    </w:p>
    <w:p w14:paraId="21A37DF9" w14:textId="6DAF9566" w:rsidR="006F6D44" w:rsidRDefault="0023545F">
      <w:pPr>
        <w:spacing w:after="200" w:line="360" w:lineRule="auto"/>
        <w:jc w:val="both"/>
      </w:pPr>
      <w:r>
        <w:lastRenderedPageBreak/>
        <w:t>The implications extend beyond the human species. Most non-human animals (with the possible exception of some great apes, cetaceans, and perhaps certain corvids) appear to lack the kind of self-reflective temporal awareness that Tooley’s criterion demands.</w:t>
      </w:r>
      <w:r>
        <w:rPr>
          <w:vertAlign w:val="superscript"/>
        </w:rPr>
        <w:t>5</w:t>
      </w:r>
      <w:r>
        <w:t xml:space="preserve"> A cow may experience pain when slaughtered, and a dog may display attachment to its owner, but neither, on the available empirical evidence, possesses a sophisticated concept of itself as an entity persisting through time. If Tooley is correct, then </w:t>
      </w:r>
      <w:r w:rsidR="00750294">
        <w:t>most</w:t>
      </w:r>
      <w:r>
        <w:t xml:space="preserve"> animals do not possess a right to life, although they may possess other rights grounded in their sentience.</w:t>
      </w:r>
    </w:p>
    <w:p w14:paraId="18247481" w14:textId="77777777" w:rsidR="006F6D44" w:rsidRDefault="0023545F">
      <w:pPr>
        <w:spacing w:before="360" w:after="200"/>
      </w:pPr>
      <w:r>
        <w:rPr>
          <w:b/>
          <w:bCs/>
        </w:rPr>
        <w:t>Objection One: Is Self-Awareness the Right Criterion?</w:t>
      </w:r>
    </w:p>
    <w:p w14:paraId="4996316F" w14:textId="77777777" w:rsidR="006F6D44" w:rsidRDefault="0023545F">
      <w:pPr>
        <w:spacing w:after="200" w:line="360" w:lineRule="auto"/>
        <w:jc w:val="both"/>
      </w:pPr>
      <w:r>
        <w:t>A first and powerful objection asks whether Tooley has correctly identified the morally relevant property. The desire-based framework is attractive in its philosophical clarity, but clarity should not be confused with correctness. There is a strong intuition, shared across many ethical traditions, that the capacity to suffer is itself a morally significant property that bears upon the right to life, not merely upon the right to be free from pain. Peter Singer, drawing upon the utilitarian tradition of Jerem</w:t>
      </w:r>
      <w:r>
        <w:t>y Bentham, has argued that the capacity for suffering and enjoyment is the foundational criterion of moral consideration.</w:t>
      </w:r>
      <w:r>
        <w:rPr>
          <w:vertAlign w:val="superscript"/>
        </w:rPr>
        <w:t>6</w:t>
      </w:r>
      <w:r>
        <w:t xml:space="preserve"> For Singer, the relevant question is not whether an animal can reason or possess a self-concept, but whether it can suffer. Where suffering exists, there is an interest in avoiding it, and that interest demands moral respect.</w:t>
      </w:r>
    </w:p>
    <w:p w14:paraId="21F34E7C" w14:textId="77777777" w:rsidR="006F6D44" w:rsidRDefault="0023545F">
      <w:pPr>
        <w:spacing w:after="200" w:line="360" w:lineRule="auto"/>
        <w:jc w:val="both"/>
      </w:pPr>
      <w:r>
        <w:t>Singer’s position, while distinct from Tooley’s, does not straightforwardly ground a right to life for all sentient beings. Singer himself, as a preference utilitarian, accepts that the killing of a self-aware being is a greater moral wrong than the killing of a merely sentient one, because the former has preferences about its future that are frustrated by death.</w:t>
      </w:r>
      <w:r>
        <w:rPr>
          <w:vertAlign w:val="superscript"/>
        </w:rPr>
        <w:t>7</w:t>
      </w:r>
      <w:r>
        <w:t xml:space="preserve"> Nevertheless, Singer’s approach challenges the sharpness of Tooley’s line. On Singer’s view, the killing of any sentient creature is at least </w:t>
      </w:r>
      <w:r>
        <w:rPr>
          <w:i/>
          <w:iCs/>
        </w:rPr>
        <w:t>prima facie</w:t>
      </w:r>
      <w:r>
        <w:t xml:space="preserve"> wrong, because it cuts short a stream of experiences that had positive value. The disagreement, then, is not about whether sentience matters, but about whether it matters enough to ground a right to life or merely a right not to suffer.</w:t>
      </w:r>
    </w:p>
    <w:p w14:paraId="0E16B8C0" w14:textId="77777777" w:rsidR="006F6D44" w:rsidRDefault="0023545F">
      <w:pPr>
        <w:spacing w:before="360" w:after="200"/>
      </w:pPr>
      <w:r>
        <w:rPr>
          <w:b/>
          <w:bCs/>
        </w:rPr>
        <w:t>Objection Two: The Problem of Marginal Cases</w:t>
      </w:r>
    </w:p>
    <w:p w14:paraId="18BA5F17" w14:textId="77777777" w:rsidR="006F6D44" w:rsidRDefault="0023545F">
      <w:pPr>
        <w:spacing w:after="200" w:line="360" w:lineRule="auto"/>
        <w:jc w:val="both"/>
      </w:pPr>
      <w:r>
        <w:t xml:space="preserve">Perhaps the most formidable challenge to Tooley’s position comes from what philosophers have termed the argument from marginal cases. If the right to life is grounded exclusively in the capacity for self-awareness, then it follows that some human beings (including those with severe cognitive impairments, advanced dementia, or certain profound disabilities) do not </w:t>
      </w:r>
      <w:r>
        <w:lastRenderedPageBreak/>
        <w:t>possess a serious right to life. This consequence is, for many, deeply counter-intuitive and morally unacceptable.</w:t>
      </w:r>
      <w:r>
        <w:rPr>
          <w:vertAlign w:val="superscript"/>
        </w:rPr>
        <w:t>8</w:t>
      </w:r>
    </w:p>
    <w:p w14:paraId="40DEB7D1" w14:textId="77777777" w:rsidR="006F6D44" w:rsidRDefault="0023545F">
      <w:pPr>
        <w:spacing w:after="200" w:line="360" w:lineRule="auto"/>
        <w:jc w:val="both"/>
      </w:pPr>
      <w:r>
        <w:t>The argument from marginal cases has been extensively deployed in the animal ethics literature as a challenge to human exceptionalism. If we deny the right to life to a healthy adult chimpanzee on the grounds that it lacks self-awareness, consistency seems to require that we also deny it to a severely cognitively impaired human being who similarly lacks this capacity. To insist otherwise (that all humans have a right to life by virtue of species membership alone) is, critics allege, to commit the error of s</w:t>
      </w:r>
      <w:r>
        <w:t>peciesism: a form of unjustified discrimination analogous to racism or sexism.</w:t>
      </w:r>
      <w:r>
        <w:rPr>
          <w:vertAlign w:val="superscript"/>
        </w:rPr>
        <w:t>9</w:t>
      </w:r>
    </w:p>
    <w:p w14:paraId="3B3EAB30" w14:textId="77777777" w:rsidR="006F6D44" w:rsidRDefault="0023545F">
      <w:pPr>
        <w:spacing w:after="200" w:line="360" w:lineRule="auto"/>
        <w:jc w:val="both"/>
      </w:pPr>
      <w:r>
        <w:t>Tooley could respond by maintaining that consistency demands we accept the conclusion: that severely cognitively impaired humans genuinely do not possess a serious right to life, although they may be owed other forms of moral protection. This is a philosophically consistent position, but it comes at a high moral cost. Most ethical frameworks, and indeed most legal systems, refuse to accept that any human being, regardless of cognitive capacity, lacks a fundamental right to life. Whether this refusal is rati</w:t>
      </w:r>
      <w:r>
        <w:t>onally defensible or merely the product of species-based bias is itself a matter of vigorous philosophical dispute.</w:t>
      </w:r>
    </w:p>
    <w:p w14:paraId="6E3A173E" w14:textId="77777777" w:rsidR="006F6D44" w:rsidRDefault="0023545F">
      <w:pPr>
        <w:spacing w:before="360" w:after="200"/>
      </w:pPr>
      <w:r>
        <w:rPr>
          <w:b/>
          <w:bCs/>
        </w:rPr>
        <w:t>Objection Three: Regan and the Subject-of-a-Life Criterion</w:t>
      </w:r>
    </w:p>
    <w:p w14:paraId="459A9850" w14:textId="77777777" w:rsidR="006F6D44" w:rsidRDefault="0023545F">
      <w:pPr>
        <w:spacing w:after="200" w:line="360" w:lineRule="auto"/>
        <w:jc w:val="both"/>
      </w:pPr>
      <w:r>
        <w:t xml:space="preserve">Tom Regan offers an alternative framework that avoids many of the difficulties associated with Tooley’s view. In </w:t>
      </w:r>
      <w:r>
        <w:rPr>
          <w:i/>
          <w:iCs/>
        </w:rPr>
        <w:t>The Case for Animal Rights</w:t>
      </w:r>
      <w:r>
        <w:t xml:space="preserve"> (1983), Regan argues that what grounds the right to life is not self-awareness in Tooley’s demanding sense, but the property of being a ‘subject-of-a-life’.</w:t>
      </w:r>
      <w:r>
        <w:rPr>
          <w:vertAlign w:val="superscript"/>
        </w:rPr>
        <w:t>10</w:t>
      </w:r>
      <w:r>
        <w:t xml:space="preserve"> An entity is a subject-of-a-life if it has beliefs and desires, perception, memory, a sense of its own future, an emotional life involving feelings of pleasure and pain, preference and welfare interests, the ability to initiate action in pursuit of its desires and goals, and a psychophysical identity over time.</w:t>
      </w:r>
    </w:p>
    <w:p w14:paraId="56D21964" w14:textId="77777777" w:rsidR="006F6D44" w:rsidRDefault="0023545F">
      <w:pPr>
        <w:spacing w:after="200" w:line="360" w:lineRule="auto"/>
        <w:jc w:val="both"/>
      </w:pPr>
      <w:r>
        <w:t>Regan’s criterion is significantly more inclusive than Tooley’s. While it still excludes organisms with very simple nervous systems, it encompasses all normal mammals aged one year or older, and potentially many birds, reptiles, and other vertebrates. Crucially, Regan contends that being a subject-of-a-life is a sufficient condition for possessing inherent value, a value that does not depend on the entity’s usefulness to others and that grounds a direct right not to be treated as a mere means.</w:t>
      </w:r>
      <w:r>
        <w:rPr>
          <w:vertAlign w:val="superscript"/>
        </w:rPr>
        <w:t>11</w:t>
      </w:r>
    </w:p>
    <w:p w14:paraId="5524F37C" w14:textId="77777777" w:rsidR="006F6D44" w:rsidRDefault="0023545F">
      <w:pPr>
        <w:spacing w:after="200" w:line="360" w:lineRule="auto"/>
        <w:jc w:val="both"/>
      </w:pPr>
      <w:r>
        <w:lastRenderedPageBreak/>
        <w:t>Regan’s rights-based approach has the advantage of grounding the right to life in a property that does not require the sophisticated meta-cognitive capacities that Tooley demands. An adult cow, on Regan’s account, is a subject-of-a-life: it has desires, preferences, memories, and a welfare that can go better or worse for it. It therefore possesses inherent value and a right to respectful treatment, including a right not to be killed for trivial purposes. This conclusion is far more in keeping with the moral</w:t>
      </w:r>
      <w:r>
        <w:t xml:space="preserve"> intuitions of many people, even if it imposes significant constraints upon practices such as factory farming and animal experimentation.</w:t>
      </w:r>
    </w:p>
    <w:p w14:paraId="059DB3F1" w14:textId="77777777" w:rsidR="006F6D44" w:rsidRDefault="0023545F">
      <w:pPr>
        <w:spacing w:before="360" w:after="200"/>
      </w:pPr>
      <w:r>
        <w:rPr>
          <w:b/>
          <w:bCs/>
        </w:rPr>
        <w:t>The Sanctity of Life and the Potentiality Argument</w:t>
      </w:r>
    </w:p>
    <w:p w14:paraId="0E0CDA81" w14:textId="77777777" w:rsidR="006F6D44" w:rsidRDefault="0023545F">
      <w:pPr>
        <w:spacing w:after="200" w:line="360" w:lineRule="auto"/>
        <w:jc w:val="both"/>
      </w:pPr>
      <w:r>
        <w:t>A further challenge to Tooley comes from the sanctity-of-life tradition, particularly as articulated within religious and natural-law ethics. On this view, all human life possesses intrinsic dignity by virtue of its nature (whether understood as the image of God, as in the Christian tradition, or as an expression of rational nature, as in Kantian ethics) and this dignity is not contingent upon the actual exercise of any particular cognitive capacity.</w:t>
      </w:r>
      <w:r>
        <w:rPr>
          <w:vertAlign w:val="superscript"/>
        </w:rPr>
        <w:t>12</w:t>
      </w:r>
      <w:r>
        <w:t xml:space="preserve"> A human foetus or a person in a persistent vegetative state possesses dignity simply by being human, and this dignity grounds a right to life that is inviolable.</w:t>
      </w:r>
    </w:p>
    <w:p w14:paraId="1E2731F3" w14:textId="77777777" w:rsidR="006F6D44" w:rsidRDefault="0023545F">
      <w:pPr>
        <w:spacing w:after="200" w:line="360" w:lineRule="auto"/>
        <w:jc w:val="both"/>
      </w:pPr>
      <w:r>
        <w:t>Closely related is the potentiality argument: even if a foetus or neonate does not currently possess self-awareness, it has the potential to develop this capacity, and this potential itself grounds a right to life. Tooley anticipated and rejected this argument, contending that potential properties cannot ground actual rights.</w:t>
      </w:r>
      <w:r>
        <w:rPr>
          <w:vertAlign w:val="superscript"/>
        </w:rPr>
        <w:t>13</w:t>
      </w:r>
      <w:r>
        <w:t xml:space="preserve"> A potential president does not thereby have the rights of a president; a potential person does not thereby have the rights of a person. While this objection has philosophical force, critics have responded that the analogy is imperfect. The potential to develop self-awareness is intrinsic to the biological nature of the human organism in a way that a political potentiality is not, and this intrinsic directedness towards personhood may indeed have moral significance.</w:t>
      </w:r>
    </w:p>
    <w:p w14:paraId="60B3FBC3" w14:textId="77777777" w:rsidR="006F6D44" w:rsidRDefault="0023545F">
      <w:pPr>
        <w:spacing w:before="360" w:after="200"/>
      </w:pPr>
      <w:r>
        <w:rPr>
          <w:b/>
          <w:bCs/>
        </w:rPr>
        <w:t>Conclusion</w:t>
      </w:r>
    </w:p>
    <w:p w14:paraId="73CE426D" w14:textId="77777777" w:rsidR="006F6D44" w:rsidRDefault="0023545F">
      <w:pPr>
        <w:spacing w:after="200" w:line="360" w:lineRule="auto"/>
        <w:jc w:val="both"/>
      </w:pPr>
      <w:r>
        <w:t>Michael Tooley’s claim that a serious right to life requires the concept of oneself as a continuing subject of experience is a powerful and philosophically rigorous thesis. It forces us to confront uncomfortable questions about the basis of moral status and the scope of our moral obligations. However, the analysis presented in this essay suggests that Tooley’s criterion, while illuminating, is ultimately too narrow. It excludes from the right to life entities (neonates, cognitively impaired humans, and most</w:t>
      </w:r>
      <w:r>
        <w:t xml:space="preserve"> non-human animals) to whom many would wish to </w:t>
      </w:r>
      <w:r>
        <w:lastRenderedPageBreak/>
        <w:t xml:space="preserve">extend moral protection. The alternative frameworks of Singer, Regan, and the sanctity-of-life tradition each identify morally relevant properties (sentience, being a subject-of-a-life, inherent dignity) that arguably provide broader and more defensible grounds for the right to life. A philosophically satisfactory account of the right to life is likely to require a pluralistic approach that </w:t>
      </w:r>
      <w:proofErr w:type="gramStart"/>
      <w:r>
        <w:t>takes into account</w:t>
      </w:r>
      <w:proofErr w:type="gramEnd"/>
      <w:r>
        <w:t xml:space="preserve"> not only self-awareness but also sentience, welfare </w:t>
      </w:r>
      <w:r>
        <w:t>interests, and the intrinsic value of living beings. Tooley’s work remains an indispensable starting point for this inquiry, but it cannot be the final word.</w:t>
      </w:r>
    </w:p>
    <w:p w14:paraId="4AD74097" w14:textId="77777777" w:rsidR="006F6D44" w:rsidRDefault="0023545F">
      <w:r>
        <w:br w:type="page"/>
      </w:r>
    </w:p>
    <w:p w14:paraId="3ED5B766" w14:textId="77777777" w:rsidR="006F6D44" w:rsidRDefault="0023545F">
      <w:pPr>
        <w:spacing w:before="360" w:after="200"/>
      </w:pPr>
      <w:r>
        <w:rPr>
          <w:b/>
          <w:bCs/>
        </w:rPr>
        <w:lastRenderedPageBreak/>
        <w:t>Notes</w:t>
      </w:r>
    </w:p>
    <w:p w14:paraId="27E99607" w14:textId="77777777" w:rsidR="006F6D44" w:rsidRDefault="0023545F">
      <w:pPr>
        <w:spacing w:after="200" w:line="360" w:lineRule="auto"/>
        <w:jc w:val="both"/>
      </w:pPr>
      <w:r>
        <w:t xml:space="preserve">1. Michael Tooley, ‘Abortion and Infanticide’, </w:t>
      </w:r>
      <w:r>
        <w:rPr>
          <w:i/>
          <w:iCs/>
        </w:rPr>
        <w:t>Philosophy &amp; Public Affairs</w:t>
      </w:r>
      <w:r>
        <w:t>, 2.1 (1972), 37–65 (p. 44).</w:t>
      </w:r>
    </w:p>
    <w:p w14:paraId="472D5971" w14:textId="77777777" w:rsidR="006F6D44" w:rsidRDefault="0023545F">
      <w:pPr>
        <w:spacing w:after="200" w:line="360" w:lineRule="auto"/>
        <w:jc w:val="both"/>
      </w:pPr>
      <w:r>
        <w:t xml:space="preserve">2. Michael Tooley, </w:t>
      </w:r>
      <w:r>
        <w:rPr>
          <w:i/>
          <w:iCs/>
        </w:rPr>
        <w:t>Abortion and Infanticide</w:t>
      </w:r>
      <w:r>
        <w:t xml:space="preserve"> (Oxford: Clarendon Press, 1983), pp. 95–120.</w:t>
      </w:r>
    </w:p>
    <w:p w14:paraId="31CD2828" w14:textId="77777777" w:rsidR="006F6D44" w:rsidRDefault="0023545F">
      <w:pPr>
        <w:spacing w:after="200" w:line="360" w:lineRule="auto"/>
        <w:jc w:val="both"/>
      </w:pPr>
      <w:r>
        <w:t>3. Tooley, ‘Abortion and Infanticide’ (1972), pp. 46–49.</w:t>
      </w:r>
    </w:p>
    <w:p w14:paraId="268A53C9" w14:textId="77777777" w:rsidR="006F6D44" w:rsidRDefault="0023545F">
      <w:pPr>
        <w:spacing w:after="200" w:line="360" w:lineRule="auto"/>
        <w:jc w:val="both"/>
      </w:pPr>
      <w:r>
        <w:t>4. Tooley, ‘Abortion and Infanticide’ (1972), pp. 60–63.</w:t>
      </w:r>
    </w:p>
    <w:p w14:paraId="23BD03EA" w14:textId="77777777" w:rsidR="006F6D44" w:rsidRDefault="0023545F">
      <w:pPr>
        <w:spacing w:after="200" w:line="360" w:lineRule="auto"/>
        <w:jc w:val="both"/>
      </w:pPr>
      <w:r>
        <w:t xml:space="preserve">5. See Marc Bekoff, </w:t>
      </w:r>
      <w:r>
        <w:rPr>
          <w:i/>
          <w:iCs/>
        </w:rPr>
        <w:t>The Emotional Lives of Animals</w:t>
      </w:r>
      <w:r>
        <w:t xml:space="preserve"> (Novato, CA: New World Library, 2007), pp. 40–58; Frans de Waal, </w:t>
      </w:r>
      <w:r>
        <w:rPr>
          <w:i/>
          <w:iCs/>
        </w:rPr>
        <w:t>Are We Smart Enough to Know How Smart Animals Are?</w:t>
      </w:r>
      <w:r>
        <w:t xml:space="preserve"> (New York: W.W. Norton, 2016), pp. 230–256.</w:t>
      </w:r>
    </w:p>
    <w:p w14:paraId="254BDCD6" w14:textId="77777777" w:rsidR="006F6D44" w:rsidRDefault="0023545F">
      <w:pPr>
        <w:spacing w:after="200" w:line="360" w:lineRule="auto"/>
        <w:jc w:val="both"/>
      </w:pPr>
      <w:r>
        <w:t xml:space="preserve">6. Peter Singer, </w:t>
      </w:r>
      <w:r>
        <w:rPr>
          <w:i/>
          <w:iCs/>
        </w:rPr>
        <w:t>Animal Liberation</w:t>
      </w:r>
      <w:r>
        <w:t xml:space="preserve">, 2nd </w:t>
      </w:r>
      <w:proofErr w:type="spellStart"/>
      <w:r>
        <w:t>edn</w:t>
      </w:r>
      <w:proofErr w:type="spellEnd"/>
      <w:r>
        <w:t xml:space="preserve"> (New York: Ecco, 2002), p. 8.</w:t>
      </w:r>
    </w:p>
    <w:p w14:paraId="6A63B363" w14:textId="77777777" w:rsidR="006F6D44" w:rsidRDefault="0023545F">
      <w:pPr>
        <w:spacing w:after="200" w:line="360" w:lineRule="auto"/>
        <w:jc w:val="both"/>
      </w:pPr>
      <w:r>
        <w:t xml:space="preserve">7. Peter Singer, </w:t>
      </w:r>
      <w:r>
        <w:rPr>
          <w:i/>
          <w:iCs/>
        </w:rPr>
        <w:t>Practical Ethics</w:t>
      </w:r>
      <w:r>
        <w:t xml:space="preserve">, 3rd </w:t>
      </w:r>
      <w:proofErr w:type="spellStart"/>
      <w:r>
        <w:t>edn</w:t>
      </w:r>
      <w:proofErr w:type="spellEnd"/>
      <w:r>
        <w:t xml:space="preserve"> (Cambridge: Cambridge University Press, 2011), pp. 80–82.</w:t>
      </w:r>
    </w:p>
    <w:p w14:paraId="0DE5DF45" w14:textId="77777777" w:rsidR="006F6D44" w:rsidRDefault="0023545F">
      <w:pPr>
        <w:spacing w:after="200" w:line="360" w:lineRule="auto"/>
        <w:jc w:val="both"/>
      </w:pPr>
      <w:r>
        <w:t xml:space="preserve">8. Daniel Dombrowski, </w:t>
      </w:r>
      <w:r>
        <w:rPr>
          <w:i/>
          <w:iCs/>
        </w:rPr>
        <w:t>Babies and Beasts: The Argument from Marginal Cases</w:t>
      </w:r>
      <w:r>
        <w:t xml:space="preserve"> (Urbana: University of Illinois Press, 1997), pp. 15–40.</w:t>
      </w:r>
    </w:p>
    <w:p w14:paraId="46B308AC" w14:textId="77777777" w:rsidR="006F6D44" w:rsidRDefault="0023545F">
      <w:pPr>
        <w:spacing w:after="200" w:line="360" w:lineRule="auto"/>
        <w:jc w:val="both"/>
      </w:pPr>
      <w:r>
        <w:t xml:space="preserve">9. Peter Singer, ‘Speciesism and Moral Status’, </w:t>
      </w:r>
      <w:proofErr w:type="spellStart"/>
      <w:r>
        <w:rPr>
          <w:i/>
          <w:iCs/>
        </w:rPr>
        <w:t>Metaphilosophy</w:t>
      </w:r>
      <w:proofErr w:type="spellEnd"/>
      <w:r>
        <w:t>, 40.3–4 (2009), 567–581 (pp. 570–573).</w:t>
      </w:r>
    </w:p>
    <w:p w14:paraId="5D608793" w14:textId="77777777" w:rsidR="006F6D44" w:rsidRDefault="0023545F">
      <w:pPr>
        <w:spacing w:after="200" w:line="360" w:lineRule="auto"/>
        <w:jc w:val="both"/>
      </w:pPr>
      <w:r>
        <w:t xml:space="preserve">10. Tom Regan, </w:t>
      </w:r>
      <w:r>
        <w:rPr>
          <w:i/>
          <w:iCs/>
        </w:rPr>
        <w:t>The Case for Animal Rights</w:t>
      </w:r>
      <w:r>
        <w:t xml:space="preserve">, 2nd </w:t>
      </w:r>
      <w:proofErr w:type="spellStart"/>
      <w:r>
        <w:t>edn</w:t>
      </w:r>
      <w:proofErr w:type="spellEnd"/>
      <w:r>
        <w:t xml:space="preserve"> (Berkeley: University of California Press, 2004), pp. 243–248.</w:t>
      </w:r>
    </w:p>
    <w:p w14:paraId="5B3DEB1E" w14:textId="77777777" w:rsidR="006F6D44" w:rsidRDefault="0023545F">
      <w:pPr>
        <w:spacing w:after="200" w:line="360" w:lineRule="auto"/>
        <w:jc w:val="both"/>
      </w:pPr>
      <w:r>
        <w:t xml:space="preserve">11. Regan, </w:t>
      </w:r>
      <w:r>
        <w:rPr>
          <w:i/>
          <w:iCs/>
        </w:rPr>
        <w:t>The Case for Animal Rights</w:t>
      </w:r>
      <w:r>
        <w:t>, pp. 262–265.</w:t>
      </w:r>
    </w:p>
    <w:p w14:paraId="7171BA22" w14:textId="77777777" w:rsidR="006F6D44" w:rsidRDefault="0023545F">
      <w:pPr>
        <w:spacing w:after="200" w:line="360" w:lineRule="auto"/>
        <w:jc w:val="both"/>
      </w:pPr>
      <w:r>
        <w:t xml:space="preserve">12. John Finnis, </w:t>
      </w:r>
      <w:r>
        <w:rPr>
          <w:i/>
          <w:iCs/>
        </w:rPr>
        <w:t>Natural Law and Natural Rights</w:t>
      </w:r>
      <w:r>
        <w:t xml:space="preserve">, 2nd </w:t>
      </w:r>
      <w:proofErr w:type="spellStart"/>
      <w:r>
        <w:t>edn</w:t>
      </w:r>
      <w:proofErr w:type="spellEnd"/>
      <w:r>
        <w:t xml:space="preserve"> (Oxford: Oxford University Press, 2011), pp. 281–290. See also Immanuel Kant, </w:t>
      </w:r>
      <w:r>
        <w:rPr>
          <w:i/>
          <w:iCs/>
        </w:rPr>
        <w:t>Groundwork of the Metaphysics of Morals</w:t>
      </w:r>
      <w:r>
        <w:t>, trans. by Mary Gregor (Cambridge: Cambridge University Press, 1998), pp. 37–42.</w:t>
      </w:r>
    </w:p>
    <w:p w14:paraId="32FE9B32" w14:textId="77777777" w:rsidR="006F6D44" w:rsidRDefault="0023545F">
      <w:pPr>
        <w:spacing w:after="200" w:line="360" w:lineRule="auto"/>
        <w:jc w:val="both"/>
      </w:pPr>
      <w:r>
        <w:t>13. Tooley, ‘Abortion and Infanticide’ (1972), pp. 60–61.</w:t>
      </w:r>
    </w:p>
    <w:p w14:paraId="6C9495EB" w14:textId="77777777" w:rsidR="006F6D44" w:rsidRDefault="0023545F">
      <w:r>
        <w:br w:type="page"/>
      </w:r>
    </w:p>
    <w:p w14:paraId="1B484086" w14:textId="77777777" w:rsidR="006F6D44" w:rsidRDefault="0023545F">
      <w:pPr>
        <w:spacing w:before="360" w:after="200"/>
      </w:pPr>
      <w:r>
        <w:rPr>
          <w:b/>
          <w:bCs/>
        </w:rPr>
        <w:lastRenderedPageBreak/>
        <w:t>Bibliography</w:t>
      </w:r>
    </w:p>
    <w:p w14:paraId="3DE01ABD" w14:textId="77777777" w:rsidR="006F6D44" w:rsidRDefault="0023545F">
      <w:pPr>
        <w:spacing w:after="200" w:line="360" w:lineRule="auto"/>
        <w:jc w:val="both"/>
      </w:pPr>
      <w:r>
        <w:t xml:space="preserve">Bekoff, Marc, </w:t>
      </w:r>
      <w:r>
        <w:rPr>
          <w:i/>
          <w:iCs/>
        </w:rPr>
        <w:t>The Emotional Lives of Animals</w:t>
      </w:r>
      <w:r>
        <w:t xml:space="preserve"> (Novato, CA: New World Library, 2007)</w:t>
      </w:r>
    </w:p>
    <w:p w14:paraId="596E9821" w14:textId="77777777" w:rsidR="006F6D44" w:rsidRDefault="0023545F">
      <w:pPr>
        <w:spacing w:after="200" w:line="360" w:lineRule="auto"/>
        <w:jc w:val="both"/>
      </w:pPr>
      <w:r>
        <w:t xml:space="preserve">De Waal, Frans, </w:t>
      </w:r>
      <w:r>
        <w:rPr>
          <w:i/>
          <w:iCs/>
        </w:rPr>
        <w:t>Are We Smart Enough to Know How Smart Animals Are?</w:t>
      </w:r>
      <w:r>
        <w:t xml:space="preserve"> (New York: W.W. Norton, 2016)</w:t>
      </w:r>
    </w:p>
    <w:p w14:paraId="02CF112B" w14:textId="77777777" w:rsidR="006F6D44" w:rsidRDefault="0023545F">
      <w:pPr>
        <w:spacing w:after="200" w:line="360" w:lineRule="auto"/>
        <w:jc w:val="both"/>
      </w:pPr>
      <w:r>
        <w:t xml:space="preserve">Dombrowski, Daniel, </w:t>
      </w:r>
      <w:r>
        <w:rPr>
          <w:i/>
          <w:iCs/>
        </w:rPr>
        <w:t>Babies and Beasts: The Argument from Marginal Cases</w:t>
      </w:r>
      <w:r>
        <w:t xml:space="preserve"> (Urbana: University of Illinois Press, 1997)</w:t>
      </w:r>
    </w:p>
    <w:p w14:paraId="5CD256AB" w14:textId="77777777" w:rsidR="006F6D44" w:rsidRDefault="0023545F">
      <w:pPr>
        <w:spacing w:after="200" w:line="360" w:lineRule="auto"/>
        <w:jc w:val="both"/>
      </w:pPr>
      <w:r>
        <w:t xml:space="preserve">Finnis, John, </w:t>
      </w:r>
      <w:r>
        <w:rPr>
          <w:i/>
          <w:iCs/>
        </w:rPr>
        <w:t>Natural Law and Natural Rights</w:t>
      </w:r>
      <w:r>
        <w:t xml:space="preserve">, 2nd </w:t>
      </w:r>
      <w:proofErr w:type="spellStart"/>
      <w:r>
        <w:t>edn</w:t>
      </w:r>
      <w:proofErr w:type="spellEnd"/>
      <w:r>
        <w:t xml:space="preserve"> (Oxford: Oxford University Press, 2011)</w:t>
      </w:r>
    </w:p>
    <w:p w14:paraId="0C53B2DF" w14:textId="77777777" w:rsidR="006F6D44" w:rsidRDefault="0023545F">
      <w:pPr>
        <w:spacing w:after="200" w:line="360" w:lineRule="auto"/>
        <w:jc w:val="both"/>
      </w:pPr>
      <w:r>
        <w:t xml:space="preserve">Kant, Immanuel, </w:t>
      </w:r>
      <w:r>
        <w:rPr>
          <w:i/>
          <w:iCs/>
        </w:rPr>
        <w:t>Groundwork of the Metaphysics of Morals</w:t>
      </w:r>
      <w:r>
        <w:t>, trans. by Mary Gregor (Cambridge: Cambridge University Press, 1998)</w:t>
      </w:r>
    </w:p>
    <w:p w14:paraId="0201C9D7" w14:textId="77777777" w:rsidR="006F6D44" w:rsidRDefault="0023545F">
      <w:pPr>
        <w:spacing w:after="200" w:line="360" w:lineRule="auto"/>
        <w:jc w:val="both"/>
      </w:pPr>
      <w:r>
        <w:t xml:space="preserve">Regan, Tom, </w:t>
      </w:r>
      <w:r>
        <w:rPr>
          <w:i/>
          <w:iCs/>
        </w:rPr>
        <w:t>The Case for Animal Rights</w:t>
      </w:r>
      <w:r>
        <w:t xml:space="preserve">, 2nd </w:t>
      </w:r>
      <w:proofErr w:type="spellStart"/>
      <w:r>
        <w:t>edn</w:t>
      </w:r>
      <w:proofErr w:type="spellEnd"/>
      <w:r>
        <w:t xml:space="preserve"> (Berkeley: University of California Press, 2004)</w:t>
      </w:r>
    </w:p>
    <w:p w14:paraId="19A8F2C2" w14:textId="77777777" w:rsidR="006F6D44" w:rsidRDefault="0023545F">
      <w:pPr>
        <w:spacing w:after="200" w:line="360" w:lineRule="auto"/>
        <w:jc w:val="both"/>
      </w:pPr>
      <w:r>
        <w:t xml:space="preserve">Singer, Peter, </w:t>
      </w:r>
      <w:r>
        <w:rPr>
          <w:i/>
          <w:iCs/>
        </w:rPr>
        <w:t>Animal Liberation</w:t>
      </w:r>
      <w:r>
        <w:t xml:space="preserve">, 2nd </w:t>
      </w:r>
      <w:proofErr w:type="spellStart"/>
      <w:r>
        <w:t>edn</w:t>
      </w:r>
      <w:proofErr w:type="spellEnd"/>
      <w:r>
        <w:t xml:space="preserve"> (New York: Ecco, 2002)</w:t>
      </w:r>
    </w:p>
    <w:p w14:paraId="0175B20F" w14:textId="77777777" w:rsidR="006F6D44" w:rsidRDefault="0023545F">
      <w:pPr>
        <w:spacing w:after="200" w:line="360" w:lineRule="auto"/>
        <w:jc w:val="both"/>
      </w:pPr>
      <w:r>
        <w:t xml:space="preserve">Singer, Peter, </w:t>
      </w:r>
      <w:r>
        <w:rPr>
          <w:i/>
          <w:iCs/>
        </w:rPr>
        <w:t>Practical Ethics</w:t>
      </w:r>
      <w:r>
        <w:t xml:space="preserve">, 3rd </w:t>
      </w:r>
      <w:proofErr w:type="spellStart"/>
      <w:r>
        <w:t>edn</w:t>
      </w:r>
      <w:proofErr w:type="spellEnd"/>
      <w:r>
        <w:t xml:space="preserve"> (Cambridge: Cambridge University Press, 2011)</w:t>
      </w:r>
    </w:p>
    <w:p w14:paraId="1B3C88B2" w14:textId="77777777" w:rsidR="006F6D44" w:rsidRDefault="0023545F">
      <w:pPr>
        <w:spacing w:after="200" w:line="360" w:lineRule="auto"/>
        <w:jc w:val="both"/>
      </w:pPr>
      <w:r>
        <w:t xml:space="preserve">Singer, Peter, ‘Speciesism and Moral Status’, </w:t>
      </w:r>
      <w:proofErr w:type="spellStart"/>
      <w:r>
        <w:rPr>
          <w:i/>
          <w:iCs/>
        </w:rPr>
        <w:t>Metaphilosophy</w:t>
      </w:r>
      <w:proofErr w:type="spellEnd"/>
      <w:r>
        <w:t>, 40.3–4 (2009), 567–581</w:t>
      </w:r>
    </w:p>
    <w:p w14:paraId="7C54E4AF" w14:textId="77777777" w:rsidR="006F6D44" w:rsidRDefault="0023545F">
      <w:pPr>
        <w:spacing w:after="200" w:line="360" w:lineRule="auto"/>
        <w:jc w:val="both"/>
      </w:pPr>
      <w:r>
        <w:t xml:space="preserve">Tooley, Michael, ‘Abortion and Infanticide’, </w:t>
      </w:r>
      <w:r>
        <w:rPr>
          <w:i/>
          <w:iCs/>
        </w:rPr>
        <w:t>Philosophy &amp; Public Affairs</w:t>
      </w:r>
      <w:r>
        <w:t>, 2.1 (1972), 37–65</w:t>
      </w:r>
    </w:p>
    <w:p w14:paraId="5FD618FA" w14:textId="77777777" w:rsidR="006F6D44" w:rsidRDefault="0023545F">
      <w:pPr>
        <w:spacing w:after="200" w:line="360" w:lineRule="auto"/>
        <w:jc w:val="both"/>
      </w:pPr>
      <w:r>
        <w:t xml:space="preserve">Tooley, Michael, </w:t>
      </w:r>
      <w:r>
        <w:rPr>
          <w:i/>
          <w:iCs/>
        </w:rPr>
        <w:t>Abortion and Infanticide</w:t>
      </w:r>
      <w:r>
        <w:t xml:space="preserve"> (Oxford: Clarendon Press, 1983)</w:t>
      </w:r>
    </w:p>
    <w:sectPr w:rsidR="006F6D4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880CE" w14:textId="77777777" w:rsidR="0023545F" w:rsidRDefault="0023545F" w:rsidP="00B86B56">
      <w:r>
        <w:separator/>
      </w:r>
    </w:p>
  </w:endnote>
  <w:endnote w:type="continuationSeparator" w:id="0">
    <w:p w14:paraId="7E4DFC98" w14:textId="77777777" w:rsidR="0023545F" w:rsidRDefault="0023545F" w:rsidP="00B86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F070E" w14:textId="77777777" w:rsidR="0023545F" w:rsidRDefault="0023545F" w:rsidP="00B86B56">
      <w:r>
        <w:separator/>
      </w:r>
    </w:p>
  </w:footnote>
  <w:footnote w:type="continuationSeparator" w:id="0">
    <w:p w14:paraId="62E9615F" w14:textId="77777777" w:rsidR="0023545F" w:rsidRDefault="0023545F" w:rsidP="00B86B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01DDD"/>
    <w:multiLevelType w:val="hybridMultilevel"/>
    <w:tmpl w:val="AC26B80C"/>
    <w:lvl w:ilvl="0" w:tplc="2F46FEF0">
      <w:start w:val="1"/>
      <w:numFmt w:val="bullet"/>
      <w:lvlText w:val="●"/>
      <w:lvlJc w:val="left"/>
      <w:pPr>
        <w:ind w:left="720" w:hanging="360"/>
      </w:pPr>
    </w:lvl>
    <w:lvl w:ilvl="1" w:tplc="EB407762">
      <w:start w:val="1"/>
      <w:numFmt w:val="bullet"/>
      <w:lvlText w:val="○"/>
      <w:lvlJc w:val="left"/>
      <w:pPr>
        <w:ind w:left="1440" w:hanging="360"/>
      </w:pPr>
    </w:lvl>
    <w:lvl w:ilvl="2" w:tplc="51F210EE">
      <w:start w:val="1"/>
      <w:numFmt w:val="bullet"/>
      <w:lvlText w:val="■"/>
      <w:lvlJc w:val="left"/>
      <w:pPr>
        <w:ind w:left="2160" w:hanging="360"/>
      </w:pPr>
    </w:lvl>
    <w:lvl w:ilvl="3" w:tplc="E7E8343E">
      <w:start w:val="1"/>
      <w:numFmt w:val="bullet"/>
      <w:lvlText w:val="●"/>
      <w:lvlJc w:val="left"/>
      <w:pPr>
        <w:ind w:left="2880" w:hanging="360"/>
      </w:pPr>
    </w:lvl>
    <w:lvl w:ilvl="4" w:tplc="95926D14">
      <w:start w:val="1"/>
      <w:numFmt w:val="bullet"/>
      <w:lvlText w:val="○"/>
      <w:lvlJc w:val="left"/>
      <w:pPr>
        <w:ind w:left="3600" w:hanging="360"/>
      </w:pPr>
    </w:lvl>
    <w:lvl w:ilvl="5" w:tplc="F96C47A8">
      <w:start w:val="1"/>
      <w:numFmt w:val="bullet"/>
      <w:lvlText w:val="■"/>
      <w:lvlJc w:val="left"/>
      <w:pPr>
        <w:ind w:left="4320" w:hanging="360"/>
      </w:pPr>
    </w:lvl>
    <w:lvl w:ilvl="6" w:tplc="50263AA8">
      <w:start w:val="1"/>
      <w:numFmt w:val="bullet"/>
      <w:lvlText w:val="●"/>
      <w:lvlJc w:val="left"/>
      <w:pPr>
        <w:ind w:left="5040" w:hanging="360"/>
      </w:pPr>
    </w:lvl>
    <w:lvl w:ilvl="7" w:tplc="CBA2A66E">
      <w:start w:val="1"/>
      <w:numFmt w:val="bullet"/>
      <w:lvlText w:val="●"/>
      <w:lvlJc w:val="left"/>
      <w:pPr>
        <w:ind w:left="5760" w:hanging="360"/>
      </w:pPr>
    </w:lvl>
    <w:lvl w:ilvl="8" w:tplc="39668924">
      <w:start w:val="1"/>
      <w:numFmt w:val="bullet"/>
      <w:lvlText w:val="●"/>
      <w:lvlJc w:val="left"/>
      <w:pPr>
        <w:ind w:left="6480" w:hanging="360"/>
      </w:pPr>
    </w:lvl>
  </w:abstractNum>
  <w:num w:numId="1" w16cid:durableId="214272485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6D44"/>
    <w:rsid w:val="0023545F"/>
    <w:rsid w:val="006F6D44"/>
    <w:rsid w:val="00750294"/>
    <w:rsid w:val="00862805"/>
    <w:rsid w:val="00B8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E0D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B86B56"/>
    <w:pPr>
      <w:tabs>
        <w:tab w:val="center" w:pos="4513"/>
        <w:tab w:val="right" w:pos="9026"/>
      </w:tabs>
    </w:pPr>
  </w:style>
  <w:style w:type="character" w:customStyle="1" w:styleId="HeaderChar">
    <w:name w:val="Header Char"/>
    <w:basedOn w:val="DefaultParagraphFont"/>
    <w:link w:val="Header"/>
    <w:uiPriority w:val="99"/>
    <w:rsid w:val="00B86B56"/>
  </w:style>
  <w:style w:type="paragraph" w:styleId="Footer">
    <w:name w:val="footer"/>
    <w:basedOn w:val="Normal"/>
    <w:link w:val="FooterChar"/>
    <w:uiPriority w:val="99"/>
    <w:unhideWhenUsed/>
    <w:rsid w:val="00B86B56"/>
    <w:pPr>
      <w:tabs>
        <w:tab w:val="center" w:pos="4513"/>
        <w:tab w:val="right" w:pos="9026"/>
      </w:tabs>
    </w:pPr>
  </w:style>
  <w:style w:type="character" w:customStyle="1" w:styleId="FooterChar">
    <w:name w:val="Footer Char"/>
    <w:basedOn w:val="DefaultParagraphFont"/>
    <w:link w:val="Footer"/>
    <w:uiPriority w:val="99"/>
    <w:rsid w:val="00B86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2387</Words>
  <Characters>13278</Characters>
  <Application>Microsoft Office Word</Application>
  <DocSecurity>0</DocSecurity>
  <Lines>204</Lines>
  <Paragraphs>70</Paragraphs>
  <ScaleCrop>false</ScaleCrop>
  <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2026-03-24T11:50:00Z</dcterms:created>
  <dcterms:modified xsi:type="dcterms:W3CDTF">2026-03-24T11:50:00Z</dcterms:modified>
</cp:coreProperties>
</file>