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73518" w14:textId="1149F2C1" w:rsidR="00361150" w:rsidRDefault="00E24D97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716334" wp14:editId="7E006C47">
                <wp:simplePos x="0" y="0"/>
                <wp:positionH relativeFrom="margin">
                  <wp:posOffset>1733550</wp:posOffset>
                </wp:positionH>
                <wp:positionV relativeFrom="paragraph">
                  <wp:posOffset>2400300</wp:posOffset>
                </wp:positionV>
                <wp:extent cx="4543425" cy="30956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3425" cy="3095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A8341" w14:textId="71F41A7E" w:rsidR="00361150" w:rsidRPr="00C20C03" w:rsidRDefault="00E24D97" w:rsidP="00361150">
                            <w:pPr>
                              <w:rPr>
                                <w:rFonts w:cs="Arial"/>
                                <w:sz w:val="32"/>
                                <w:szCs w:val="32"/>
                              </w:rPr>
                            </w:pPr>
                            <w:r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>Name:</w:t>
                            </w:r>
                            <w:r w:rsidR="00C20C03"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 xml:space="preserve"> Soabia Rafiq</w:t>
                            </w:r>
                            <w:r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1FE1B3B2" w14:textId="080A7C97" w:rsidR="00E24D97" w:rsidRPr="00C20C03" w:rsidRDefault="00E24D97" w:rsidP="00361150">
                            <w:pPr>
                              <w:rPr>
                                <w:rFonts w:cs="Arial"/>
                                <w:sz w:val="32"/>
                                <w:szCs w:val="32"/>
                              </w:rPr>
                            </w:pPr>
                            <w:r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 xml:space="preserve">Student Number: </w:t>
                            </w:r>
                            <w:r w:rsidR="00C20C03"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>2015530</w:t>
                            </w:r>
                          </w:p>
                          <w:p w14:paraId="205F2B5B" w14:textId="324D8BBB" w:rsidR="00E24D97" w:rsidRPr="00C20C03" w:rsidRDefault="00E24D97" w:rsidP="00361150">
                            <w:pPr>
                              <w:rPr>
                                <w:rFonts w:cs="Arial"/>
                                <w:sz w:val="32"/>
                                <w:szCs w:val="32"/>
                              </w:rPr>
                            </w:pPr>
                            <w:r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 xml:space="preserve">Module Code: </w:t>
                            </w:r>
                            <w:r w:rsidR="00C20C03"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>BMHP6006</w:t>
                            </w:r>
                          </w:p>
                          <w:p w14:paraId="21DAC9C7" w14:textId="7B8AAD10" w:rsidR="00E24D97" w:rsidRPr="00C20C03" w:rsidRDefault="00E24D97" w:rsidP="00361150">
                            <w:pPr>
                              <w:rPr>
                                <w:rFonts w:cs="Arial"/>
                                <w:sz w:val="32"/>
                                <w:szCs w:val="32"/>
                              </w:rPr>
                            </w:pPr>
                            <w:r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 xml:space="preserve">Module Title: </w:t>
                            </w:r>
                            <w:r w:rsidR="00C20C03"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>Mental Disorders and Psychopathology</w:t>
                            </w:r>
                          </w:p>
                          <w:p w14:paraId="6B8D27BD" w14:textId="77095438" w:rsidR="00E24D97" w:rsidRPr="00C20C03" w:rsidRDefault="00E24D97" w:rsidP="00361150">
                            <w:pPr>
                              <w:rPr>
                                <w:rFonts w:cs="Arial"/>
                                <w:sz w:val="32"/>
                                <w:szCs w:val="32"/>
                              </w:rPr>
                            </w:pPr>
                            <w:r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>Assignment Title:</w:t>
                            </w:r>
                            <w:r w:rsidR="00C20C03" w:rsidRP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 xml:space="preserve"> Component 1: Debate </w:t>
                            </w:r>
                            <w:r w:rsidR="00C20C03">
                              <w:rPr>
                                <w:rFonts w:cs="Arial"/>
                                <w:sz w:val="32"/>
                                <w:szCs w:val="32"/>
                              </w:rPr>
                              <w:t>Presentation</w:t>
                            </w:r>
                          </w:p>
                          <w:p w14:paraId="0FA72497" w14:textId="77777777" w:rsidR="00E24D97" w:rsidRPr="00C20C03" w:rsidRDefault="00E24D97" w:rsidP="00361150">
                            <w:pPr>
                              <w:rPr>
                                <w:rFonts w:cs="Arial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7163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36.5pt;margin-top:189pt;width:357.75pt;height:243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" filled="f" stroked="f">
                <v:textbox>
                  <w:txbxContent>
                    <w:p w14:paraId="5BAA8341" w14:textId="71F41A7E" w:rsidR="00361150" w:rsidRPr="00C20C03" w:rsidRDefault="00E24D97" w:rsidP="00361150">
                      <w:pPr>
                        <w:rPr>
                          <w:rFonts w:cs="Arial"/>
                          <w:sz w:val="32"/>
                          <w:szCs w:val="32"/>
                        </w:rPr>
                      </w:pPr>
                      <w:r w:rsidRPr="00C20C03">
                        <w:rPr>
                          <w:rFonts w:cs="Arial"/>
                          <w:sz w:val="32"/>
                          <w:szCs w:val="32"/>
                        </w:rPr>
                        <w:t>Name:</w:t>
                      </w:r>
                      <w:r w:rsidR="00C20C03" w:rsidRPr="00C20C03">
                        <w:rPr>
                          <w:rFonts w:cs="Arial"/>
                          <w:sz w:val="32"/>
                          <w:szCs w:val="32"/>
                        </w:rPr>
                        <w:t xml:space="preserve"> Soabia Rafiq</w:t>
                      </w:r>
                      <w:r w:rsidRPr="00C20C03">
                        <w:rPr>
                          <w:rFonts w:cs="Arial"/>
                          <w:sz w:val="32"/>
                          <w:szCs w:val="32"/>
                        </w:rPr>
                        <w:t xml:space="preserve"> </w:t>
                      </w:r>
                    </w:p>
                    <w:p w14:paraId="1FE1B3B2" w14:textId="080A7C97" w:rsidR="00E24D97" w:rsidRPr="00C20C03" w:rsidRDefault="00E24D97" w:rsidP="00361150">
                      <w:pPr>
                        <w:rPr>
                          <w:rFonts w:cs="Arial"/>
                          <w:sz w:val="32"/>
                          <w:szCs w:val="32"/>
                        </w:rPr>
                      </w:pPr>
                      <w:r w:rsidRPr="00C20C03">
                        <w:rPr>
                          <w:rFonts w:cs="Arial"/>
                          <w:sz w:val="32"/>
                          <w:szCs w:val="32"/>
                        </w:rPr>
                        <w:t xml:space="preserve">Student Number: </w:t>
                      </w:r>
                      <w:r w:rsidR="00C20C03" w:rsidRPr="00C20C03">
                        <w:rPr>
                          <w:rFonts w:cs="Arial"/>
                          <w:sz w:val="32"/>
                          <w:szCs w:val="32"/>
                        </w:rPr>
                        <w:t>2015530</w:t>
                      </w:r>
                    </w:p>
                    <w:p w14:paraId="205F2B5B" w14:textId="324D8BBB" w:rsidR="00E24D97" w:rsidRPr="00C20C03" w:rsidRDefault="00E24D97" w:rsidP="00361150">
                      <w:pPr>
                        <w:rPr>
                          <w:rFonts w:cs="Arial"/>
                          <w:sz w:val="32"/>
                          <w:szCs w:val="32"/>
                        </w:rPr>
                      </w:pPr>
                      <w:r w:rsidRPr="00C20C03">
                        <w:rPr>
                          <w:rFonts w:cs="Arial"/>
                          <w:sz w:val="32"/>
                          <w:szCs w:val="32"/>
                        </w:rPr>
                        <w:t xml:space="preserve">Module Code: </w:t>
                      </w:r>
                      <w:r w:rsidR="00C20C03" w:rsidRPr="00C20C03">
                        <w:rPr>
                          <w:rFonts w:cs="Arial"/>
                          <w:sz w:val="32"/>
                          <w:szCs w:val="32"/>
                        </w:rPr>
                        <w:t>BMHP6006</w:t>
                      </w:r>
                    </w:p>
                    <w:p w14:paraId="21DAC9C7" w14:textId="7B8AAD10" w:rsidR="00E24D97" w:rsidRPr="00C20C03" w:rsidRDefault="00E24D97" w:rsidP="00361150">
                      <w:pPr>
                        <w:rPr>
                          <w:rFonts w:cs="Arial"/>
                          <w:sz w:val="32"/>
                          <w:szCs w:val="32"/>
                        </w:rPr>
                      </w:pPr>
                      <w:r w:rsidRPr="00C20C03">
                        <w:rPr>
                          <w:rFonts w:cs="Arial"/>
                          <w:sz w:val="32"/>
                          <w:szCs w:val="32"/>
                        </w:rPr>
                        <w:t xml:space="preserve">Module Title: </w:t>
                      </w:r>
                      <w:r w:rsidR="00C20C03" w:rsidRPr="00C20C03">
                        <w:rPr>
                          <w:rFonts w:cs="Arial"/>
                          <w:sz w:val="32"/>
                          <w:szCs w:val="32"/>
                        </w:rPr>
                        <w:t>Mental Disorders and Psychopathology</w:t>
                      </w:r>
                    </w:p>
                    <w:p w14:paraId="6B8D27BD" w14:textId="77095438" w:rsidR="00E24D97" w:rsidRPr="00C20C03" w:rsidRDefault="00E24D97" w:rsidP="00361150">
                      <w:pPr>
                        <w:rPr>
                          <w:rFonts w:cs="Arial"/>
                          <w:sz w:val="32"/>
                          <w:szCs w:val="32"/>
                        </w:rPr>
                      </w:pPr>
                      <w:r w:rsidRPr="00C20C03">
                        <w:rPr>
                          <w:rFonts w:cs="Arial"/>
                          <w:sz w:val="32"/>
                          <w:szCs w:val="32"/>
                        </w:rPr>
                        <w:t>Assignment Title:</w:t>
                      </w:r>
                      <w:r w:rsidR="00C20C03" w:rsidRPr="00C20C03">
                        <w:rPr>
                          <w:rFonts w:cs="Arial"/>
                          <w:sz w:val="32"/>
                          <w:szCs w:val="32"/>
                        </w:rPr>
                        <w:t xml:space="preserve"> Component 1: Debate </w:t>
                      </w:r>
                      <w:r w:rsidR="00C20C03">
                        <w:rPr>
                          <w:rFonts w:cs="Arial"/>
                          <w:sz w:val="32"/>
                          <w:szCs w:val="32"/>
                        </w:rPr>
                        <w:t>Presentation</w:t>
                      </w:r>
                    </w:p>
                    <w:p w14:paraId="0FA72497" w14:textId="77777777" w:rsidR="00E24D97" w:rsidRPr="00C20C03" w:rsidRDefault="00E24D97" w:rsidP="00361150">
                      <w:pPr>
                        <w:rPr>
                          <w:rFonts w:cs="Arial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F33A1C8" wp14:editId="023EB46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p w14:paraId="28BD42F8" w14:textId="2BD1ADD9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E24D97">
        <w:rPr>
          <w:rFonts w:cs="Arial"/>
          <w:b/>
          <w:bCs/>
          <w:sz w:val="40"/>
          <w:szCs w:val="40"/>
          <w:u w:val="single"/>
        </w:rPr>
        <w:lastRenderedPageBreak/>
        <w:t>Reference List</w:t>
      </w:r>
    </w:p>
    <w:p w14:paraId="2607253E" w14:textId="7B2C72F8" w:rsidR="00C20C03" w:rsidRDefault="00C20C03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</w:p>
    <w:p w14:paraId="120B0852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Anantapong, K., Barrado-Martín, Y., Nair, P., Rait, G., Smith, C.H., Moore, K.J., Manthorpe, J., Sampson, E.L. and Davies, N., (2021). </w:t>
      </w:r>
      <w:r w:rsidRPr="0090321D">
        <w:rPr>
          <w:rFonts w:cs="Arial"/>
          <w:i/>
          <w:iCs/>
          <w:color w:val="222222"/>
          <w:shd w:val="clear" w:color="auto" w:fill="FFFFFF"/>
        </w:rPr>
        <w:t>How do people living with dementia perceive eating and drinking difficulties? A qualitative study.</w:t>
      </w:r>
      <w:r w:rsidRPr="0090321D">
        <w:rPr>
          <w:rStyle w:val="apple-converted-space"/>
          <w:rFonts w:cs="Arial"/>
          <w:i/>
          <w:iCs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Age and Ageing</w:t>
      </w:r>
      <w:r w:rsidRPr="0090321D">
        <w:rPr>
          <w:rFonts w:cs="Arial"/>
          <w:i/>
          <w:iCs/>
          <w:color w:val="222222"/>
          <w:shd w:val="clear" w:color="auto" w:fill="FFFFFF"/>
        </w:rPr>
        <w:t>,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50</w:t>
      </w:r>
      <w:r w:rsidRPr="0090321D">
        <w:rPr>
          <w:rFonts w:cs="Arial"/>
          <w:color w:val="222222"/>
          <w:shd w:val="clear" w:color="auto" w:fill="FFFFFF"/>
        </w:rPr>
        <w:t>(5), pp.1820-1828.</w:t>
      </w:r>
    </w:p>
    <w:p w14:paraId="4C4ADDC6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6F2AC04E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Dementia, U.K., (2019). </w:t>
      </w:r>
      <w:r w:rsidRPr="0090321D">
        <w:rPr>
          <w:rFonts w:cs="Arial"/>
          <w:i/>
          <w:iCs/>
          <w:color w:val="222222"/>
          <w:shd w:val="clear" w:color="auto" w:fill="FFFFFF"/>
        </w:rPr>
        <w:t>What is dementia</w:t>
      </w:r>
      <w:r w:rsidRPr="0090321D">
        <w:rPr>
          <w:rFonts w:cs="Arial"/>
          <w:color w:val="222222"/>
          <w:shd w:val="clear" w:color="auto" w:fill="FFFFFF"/>
        </w:rPr>
        <w:t>.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Dementia UK, London</w:t>
      </w:r>
      <w:r w:rsidRPr="0090321D">
        <w:rPr>
          <w:rFonts w:cs="Arial"/>
          <w:color w:val="222222"/>
          <w:shd w:val="clear" w:color="auto" w:fill="FFFFFF"/>
        </w:rPr>
        <w:t>.</w:t>
      </w:r>
    </w:p>
    <w:p w14:paraId="56206632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33FD81BA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Gustafson, L., (1996). </w:t>
      </w:r>
      <w:r w:rsidRPr="0090321D">
        <w:rPr>
          <w:rFonts w:cs="Arial"/>
          <w:i/>
          <w:iCs/>
          <w:color w:val="222222"/>
          <w:shd w:val="clear" w:color="auto" w:fill="FFFFFF"/>
        </w:rPr>
        <w:t>What is dementia?.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Acta Neurologica Scandinavica</w:t>
      </w:r>
      <w:r w:rsidRPr="0090321D">
        <w:rPr>
          <w:rFonts w:cs="Arial"/>
          <w:color w:val="222222"/>
          <w:shd w:val="clear" w:color="auto" w:fill="FFFFFF"/>
        </w:rPr>
        <w:t>,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94</w:t>
      </w:r>
      <w:r w:rsidRPr="0090321D">
        <w:rPr>
          <w:rFonts w:cs="Arial"/>
          <w:color w:val="222222"/>
          <w:shd w:val="clear" w:color="auto" w:fill="FFFFFF"/>
        </w:rPr>
        <w:t>, pp.22-24.</w:t>
      </w:r>
    </w:p>
    <w:p w14:paraId="1F669630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3D9C6C34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Johnston, C. and Liddle, J., (2007). </w:t>
      </w:r>
      <w:r w:rsidRPr="0090321D">
        <w:rPr>
          <w:rFonts w:cs="Arial"/>
          <w:i/>
          <w:iCs/>
          <w:color w:val="222222"/>
          <w:shd w:val="clear" w:color="auto" w:fill="FFFFFF"/>
        </w:rPr>
        <w:t>The Mental Capacity Act 2005: a new framework for healthcare decision making.</w:t>
      </w:r>
      <w:r w:rsidRPr="0090321D">
        <w:rPr>
          <w:rStyle w:val="apple-converted-space"/>
          <w:rFonts w:cs="Arial"/>
          <w:i/>
          <w:iCs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Journal of medical ethics</w:t>
      </w:r>
      <w:r w:rsidRPr="0090321D">
        <w:rPr>
          <w:rFonts w:cs="Arial"/>
          <w:color w:val="222222"/>
          <w:shd w:val="clear" w:color="auto" w:fill="FFFFFF"/>
        </w:rPr>
        <w:t>,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33</w:t>
      </w:r>
      <w:r w:rsidRPr="0090321D">
        <w:rPr>
          <w:rFonts w:cs="Arial"/>
          <w:color w:val="222222"/>
          <w:shd w:val="clear" w:color="auto" w:fill="FFFFFF"/>
        </w:rPr>
        <w:t>(2), pp.94-97.</w:t>
      </w:r>
    </w:p>
    <w:p w14:paraId="34EFECA5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7356430A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Knapp, M., Iemmi, V. and Romeo, R., (2013). </w:t>
      </w:r>
      <w:r w:rsidRPr="0090321D">
        <w:rPr>
          <w:rFonts w:cs="Arial"/>
          <w:i/>
          <w:iCs/>
          <w:color w:val="222222"/>
          <w:shd w:val="clear" w:color="auto" w:fill="FFFFFF"/>
        </w:rPr>
        <w:t>Dementia care costs and outcomes: a systematic review.</w:t>
      </w:r>
      <w:r w:rsidRPr="0090321D">
        <w:rPr>
          <w:rStyle w:val="apple-converted-space"/>
          <w:rFonts w:cs="Arial"/>
          <w:i/>
          <w:iCs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International journal of geriatric psychiatry</w:t>
      </w:r>
      <w:r w:rsidRPr="0090321D">
        <w:rPr>
          <w:rFonts w:cs="Arial"/>
          <w:color w:val="222222"/>
          <w:shd w:val="clear" w:color="auto" w:fill="FFFFFF"/>
        </w:rPr>
        <w:t>,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28</w:t>
      </w:r>
      <w:r w:rsidRPr="0090321D">
        <w:rPr>
          <w:rFonts w:cs="Arial"/>
          <w:color w:val="222222"/>
          <w:shd w:val="clear" w:color="auto" w:fill="FFFFFF"/>
        </w:rPr>
        <w:t>(6), pp.551-561</w:t>
      </w:r>
    </w:p>
    <w:p w14:paraId="4F56D350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50F5877E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Maki, Y. and Yamaguchi, H., (2014). </w:t>
      </w:r>
      <w:r w:rsidRPr="0090321D">
        <w:rPr>
          <w:rFonts w:cs="Arial"/>
          <w:i/>
          <w:iCs/>
          <w:color w:val="222222"/>
          <w:shd w:val="clear" w:color="auto" w:fill="FFFFFF"/>
        </w:rPr>
        <w:t>Early detection of dementia in the community under a community</w:t>
      </w:r>
      <w:r w:rsidRPr="0090321D">
        <w:rPr>
          <w:rFonts w:ascii="Cambria Math" w:hAnsi="Cambria Math" w:cs="Cambria Math"/>
          <w:i/>
          <w:iCs/>
          <w:color w:val="222222"/>
          <w:shd w:val="clear" w:color="auto" w:fill="FFFFFF"/>
        </w:rPr>
        <w:t>‐</w:t>
      </w:r>
      <w:r w:rsidRPr="0090321D">
        <w:rPr>
          <w:rFonts w:cs="Arial"/>
          <w:i/>
          <w:iCs/>
          <w:color w:val="222222"/>
          <w:shd w:val="clear" w:color="auto" w:fill="FFFFFF"/>
        </w:rPr>
        <w:t>based integrated care system.</w:t>
      </w:r>
      <w:r w:rsidRPr="0090321D">
        <w:rPr>
          <w:rStyle w:val="apple-converted-space"/>
          <w:rFonts w:cs="Arial"/>
          <w:i/>
          <w:iCs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Geriatrics &amp; gerontology international</w:t>
      </w:r>
      <w:r w:rsidRPr="0090321D">
        <w:rPr>
          <w:rFonts w:cs="Arial"/>
          <w:color w:val="222222"/>
          <w:shd w:val="clear" w:color="auto" w:fill="FFFFFF"/>
        </w:rPr>
        <w:t>,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14</w:t>
      </w:r>
      <w:r w:rsidRPr="0090321D">
        <w:rPr>
          <w:rFonts w:cs="Arial"/>
          <w:color w:val="222222"/>
          <w:shd w:val="clear" w:color="auto" w:fill="FFFFFF"/>
        </w:rPr>
        <w:t>, pp.2-10.</w:t>
      </w:r>
    </w:p>
    <w:p w14:paraId="765BC808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3A15E440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Myhomecare.ie., (2020). </w:t>
      </w:r>
      <w:r w:rsidRPr="0090321D">
        <w:rPr>
          <w:rFonts w:cs="Arial"/>
          <w:i/>
          <w:iCs/>
          <w:color w:val="222222"/>
          <w:shd w:val="clear" w:color="auto" w:fill="FFFFFF"/>
        </w:rPr>
        <w:t>Signs of Dementia.</w:t>
      </w:r>
      <w:r w:rsidRPr="0090321D">
        <w:rPr>
          <w:rFonts w:cs="Arial"/>
          <w:color w:val="222222"/>
          <w:shd w:val="clear" w:color="auto" w:fill="FFFFFF"/>
        </w:rPr>
        <w:t xml:space="preserve"> pp.1. </w:t>
      </w:r>
    </w:p>
    <w:p w14:paraId="74E24323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27369864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Rook, G., (2018) </w:t>
      </w:r>
      <w:r w:rsidRPr="0090321D">
        <w:rPr>
          <w:rFonts w:cs="Arial"/>
          <w:i/>
          <w:iCs/>
          <w:color w:val="222222"/>
          <w:shd w:val="clear" w:color="auto" w:fill="FFFFFF"/>
        </w:rPr>
        <w:t>Dementia: A Solution.</w:t>
      </w:r>
      <w:r w:rsidRPr="0090321D">
        <w:rPr>
          <w:rFonts w:cs="Arial"/>
          <w:color w:val="222222"/>
          <w:shd w:val="clear" w:color="auto" w:fill="FFFFFF"/>
        </w:rPr>
        <w:t xml:space="preserve"> pp1.</w:t>
      </w:r>
    </w:p>
    <w:p w14:paraId="748105C6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14C767C8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Szmukler, G. and Holloway, F., (2000). </w:t>
      </w:r>
      <w:r w:rsidRPr="0090321D">
        <w:rPr>
          <w:rFonts w:cs="Arial"/>
          <w:i/>
          <w:iCs/>
          <w:color w:val="222222"/>
          <w:shd w:val="clear" w:color="auto" w:fill="FFFFFF"/>
        </w:rPr>
        <w:t>Reform of the Mental Health Act: health or safety?.</w:t>
      </w:r>
      <w:r w:rsidRPr="0090321D">
        <w:rPr>
          <w:rStyle w:val="apple-converted-space"/>
          <w:rFonts w:cs="Arial"/>
          <w:i/>
          <w:iCs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The British Journal of Psychiatry</w:t>
      </w:r>
      <w:r w:rsidRPr="0090321D">
        <w:rPr>
          <w:rFonts w:cs="Arial"/>
          <w:i/>
          <w:iCs/>
          <w:color w:val="222222"/>
          <w:shd w:val="clear" w:color="auto" w:fill="FFFFFF"/>
        </w:rPr>
        <w:t>,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177</w:t>
      </w:r>
      <w:r w:rsidRPr="0090321D">
        <w:rPr>
          <w:rFonts w:cs="Arial"/>
          <w:color w:val="222222"/>
          <w:shd w:val="clear" w:color="auto" w:fill="FFFFFF"/>
        </w:rPr>
        <w:t>(3), pp.196-200.</w:t>
      </w:r>
    </w:p>
    <w:p w14:paraId="40E51808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2FD7C379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Udushirinwa, C.C., McVicar, A. and Teatheredge, J., (2023). </w:t>
      </w:r>
      <w:r w:rsidRPr="0090321D">
        <w:rPr>
          <w:rFonts w:cs="Arial"/>
          <w:i/>
          <w:iCs/>
          <w:color w:val="222222"/>
          <w:shd w:val="clear" w:color="auto" w:fill="FFFFFF"/>
        </w:rPr>
        <w:t>Utilization of Job Demands-Resources (JD-R) Theory to Evaluate Workplace Stress Experienced by Health Care Assistants in a UK In-Patient Dementia Unit after 10 Years of National Financial Austerity</w:t>
      </w:r>
      <w:r w:rsidRPr="0090321D">
        <w:rPr>
          <w:rFonts w:cs="Arial"/>
          <w:color w:val="222222"/>
          <w:shd w:val="clear" w:color="auto" w:fill="FFFFFF"/>
        </w:rPr>
        <w:t xml:space="preserve"> (2008–2018).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International Journal of Environmental Research and Public Health</w:t>
      </w:r>
      <w:r w:rsidRPr="0090321D">
        <w:rPr>
          <w:rFonts w:cs="Arial"/>
          <w:color w:val="222222"/>
          <w:shd w:val="clear" w:color="auto" w:fill="FFFFFF"/>
        </w:rPr>
        <w:t>,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20</w:t>
      </w:r>
      <w:r w:rsidRPr="0090321D">
        <w:rPr>
          <w:rFonts w:cs="Arial"/>
          <w:color w:val="222222"/>
          <w:shd w:val="clear" w:color="auto" w:fill="FFFFFF"/>
        </w:rPr>
        <w:t>(1), p.65.</w:t>
      </w:r>
    </w:p>
    <w:p w14:paraId="0372C743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655301B2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Uysal, S., (2019). </w:t>
      </w:r>
      <w:r w:rsidRPr="0090321D">
        <w:rPr>
          <w:rFonts w:cs="Arial"/>
          <w:i/>
          <w:iCs/>
          <w:color w:val="222222"/>
          <w:shd w:val="clear" w:color="auto" w:fill="FFFFFF"/>
        </w:rPr>
        <w:t>ICD-10-CM diagnosis coding for neuropsychological assessment</w:t>
      </w:r>
      <w:r w:rsidRPr="0090321D">
        <w:rPr>
          <w:rFonts w:cs="Arial"/>
          <w:color w:val="222222"/>
          <w:shd w:val="clear" w:color="auto" w:fill="FFFFFF"/>
        </w:rPr>
        <w:t>.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Archives of clinical neuropsychology</w:t>
      </w:r>
      <w:r w:rsidRPr="0090321D">
        <w:rPr>
          <w:rFonts w:cs="Arial"/>
          <w:color w:val="222222"/>
          <w:shd w:val="clear" w:color="auto" w:fill="FFFFFF"/>
        </w:rPr>
        <w:t>,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34</w:t>
      </w:r>
      <w:r w:rsidRPr="0090321D">
        <w:rPr>
          <w:rFonts w:cs="Arial"/>
          <w:color w:val="222222"/>
          <w:shd w:val="clear" w:color="auto" w:fill="FFFFFF"/>
        </w:rPr>
        <w:t>(5), pp.721-730.</w:t>
      </w:r>
    </w:p>
    <w:p w14:paraId="3C74F7E2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6E567A5B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Vlex. (1930). </w:t>
      </w:r>
      <w:r w:rsidRPr="0090321D">
        <w:rPr>
          <w:rFonts w:cs="Arial"/>
          <w:i/>
          <w:iCs/>
          <w:color w:val="222222"/>
          <w:shd w:val="clear" w:color="auto" w:fill="FFFFFF"/>
        </w:rPr>
        <w:t>Mental Treatments Act 1930</w:t>
      </w:r>
      <w:r w:rsidRPr="0090321D">
        <w:rPr>
          <w:rFonts w:cs="Arial"/>
          <w:color w:val="222222"/>
          <w:shd w:val="clear" w:color="auto" w:fill="FFFFFF"/>
        </w:rPr>
        <w:t xml:space="preserve"> pp1.</w:t>
      </w:r>
    </w:p>
    <w:p w14:paraId="06A0EC6C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669AAC58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Walmsley, B.D. and McCormack, L., (2016). </w:t>
      </w:r>
      <w:r w:rsidRPr="0090321D">
        <w:rPr>
          <w:rFonts w:cs="Arial"/>
          <w:i/>
          <w:iCs/>
          <w:color w:val="222222"/>
          <w:shd w:val="clear" w:color="auto" w:fill="FFFFFF"/>
        </w:rPr>
        <w:t>Stigma, the medical model and dementia care: Psychological growth in senior health professionals through moral and professional integrity.</w:t>
      </w:r>
      <w:r w:rsidRPr="0090321D">
        <w:rPr>
          <w:rStyle w:val="apple-converted-space"/>
          <w:rFonts w:cs="Arial"/>
          <w:i/>
          <w:iCs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Dementia</w:t>
      </w:r>
      <w:r w:rsidRPr="0090321D">
        <w:rPr>
          <w:rFonts w:cs="Arial"/>
          <w:color w:val="222222"/>
          <w:shd w:val="clear" w:color="auto" w:fill="FFFFFF"/>
        </w:rPr>
        <w:t>,</w:t>
      </w:r>
      <w:r w:rsidRPr="0090321D">
        <w:rPr>
          <w:rStyle w:val="apple-converted-space"/>
          <w:rFonts w:cs="Arial"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15</w:t>
      </w:r>
      <w:r w:rsidRPr="0090321D">
        <w:rPr>
          <w:rFonts w:cs="Arial"/>
          <w:color w:val="222222"/>
          <w:shd w:val="clear" w:color="auto" w:fill="FFFFFF"/>
        </w:rPr>
        <w:t>(6), pp.1685-1702.</w:t>
      </w:r>
    </w:p>
    <w:p w14:paraId="56D2A640" w14:textId="77777777" w:rsidR="00C20C03" w:rsidRPr="0090321D" w:rsidRDefault="00C20C03" w:rsidP="00C20C03">
      <w:pPr>
        <w:jc w:val="both"/>
        <w:rPr>
          <w:rFonts w:cs="Arial"/>
          <w:color w:val="222222"/>
          <w:shd w:val="clear" w:color="auto" w:fill="FFFFFF"/>
        </w:rPr>
      </w:pPr>
    </w:p>
    <w:p w14:paraId="6A40CFDF" w14:textId="77777777" w:rsidR="00C20C03" w:rsidRPr="0090321D" w:rsidRDefault="00C20C03" w:rsidP="00C20C03">
      <w:pPr>
        <w:jc w:val="both"/>
        <w:rPr>
          <w:rFonts w:cs="Arial"/>
          <w:i/>
          <w:iCs/>
          <w:color w:val="222222"/>
          <w:shd w:val="clear" w:color="auto" w:fill="FFFFFF"/>
        </w:rPr>
      </w:pPr>
      <w:r w:rsidRPr="0090321D">
        <w:rPr>
          <w:rFonts w:cs="Arial"/>
          <w:color w:val="222222"/>
          <w:shd w:val="clear" w:color="auto" w:fill="FFFFFF"/>
        </w:rPr>
        <w:t xml:space="preserve">Wray, A. and Bergstrom, A., (2023). </w:t>
      </w:r>
      <w:r w:rsidRPr="0090321D">
        <w:rPr>
          <w:rFonts w:cs="Arial"/>
          <w:i/>
          <w:iCs/>
          <w:color w:val="222222"/>
          <w:shd w:val="clear" w:color="auto" w:fill="FFFFFF"/>
        </w:rPr>
        <w:t>Determiners of social inclusion and exclusion in the dementia context: the perspective of family carers.</w:t>
      </w:r>
      <w:r w:rsidRPr="0090321D">
        <w:rPr>
          <w:rStyle w:val="apple-converted-space"/>
          <w:rFonts w:cs="Arial"/>
          <w:i/>
          <w:iCs/>
          <w:color w:val="222222"/>
          <w:shd w:val="clear" w:color="auto" w:fill="FFFFFF"/>
        </w:rPr>
        <w:t> </w:t>
      </w:r>
      <w:r w:rsidRPr="0090321D">
        <w:rPr>
          <w:rFonts w:cs="Arial"/>
          <w:i/>
          <w:iCs/>
          <w:color w:val="222222"/>
        </w:rPr>
        <w:t>Pragmatics and Society</w:t>
      </w:r>
      <w:r w:rsidRPr="0090321D">
        <w:rPr>
          <w:rFonts w:cs="Arial"/>
          <w:i/>
          <w:iCs/>
          <w:color w:val="222222"/>
          <w:shd w:val="clear" w:color="auto" w:fill="FFFFFF"/>
        </w:rPr>
        <w:t>.</w:t>
      </w:r>
    </w:p>
    <w:p w14:paraId="53738A0F" w14:textId="77777777" w:rsidR="00C20C03" w:rsidRPr="00282C8C" w:rsidRDefault="00C20C03" w:rsidP="00C20C03">
      <w:pPr>
        <w:rPr>
          <w:rFonts w:cs="Arial"/>
          <w:sz w:val="48"/>
          <w:szCs w:val="48"/>
        </w:rPr>
      </w:pPr>
    </w:p>
    <w:p w14:paraId="73437DD1" w14:textId="77777777" w:rsidR="00C20C03" w:rsidRPr="00C20C03" w:rsidRDefault="00C20C03" w:rsidP="00C20C03">
      <w:pPr>
        <w:jc w:val="both"/>
        <w:rPr>
          <w:rFonts w:cs="Arial"/>
          <w:b/>
          <w:bCs/>
          <w:szCs w:val="24"/>
          <w:u w:val="single"/>
        </w:rPr>
      </w:pPr>
    </w:p>
    <w:p w14:paraId="2B085B39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</w:p>
    <w:p w14:paraId="74D1675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E8AEF3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D5CD1AD" w14:textId="1026F1B6" w:rsidR="00361150" w:rsidRPr="00E24D97" w:rsidRDefault="00361150" w:rsidP="00C20C03">
      <w:pPr>
        <w:ind w:left="0"/>
        <w:rPr>
          <w:rFonts w:cs="Arial"/>
          <w:b/>
          <w:bCs/>
          <w:u w:val="single"/>
        </w:rPr>
      </w:pPr>
    </w:p>
    <w:p w14:paraId="4CE4D2A2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21630B42" wp14:editId="6FB3B16D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20B0604020202020204"/>
    <w:charset w:val="00"/>
    <w:family w:val="swiss"/>
    <w:notTrueType/>
    <w:pitch w:val="variable"/>
    <w:sig w:usb0="A00002AF" w:usb1="5000204B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D97"/>
    <w:rsid w:val="00243555"/>
    <w:rsid w:val="002F3AA8"/>
    <w:rsid w:val="00361150"/>
    <w:rsid w:val="004E4367"/>
    <w:rsid w:val="00774738"/>
    <w:rsid w:val="00A52353"/>
    <w:rsid w:val="00C20C03"/>
    <w:rsid w:val="00E24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A251F"/>
  <w15:chartTrackingRefBased/>
  <w15:docId w15:val="{3F46E2E6-6B19-4EE5-8382-7F0B89318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30" w:after="30" w:line="360" w:lineRule="auto"/>
        <w:ind w:left="851" w:right="85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4D97"/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C20C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hloe.harries\Downloads\Cover%20Pages%20No%20Shield%20Logo%20Document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4" ma:contentTypeDescription="Create a new document." ma:contentTypeScope="" ma:versionID="a24609377eccf1077b4bbe3014c82635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7e77f8ba3a9de2a01fbb0641ab8d6693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156F8A1-6910-44B1-981E-2ECB92ED22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customXml/itemProps3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C:\Users\chloe.harries\Downloads\Cover Pages No Shield Logo Document (1).dotx</Template>
  <TotalTime>5</TotalTime>
  <Pages>3</Pages>
  <Words>316</Words>
  <Characters>1804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Chloe Harries</dc:creator>
  <cp:keywords/>
  <dc:description/>
  <cp:lastModifiedBy>Soabia Rafiq (2015530)</cp:lastModifiedBy>
  <cp:revision>3</cp:revision>
  <dcterms:created xsi:type="dcterms:W3CDTF">2023-03-06T10:07:00Z</dcterms:created>
  <dcterms:modified xsi:type="dcterms:W3CDTF">2023-03-06T10:13:00Z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