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11F9A" w14:textId="35F0FAB9" w:rsidR="00E64A7D" w:rsidRPr="007C053F" w:rsidRDefault="00E64A7D">
      <w:pPr>
        <w:rPr>
          <w:sz w:val="23"/>
          <w:szCs w:val="23"/>
        </w:rPr>
      </w:pPr>
      <w:r w:rsidRPr="007C053F">
        <w:rPr>
          <w:sz w:val="23"/>
          <w:szCs w:val="23"/>
        </w:rPr>
        <w:t>The Dangers of Proof-Texting Biblical Text (with a</w:t>
      </w:r>
      <w:r w:rsidR="007C053F">
        <w:rPr>
          <w:sz w:val="23"/>
          <w:szCs w:val="23"/>
        </w:rPr>
        <w:t xml:space="preserve"> primary</w:t>
      </w:r>
      <w:r w:rsidRPr="007C053F">
        <w:rPr>
          <w:sz w:val="23"/>
          <w:szCs w:val="23"/>
        </w:rPr>
        <w:t xml:space="preserve"> </w:t>
      </w:r>
      <w:r w:rsidR="003D6322">
        <w:rPr>
          <w:sz w:val="23"/>
          <w:szCs w:val="23"/>
        </w:rPr>
        <w:t>source</w:t>
      </w:r>
      <w:r w:rsidRPr="007C053F">
        <w:rPr>
          <w:sz w:val="23"/>
          <w:szCs w:val="23"/>
        </w:rPr>
        <w:t xml:space="preserve"> of 1 Timothy 2:11-15 NRSVUE)</w:t>
      </w:r>
    </w:p>
    <w:p w14:paraId="4014E64C" w14:textId="51295DD6" w:rsidR="005E71F4" w:rsidRPr="0078789C" w:rsidRDefault="00672CF5">
      <w:pPr>
        <w:rPr>
          <w:b/>
          <w:bCs/>
          <w:i/>
          <w:iCs/>
        </w:rPr>
      </w:pPr>
      <w:r>
        <w:t>This essay is written with the intention of exploring the necessity of viewing Biblical text through a critical perspective; exploring its authorship, historical context, audience and more. Seeking to</w:t>
      </w:r>
      <w:r w:rsidR="0078789C">
        <w:t xml:space="preserve"> </w:t>
      </w:r>
      <w:r w:rsidRPr="001E5D36">
        <w:t>explore</w:t>
      </w:r>
      <w:r>
        <w:t xml:space="preserve"> the dangers of proof-texting Scripture, the essay will use 1 Timothy 2:11-15 as a</w:t>
      </w:r>
      <w:r w:rsidR="007C053F">
        <w:t xml:space="preserve"> primary</w:t>
      </w:r>
      <w:r>
        <w:t xml:space="preserve"> </w:t>
      </w:r>
      <w:r w:rsidR="00B249EF">
        <w:t>source</w:t>
      </w:r>
      <w:r>
        <w:t xml:space="preserve"> and t</w:t>
      </w:r>
      <w:r w:rsidR="00B249EF">
        <w:t xml:space="preserve">he results that have followed </w:t>
      </w:r>
      <w:r w:rsidR="00CE2613">
        <w:t xml:space="preserve">from </w:t>
      </w:r>
      <w:r w:rsidR="00B249EF">
        <w:t>taking</w:t>
      </w:r>
      <w:r w:rsidR="001E5D36">
        <w:t xml:space="preserve"> </w:t>
      </w:r>
      <w:r w:rsidR="00B249EF">
        <w:t xml:space="preserve">this passage </w:t>
      </w:r>
      <w:r w:rsidR="001E5D36">
        <w:t>without context and applying it literally.</w:t>
      </w:r>
    </w:p>
    <w:p w14:paraId="4EE64784" w14:textId="6E275929" w:rsidR="00EF2F4F" w:rsidRDefault="00EF2F4F">
      <w:r>
        <w:t>Some</w:t>
      </w:r>
      <w:r w:rsidR="004F7780">
        <w:t xml:space="preserve"> </w:t>
      </w:r>
      <w:r w:rsidR="004F7780" w:rsidRPr="00EF2F4F">
        <w:t>basic</w:t>
      </w:r>
      <w:r w:rsidR="00FE01A2">
        <w:t xml:space="preserve"> examples of questions to ask</w:t>
      </w:r>
      <w:r w:rsidR="004F7780">
        <w:t xml:space="preserve"> in order</w:t>
      </w:r>
      <w:r w:rsidR="00FE01A2">
        <w:t xml:space="preserve"> to establish an understanding</w:t>
      </w:r>
      <w:r w:rsidR="001E0776">
        <w:t xml:space="preserve"> of a text</w:t>
      </w:r>
      <w:r w:rsidR="00FE01A2">
        <w:t xml:space="preserve"> include</w:t>
      </w:r>
      <w:r w:rsidR="002A3ABB">
        <w:t>; is this a</w:t>
      </w:r>
      <w:r w:rsidR="004F7780">
        <w:t xml:space="preserve">n </w:t>
      </w:r>
      <w:r w:rsidR="00B86AE2">
        <w:t>ac</w:t>
      </w:r>
      <w:r w:rsidR="002A3ABB">
        <w:t>count</w:t>
      </w:r>
      <w:r w:rsidR="001E5D36">
        <w:t>/story</w:t>
      </w:r>
      <w:r w:rsidR="002A3ABB">
        <w:t xml:space="preserve"> or rathe</w:t>
      </w:r>
      <w:r w:rsidR="004F7780">
        <w:t>r an instructive letter</w:t>
      </w:r>
      <w:r w:rsidR="002A3ABB">
        <w:t xml:space="preserve">? If it is a story, did the author witness the events of the story firsthand, or </w:t>
      </w:r>
      <w:r w:rsidR="00B86AE2">
        <w:t>if not, how did they come to have an idea of what happened</w:t>
      </w:r>
      <w:r w:rsidR="002A3ABB">
        <w:t>?</w:t>
      </w:r>
      <w:r w:rsidR="00B86AE2">
        <w:t xml:space="preserve"> If it is instructions, is it to a specific people, of a specific time? How much did the time and circumstances of the author influence the way in which they recounted the story/instructions</w:t>
      </w:r>
      <w:r w:rsidR="00CF59AD">
        <w:t>? Did the author write the text with the intent or knowledge that it</w:t>
      </w:r>
      <w:r w:rsidR="005956CD">
        <w:t xml:space="preserve"> would</w:t>
      </w:r>
      <w:r w:rsidR="00CF59AD">
        <w:t xml:space="preserve"> become a sacred text?</w:t>
      </w:r>
      <w:r w:rsidR="00C570C2">
        <w:t xml:space="preserve"> </w:t>
      </w:r>
    </w:p>
    <w:p w14:paraId="17496905" w14:textId="3DE992A4" w:rsidR="00FE01A2" w:rsidRDefault="00C570C2">
      <w:r>
        <w:t>But</w:t>
      </w:r>
      <w:r w:rsidR="001E5D36">
        <w:t xml:space="preserve"> whilst it is important to ask these questions,</w:t>
      </w:r>
      <w:r>
        <w:t xml:space="preserve"> it is also important to note that the Bible has been translated numerous times and that translation from one language to another, can be faulty.</w:t>
      </w:r>
      <w:r w:rsidR="00EF2F4F">
        <w:t xml:space="preserve"> Biases can also play a role in the translations of texts, and</w:t>
      </w:r>
      <w:r w:rsidR="00C85A2D">
        <w:t xml:space="preserve"> unfortunately,</w:t>
      </w:r>
      <w:r w:rsidR="00EF2F4F">
        <w:t xml:space="preserve"> at </w:t>
      </w:r>
      <w:r w:rsidR="001E5D36">
        <w:t>times</w:t>
      </w:r>
      <w:r w:rsidR="00EF2F4F">
        <w:t xml:space="preserve"> people may intentionally change texts to fit their agenda.</w:t>
      </w:r>
    </w:p>
    <w:p w14:paraId="76A93E54" w14:textId="3FDE4AF6" w:rsidR="00EF4F64" w:rsidRDefault="00EF4F64">
      <w:r>
        <w:t>The following text is found in 1 Timothy, chapter 2, verses 11 through 15</w:t>
      </w:r>
      <w:r w:rsidR="0033111D">
        <w:t>,</w:t>
      </w:r>
      <w:r>
        <w:t xml:space="preserve"> using the NRSVUE translation of the Bible.</w:t>
      </w:r>
    </w:p>
    <w:p w14:paraId="27DC3854" w14:textId="6E76ACAD" w:rsidR="00EF4F64" w:rsidRDefault="00EF4F64" w:rsidP="00EF4F64">
      <w:pPr>
        <w:ind w:left="283"/>
      </w:pPr>
      <w:r>
        <w:t>Let a woman learn in silence with full submission.</w:t>
      </w:r>
      <w:r w:rsidR="002E6736">
        <w:t xml:space="preserve"> I do not permit a woman to teach or have authority over a man; she is to keep silent. For Adam was formed first, then Eve, and Adam was not deceived, but the woman was deceived and became a transgressor. Yet she will be saved through childbearing, provided they continue in faith and love and holiness, with self-control.</w:t>
      </w:r>
      <w:r w:rsidR="00F472E1">
        <w:rPr>
          <w:rStyle w:val="FootnoteReference"/>
        </w:rPr>
        <w:footnoteReference w:id="1"/>
      </w:r>
    </w:p>
    <w:p w14:paraId="4686F8FD" w14:textId="4AF394F9" w:rsidR="003D6322" w:rsidRDefault="0002292C" w:rsidP="00E64A7D">
      <w:r>
        <w:t>When confronted with this passage, it would be simple</w:t>
      </w:r>
      <w:r w:rsidR="001E5D36">
        <w:t xml:space="preserve"> for readers</w:t>
      </w:r>
      <w:r>
        <w:t xml:space="preserve"> to </w:t>
      </w:r>
      <w:r w:rsidR="00E3526D">
        <w:t>reach the conclusion</w:t>
      </w:r>
      <w:r>
        <w:t xml:space="preserve"> that women</w:t>
      </w:r>
      <w:r w:rsidR="00E70BC5">
        <w:t xml:space="preserve"> inherently have lesser value</w:t>
      </w:r>
      <w:r w:rsidR="00C1121D">
        <w:t>, or importance</w:t>
      </w:r>
      <w:r w:rsidR="00E70BC5">
        <w:t xml:space="preserve"> than men in the eyes of God and that they</w:t>
      </w:r>
      <w:r>
        <w:t xml:space="preserve"> cannot and should not teach in the Church. </w:t>
      </w:r>
      <w:r w:rsidR="001E5D36">
        <w:t>O</w:t>
      </w:r>
      <w:r>
        <w:t xml:space="preserve">ne could </w:t>
      </w:r>
      <w:r w:rsidR="00E3526D">
        <w:t>conclude</w:t>
      </w:r>
      <w:r>
        <w:t xml:space="preserve"> that women should not hold authority over men in any circumstance. But in doing this, one would be proof-texting. </w:t>
      </w:r>
      <w:r w:rsidRPr="00F472E1">
        <w:t>Proof-texting</w:t>
      </w:r>
      <w:r w:rsidR="001E5D36" w:rsidRPr="00F472E1">
        <w:t>,</w:t>
      </w:r>
      <w:r w:rsidRPr="00F472E1">
        <w:t xml:space="preserve"> by definition</w:t>
      </w:r>
      <w:r w:rsidR="001E5D36" w:rsidRPr="00F472E1">
        <w:t>,</w:t>
      </w:r>
      <w:r w:rsidRPr="00F472E1">
        <w:t xml:space="preserve"> is the method by which an individual appeals to Biblical text in order to justify or prove </w:t>
      </w:r>
      <w:r w:rsidR="003D6322" w:rsidRPr="00F472E1">
        <w:t>theological position without regard for the context of the passage they are citing.</w:t>
      </w:r>
      <w:r w:rsidR="00F472E1">
        <w:rPr>
          <w:rStyle w:val="FootnoteReference"/>
        </w:rPr>
        <w:footnoteReference w:id="2"/>
      </w:r>
      <w:r w:rsidR="003D6322">
        <w:t xml:space="preserve"> </w:t>
      </w:r>
    </w:p>
    <w:p w14:paraId="7032FEEC" w14:textId="4789EA32" w:rsidR="00660BB9" w:rsidRDefault="003D6322" w:rsidP="00E64A7D">
      <w:r>
        <w:t xml:space="preserve">However, in order for this text to </w:t>
      </w:r>
      <w:r w:rsidRPr="001E7270">
        <w:t>mean</w:t>
      </w:r>
      <w:r w:rsidRPr="00CF3BE9">
        <w:rPr>
          <w:b/>
          <w:bCs/>
          <w:i/>
          <w:iCs/>
        </w:rPr>
        <w:t xml:space="preserve"> </w:t>
      </w:r>
      <w:r w:rsidR="001E7270">
        <w:t>as suggested</w:t>
      </w:r>
      <w:r>
        <w:t xml:space="preserve"> and be universal, it would </w:t>
      </w:r>
      <w:r w:rsidR="001E7270">
        <w:t>be necessary</w:t>
      </w:r>
      <w:r>
        <w:t xml:space="preserve"> to</w:t>
      </w:r>
      <w:r w:rsidR="001E7270">
        <w:t xml:space="preserve"> stand in the face of its context</w:t>
      </w:r>
      <w:r w:rsidRPr="003D6322">
        <w:rPr>
          <w:b/>
          <w:bCs/>
          <w:i/>
          <w:iCs/>
        </w:rPr>
        <w:t xml:space="preserve"> </w:t>
      </w:r>
      <w:r>
        <w:t xml:space="preserve">and </w:t>
      </w:r>
      <w:r w:rsidRPr="001E7270">
        <w:t xml:space="preserve">not </w:t>
      </w:r>
      <w:r w:rsidR="00E3526D" w:rsidRPr="001E7270">
        <w:t>have</w:t>
      </w:r>
      <w:r>
        <w:t xml:space="preserve"> contradictions elsewhere in the Biblical text. </w:t>
      </w:r>
      <w:r w:rsidR="00AE2322">
        <w:t>Considering</w:t>
      </w:r>
      <w:r w:rsidR="00AE012D">
        <w:rPr>
          <w:b/>
          <w:bCs/>
          <w:i/>
          <w:iCs/>
        </w:rPr>
        <w:t xml:space="preserve"> </w:t>
      </w:r>
      <w:r w:rsidR="00AE012D" w:rsidRPr="001E7270">
        <w:t>these</w:t>
      </w:r>
      <w:r w:rsidR="00AE012D">
        <w:rPr>
          <w:b/>
          <w:bCs/>
          <w:i/>
          <w:iCs/>
        </w:rPr>
        <w:t xml:space="preserve"> </w:t>
      </w:r>
      <w:r w:rsidR="00AE012D" w:rsidRPr="001E7270">
        <w:t>factors</w:t>
      </w:r>
      <w:r>
        <w:t xml:space="preserve">, it is simply not possible for this passage to </w:t>
      </w:r>
      <w:r w:rsidRPr="003D6322">
        <w:t>applied</w:t>
      </w:r>
      <w:r>
        <w:t xml:space="preserve"> universally</w:t>
      </w:r>
      <w:r w:rsidR="00AE012D">
        <w:t xml:space="preserve">. </w:t>
      </w:r>
    </w:p>
    <w:p w14:paraId="74A8ACF8" w14:textId="56BF859F" w:rsidR="00E70BC5" w:rsidRDefault="00C1121D" w:rsidP="00E64A7D">
      <w:r>
        <w:t>To</w:t>
      </w:r>
      <w:r w:rsidR="001E7270">
        <w:t xml:space="preserve"> begin, to</w:t>
      </w:r>
      <w:r>
        <w:t xml:space="preserve"> look at this passage as a whole through the interpretation that women have lesser importance than men appears</w:t>
      </w:r>
      <w:r w:rsidR="00E70BC5">
        <w:t xml:space="preserve"> to contradict Paul’s declaration of equality found in his epistle written to the Galatians, which states </w:t>
      </w:r>
      <w:r w:rsidR="00E70BC5" w:rsidRPr="00EF0483">
        <w:t>‘There is no longer Jew or Greek; there is no longer slave or free; there is no longer male and female, for all of you are one in Christ Jesus.’</w:t>
      </w:r>
      <w:r w:rsidR="00E70BC5">
        <w:t xml:space="preserve"> </w:t>
      </w:r>
      <w:r w:rsidR="00EF0483">
        <w:rPr>
          <w:rStyle w:val="FootnoteReference"/>
        </w:rPr>
        <w:footnoteReference w:id="3"/>
      </w:r>
      <w:r w:rsidR="000C11B4">
        <w:t>So,</w:t>
      </w:r>
      <w:r w:rsidR="00E70BC5">
        <w:t xml:space="preserve"> it would not necessarily make sense for </w:t>
      </w:r>
      <w:r w:rsidR="00F15F18">
        <w:t>1 Timothy 2:11-15</w:t>
      </w:r>
      <w:r w:rsidR="00E70BC5">
        <w:t xml:space="preserve"> </w:t>
      </w:r>
      <w:r w:rsidR="00F15F18">
        <w:t>to</w:t>
      </w:r>
      <w:r w:rsidR="00C570C2">
        <w:t xml:space="preserve"> be a perfect translation</w:t>
      </w:r>
      <w:r w:rsidR="00C85A2D">
        <w:t>, or</w:t>
      </w:r>
      <w:r w:rsidR="00227F32">
        <w:t xml:space="preserve"> that may be the case for the Galatians passage.</w:t>
      </w:r>
    </w:p>
    <w:p w14:paraId="3D066E96" w14:textId="3518AC6A" w:rsidR="00660BB9" w:rsidRPr="00CF3BE9" w:rsidRDefault="00660BB9" w:rsidP="00E64A7D">
      <w:r>
        <w:lastRenderedPageBreak/>
        <w:t>Yet despite this, it is a common occurrence within the Church</w:t>
      </w:r>
      <w:r w:rsidR="00CF3BE9">
        <w:t xml:space="preserve"> for </w:t>
      </w:r>
      <w:r w:rsidR="00C1121D">
        <w:t>this passage</w:t>
      </w:r>
      <w:r w:rsidR="00CF3BE9">
        <w:t xml:space="preserve"> </w:t>
      </w:r>
      <w:r w:rsidR="000C11B4">
        <w:t xml:space="preserve">in Timothy </w:t>
      </w:r>
      <w:r w:rsidR="00CF3BE9">
        <w:t xml:space="preserve">to be </w:t>
      </w:r>
      <w:r w:rsidR="000C11B4">
        <w:t>applied literally</w:t>
      </w:r>
      <w:r w:rsidR="00CF3BE9">
        <w:t>, not allowing room for context and nuance. This is very often seen in the fundamentalist space of the Church. This idea</w:t>
      </w:r>
      <w:r w:rsidR="00C1121D">
        <w:t xml:space="preserve"> often</w:t>
      </w:r>
      <w:r w:rsidR="00CF3BE9">
        <w:t xml:space="preserve"> being subscribed to by both men and women.</w:t>
      </w:r>
    </w:p>
    <w:p w14:paraId="067B4691" w14:textId="5EA26692" w:rsidR="003D6322" w:rsidRDefault="00AE012D" w:rsidP="00E64A7D">
      <w:r>
        <w:t>Therefore</w:t>
      </w:r>
      <w:r w:rsidR="004002C9">
        <w:t xml:space="preserve">, the question to ask </w:t>
      </w:r>
      <w:r w:rsidR="00C1121D">
        <w:t>is,</w:t>
      </w:r>
      <w:r>
        <w:t xml:space="preserve"> what is the context of this passage? </w:t>
      </w:r>
      <w:r w:rsidR="000C11B4">
        <w:t>I</w:t>
      </w:r>
      <w:r>
        <w:t xml:space="preserve">t is </w:t>
      </w:r>
      <w:r w:rsidRPr="000C11B4">
        <w:t>generally accepted among schola</w:t>
      </w:r>
      <w:r w:rsidR="000C11B4">
        <w:t>rs</w:t>
      </w:r>
      <w:r>
        <w:rPr>
          <w:b/>
          <w:bCs/>
          <w:i/>
          <w:iCs/>
        </w:rPr>
        <w:t xml:space="preserve"> </w:t>
      </w:r>
      <w:r>
        <w:t>that the apostle Paul wrote the book</w:t>
      </w:r>
      <w:r w:rsidR="000C11B4">
        <w:t>s</w:t>
      </w:r>
      <w:r>
        <w:t xml:space="preserve"> of Timothy</w:t>
      </w:r>
      <w:r w:rsidR="000C11B4">
        <w:t xml:space="preserve">, to Timothy, </w:t>
      </w:r>
      <w:r>
        <w:t>a young leader in the Church of Ephesus</w:t>
      </w:r>
      <w:r w:rsidR="00CF3BE9">
        <w:t xml:space="preserve">; </w:t>
      </w:r>
      <w:r>
        <w:t>at the time, the primary religion of Ephesus was a cult that worshipped the Hellenist goddess Artemis</w:t>
      </w:r>
      <w:r w:rsidR="00CF3BE9">
        <w:t>,</w:t>
      </w:r>
      <w:r w:rsidR="00660BB9">
        <w:t xml:space="preserve"> a</w:t>
      </w:r>
      <w:r w:rsidR="00CF3BE9">
        <w:t>ll the</w:t>
      </w:r>
      <w:r w:rsidR="00660BB9">
        <w:t xml:space="preserve"> priests</w:t>
      </w:r>
      <w:r w:rsidR="00CF3BE9">
        <w:t xml:space="preserve"> of whom</w:t>
      </w:r>
      <w:r w:rsidR="00660BB9">
        <w:t xml:space="preserve"> were women</w:t>
      </w:r>
      <w:r w:rsidR="00CF3BE9">
        <w:t xml:space="preserve">. </w:t>
      </w:r>
      <w:r w:rsidR="00CF3BE9" w:rsidRPr="00F12CDE">
        <w:t>It had been a common belief that Adam was deceived into believing he was created first</w:t>
      </w:r>
      <w:r w:rsidR="00F12CDE">
        <w:rPr>
          <w:rStyle w:val="FootnoteReference"/>
        </w:rPr>
        <w:footnoteReference w:id="4"/>
      </w:r>
      <w:r w:rsidR="00CF3BE9" w:rsidRPr="00F12CDE">
        <w:t xml:space="preserve">, when </w:t>
      </w:r>
      <w:r w:rsidR="007067E1" w:rsidRPr="00F12CDE">
        <w:t>it</w:t>
      </w:r>
      <w:r w:rsidR="00CF3BE9" w:rsidRPr="00F12CDE">
        <w:t xml:space="preserve"> was Eve</w:t>
      </w:r>
      <w:r w:rsidR="007067E1">
        <w:t xml:space="preserve"> as seen in the narrative given in Genesis 2 </w:t>
      </w:r>
      <w:r w:rsidR="00CF3BE9" w:rsidRPr="009B7002">
        <w:t>where it is stated that Adam was created</w:t>
      </w:r>
      <w:r w:rsidR="007067E1" w:rsidRPr="009B7002">
        <w:t xml:space="preserve"> first</w:t>
      </w:r>
      <w:r w:rsidR="009B7002">
        <w:rPr>
          <w:rStyle w:val="FootnoteReference"/>
        </w:rPr>
        <w:footnoteReference w:id="5"/>
      </w:r>
      <w:r w:rsidR="00CF3BE9">
        <w:t>. Not only this, but the time in which this book was written was the emergence of the Gnostic</w:t>
      </w:r>
      <w:r w:rsidR="005A2D5E">
        <w:t>ism</w:t>
      </w:r>
      <w:r w:rsidR="00CF3BE9">
        <w:t xml:space="preserve">. </w:t>
      </w:r>
      <w:r w:rsidR="005956CD">
        <w:t>One of t</w:t>
      </w:r>
      <w:r w:rsidR="00CF3BE9">
        <w:t xml:space="preserve">he fundamentals of Gnosticism </w:t>
      </w:r>
      <w:r w:rsidR="005956CD">
        <w:t xml:space="preserve">was the idea that spiritual things were of more value physical things, this was not necessarily a new concept, however </w:t>
      </w:r>
      <w:r w:rsidR="005956CD" w:rsidRPr="006454E7">
        <w:t>the Gnostics believed that in order to be righteous, one would have to rid themselves of their physical being entirely and held a belief that if a woman was to give birth, she would lose her salvation</w:t>
      </w:r>
      <w:r w:rsidR="006454E7">
        <w:rPr>
          <w:rStyle w:val="FootnoteReference"/>
        </w:rPr>
        <w:footnoteReference w:id="6"/>
      </w:r>
      <w:r w:rsidR="005956CD">
        <w:t>.</w:t>
      </w:r>
      <w:r w:rsidR="005A2D5E">
        <w:t xml:space="preserve"> This lays a foundation of understanding part of this passage.</w:t>
      </w:r>
    </w:p>
    <w:p w14:paraId="7E162544" w14:textId="7D49A30E" w:rsidR="000B0EC7" w:rsidRDefault="000D1F35" w:rsidP="00E64A7D">
      <w:r>
        <w:t>Additionally</w:t>
      </w:r>
      <w:r w:rsidR="005A2D5E">
        <w:t xml:space="preserve">, </w:t>
      </w:r>
      <w:r>
        <w:t>viewing</w:t>
      </w:r>
      <w:r w:rsidR="005956CD">
        <w:t xml:space="preserve"> verse</w:t>
      </w:r>
      <w:r w:rsidR="00920332">
        <w:t>s 13 and 14</w:t>
      </w:r>
      <w:r w:rsidR="005A2D5E">
        <w:t xml:space="preserve"> </w:t>
      </w:r>
      <w:r>
        <w:t xml:space="preserve">through </w:t>
      </w:r>
      <w:r w:rsidR="005956CD">
        <w:t>the context o</w:t>
      </w:r>
      <w:r w:rsidR="000B0EC7">
        <w:t>f the Hellenist belief</w:t>
      </w:r>
      <w:r w:rsidR="005956CD">
        <w:t xml:space="preserve">, </w:t>
      </w:r>
      <w:r w:rsidR="009F2BCF">
        <w:t>makes it</w:t>
      </w:r>
      <w:r w:rsidR="005956CD">
        <w:t xml:space="preserve"> easier to understand why Paul would say this. If it was believed that Eve was created first and there was no scriptural precedent for this, then Paul was not saying that Adam was created first two diminish the inherent value of women, he was saying as such in order to give clarity to Timothy and in turn, the Ephesians.</w:t>
      </w:r>
    </w:p>
    <w:p w14:paraId="639562E1" w14:textId="5D10DDCA" w:rsidR="00EF2F4F" w:rsidRDefault="00AE4B2A" w:rsidP="00920332">
      <w:r>
        <w:t>However, this does not</w:t>
      </w:r>
      <w:r w:rsidR="00063B62">
        <w:t xml:space="preserve"> </w:t>
      </w:r>
      <w:r w:rsidR="00920332">
        <w:t>explain verse 15</w:t>
      </w:r>
      <w:r w:rsidR="00275754">
        <w:t xml:space="preserve">. </w:t>
      </w:r>
      <w:r w:rsidR="00C1121D">
        <w:t xml:space="preserve">As exampled before, there are several contradictions that can be found through Paul’s epistles that would dispute this passage as a whole. </w:t>
      </w:r>
      <w:r w:rsidR="00275754">
        <w:t>Throughout the New Testament</w:t>
      </w:r>
      <w:r w:rsidR="009F2BCF">
        <w:t xml:space="preserve"> and Paul’s writing</w:t>
      </w:r>
      <w:r w:rsidR="00275754">
        <w:t xml:space="preserve"> it is emphasised that salvation comes through faith alone and not works. </w:t>
      </w:r>
      <w:r w:rsidR="009F2BCF">
        <w:t xml:space="preserve">When </w:t>
      </w:r>
      <w:r w:rsidR="00C1121D">
        <w:t xml:space="preserve">this </w:t>
      </w:r>
      <w:r w:rsidR="009F2BCF">
        <w:t>is considered,</w:t>
      </w:r>
      <w:r w:rsidR="004379A0">
        <w:t xml:space="preserve"> it does not make sense that he would </w:t>
      </w:r>
      <w:r w:rsidR="00C1121D">
        <w:t>make such a stark contradiction</w:t>
      </w:r>
      <w:r w:rsidR="0011437F">
        <w:t xml:space="preserve">. For example, Titus 3:5 says </w:t>
      </w:r>
      <w:r w:rsidR="0011437F" w:rsidRPr="00F15481">
        <w:t>‘He saved us, not because of any works of righteousness that we had done, but according to his mercy, through the water of rebirth and renewal by the Holy Spirit’</w:t>
      </w:r>
      <w:r w:rsidR="00F15481">
        <w:rPr>
          <w:rStyle w:val="FootnoteReference"/>
        </w:rPr>
        <w:footnoteReference w:id="7"/>
      </w:r>
      <w:r w:rsidR="0011437F">
        <w:t xml:space="preserve"> and Ephesians 2:8-9 says </w:t>
      </w:r>
      <w:r w:rsidR="000A1CC3" w:rsidRPr="00F15481">
        <w:t>‘</w:t>
      </w:r>
      <w:r w:rsidR="0011437F" w:rsidRPr="00F15481">
        <w:t xml:space="preserve">For by Grace you have been saved through faith, and this is not by your own doing; it is the </w:t>
      </w:r>
      <w:r w:rsidR="000A1CC3" w:rsidRPr="00F15481">
        <w:t>gift of God- not the result of works, so that no one may boast.</w:t>
      </w:r>
      <w:r w:rsidR="000A1CC3">
        <w:t>’</w:t>
      </w:r>
      <w:r w:rsidR="00F15481">
        <w:rPr>
          <w:rStyle w:val="FootnoteReference"/>
        </w:rPr>
        <w:footnoteReference w:id="8"/>
      </w:r>
      <w:r w:rsidR="007C6532">
        <w:t xml:space="preserve"> </w:t>
      </w:r>
      <w:r w:rsidR="0011437F">
        <w:t>The latter was written to the same church as 1 &amp; 2 Timothy were written to, the Church of Ephesus</w:t>
      </w:r>
      <w:r w:rsidR="007C6532">
        <w:t>,</w:t>
      </w:r>
      <w:r w:rsidR="00C1121D">
        <w:t xml:space="preserve"> </w:t>
      </w:r>
      <w:r w:rsidR="00C1121D" w:rsidRPr="00F15481">
        <w:t>believed to have been written at similar times</w:t>
      </w:r>
      <w:r w:rsidR="00F15481">
        <w:rPr>
          <w:rStyle w:val="FootnoteReference"/>
        </w:rPr>
        <w:footnoteReference w:id="9"/>
      </w:r>
      <w:r w:rsidR="00B71911">
        <w:t>. Given Paul’s previous message in Galatians, it would not make sense to impose such a standard of salvation through acts on women</w:t>
      </w:r>
      <w:r w:rsidR="006F0A5A">
        <w:t>, when it is not given to men.</w:t>
      </w:r>
      <w:r w:rsidR="006964CE">
        <w:t xml:space="preserve"> Let alone the fact, that not every woman would be able to bear children for a multitude of reasons</w:t>
      </w:r>
      <w:r w:rsidR="009F2BCF">
        <w:t>, i</w:t>
      </w:r>
      <w:r w:rsidR="006964CE">
        <w:t xml:space="preserve">ncluding, </w:t>
      </w:r>
      <w:r w:rsidR="00A6589C">
        <w:t xml:space="preserve">fertility issues </w:t>
      </w:r>
      <w:r w:rsidR="00CD2A30">
        <w:t>or a celibate or abstinent lifestyle.</w:t>
      </w:r>
    </w:p>
    <w:p w14:paraId="417BBA82" w14:textId="47F2AF23" w:rsidR="00063B62" w:rsidRDefault="00063B62" w:rsidP="00920332">
      <w:r>
        <w:t xml:space="preserve">Therefore, </w:t>
      </w:r>
      <w:r w:rsidR="00D25CBF">
        <w:t>looking further into this passage</w:t>
      </w:r>
      <w:r w:rsidR="00A220D9">
        <w:t xml:space="preserve"> as a whole</w:t>
      </w:r>
      <w:r w:rsidR="00D25CBF">
        <w:t xml:space="preserve">, Catherine and Richard Kroeger </w:t>
      </w:r>
      <w:r w:rsidR="00E35538">
        <w:t>have proposed an alternate interpretation, which has been adopted by not all, but many scholars who have questioned this passage. It is as follows</w:t>
      </w:r>
    </w:p>
    <w:p w14:paraId="0E350CF4" w14:textId="52D2E135" w:rsidR="00E35538" w:rsidRDefault="00E35538" w:rsidP="00A220D9">
      <w:pPr>
        <w:ind w:left="283"/>
      </w:pPr>
      <w:r>
        <w:t xml:space="preserve">Let a woman learn, in submission to God. I will not allow the women in the church in Ephesus to teach or rule the men, as they do in the Artemis temple. Because they are wrong in saying Eve </w:t>
      </w:r>
      <w:r>
        <w:lastRenderedPageBreak/>
        <w:t>was created first;</w:t>
      </w:r>
      <w:r w:rsidR="00A220D9">
        <w:t xml:space="preserve"> it was Adam. And it is they who have been deceived about this matter, not Adam. Moreover, if they become pregnant, their salvation will not be lost in childbearing, if they continue living in a godly manner.</w:t>
      </w:r>
      <w:r w:rsidR="00860BA8">
        <w:rPr>
          <w:rStyle w:val="FootnoteReference"/>
        </w:rPr>
        <w:footnoteReference w:id="10"/>
      </w:r>
    </w:p>
    <w:p w14:paraId="333FEA04" w14:textId="30010951" w:rsidR="00C45A85" w:rsidRDefault="00C45A85" w:rsidP="00C45A85">
      <w:r>
        <w:t xml:space="preserve">Scripture, throughout history has held authoritative power, and has been used to manipulate, oppress and subjugate people from all walks of life, </w:t>
      </w:r>
      <w:r w:rsidRPr="009C09AF">
        <w:t>throughout the world</w:t>
      </w:r>
      <w:r>
        <w:t>. But it has also been used to give a voice to the voiceless, aid the marginalised and free the oppressed. When consider</w:t>
      </w:r>
      <w:r w:rsidR="00C37B60">
        <w:t>ing</w:t>
      </w:r>
      <w:r>
        <w:t xml:space="preserve"> the authority it has held, it is </w:t>
      </w:r>
      <w:r w:rsidR="00C37B60">
        <w:t xml:space="preserve">ludicrous </w:t>
      </w:r>
      <w:r>
        <w:t>to</w:t>
      </w:r>
      <w:r w:rsidR="00C37B60">
        <w:t xml:space="preserve"> imagine</w:t>
      </w:r>
      <w:r>
        <w:t xml:space="preserve"> not hav</w:t>
      </w:r>
      <w:r w:rsidR="00C37B60">
        <w:t>ing</w:t>
      </w:r>
      <w:r>
        <w:t xml:space="preserve"> a definitive awareness of who wrote the texts, and who it was written to. No matter your perspective, whether you are an insider or outsider (within the religious tradition or outside of it) in exploring the Biblical text, it is vital to hold at least some level of understanding of its context. (Particularly, but certainly not limited to, studying of the Epistles). Otherwise, </w:t>
      </w:r>
      <w:r w:rsidR="00C37B60">
        <w:t xml:space="preserve">by proof-texting </w:t>
      </w:r>
      <w:r>
        <w:t>in cases such as this passage, half of humanity is silenced, and if half of humanity is silenced, then (through a Christian perspective), half of the image of God is silenced.</w:t>
      </w:r>
    </w:p>
    <w:p w14:paraId="261EACBE" w14:textId="3484DB06" w:rsidR="00C45A85" w:rsidRDefault="00C45A85" w:rsidP="00C45A85">
      <w:r>
        <w:t>Despite this</w:t>
      </w:r>
      <w:r>
        <w:t>, it is important to understand that whether it is conscious or subconscious, everyone who reads the Bible will read it through a bias. It is natural that our life experiences and surroundings impact the way we interpret things, whether that be for the better or for the worse. But</w:t>
      </w:r>
      <w:r>
        <w:t xml:space="preserve"> this is</w:t>
      </w:r>
      <w:r w:rsidR="00206DF5">
        <w:t xml:space="preserve"> exactly</w:t>
      </w:r>
      <w:r>
        <w:t xml:space="preserve"> why it is necessary to view and read scripture through a critical perspective and not simply </w:t>
      </w:r>
      <w:r w:rsidR="00206DF5">
        <w:t>apply it as given</w:t>
      </w:r>
      <w:r>
        <w:t>.</w:t>
      </w:r>
    </w:p>
    <w:p w14:paraId="4E54CBE3" w14:textId="77777777" w:rsidR="00C45A85" w:rsidRDefault="00C45A85" w:rsidP="00C45A85"/>
    <w:p w14:paraId="35A5CE2E" w14:textId="3F7CF935" w:rsidR="004A610B" w:rsidRDefault="004A610B" w:rsidP="00E64A7D"/>
    <w:p w14:paraId="387139E0" w14:textId="77777777" w:rsidR="004A610B" w:rsidRDefault="004A610B">
      <w:r>
        <w:br w:type="page"/>
      </w:r>
    </w:p>
    <w:sdt>
      <w:sdtPr>
        <w:id w:val="-424424981"/>
        <w:docPartObj>
          <w:docPartGallery w:val="Bibliographies"/>
          <w:docPartUnique/>
        </w:docPartObj>
      </w:sdtPr>
      <w:sdtEndPr>
        <w:rPr>
          <w:rFonts w:asciiTheme="minorHAnsi" w:eastAsiaTheme="minorHAnsi" w:hAnsiTheme="minorHAnsi" w:cstheme="minorBidi"/>
          <w:color w:val="auto"/>
          <w:sz w:val="22"/>
          <w:szCs w:val="22"/>
        </w:rPr>
      </w:sdtEndPr>
      <w:sdtContent>
        <w:p w14:paraId="17D6DB95" w14:textId="214BC891" w:rsidR="004A610B" w:rsidRDefault="004A610B">
          <w:pPr>
            <w:pStyle w:val="Heading1"/>
          </w:pPr>
          <w:r>
            <w:t>Bibliography</w:t>
          </w:r>
        </w:p>
        <w:sdt>
          <w:sdtPr>
            <w:id w:val="111145805"/>
            <w:bibliography/>
          </w:sdtPr>
          <w:sdtContent>
            <w:p w14:paraId="796DBD14" w14:textId="77777777" w:rsidR="002C6D42" w:rsidRDefault="002C6D42">
              <w:r>
                <w:rPr>
                  <w:i/>
                  <w:iCs/>
                </w:rPr>
                <w:t xml:space="preserve">The Holy Bible, </w:t>
              </w:r>
              <w:r w:rsidRPr="00D941A6">
                <w:t>New Revised Standard Version Updated Edition</w:t>
              </w:r>
              <w:r>
                <w:t xml:space="preserve"> (National Council of the Churches of Christ in the United States of America, 2021)</w:t>
              </w:r>
            </w:p>
            <w:p w14:paraId="2BC054B1" w14:textId="77777777" w:rsidR="002C6D42" w:rsidRDefault="002C6D42" w:rsidP="002C6D42">
              <w:r>
                <w:t xml:space="preserve">Paynter, Helen, </w:t>
              </w:r>
              <w:r>
                <w:rPr>
                  <w:i/>
                  <w:iCs/>
                </w:rPr>
                <w:t xml:space="preserve">The Bible Doesn’t Tell Me So: Why You Don’t Have to Submit to Domestic Abuse and Coercive Control </w:t>
              </w:r>
              <w:r>
                <w:t>(BRF, 2020)</w:t>
              </w:r>
            </w:p>
            <w:p w14:paraId="16C6015C" w14:textId="77777777" w:rsidR="00D270EF" w:rsidRDefault="002C6D42">
              <w:r>
                <w:t xml:space="preserve">English Standard Version (ESV), ‘The Epistles’ &lt; </w:t>
              </w:r>
              <w:r w:rsidRPr="002C6D42">
                <w:t>https://www.esv.org/resources/esv-global-study-bible/chart-45-epistles/</w:t>
              </w:r>
              <w:r>
                <w:t xml:space="preserve"> &gt;</w:t>
              </w:r>
            </w:p>
            <w:p w14:paraId="641E3786" w14:textId="77777777" w:rsidR="00D270EF" w:rsidRDefault="00D270EF">
              <w:r w:rsidRPr="00D270EF">
                <w:t xml:space="preserve">Hurlbut, Jesse L., et al. </w:t>
              </w:r>
              <w:r>
                <w:t>‘</w:t>
              </w:r>
              <w:r w:rsidRPr="00D270EF">
                <w:t>The Use of a Doctrinal Catechism in Sunday-School Instruction. A Symposium.</w:t>
              </w:r>
              <w:r>
                <w:t>’</w:t>
              </w:r>
              <w:r w:rsidRPr="00D270EF">
                <w:t xml:space="preserve"> </w:t>
              </w:r>
              <w:r w:rsidRPr="00D270EF">
                <w:rPr>
                  <w:i/>
                  <w:iCs/>
                </w:rPr>
                <w:t>The Biblical World</w:t>
              </w:r>
              <w:r w:rsidRPr="00D270EF">
                <w:t xml:space="preserve">, vol. 16, no. 3, 1900, pp. 166–85. </w:t>
              </w:r>
              <w:r w:rsidRPr="00D270EF">
                <w:rPr>
                  <w:i/>
                  <w:iCs/>
                </w:rPr>
                <w:t>JSTOR</w:t>
              </w:r>
              <w:r w:rsidRPr="00D270EF">
                <w:t xml:space="preserve">, </w:t>
              </w:r>
              <w:r>
                <w:t xml:space="preserve">&lt; </w:t>
              </w:r>
              <w:hyperlink r:id="rId7" w:history="1">
                <w:r w:rsidRPr="00D270EF">
                  <w:rPr>
                    <w:rStyle w:val="Hyperlink"/>
                  </w:rPr>
                  <w:t>http://www.jstor.org/stable/3136493</w:t>
                </w:r>
              </w:hyperlink>
              <w:r>
                <w:t xml:space="preserve"> &gt;</w:t>
              </w:r>
              <w:r w:rsidRPr="00D270EF">
                <w:t xml:space="preserve"> </w:t>
              </w:r>
            </w:p>
            <w:p w14:paraId="28B2B361" w14:textId="7F2F4DED" w:rsidR="004A610B" w:rsidRDefault="009B6D59">
              <w:r>
                <w:t xml:space="preserve">Clark Kroeger, Catherine &amp; Richard, </w:t>
              </w:r>
              <w:r>
                <w:rPr>
                  <w:i/>
                  <w:iCs/>
                </w:rPr>
                <w:t>I Suffer Not a Woman: Rethinking 1 Timothy 2:11-15 in light of ancient evidence</w:t>
              </w:r>
              <w:r>
                <w:t xml:space="preserve"> (Baker Academic, 1998)</w:t>
              </w:r>
            </w:p>
          </w:sdtContent>
        </w:sdt>
      </w:sdtContent>
    </w:sdt>
    <w:p w14:paraId="4842A33B" w14:textId="77777777" w:rsidR="005956CD" w:rsidRPr="00AE012D" w:rsidRDefault="005956CD" w:rsidP="00E64A7D"/>
    <w:sectPr w:rsidR="005956CD" w:rsidRPr="00AE01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E032F" w14:textId="77777777" w:rsidR="005F03A7" w:rsidRDefault="005F03A7" w:rsidP="00F472E1">
      <w:pPr>
        <w:spacing w:after="0" w:line="240" w:lineRule="auto"/>
      </w:pPr>
      <w:r>
        <w:separator/>
      </w:r>
    </w:p>
  </w:endnote>
  <w:endnote w:type="continuationSeparator" w:id="0">
    <w:p w14:paraId="624D36EC" w14:textId="77777777" w:rsidR="005F03A7" w:rsidRDefault="005F03A7" w:rsidP="00F47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61B3E" w14:textId="77777777" w:rsidR="005F03A7" w:rsidRDefault="005F03A7" w:rsidP="00F472E1">
      <w:pPr>
        <w:spacing w:after="0" w:line="240" w:lineRule="auto"/>
      </w:pPr>
      <w:r>
        <w:separator/>
      </w:r>
    </w:p>
  </w:footnote>
  <w:footnote w:type="continuationSeparator" w:id="0">
    <w:p w14:paraId="0A33B374" w14:textId="77777777" w:rsidR="005F03A7" w:rsidRDefault="005F03A7" w:rsidP="00F472E1">
      <w:pPr>
        <w:spacing w:after="0" w:line="240" w:lineRule="auto"/>
      </w:pPr>
      <w:r>
        <w:continuationSeparator/>
      </w:r>
    </w:p>
  </w:footnote>
  <w:footnote w:id="1">
    <w:p w14:paraId="59CB503F" w14:textId="7DA8ACA1" w:rsidR="00F472E1" w:rsidRDefault="00F472E1">
      <w:pPr>
        <w:pStyle w:val="FootnoteText"/>
      </w:pPr>
      <w:r>
        <w:rPr>
          <w:rStyle w:val="FootnoteReference"/>
        </w:rPr>
        <w:footnoteRef/>
      </w:r>
      <w:r>
        <w:t xml:space="preserve"> I Timothy 2:11-15</w:t>
      </w:r>
    </w:p>
  </w:footnote>
  <w:footnote w:id="2">
    <w:p w14:paraId="7DA6F14A" w14:textId="58D0F8AE" w:rsidR="00F472E1" w:rsidRPr="003B3FC2" w:rsidRDefault="00F472E1">
      <w:pPr>
        <w:pStyle w:val="FootnoteText"/>
      </w:pPr>
      <w:r>
        <w:rPr>
          <w:rStyle w:val="FootnoteReference"/>
        </w:rPr>
        <w:footnoteRef/>
      </w:r>
      <w:r>
        <w:t xml:space="preserve"> </w:t>
      </w:r>
      <w:r w:rsidR="003B3FC2" w:rsidRPr="003B3FC2">
        <w:t xml:space="preserve">Hurlbut, Jesse L., et al. </w:t>
      </w:r>
      <w:r w:rsidR="003B3FC2" w:rsidRPr="003B3FC2">
        <w:rPr>
          <w:i/>
          <w:iCs/>
        </w:rPr>
        <w:t>The Use of a Doctrinal Catechism in Sunday-School Instruction. A Symposium. The Biblical World</w:t>
      </w:r>
      <w:r w:rsidR="003B3FC2" w:rsidRPr="003B3FC2">
        <w:t xml:space="preserve">, vol. 16, no. 3, 1900 </w:t>
      </w:r>
      <w:r w:rsidR="003B3FC2">
        <w:t>&lt;</w:t>
      </w:r>
      <w:r w:rsidR="00F15481">
        <w:t xml:space="preserve"> </w:t>
      </w:r>
      <w:r w:rsidR="003B3FC2" w:rsidRPr="003B3FC2">
        <w:t>http://www.jstor.org/stable/3136493</w:t>
      </w:r>
      <w:r w:rsidR="00F15481">
        <w:t xml:space="preserve"> </w:t>
      </w:r>
      <w:r w:rsidR="003B3FC2">
        <w:t>&gt;</w:t>
      </w:r>
      <w:r w:rsidR="003B3FC2" w:rsidRPr="003B3FC2">
        <w:t>.</w:t>
      </w:r>
    </w:p>
  </w:footnote>
  <w:footnote w:id="3">
    <w:p w14:paraId="0C7600B4" w14:textId="726890C0" w:rsidR="00EF0483" w:rsidRDefault="00EF0483">
      <w:pPr>
        <w:pStyle w:val="FootnoteText"/>
      </w:pPr>
      <w:r>
        <w:rPr>
          <w:rStyle w:val="FootnoteReference"/>
        </w:rPr>
        <w:footnoteRef/>
      </w:r>
      <w:r>
        <w:t xml:space="preserve"> Galatians 3:28</w:t>
      </w:r>
    </w:p>
  </w:footnote>
  <w:footnote w:id="4">
    <w:p w14:paraId="5D0DA8C2" w14:textId="056F70BE" w:rsidR="00F12CDE" w:rsidRPr="00F12CDE" w:rsidRDefault="00F12CDE">
      <w:pPr>
        <w:pStyle w:val="FootnoteText"/>
      </w:pPr>
      <w:r>
        <w:rPr>
          <w:rStyle w:val="FootnoteReference"/>
        </w:rPr>
        <w:footnoteRef/>
      </w:r>
      <w:r>
        <w:t xml:space="preserve"> Helen Paynter, </w:t>
      </w:r>
      <w:r>
        <w:rPr>
          <w:i/>
          <w:iCs/>
        </w:rPr>
        <w:t xml:space="preserve">The Bible Doesn’t Tell Me So: Why You Don’t Have to Submit to Domestic Abuse and Coercive Control </w:t>
      </w:r>
      <w:r>
        <w:t>(BRF, 2020), pp. 65</w:t>
      </w:r>
      <w:r w:rsidR="003A2600">
        <w:t>.</w:t>
      </w:r>
    </w:p>
  </w:footnote>
  <w:footnote w:id="5">
    <w:p w14:paraId="1A8F5B1D" w14:textId="1C7E5F6D" w:rsidR="009B7002" w:rsidRDefault="009B7002">
      <w:pPr>
        <w:pStyle w:val="FootnoteText"/>
      </w:pPr>
      <w:r>
        <w:rPr>
          <w:rStyle w:val="FootnoteReference"/>
        </w:rPr>
        <w:footnoteRef/>
      </w:r>
      <w:r>
        <w:t xml:space="preserve"> Genesis 2:7</w:t>
      </w:r>
    </w:p>
  </w:footnote>
  <w:footnote w:id="6">
    <w:p w14:paraId="1745CB34" w14:textId="3986DA3F" w:rsidR="006454E7" w:rsidRPr="006454E7" w:rsidRDefault="006454E7">
      <w:pPr>
        <w:pStyle w:val="FootnoteText"/>
      </w:pPr>
      <w:r>
        <w:rPr>
          <w:rStyle w:val="FootnoteReference"/>
        </w:rPr>
        <w:footnoteRef/>
      </w:r>
      <w:r>
        <w:t xml:space="preserve"> Paynter, </w:t>
      </w:r>
      <w:r>
        <w:rPr>
          <w:i/>
          <w:iCs/>
        </w:rPr>
        <w:t xml:space="preserve">The Bible Doesn’t, </w:t>
      </w:r>
      <w:r>
        <w:t>pp.55</w:t>
      </w:r>
      <w:r w:rsidR="003A2600">
        <w:t>.</w:t>
      </w:r>
    </w:p>
  </w:footnote>
  <w:footnote w:id="7">
    <w:p w14:paraId="0CBCCDEE" w14:textId="70445851" w:rsidR="00F15481" w:rsidRDefault="00F15481">
      <w:pPr>
        <w:pStyle w:val="FootnoteText"/>
      </w:pPr>
      <w:r>
        <w:rPr>
          <w:rStyle w:val="FootnoteReference"/>
        </w:rPr>
        <w:footnoteRef/>
      </w:r>
      <w:r>
        <w:t xml:space="preserve"> Titus 3:5</w:t>
      </w:r>
    </w:p>
  </w:footnote>
  <w:footnote w:id="8">
    <w:p w14:paraId="26C85B65" w14:textId="734C9C30" w:rsidR="00F15481" w:rsidRDefault="00F15481">
      <w:pPr>
        <w:pStyle w:val="FootnoteText"/>
      </w:pPr>
      <w:r>
        <w:rPr>
          <w:rStyle w:val="FootnoteReference"/>
        </w:rPr>
        <w:footnoteRef/>
      </w:r>
      <w:r>
        <w:t xml:space="preserve"> Ephesians 2:8-9</w:t>
      </w:r>
    </w:p>
  </w:footnote>
  <w:footnote w:id="9">
    <w:p w14:paraId="6B196E10" w14:textId="4F0C4189" w:rsidR="00F15481" w:rsidRDefault="00F15481">
      <w:pPr>
        <w:pStyle w:val="FootnoteText"/>
      </w:pPr>
      <w:r>
        <w:rPr>
          <w:rStyle w:val="FootnoteReference"/>
        </w:rPr>
        <w:footnoteRef/>
      </w:r>
      <w:r>
        <w:t xml:space="preserve"> English Standard Version (ESV), ‘The Epistles’, &lt;</w:t>
      </w:r>
      <w:r w:rsidRPr="00F15481">
        <w:t xml:space="preserve"> </w:t>
      </w:r>
      <w:hyperlink r:id="rId1" w:history="1">
        <w:r w:rsidRPr="004A1996">
          <w:rPr>
            <w:rStyle w:val="Hyperlink"/>
          </w:rPr>
          <w:t>https://www.esv.org/resources/esv-global-study-bible/chart-45-epistles/</w:t>
        </w:r>
      </w:hyperlink>
      <w:r>
        <w:t xml:space="preserve"> &gt;.</w:t>
      </w:r>
    </w:p>
  </w:footnote>
  <w:footnote w:id="10">
    <w:p w14:paraId="7F169A86" w14:textId="0F292BED" w:rsidR="00860BA8" w:rsidRPr="003A2600" w:rsidRDefault="00860BA8">
      <w:pPr>
        <w:pStyle w:val="FootnoteText"/>
      </w:pPr>
      <w:r>
        <w:rPr>
          <w:rStyle w:val="FootnoteReference"/>
        </w:rPr>
        <w:footnoteRef/>
      </w:r>
      <w:r>
        <w:t xml:space="preserve"> Catherine Clark Kroeger and Richard Clark Kroeger, </w:t>
      </w:r>
      <w:r>
        <w:rPr>
          <w:i/>
          <w:iCs/>
        </w:rPr>
        <w:t xml:space="preserve">I Suffer Not a Woman: Rethinking 1 Timothy </w:t>
      </w:r>
      <w:r w:rsidR="003A2600">
        <w:rPr>
          <w:i/>
          <w:iCs/>
        </w:rPr>
        <w:t xml:space="preserve">2:11-15 in light of ancient evidence </w:t>
      </w:r>
      <w:r w:rsidR="003A2600">
        <w:t>(Baker Academic, 1998).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F5"/>
    <w:rsid w:val="0002292C"/>
    <w:rsid w:val="00045E16"/>
    <w:rsid w:val="00063B62"/>
    <w:rsid w:val="000A1CC3"/>
    <w:rsid w:val="000B0EC7"/>
    <w:rsid w:val="000C11B4"/>
    <w:rsid w:val="000D1F35"/>
    <w:rsid w:val="00102469"/>
    <w:rsid w:val="0011437F"/>
    <w:rsid w:val="001E0776"/>
    <w:rsid w:val="001E5D36"/>
    <w:rsid w:val="001E7270"/>
    <w:rsid w:val="00206DF5"/>
    <w:rsid w:val="00227F32"/>
    <w:rsid w:val="00275754"/>
    <w:rsid w:val="002A3ABB"/>
    <w:rsid w:val="002C6D42"/>
    <w:rsid w:val="002E6736"/>
    <w:rsid w:val="0033111D"/>
    <w:rsid w:val="003A2600"/>
    <w:rsid w:val="003B3FC2"/>
    <w:rsid w:val="003D6322"/>
    <w:rsid w:val="004002C9"/>
    <w:rsid w:val="00403A22"/>
    <w:rsid w:val="00403E9A"/>
    <w:rsid w:val="00422F6F"/>
    <w:rsid w:val="004379A0"/>
    <w:rsid w:val="00450AE3"/>
    <w:rsid w:val="004920A6"/>
    <w:rsid w:val="004A610B"/>
    <w:rsid w:val="004F7780"/>
    <w:rsid w:val="0058207B"/>
    <w:rsid w:val="005956CD"/>
    <w:rsid w:val="005A2D5E"/>
    <w:rsid w:val="005E71F4"/>
    <w:rsid w:val="005F03A7"/>
    <w:rsid w:val="006454E7"/>
    <w:rsid w:val="00660BB9"/>
    <w:rsid w:val="00672CF5"/>
    <w:rsid w:val="006944E5"/>
    <w:rsid w:val="006964CE"/>
    <w:rsid w:val="006F0A5A"/>
    <w:rsid w:val="007067E1"/>
    <w:rsid w:val="0078789C"/>
    <w:rsid w:val="007C053F"/>
    <w:rsid w:val="007C6532"/>
    <w:rsid w:val="00831DDD"/>
    <w:rsid w:val="00860BA8"/>
    <w:rsid w:val="0086208B"/>
    <w:rsid w:val="008D3664"/>
    <w:rsid w:val="00920332"/>
    <w:rsid w:val="00943B11"/>
    <w:rsid w:val="009B6D59"/>
    <w:rsid w:val="009B7002"/>
    <w:rsid w:val="009C09AF"/>
    <w:rsid w:val="009F2BCF"/>
    <w:rsid w:val="00A10AFA"/>
    <w:rsid w:val="00A20532"/>
    <w:rsid w:val="00A220D9"/>
    <w:rsid w:val="00A6589C"/>
    <w:rsid w:val="00AE012D"/>
    <w:rsid w:val="00AE2322"/>
    <w:rsid w:val="00AE4B2A"/>
    <w:rsid w:val="00B249EF"/>
    <w:rsid w:val="00B71911"/>
    <w:rsid w:val="00B86AE2"/>
    <w:rsid w:val="00B95CD8"/>
    <w:rsid w:val="00C1121D"/>
    <w:rsid w:val="00C37B60"/>
    <w:rsid w:val="00C45A85"/>
    <w:rsid w:val="00C570C2"/>
    <w:rsid w:val="00C85A2D"/>
    <w:rsid w:val="00CD2A30"/>
    <w:rsid w:val="00CE2613"/>
    <w:rsid w:val="00CF3BE9"/>
    <w:rsid w:val="00CF59AD"/>
    <w:rsid w:val="00D25CBF"/>
    <w:rsid w:val="00D270EF"/>
    <w:rsid w:val="00E03F51"/>
    <w:rsid w:val="00E3526D"/>
    <w:rsid w:val="00E35538"/>
    <w:rsid w:val="00E64A7D"/>
    <w:rsid w:val="00E70BC5"/>
    <w:rsid w:val="00EF0483"/>
    <w:rsid w:val="00EF2F4F"/>
    <w:rsid w:val="00EF4F64"/>
    <w:rsid w:val="00EF5CCB"/>
    <w:rsid w:val="00F12CDE"/>
    <w:rsid w:val="00F15481"/>
    <w:rsid w:val="00F15F18"/>
    <w:rsid w:val="00F472E1"/>
    <w:rsid w:val="00F83895"/>
    <w:rsid w:val="00F912EC"/>
    <w:rsid w:val="00F92CC9"/>
    <w:rsid w:val="00FA7D4E"/>
    <w:rsid w:val="00FE0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0E228"/>
  <w15:chartTrackingRefBased/>
  <w15:docId w15:val="{FD97E328-AF16-4558-978C-E0546A059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C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2C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2C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2C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2C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2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C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2C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2C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2C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2C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2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CF5"/>
    <w:rPr>
      <w:rFonts w:eastAsiaTheme="majorEastAsia" w:cstheme="majorBidi"/>
      <w:color w:val="272727" w:themeColor="text1" w:themeTint="D8"/>
    </w:rPr>
  </w:style>
  <w:style w:type="paragraph" w:styleId="Title">
    <w:name w:val="Title"/>
    <w:basedOn w:val="Normal"/>
    <w:next w:val="Normal"/>
    <w:link w:val="TitleChar"/>
    <w:uiPriority w:val="10"/>
    <w:qFormat/>
    <w:rsid w:val="00672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CF5"/>
    <w:pPr>
      <w:spacing w:before="160"/>
      <w:jc w:val="center"/>
    </w:pPr>
    <w:rPr>
      <w:i/>
      <w:iCs/>
      <w:color w:val="404040" w:themeColor="text1" w:themeTint="BF"/>
    </w:rPr>
  </w:style>
  <w:style w:type="character" w:customStyle="1" w:styleId="QuoteChar">
    <w:name w:val="Quote Char"/>
    <w:basedOn w:val="DefaultParagraphFont"/>
    <w:link w:val="Quote"/>
    <w:uiPriority w:val="29"/>
    <w:rsid w:val="00672CF5"/>
    <w:rPr>
      <w:i/>
      <w:iCs/>
      <w:color w:val="404040" w:themeColor="text1" w:themeTint="BF"/>
    </w:rPr>
  </w:style>
  <w:style w:type="paragraph" w:styleId="ListParagraph">
    <w:name w:val="List Paragraph"/>
    <w:basedOn w:val="Normal"/>
    <w:uiPriority w:val="34"/>
    <w:qFormat/>
    <w:rsid w:val="00672CF5"/>
    <w:pPr>
      <w:ind w:left="720"/>
      <w:contextualSpacing/>
    </w:pPr>
  </w:style>
  <w:style w:type="character" w:styleId="IntenseEmphasis">
    <w:name w:val="Intense Emphasis"/>
    <w:basedOn w:val="DefaultParagraphFont"/>
    <w:uiPriority w:val="21"/>
    <w:qFormat/>
    <w:rsid w:val="00672CF5"/>
    <w:rPr>
      <w:i/>
      <w:iCs/>
      <w:color w:val="2F5496" w:themeColor="accent1" w:themeShade="BF"/>
    </w:rPr>
  </w:style>
  <w:style w:type="paragraph" w:styleId="IntenseQuote">
    <w:name w:val="Intense Quote"/>
    <w:basedOn w:val="Normal"/>
    <w:next w:val="Normal"/>
    <w:link w:val="IntenseQuoteChar"/>
    <w:uiPriority w:val="30"/>
    <w:qFormat/>
    <w:rsid w:val="00672C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2CF5"/>
    <w:rPr>
      <w:i/>
      <w:iCs/>
      <w:color w:val="2F5496" w:themeColor="accent1" w:themeShade="BF"/>
    </w:rPr>
  </w:style>
  <w:style w:type="character" w:styleId="IntenseReference">
    <w:name w:val="Intense Reference"/>
    <w:basedOn w:val="DefaultParagraphFont"/>
    <w:uiPriority w:val="32"/>
    <w:qFormat/>
    <w:rsid w:val="00672CF5"/>
    <w:rPr>
      <w:b/>
      <w:bCs/>
      <w:smallCaps/>
      <w:color w:val="2F5496" w:themeColor="accent1" w:themeShade="BF"/>
      <w:spacing w:val="5"/>
    </w:rPr>
  </w:style>
  <w:style w:type="paragraph" w:styleId="FootnoteText">
    <w:name w:val="footnote text"/>
    <w:basedOn w:val="Normal"/>
    <w:link w:val="FootnoteTextChar"/>
    <w:uiPriority w:val="99"/>
    <w:semiHidden/>
    <w:unhideWhenUsed/>
    <w:rsid w:val="00F472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72E1"/>
    <w:rPr>
      <w:sz w:val="20"/>
      <w:szCs w:val="20"/>
    </w:rPr>
  </w:style>
  <w:style w:type="character" w:styleId="FootnoteReference">
    <w:name w:val="footnote reference"/>
    <w:basedOn w:val="DefaultParagraphFont"/>
    <w:uiPriority w:val="99"/>
    <w:semiHidden/>
    <w:unhideWhenUsed/>
    <w:rsid w:val="00F472E1"/>
    <w:rPr>
      <w:vertAlign w:val="superscript"/>
    </w:rPr>
  </w:style>
  <w:style w:type="character" w:styleId="Hyperlink">
    <w:name w:val="Hyperlink"/>
    <w:basedOn w:val="DefaultParagraphFont"/>
    <w:uiPriority w:val="99"/>
    <w:unhideWhenUsed/>
    <w:rsid w:val="00F15481"/>
    <w:rPr>
      <w:color w:val="0563C1" w:themeColor="hyperlink"/>
      <w:u w:val="single"/>
    </w:rPr>
  </w:style>
  <w:style w:type="character" w:styleId="UnresolvedMention">
    <w:name w:val="Unresolved Mention"/>
    <w:basedOn w:val="DefaultParagraphFont"/>
    <w:uiPriority w:val="99"/>
    <w:semiHidden/>
    <w:unhideWhenUsed/>
    <w:rsid w:val="00F15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313649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sv.org/resources/esv-global-study-bible/chart-45-epist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18F23-81FE-4E51-8821-ADEBE9865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4</Pages>
  <Words>1360</Words>
  <Characters>7753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Stewart</dc:creator>
  <cp:keywords/>
  <dc:description/>
  <cp:lastModifiedBy>Hannah Stewart</cp:lastModifiedBy>
  <cp:revision>71</cp:revision>
  <dcterms:created xsi:type="dcterms:W3CDTF">2026-03-10T13:14:00Z</dcterms:created>
  <dcterms:modified xsi:type="dcterms:W3CDTF">2026-04-09T16:18:00Z</dcterms:modified>
</cp:coreProperties>
</file>