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6F3096" w14:textId="0B078E0E" w:rsidR="00B605C9" w:rsidRDefault="00756069" w:rsidP="00756069">
      <w:pPr>
        <w:jc w:val="center"/>
        <w:rPr>
          <w:b/>
          <w:bCs/>
          <w:sz w:val="28"/>
          <w:szCs w:val="28"/>
          <w:u w:val="single"/>
        </w:rPr>
      </w:pPr>
      <w:r w:rsidRPr="00756069">
        <w:rPr>
          <w:b/>
          <w:bCs/>
          <w:sz w:val="28"/>
          <w:szCs w:val="28"/>
          <w:u w:val="single"/>
        </w:rPr>
        <w:t>‘God wills it!’: to what extent does this represent people’s motives for going on crusade?</w:t>
      </w:r>
    </w:p>
    <w:p w14:paraId="3BE170E0" w14:textId="52B40748" w:rsidR="00756069" w:rsidRDefault="00756069" w:rsidP="00756069">
      <w:pPr>
        <w:rPr>
          <w:sz w:val="24"/>
          <w:szCs w:val="24"/>
        </w:rPr>
      </w:pPr>
    </w:p>
    <w:p w14:paraId="5F88410D" w14:textId="43D37F80" w:rsidR="00756069" w:rsidRDefault="0067445E" w:rsidP="00756069">
      <w:pPr>
        <w:rPr>
          <w:sz w:val="24"/>
          <w:szCs w:val="24"/>
        </w:rPr>
      </w:pPr>
      <w:r>
        <w:rPr>
          <w:sz w:val="24"/>
          <w:szCs w:val="24"/>
        </w:rPr>
        <w:t xml:space="preserve">There were a multitude of reasons for going on crusade. For some, it was about fighting in the grace of god </w:t>
      </w:r>
      <w:r w:rsidR="002A2549">
        <w:rPr>
          <w:sz w:val="24"/>
          <w:szCs w:val="24"/>
        </w:rPr>
        <w:t>and retaking the Holy Land from the sinners that had stolen it from the church</w:t>
      </w:r>
      <w:r w:rsidR="002A2549">
        <w:rPr>
          <w:rStyle w:val="FootnoteReference"/>
          <w:sz w:val="24"/>
          <w:szCs w:val="24"/>
        </w:rPr>
        <w:footnoteReference w:id="1"/>
      </w:r>
      <w:r w:rsidR="00821A29">
        <w:rPr>
          <w:sz w:val="24"/>
          <w:szCs w:val="24"/>
        </w:rPr>
        <w:t>. For others it was an escape from the oppression of the system they worked in</w:t>
      </w:r>
      <w:r w:rsidR="00821A29">
        <w:rPr>
          <w:rStyle w:val="FootnoteReference"/>
          <w:sz w:val="24"/>
          <w:szCs w:val="24"/>
        </w:rPr>
        <w:footnoteReference w:id="2"/>
      </w:r>
      <w:r w:rsidR="0086238D">
        <w:rPr>
          <w:sz w:val="24"/>
          <w:szCs w:val="24"/>
        </w:rPr>
        <w:t>. However, for many, it was a means of wiping the slate clean</w:t>
      </w:r>
      <w:r w:rsidR="0086238D">
        <w:rPr>
          <w:rStyle w:val="FootnoteReference"/>
          <w:sz w:val="24"/>
          <w:szCs w:val="24"/>
        </w:rPr>
        <w:footnoteReference w:id="3"/>
      </w:r>
      <w:r w:rsidR="0086238D">
        <w:rPr>
          <w:sz w:val="24"/>
          <w:szCs w:val="24"/>
        </w:rPr>
        <w:t xml:space="preserve">. For the purposes of this essay, I will be looking at </w:t>
      </w:r>
      <w:proofErr w:type="gramStart"/>
      <w:r w:rsidR="0086238D">
        <w:rPr>
          <w:sz w:val="24"/>
          <w:szCs w:val="24"/>
        </w:rPr>
        <w:t>all of</w:t>
      </w:r>
      <w:proofErr w:type="gramEnd"/>
      <w:r w:rsidR="0086238D">
        <w:rPr>
          <w:sz w:val="24"/>
          <w:szCs w:val="24"/>
        </w:rPr>
        <w:t xml:space="preserve"> these reasons and more to find out how important the idea of ‘God wills it!’ actually was to the crusaders. To do this I will be breaking the reasons into two categories: secular and ecclesiastical. To begin, I will be looking at the reason mentioned in the question: God’s will.</w:t>
      </w:r>
    </w:p>
    <w:p w14:paraId="23CF19BC" w14:textId="206EFD0F" w:rsidR="00412006" w:rsidRDefault="00412006" w:rsidP="00756069">
      <w:pPr>
        <w:rPr>
          <w:sz w:val="24"/>
          <w:szCs w:val="24"/>
        </w:rPr>
      </w:pPr>
      <w:r>
        <w:rPr>
          <w:sz w:val="24"/>
          <w:szCs w:val="24"/>
        </w:rPr>
        <w:t xml:space="preserve">The phrase ‘God wills it!’ </w:t>
      </w:r>
      <w:r w:rsidR="00E80036">
        <w:rPr>
          <w:sz w:val="24"/>
          <w:szCs w:val="24"/>
        </w:rPr>
        <w:t>was an idea that was preached in some form or another since the declaration of the first crusade in 1095</w:t>
      </w:r>
      <w:r w:rsidR="00E80036">
        <w:rPr>
          <w:rStyle w:val="FootnoteReference"/>
          <w:sz w:val="24"/>
          <w:szCs w:val="24"/>
        </w:rPr>
        <w:footnoteReference w:id="4"/>
      </w:r>
      <w:r w:rsidR="00E80036">
        <w:rPr>
          <w:sz w:val="24"/>
          <w:szCs w:val="24"/>
        </w:rPr>
        <w:t>.</w:t>
      </w:r>
      <w:r w:rsidR="00EB1A80">
        <w:rPr>
          <w:sz w:val="24"/>
          <w:szCs w:val="24"/>
        </w:rPr>
        <w:t xml:space="preserve"> It subsequently became the cornerstone of church propaganda surrounding the crusades</w:t>
      </w:r>
      <w:r>
        <w:rPr>
          <w:rStyle w:val="FootnoteReference"/>
          <w:sz w:val="24"/>
          <w:szCs w:val="24"/>
        </w:rPr>
        <w:footnoteReference w:id="5"/>
      </w:r>
      <w:r w:rsidR="00CD0A4B">
        <w:rPr>
          <w:sz w:val="24"/>
          <w:szCs w:val="24"/>
        </w:rPr>
        <w:t xml:space="preserve">. Put simply it was the idea that it was God’s will to travel fourth to the </w:t>
      </w:r>
      <w:r w:rsidR="003C0692">
        <w:rPr>
          <w:sz w:val="24"/>
          <w:szCs w:val="24"/>
        </w:rPr>
        <w:t>H</w:t>
      </w:r>
      <w:r w:rsidR="00CD0A4B">
        <w:rPr>
          <w:sz w:val="24"/>
          <w:szCs w:val="24"/>
        </w:rPr>
        <w:t xml:space="preserve">oly </w:t>
      </w:r>
      <w:r w:rsidR="003C0692">
        <w:rPr>
          <w:sz w:val="24"/>
          <w:szCs w:val="24"/>
        </w:rPr>
        <w:t>L</w:t>
      </w:r>
      <w:r w:rsidR="00CD0A4B">
        <w:rPr>
          <w:sz w:val="24"/>
          <w:szCs w:val="24"/>
        </w:rPr>
        <w:t xml:space="preserve">and (Jerusalem) and purge it of the </w:t>
      </w:r>
      <w:r w:rsidR="003C0692">
        <w:rPr>
          <w:sz w:val="24"/>
          <w:szCs w:val="24"/>
        </w:rPr>
        <w:t>Saracens</w:t>
      </w:r>
      <w:r w:rsidR="00CD0A4B">
        <w:rPr>
          <w:sz w:val="24"/>
          <w:szCs w:val="24"/>
        </w:rPr>
        <w:t xml:space="preserve"> that had made it their home</w:t>
      </w:r>
      <w:r w:rsidR="003C0692">
        <w:rPr>
          <w:rStyle w:val="FootnoteReference"/>
          <w:sz w:val="24"/>
          <w:szCs w:val="24"/>
        </w:rPr>
        <w:footnoteReference w:id="6"/>
      </w:r>
      <w:r w:rsidR="003C0692">
        <w:rPr>
          <w:sz w:val="24"/>
          <w:szCs w:val="24"/>
        </w:rPr>
        <w:t>.</w:t>
      </w:r>
      <w:r w:rsidR="00933A49">
        <w:rPr>
          <w:sz w:val="24"/>
          <w:szCs w:val="24"/>
        </w:rPr>
        <w:t xml:space="preserve"> This was the message</w:t>
      </w:r>
      <w:r w:rsidR="00487820">
        <w:rPr>
          <w:sz w:val="24"/>
          <w:szCs w:val="24"/>
        </w:rPr>
        <w:t xml:space="preserve"> that was preached across most of if not </w:t>
      </w:r>
      <w:proofErr w:type="gramStart"/>
      <w:r w:rsidR="00487820">
        <w:rPr>
          <w:sz w:val="24"/>
          <w:szCs w:val="24"/>
        </w:rPr>
        <w:t>all of</w:t>
      </w:r>
      <w:proofErr w:type="gramEnd"/>
      <w:r w:rsidR="00487820">
        <w:rPr>
          <w:sz w:val="24"/>
          <w:szCs w:val="24"/>
        </w:rPr>
        <w:t xml:space="preserve"> the calls to arms organised by the church and provides a base for many of the ecclesiastic reasons for people going on crusade</w:t>
      </w:r>
      <w:r w:rsidR="00487820">
        <w:rPr>
          <w:rStyle w:val="FootnoteReference"/>
          <w:sz w:val="24"/>
          <w:szCs w:val="24"/>
        </w:rPr>
        <w:footnoteReference w:id="7"/>
      </w:r>
      <w:r w:rsidR="00487820">
        <w:rPr>
          <w:sz w:val="24"/>
          <w:szCs w:val="24"/>
        </w:rPr>
        <w:t xml:space="preserve">. </w:t>
      </w:r>
      <w:r w:rsidR="00EB1A80">
        <w:rPr>
          <w:sz w:val="24"/>
          <w:szCs w:val="24"/>
        </w:rPr>
        <w:t>This message, although powerful, may not have been enough on its own to convince some people, hence why other reasons were required</w:t>
      </w:r>
      <w:r w:rsidR="00487820">
        <w:rPr>
          <w:sz w:val="24"/>
          <w:szCs w:val="24"/>
        </w:rPr>
        <w:t>.</w:t>
      </w:r>
    </w:p>
    <w:p w14:paraId="1C0C6609" w14:textId="2C9377D4" w:rsidR="00487820" w:rsidRDefault="00487820" w:rsidP="00756069">
      <w:pPr>
        <w:rPr>
          <w:sz w:val="24"/>
          <w:szCs w:val="24"/>
        </w:rPr>
      </w:pPr>
      <w:r>
        <w:rPr>
          <w:sz w:val="24"/>
          <w:szCs w:val="24"/>
        </w:rPr>
        <w:t xml:space="preserve">The remission of sin was an extension of the phrase ‘God wills it!’ </w:t>
      </w:r>
      <w:r w:rsidR="0097215D">
        <w:rPr>
          <w:sz w:val="24"/>
          <w:szCs w:val="24"/>
        </w:rPr>
        <w:t>with a bigger focus on the self-interests of the crusaders. The idea behind this reason is that due to the crusade being god’s will, all those that fought in the crusade were fighting in the grace of god and as such they would be forgiven for all previous sins</w:t>
      </w:r>
      <w:r w:rsidR="0097215D">
        <w:rPr>
          <w:rStyle w:val="FootnoteReference"/>
          <w:sz w:val="24"/>
          <w:szCs w:val="24"/>
        </w:rPr>
        <w:footnoteReference w:id="8"/>
      </w:r>
      <w:r w:rsidR="0097215D">
        <w:rPr>
          <w:sz w:val="24"/>
          <w:szCs w:val="24"/>
        </w:rPr>
        <w:t>. This meant that those that died while on crusade would be made martyrs, granting them fame and respect in the living world while</w:t>
      </w:r>
      <w:r w:rsidR="00952B04">
        <w:rPr>
          <w:sz w:val="24"/>
          <w:szCs w:val="24"/>
        </w:rPr>
        <w:t xml:space="preserve"> also</w:t>
      </w:r>
      <w:r w:rsidR="0097215D">
        <w:rPr>
          <w:sz w:val="24"/>
          <w:szCs w:val="24"/>
        </w:rPr>
        <w:t xml:space="preserve"> </w:t>
      </w:r>
      <w:r w:rsidR="00952B04">
        <w:rPr>
          <w:sz w:val="24"/>
          <w:szCs w:val="24"/>
        </w:rPr>
        <w:t>allowing</w:t>
      </w:r>
      <w:r w:rsidR="0097215D">
        <w:rPr>
          <w:sz w:val="24"/>
          <w:szCs w:val="24"/>
        </w:rPr>
        <w:t xml:space="preserve"> them automatic acceptance into Heaven</w:t>
      </w:r>
      <w:r w:rsidR="0097215D">
        <w:rPr>
          <w:rStyle w:val="FootnoteReference"/>
          <w:sz w:val="24"/>
          <w:szCs w:val="24"/>
        </w:rPr>
        <w:footnoteReference w:id="9"/>
      </w:r>
      <w:r w:rsidR="0097215D">
        <w:rPr>
          <w:sz w:val="24"/>
          <w:szCs w:val="24"/>
        </w:rPr>
        <w:t xml:space="preserve">. </w:t>
      </w:r>
      <w:r w:rsidR="00952B04">
        <w:rPr>
          <w:sz w:val="24"/>
          <w:szCs w:val="24"/>
        </w:rPr>
        <w:t xml:space="preserve">For those that survived the crusade the church granted remission of sin. Put simply this meant that their metaphorical slate was </w:t>
      </w:r>
      <w:r w:rsidR="00952B04">
        <w:rPr>
          <w:sz w:val="24"/>
          <w:szCs w:val="24"/>
        </w:rPr>
        <w:lastRenderedPageBreak/>
        <w:t>wiped clean in the eyes of God</w:t>
      </w:r>
      <w:r w:rsidR="00952B04">
        <w:rPr>
          <w:rStyle w:val="FootnoteReference"/>
          <w:sz w:val="24"/>
          <w:szCs w:val="24"/>
        </w:rPr>
        <w:footnoteReference w:id="10"/>
      </w:r>
      <w:r w:rsidR="00952B04">
        <w:rPr>
          <w:sz w:val="24"/>
          <w:szCs w:val="24"/>
        </w:rPr>
        <w:t xml:space="preserve">. This message would have been more appealing </w:t>
      </w:r>
      <w:r w:rsidR="001B6589">
        <w:rPr>
          <w:sz w:val="24"/>
          <w:szCs w:val="24"/>
        </w:rPr>
        <w:t xml:space="preserve">than the base concept of god’s will </w:t>
      </w:r>
      <w:r w:rsidR="00952B04">
        <w:rPr>
          <w:sz w:val="24"/>
          <w:szCs w:val="24"/>
        </w:rPr>
        <w:t>to both the peasantry and knights as they were constantly afraid of how their actions would contribute to their chances of getting into Heaven</w:t>
      </w:r>
      <w:r w:rsidR="00952B04">
        <w:rPr>
          <w:rStyle w:val="FootnoteReference"/>
          <w:sz w:val="24"/>
          <w:szCs w:val="24"/>
        </w:rPr>
        <w:footnoteReference w:id="11"/>
      </w:r>
      <w:r w:rsidR="00C736DF">
        <w:rPr>
          <w:sz w:val="24"/>
          <w:szCs w:val="24"/>
        </w:rPr>
        <w:t>.</w:t>
      </w:r>
    </w:p>
    <w:p w14:paraId="178A1E2C" w14:textId="2F8F8A8A" w:rsidR="003620AF" w:rsidRDefault="00FB380C" w:rsidP="00756069">
      <w:pPr>
        <w:rPr>
          <w:sz w:val="24"/>
          <w:szCs w:val="24"/>
        </w:rPr>
      </w:pPr>
      <w:r>
        <w:rPr>
          <w:sz w:val="24"/>
          <w:szCs w:val="24"/>
        </w:rPr>
        <w:t>Another major motive for people going on crusade was</w:t>
      </w:r>
      <w:r w:rsidR="004223DE">
        <w:rPr>
          <w:sz w:val="24"/>
          <w:szCs w:val="24"/>
        </w:rPr>
        <w:t xml:space="preserve"> the destination of the crusade </w:t>
      </w:r>
      <w:r w:rsidR="00DA4329">
        <w:rPr>
          <w:sz w:val="24"/>
          <w:szCs w:val="24"/>
        </w:rPr>
        <w:t>itself,</w:t>
      </w:r>
      <w:r w:rsidR="004223DE">
        <w:rPr>
          <w:sz w:val="24"/>
          <w:szCs w:val="24"/>
        </w:rPr>
        <w:t xml:space="preserve"> Jerusalem</w:t>
      </w:r>
      <w:r>
        <w:rPr>
          <w:sz w:val="24"/>
          <w:szCs w:val="24"/>
        </w:rPr>
        <w:t>.</w:t>
      </w:r>
      <w:r w:rsidR="004223DE">
        <w:rPr>
          <w:sz w:val="24"/>
          <w:szCs w:val="24"/>
        </w:rPr>
        <w:t xml:space="preserve"> At that time, Jerusalem was widely viewed as the Christian heartland</w:t>
      </w:r>
      <w:r w:rsidR="00FC169C">
        <w:rPr>
          <w:sz w:val="24"/>
          <w:szCs w:val="24"/>
        </w:rPr>
        <w:t>, a holy place that many would make pilgrimages to</w:t>
      </w:r>
      <w:r w:rsidR="006D3857">
        <w:rPr>
          <w:rStyle w:val="FootnoteReference"/>
          <w:sz w:val="24"/>
          <w:szCs w:val="24"/>
        </w:rPr>
        <w:footnoteReference w:id="12"/>
      </w:r>
      <w:r w:rsidR="006D3857">
        <w:rPr>
          <w:sz w:val="24"/>
          <w:szCs w:val="24"/>
        </w:rPr>
        <w:t>. This is mostly due to the presence of the Holy Sepulchre, the tomb in which Jesus was laid to rest after his crucifixion</w:t>
      </w:r>
      <w:r w:rsidR="006D3857">
        <w:rPr>
          <w:rStyle w:val="FootnoteReference"/>
          <w:sz w:val="24"/>
          <w:szCs w:val="24"/>
        </w:rPr>
        <w:footnoteReference w:id="13"/>
      </w:r>
      <w:r w:rsidR="006D3857">
        <w:rPr>
          <w:sz w:val="24"/>
          <w:szCs w:val="24"/>
        </w:rPr>
        <w:t>. However, after Jerusalem was taken by the Seljuk Turks, pilgrims returned with stories of mistreatment</w:t>
      </w:r>
      <w:r w:rsidR="006D3857">
        <w:rPr>
          <w:rStyle w:val="FootnoteReference"/>
          <w:sz w:val="24"/>
          <w:szCs w:val="24"/>
        </w:rPr>
        <w:footnoteReference w:id="14"/>
      </w:r>
      <w:r w:rsidR="004223DE">
        <w:rPr>
          <w:sz w:val="24"/>
          <w:szCs w:val="24"/>
        </w:rPr>
        <w:t xml:space="preserve">. </w:t>
      </w:r>
      <w:r>
        <w:rPr>
          <w:sz w:val="24"/>
          <w:szCs w:val="24"/>
        </w:rPr>
        <w:t xml:space="preserve">When Pope Urban II first preached the crusade in 1095, </w:t>
      </w:r>
      <w:r w:rsidR="00ED00C8">
        <w:rPr>
          <w:sz w:val="24"/>
          <w:szCs w:val="24"/>
        </w:rPr>
        <w:t>he used the mistreatment of the Christians in Jerusalem as a major talking point</w:t>
      </w:r>
      <w:r w:rsidR="00ED00C8">
        <w:rPr>
          <w:rStyle w:val="FootnoteReference"/>
          <w:sz w:val="24"/>
          <w:szCs w:val="24"/>
        </w:rPr>
        <w:footnoteReference w:id="15"/>
      </w:r>
      <w:r w:rsidR="003A1155">
        <w:rPr>
          <w:sz w:val="24"/>
          <w:szCs w:val="24"/>
        </w:rPr>
        <w:t>. This is a clear example of a</w:t>
      </w:r>
      <w:r w:rsidR="00D03021">
        <w:rPr>
          <w:sz w:val="24"/>
          <w:szCs w:val="24"/>
        </w:rPr>
        <w:t>n idea called “othering” or “</w:t>
      </w:r>
      <w:proofErr w:type="spellStart"/>
      <w:r w:rsidR="00D03021">
        <w:rPr>
          <w:sz w:val="24"/>
          <w:szCs w:val="24"/>
        </w:rPr>
        <w:t>otherism</w:t>
      </w:r>
      <w:proofErr w:type="spellEnd"/>
      <w:r w:rsidR="00D03021">
        <w:rPr>
          <w:sz w:val="24"/>
          <w:szCs w:val="24"/>
        </w:rPr>
        <w:t>” in which a negative stigma is placed upon a specific group or groups to present them as alien, often to justify and encourage their repression</w:t>
      </w:r>
      <w:r w:rsidR="00D03021">
        <w:rPr>
          <w:rStyle w:val="FootnoteReference"/>
          <w:sz w:val="24"/>
          <w:szCs w:val="24"/>
        </w:rPr>
        <w:footnoteReference w:id="16"/>
      </w:r>
      <w:r w:rsidR="00D03021">
        <w:rPr>
          <w:sz w:val="24"/>
          <w:szCs w:val="24"/>
        </w:rPr>
        <w:t>.</w:t>
      </w:r>
      <w:r w:rsidR="00F07FB9">
        <w:rPr>
          <w:sz w:val="24"/>
          <w:szCs w:val="24"/>
        </w:rPr>
        <w:t xml:space="preserve"> Within the context of Pope Urban’s speech in 1095; he clearly used the mistreatment of the Christians in Jerusalem to solidify the Muslims as a separate group while simultaneously vilifying them to his audience</w:t>
      </w:r>
      <w:r w:rsidR="00E42683">
        <w:rPr>
          <w:rStyle w:val="FootnoteReference"/>
          <w:sz w:val="24"/>
          <w:szCs w:val="24"/>
        </w:rPr>
        <w:footnoteReference w:id="17"/>
      </w:r>
      <w:r w:rsidR="00E42683">
        <w:rPr>
          <w:sz w:val="24"/>
          <w:szCs w:val="24"/>
        </w:rPr>
        <w:t>.</w:t>
      </w:r>
      <w:r w:rsidR="004223DE">
        <w:rPr>
          <w:sz w:val="24"/>
          <w:szCs w:val="24"/>
        </w:rPr>
        <w:t xml:space="preserve"> </w:t>
      </w:r>
      <w:r w:rsidR="001C774E">
        <w:rPr>
          <w:sz w:val="24"/>
          <w:szCs w:val="24"/>
        </w:rPr>
        <w:t>T</w:t>
      </w:r>
      <w:r w:rsidR="004C59EC">
        <w:rPr>
          <w:sz w:val="24"/>
          <w:szCs w:val="24"/>
        </w:rPr>
        <w:t xml:space="preserve">he account given by Pope Urban would have given credence to the phrase ‘God wills it!’ </w:t>
      </w:r>
      <w:proofErr w:type="gramStart"/>
      <w:r w:rsidR="004C59EC">
        <w:rPr>
          <w:sz w:val="24"/>
          <w:szCs w:val="24"/>
        </w:rPr>
        <w:t>in regards to</w:t>
      </w:r>
      <w:proofErr w:type="gramEnd"/>
      <w:r w:rsidR="004C59EC">
        <w:rPr>
          <w:sz w:val="24"/>
          <w:szCs w:val="24"/>
        </w:rPr>
        <w:t xml:space="preserve"> the crusade as it would have been perceived as a liberation of the Holy Land from the “Barbaric Heathens” that had taken it.</w:t>
      </w:r>
      <w:r w:rsidR="003620AF">
        <w:rPr>
          <w:sz w:val="24"/>
          <w:szCs w:val="24"/>
        </w:rPr>
        <w:t xml:space="preserve"> </w:t>
      </w:r>
    </w:p>
    <w:p w14:paraId="30C293CB" w14:textId="7BFBDE34" w:rsidR="009C0538" w:rsidRDefault="009C0538" w:rsidP="00756069">
      <w:pPr>
        <w:rPr>
          <w:sz w:val="24"/>
          <w:szCs w:val="24"/>
        </w:rPr>
      </w:pPr>
      <w:r>
        <w:rPr>
          <w:sz w:val="24"/>
          <w:szCs w:val="24"/>
        </w:rPr>
        <w:t xml:space="preserve">Not all motives for going on crusade were religious however, with many having their own personal reasons for going to the Holy Land. Chief among these motives was the promise of monetary gain. </w:t>
      </w:r>
      <w:r w:rsidR="001112E4">
        <w:rPr>
          <w:sz w:val="24"/>
          <w:szCs w:val="24"/>
        </w:rPr>
        <w:t>Within Robert the Monk’s interpretation of Pope Urban’s speech</w:t>
      </w:r>
      <w:r>
        <w:rPr>
          <w:sz w:val="24"/>
          <w:szCs w:val="24"/>
        </w:rPr>
        <w:t xml:space="preserve"> </w:t>
      </w:r>
      <w:r w:rsidR="001112E4">
        <w:rPr>
          <w:sz w:val="24"/>
          <w:szCs w:val="24"/>
        </w:rPr>
        <w:t>it is stated that the crusaders should ‘Enter upon the road to the Holy Sepulchre; wrest that land from the wicked race, and subject it to yourselves’</w:t>
      </w:r>
      <w:r w:rsidR="001112E4">
        <w:rPr>
          <w:rStyle w:val="FootnoteReference"/>
          <w:sz w:val="24"/>
          <w:szCs w:val="24"/>
        </w:rPr>
        <w:footnoteReference w:id="18"/>
      </w:r>
      <w:r w:rsidR="007726D0">
        <w:rPr>
          <w:sz w:val="24"/>
          <w:szCs w:val="24"/>
        </w:rPr>
        <w:t>. This is a clear indication that Pope Urban wanted the crusaders to populate the territories they captured meaning that it is no coincidence that in his next statement he reminds them of the passage within the scriptures that states that Israel is a land that ‘</w:t>
      </w:r>
      <w:proofErr w:type="spellStart"/>
      <w:r w:rsidR="007726D0">
        <w:rPr>
          <w:sz w:val="24"/>
          <w:szCs w:val="24"/>
        </w:rPr>
        <w:t>floweth</w:t>
      </w:r>
      <w:proofErr w:type="spellEnd"/>
      <w:r w:rsidR="007726D0">
        <w:rPr>
          <w:sz w:val="24"/>
          <w:szCs w:val="24"/>
        </w:rPr>
        <w:t xml:space="preserve"> with milk and honey’</w:t>
      </w:r>
      <w:r w:rsidR="007726D0">
        <w:rPr>
          <w:rStyle w:val="FootnoteReference"/>
          <w:sz w:val="24"/>
          <w:szCs w:val="24"/>
        </w:rPr>
        <w:footnoteReference w:id="19"/>
      </w:r>
      <w:r w:rsidR="007726D0">
        <w:rPr>
          <w:sz w:val="24"/>
          <w:szCs w:val="24"/>
        </w:rPr>
        <w:t xml:space="preserve">. Within these statements </w:t>
      </w:r>
      <w:r w:rsidR="007726D0">
        <w:rPr>
          <w:sz w:val="24"/>
          <w:szCs w:val="24"/>
        </w:rPr>
        <w:lastRenderedPageBreak/>
        <w:t xml:space="preserve">he is appealing to the greed of the crusaders, </w:t>
      </w:r>
      <w:proofErr w:type="spellStart"/>
      <w:r w:rsidR="007726D0">
        <w:rPr>
          <w:sz w:val="24"/>
          <w:szCs w:val="24"/>
        </w:rPr>
        <w:t>a greed</w:t>
      </w:r>
      <w:proofErr w:type="spellEnd"/>
      <w:r w:rsidR="007726D0">
        <w:rPr>
          <w:sz w:val="24"/>
          <w:szCs w:val="24"/>
        </w:rPr>
        <w:t xml:space="preserve"> that he is acutely aware of </w:t>
      </w:r>
      <w:r w:rsidR="00B2269B">
        <w:rPr>
          <w:sz w:val="24"/>
          <w:szCs w:val="24"/>
        </w:rPr>
        <w:t xml:space="preserve">as he </w:t>
      </w:r>
      <w:r w:rsidR="00CC1A63">
        <w:rPr>
          <w:sz w:val="24"/>
          <w:szCs w:val="24"/>
        </w:rPr>
        <w:t>referred</w:t>
      </w:r>
      <w:r w:rsidR="00B2269B">
        <w:rPr>
          <w:sz w:val="24"/>
          <w:szCs w:val="24"/>
        </w:rPr>
        <w:t xml:space="preserve"> to it earlier in his speech;</w:t>
      </w:r>
      <w:r w:rsidR="00CC1A63">
        <w:rPr>
          <w:sz w:val="24"/>
          <w:szCs w:val="24"/>
        </w:rPr>
        <w:t xml:space="preserve"> </w:t>
      </w:r>
      <w:r w:rsidR="00294034">
        <w:rPr>
          <w:sz w:val="24"/>
          <w:szCs w:val="24"/>
        </w:rPr>
        <w:t>‘</w:t>
      </w:r>
      <w:r w:rsidR="00CC1A63" w:rsidRPr="00CC1A63">
        <w:rPr>
          <w:sz w:val="24"/>
          <w:szCs w:val="24"/>
        </w:rPr>
        <w:t>this land which you inhabit, shut in on all sides by the seas and surrounded by the mountain peaks, is too narrow for your large population; nor does it abound in wealth; and it furnishes scarcely food enough for its cultivators. Hence it is that you murder one another, that you wage war, and that frequently you perish by mutual wounds.</w:t>
      </w:r>
      <w:r w:rsidR="00294034">
        <w:rPr>
          <w:sz w:val="24"/>
          <w:szCs w:val="24"/>
        </w:rPr>
        <w:t>’</w:t>
      </w:r>
      <w:r w:rsidR="00CC1A63">
        <w:rPr>
          <w:rStyle w:val="FootnoteReference"/>
          <w:sz w:val="24"/>
          <w:szCs w:val="24"/>
        </w:rPr>
        <w:footnoteReference w:id="20"/>
      </w:r>
      <w:r w:rsidR="002A53A9">
        <w:rPr>
          <w:sz w:val="24"/>
          <w:szCs w:val="24"/>
        </w:rPr>
        <w:t xml:space="preserve">. From these statements it can be clearly extrapolated that not only was money a major factor in crusade, </w:t>
      </w:r>
      <w:proofErr w:type="gramStart"/>
      <w:r w:rsidR="002A53A9">
        <w:rPr>
          <w:sz w:val="24"/>
          <w:szCs w:val="24"/>
        </w:rPr>
        <w:t>it</w:t>
      </w:r>
      <w:proofErr w:type="gramEnd"/>
      <w:r w:rsidR="002A53A9">
        <w:rPr>
          <w:sz w:val="24"/>
          <w:szCs w:val="24"/>
        </w:rPr>
        <w:t xml:space="preserve"> was also one that was anticipated by Pope Urban when he preached it. It could also be argued that money may have been a better motivator than the will of god for those living in poverty.</w:t>
      </w:r>
    </w:p>
    <w:p w14:paraId="14A58B28" w14:textId="50387E0A" w:rsidR="005A167E" w:rsidRDefault="002A53A9" w:rsidP="00756069">
      <w:pPr>
        <w:rPr>
          <w:sz w:val="24"/>
          <w:szCs w:val="24"/>
        </w:rPr>
      </w:pPr>
      <w:r>
        <w:rPr>
          <w:sz w:val="24"/>
          <w:szCs w:val="24"/>
        </w:rPr>
        <w:t>The next non-religious motive for crusade was one that would be more associated with the upper classes; the creation of a legacy for themselves. It was no secret that many of the lords in Europe were concerned with how they were perceived both in life and beyond it</w:t>
      </w:r>
      <w:r w:rsidR="00045CC2">
        <w:rPr>
          <w:rStyle w:val="FootnoteReference"/>
          <w:sz w:val="24"/>
          <w:szCs w:val="24"/>
        </w:rPr>
        <w:footnoteReference w:id="21"/>
      </w:r>
      <w:r w:rsidR="00294034">
        <w:rPr>
          <w:sz w:val="24"/>
          <w:szCs w:val="24"/>
        </w:rPr>
        <w:t>. Their devotion to lineage and legacy was so clear to see that once again, Pope Urban may have made reference to it within his speech; ‘</w:t>
      </w:r>
      <w:r w:rsidR="00294034" w:rsidRPr="00294034">
        <w:rPr>
          <w:sz w:val="24"/>
          <w:szCs w:val="24"/>
        </w:rPr>
        <w:t>Let the deeds of your ancestors move you and incite your minds to manly achievements; the glory and greatness of king Charles the Great, and of his son Louis, and of your other kings, who have destroyed the kingdoms of the pagans, and have extended in these lands the territory of the holy church.</w:t>
      </w:r>
      <w:r w:rsidR="00294034">
        <w:rPr>
          <w:sz w:val="24"/>
          <w:szCs w:val="24"/>
        </w:rPr>
        <w:t>’</w:t>
      </w:r>
      <w:r w:rsidR="00294034">
        <w:rPr>
          <w:rStyle w:val="FootnoteReference"/>
          <w:sz w:val="24"/>
          <w:szCs w:val="24"/>
        </w:rPr>
        <w:footnoteReference w:id="22"/>
      </w:r>
      <w:r w:rsidR="00CD19BB">
        <w:rPr>
          <w:sz w:val="24"/>
          <w:szCs w:val="24"/>
        </w:rPr>
        <w:t xml:space="preserve"> This reference to ancestry would have been one that struck a chord with </w:t>
      </w:r>
      <w:r w:rsidR="005A167E">
        <w:rPr>
          <w:sz w:val="24"/>
          <w:szCs w:val="24"/>
        </w:rPr>
        <w:t>many as it both reminded them of the glorious past of their kingdom</w:t>
      </w:r>
      <w:r w:rsidR="00691357">
        <w:rPr>
          <w:sz w:val="24"/>
          <w:szCs w:val="24"/>
        </w:rPr>
        <w:t>s</w:t>
      </w:r>
      <w:r w:rsidR="005A167E">
        <w:rPr>
          <w:sz w:val="24"/>
          <w:szCs w:val="24"/>
        </w:rPr>
        <w:t xml:space="preserve"> while raising some potentially uncomfortable questions about their own legacy.</w:t>
      </w:r>
      <w:r w:rsidR="00691357">
        <w:rPr>
          <w:sz w:val="24"/>
          <w:szCs w:val="24"/>
        </w:rPr>
        <w:t xml:space="preserve"> </w:t>
      </w:r>
      <w:r w:rsidR="00F35A8F">
        <w:rPr>
          <w:sz w:val="24"/>
          <w:szCs w:val="24"/>
        </w:rPr>
        <w:t>Although this would have been a powerful motivator for going on crusade, it would have been one that was less universal than God’s will due to not many people being in the position to be concerned over legacy.</w:t>
      </w:r>
    </w:p>
    <w:p w14:paraId="7DC3D938" w14:textId="4079D888" w:rsidR="00F35A8F" w:rsidRDefault="00D1731F" w:rsidP="00756069">
      <w:pPr>
        <w:rPr>
          <w:sz w:val="24"/>
          <w:szCs w:val="24"/>
        </w:rPr>
      </w:pPr>
      <w:r>
        <w:rPr>
          <w:sz w:val="24"/>
          <w:szCs w:val="24"/>
        </w:rPr>
        <w:t>An</w:t>
      </w:r>
      <w:r w:rsidR="00C942DC">
        <w:rPr>
          <w:sz w:val="24"/>
          <w:szCs w:val="24"/>
        </w:rPr>
        <w:t>other motivation for going on crusade</w:t>
      </w:r>
      <w:r>
        <w:rPr>
          <w:sz w:val="24"/>
          <w:szCs w:val="24"/>
        </w:rPr>
        <w:t xml:space="preserve"> was the </w:t>
      </w:r>
      <w:r w:rsidR="00C942DC">
        <w:rPr>
          <w:sz w:val="24"/>
          <w:szCs w:val="24"/>
        </w:rPr>
        <w:t xml:space="preserve">promise of a better life </w:t>
      </w:r>
      <w:r w:rsidR="00045CC2">
        <w:rPr>
          <w:sz w:val="24"/>
          <w:szCs w:val="24"/>
        </w:rPr>
        <w:t>for all those that took the cross. It is unsurprising that the call for a multinational army to be raised in the name of god would provide some opportunities to improve the positions of those who accepted it</w:t>
      </w:r>
      <w:r w:rsidR="00045CC2">
        <w:rPr>
          <w:rStyle w:val="FootnoteReference"/>
          <w:sz w:val="24"/>
          <w:szCs w:val="24"/>
        </w:rPr>
        <w:footnoteReference w:id="23"/>
      </w:r>
      <w:r w:rsidR="00045CC2">
        <w:rPr>
          <w:sz w:val="24"/>
          <w:szCs w:val="24"/>
        </w:rPr>
        <w:t xml:space="preserve">. </w:t>
      </w:r>
      <w:r w:rsidR="00110B5E">
        <w:rPr>
          <w:sz w:val="24"/>
          <w:szCs w:val="24"/>
        </w:rPr>
        <w:t>For lords and those in the upper echelons of society it was an opportunity to improve their popularity and influence through fighting for a cause that would have been perceived as far more noble than the territorial disputes they would so often find themselves in</w:t>
      </w:r>
      <w:r w:rsidR="00110B5E">
        <w:rPr>
          <w:rStyle w:val="FootnoteReference"/>
          <w:sz w:val="24"/>
          <w:szCs w:val="24"/>
        </w:rPr>
        <w:footnoteReference w:id="24"/>
      </w:r>
      <w:r w:rsidR="00110B5E">
        <w:rPr>
          <w:sz w:val="24"/>
          <w:szCs w:val="24"/>
        </w:rPr>
        <w:t>.</w:t>
      </w:r>
      <w:r w:rsidR="00C942DC">
        <w:rPr>
          <w:sz w:val="24"/>
          <w:szCs w:val="24"/>
        </w:rPr>
        <w:t xml:space="preserve"> For Serfs it was an opportunity for them to escape their life of servitude, to take their family and start a new life in this “land of milk and honey”</w:t>
      </w:r>
      <w:r w:rsidR="00C942DC">
        <w:rPr>
          <w:rStyle w:val="FootnoteReference"/>
          <w:sz w:val="24"/>
          <w:szCs w:val="24"/>
        </w:rPr>
        <w:footnoteReference w:id="25"/>
      </w:r>
      <w:r w:rsidR="00C942DC">
        <w:rPr>
          <w:sz w:val="24"/>
          <w:szCs w:val="24"/>
        </w:rPr>
        <w:t xml:space="preserve">. For monks it was a </w:t>
      </w:r>
      <w:r w:rsidR="00C942DC">
        <w:rPr>
          <w:sz w:val="24"/>
          <w:szCs w:val="24"/>
        </w:rPr>
        <w:lastRenderedPageBreak/>
        <w:t>reprieve from the discipline of the covenant</w:t>
      </w:r>
      <w:r w:rsidR="00C942DC">
        <w:rPr>
          <w:rStyle w:val="FootnoteReference"/>
          <w:sz w:val="24"/>
          <w:szCs w:val="24"/>
        </w:rPr>
        <w:footnoteReference w:id="26"/>
      </w:r>
      <w:r w:rsidR="00C942DC">
        <w:rPr>
          <w:sz w:val="24"/>
          <w:szCs w:val="24"/>
        </w:rPr>
        <w:t>. Regardless of if these hopes came to pass, it would have been a powerful motivator</w:t>
      </w:r>
      <w:r w:rsidR="00D9012D">
        <w:rPr>
          <w:sz w:val="24"/>
          <w:szCs w:val="24"/>
        </w:rPr>
        <w:t>, and one that could have been more appealing than God’s will for some.</w:t>
      </w:r>
    </w:p>
    <w:p w14:paraId="324E5AE0" w14:textId="18BA9387" w:rsidR="00E65DB3" w:rsidRDefault="00D9012D" w:rsidP="00756069">
      <w:pPr>
        <w:rPr>
          <w:sz w:val="24"/>
          <w:szCs w:val="24"/>
        </w:rPr>
      </w:pPr>
      <w:r>
        <w:rPr>
          <w:sz w:val="24"/>
          <w:szCs w:val="24"/>
        </w:rPr>
        <w:t xml:space="preserve">To conclude, the phrase ‘God wills it!’ was a strong motive for going on crusade. </w:t>
      </w:r>
      <w:r w:rsidR="007A0F86">
        <w:rPr>
          <w:sz w:val="24"/>
          <w:szCs w:val="24"/>
        </w:rPr>
        <w:t xml:space="preserve">Many of the crusaders </w:t>
      </w:r>
      <w:r>
        <w:rPr>
          <w:sz w:val="24"/>
          <w:szCs w:val="24"/>
        </w:rPr>
        <w:t>chanted at the end of Pope Urban’s speech in 1095</w:t>
      </w:r>
      <w:r w:rsidR="007A0F86">
        <w:rPr>
          <w:sz w:val="24"/>
          <w:szCs w:val="24"/>
        </w:rPr>
        <w:t xml:space="preserve"> to show their support for it</w:t>
      </w:r>
      <w:r w:rsidR="006D6C4D">
        <w:rPr>
          <w:rStyle w:val="FootnoteReference"/>
          <w:sz w:val="24"/>
          <w:szCs w:val="24"/>
        </w:rPr>
        <w:footnoteReference w:id="27"/>
      </w:r>
      <w:r w:rsidR="007A0F86">
        <w:rPr>
          <w:sz w:val="24"/>
          <w:szCs w:val="24"/>
        </w:rPr>
        <w:t>, and it became a staple of religious propaganda surrounding the crusades</w:t>
      </w:r>
      <w:r w:rsidR="00F82958">
        <w:rPr>
          <w:sz w:val="24"/>
          <w:szCs w:val="24"/>
        </w:rPr>
        <w:t xml:space="preserve">. However, the motives of the crusaders run far deeper than that phrase. For </w:t>
      </w:r>
      <w:r w:rsidR="002845D2">
        <w:rPr>
          <w:sz w:val="24"/>
          <w:szCs w:val="24"/>
        </w:rPr>
        <w:t>the upper classes such as the lords of the various European kingdoms</w:t>
      </w:r>
      <w:r w:rsidR="00F82958">
        <w:rPr>
          <w:sz w:val="24"/>
          <w:szCs w:val="24"/>
        </w:rPr>
        <w:t xml:space="preserve"> it was a means to gain fortune, </w:t>
      </w:r>
      <w:proofErr w:type="gramStart"/>
      <w:r w:rsidR="00F82958">
        <w:rPr>
          <w:sz w:val="24"/>
          <w:szCs w:val="24"/>
        </w:rPr>
        <w:t>fame</w:t>
      </w:r>
      <w:proofErr w:type="gramEnd"/>
      <w:r w:rsidR="00F82958">
        <w:rPr>
          <w:sz w:val="24"/>
          <w:szCs w:val="24"/>
        </w:rPr>
        <w:t xml:space="preserve"> and influence</w:t>
      </w:r>
      <w:r w:rsidR="002845D2">
        <w:rPr>
          <w:sz w:val="24"/>
          <w:szCs w:val="24"/>
        </w:rPr>
        <w:t xml:space="preserve"> over new lands</w:t>
      </w:r>
      <w:r w:rsidR="00F82958">
        <w:rPr>
          <w:sz w:val="24"/>
          <w:szCs w:val="24"/>
        </w:rPr>
        <w:t xml:space="preserve">. For </w:t>
      </w:r>
      <w:r w:rsidR="002845D2">
        <w:rPr>
          <w:sz w:val="24"/>
          <w:szCs w:val="24"/>
        </w:rPr>
        <w:t>the Peasants and serfs that lived under their rule</w:t>
      </w:r>
      <w:r w:rsidR="00F82958">
        <w:rPr>
          <w:sz w:val="24"/>
          <w:szCs w:val="24"/>
        </w:rPr>
        <w:t xml:space="preserve"> it was an opportunity for</w:t>
      </w:r>
      <w:r w:rsidR="002845D2">
        <w:rPr>
          <w:sz w:val="24"/>
          <w:szCs w:val="24"/>
        </w:rPr>
        <w:t xml:space="preserve"> them to escape their lives of struggle and servitude and take their families to the “land of milk and honey” that had been promised to them by the Pope</w:t>
      </w:r>
      <w:r w:rsidR="00F82958">
        <w:rPr>
          <w:sz w:val="24"/>
          <w:szCs w:val="24"/>
        </w:rPr>
        <w:t>. Even the knights, who were the most likely to go on crusade on the virtue of God’s will alone, had other motives such as the remission of sin</w:t>
      </w:r>
      <w:r w:rsidR="002845D2">
        <w:rPr>
          <w:sz w:val="24"/>
          <w:szCs w:val="24"/>
        </w:rPr>
        <w:t xml:space="preserve">, something they would have coveted through fears that not </w:t>
      </w:r>
      <w:proofErr w:type="gramStart"/>
      <w:r w:rsidR="002845D2">
        <w:rPr>
          <w:sz w:val="24"/>
          <w:szCs w:val="24"/>
        </w:rPr>
        <w:t>all of</w:t>
      </w:r>
      <w:proofErr w:type="gramEnd"/>
      <w:r w:rsidR="002845D2">
        <w:rPr>
          <w:sz w:val="24"/>
          <w:szCs w:val="24"/>
        </w:rPr>
        <w:t xml:space="preserve"> their actions were virtuous in the eyes of God,</w:t>
      </w:r>
      <w:r w:rsidR="00F82958">
        <w:rPr>
          <w:sz w:val="24"/>
          <w:szCs w:val="24"/>
        </w:rPr>
        <w:t xml:space="preserve"> and the protection of Christian sites from the “infidels”</w:t>
      </w:r>
      <w:r w:rsidR="002845D2">
        <w:rPr>
          <w:sz w:val="24"/>
          <w:szCs w:val="24"/>
        </w:rPr>
        <w:t xml:space="preserve"> that had, in their eyes, invaded and desecrated them</w:t>
      </w:r>
      <w:r w:rsidR="00F82958">
        <w:rPr>
          <w:rStyle w:val="FootnoteReference"/>
          <w:sz w:val="24"/>
          <w:szCs w:val="24"/>
        </w:rPr>
        <w:footnoteReference w:id="28"/>
      </w:r>
      <w:r w:rsidR="00B541E0">
        <w:rPr>
          <w:sz w:val="24"/>
          <w:szCs w:val="24"/>
        </w:rPr>
        <w:t>. On top of this, Pope Urban himself had multiple motives for preaching the crusade; He wa</w:t>
      </w:r>
      <w:r w:rsidR="00822B76">
        <w:rPr>
          <w:sz w:val="24"/>
          <w:szCs w:val="24"/>
        </w:rPr>
        <w:t xml:space="preserve">nted to lead a combined western army to consolidate the position of the papacy in Rome, a position that had been threatened by various Holy Roman </w:t>
      </w:r>
      <w:r w:rsidR="002C56F9">
        <w:rPr>
          <w:sz w:val="24"/>
          <w:szCs w:val="24"/>
        </w:rPr>
        <w:t>Emperors in the centuries prior</w:t>
      </w:r>
      <w:r w:rsidR="00B541E0">
        <w:rPr>
          <w:rStyle w:val="FootnoteReference"/>
          <w:sz w:val="24"/>
          <w:szCs w:val="24"/>
        </w:rPr>
        <w:footnoteReference w:id="29"/>
      </w:r>
      <w:r w:rsidR="002C56F9">
        <w:rPr>
          <w:sz w:val="24"/>
          <w:szCs w:val="24"/>
        </w:rPr>
        <w:t>. He also wanted to unite the western and eastern Christian faiths with him at its head</w:t>
      </w:r>
      <w:r w:rsidR="002C56F9">
        <w:rPr>
          <w:rStyle w:val="FootnoteReference"/>
          <w:sz w:val="24"/>
          <w:szCs w:val="24"/>
        </w:rPr>
        <w:footnoteReference w:id="30"/>
      </w:r>
      <w:r w:rsidR="002C56F9">
        <w:rPr>
          <w:sz w:val="24"/>
          <w:szCs w:val="24"/>
        </w:rPr>
        <w:t xml:space="preserve"> and hoped that the crusade would bring about the climate necessary to do so.</w:t>
      </w:r>
      <w:r w:rsidR="006B0603">
        <w:rPr>
          <w:sz w:val="24"/>
          <w:szCs w:val="24"/>
        </w:rPr>
        <w:t xml:space="preserve"> </w:t>
      </w:r>
      <w:r w:rsidR="002845D2">
        <w:rPr>
          <w:sz w:val="24"/>
          <w:szCs w:val="24"/>
        </w:rPr>
        <w:t xml:space="preserve">In truth, it would be impossible to list </w:t>
      </w:r>
      <w:proofErr w:type="gramStart"/>
      <w:r w:rsidR="002845D2">
        <w:rPr>
          <w:sz w:val="24"/>
          <w:szCs w:val="24"/>
        </w:rPr>
        <w:t>all of</w:t>
      </w:r>
      <w:proofErr w:type="gramEnd"/>
      <w:r w:rsidR="002845D2">
        <w:rPr>
          <w:sz w:val="24"/>
          <w:szCs w:val="24"/>
        </w:rPr>
        <w:t xml:space="preserve"> the individual </w:t>
      </w:r>
      <w:r w:rsidR="008464A7">
        <w:rPr>
          <w:sz w:val="24"/>
          <w:szCs w:val="24"/>
        </w:rPr>
        <w:t xml:space="preserve">motivations to go on crusade, as most if not all of the people that took up the cross would have their own desired outcome, weather religious or otherwise. </w:t>
      </w:r>
      <w:proofErr w:type="gramStart"/>
      <w:r w:rsidR="008464A7">
        <w:rPr>
          <w:sz w:val="24"/>
          <w:szCs w:val="24"/>
        </w:rPr>
        <w:t>However</w:t>
      </w:r>
      <w:proofErr w:type="gramEnd"/>
      <w:r w:rsidR="008464A7">
        <w:rPr>
          <w:sz w:val="24"/>
          <w:szCs w:val="24"/>
        </w:rPr>
        <w:t xml:space="preserve"> the phrase ‘God will’s it’ undoubtedly provided a sense of unity that roused both lords and peasants alike to take up the cross and go on crusade.</w:t>
      </w:r>
    </w:p>
    <w:p w14:paraId="0B5B89B5" w14:textId="4BF8E37F" w:rsidR="00FD3D4C" w:rsidRDefault="00FD3D4C" w:rsidP="00756069">
      <w:pPr>
        <w:rPr>
          <w:sz w:val="24"/>
          <w:szCs w:val="24"/>
        </w:rPr>
      </w:pPr>
    </w:p>
    <w:p w14:paraId="263C6F75" w14:textId="778C99B1" w:rsidR="002C56F9" w:rsidRDefault="002C56F9" w:rsidP="00756069">
      <w:pPr>
        <w:rPr>
          <w:sz w:val="24"/>
          <w:szCs w:val="24"/>
        </w:rPr>
      </w:pPr>
    </w:p>
    <w:sdt>
      <w:sdtPr>
        <w:id w:val="-141006304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A92CDAA" w14:textId="4BDCC2D0" w:rsidR="002C56F9" w:rsidRDefault="002C56F9">
          <w:pPr>
            <w:pStyle w:val="Heading1"/>
          </w:pPr>
          <w:r>
            <w:t>Bibliography</w:t>
          </w:r>
        </w:p>
        <w:sdt>
          <w:sdtPr>
            <w:id w:val="111145805"/>
            <w:showingPlcHdr/>
            <w:bibliography/>
          </w:sdtPr>
          <w:sdtContent>
            <w:p w14:paraId="0BE17383" w14:textId="77777777" w:rsidR="002C56F9" w:rsidRDefault="002C56F9">
              <w:r>
                <w:t xml:space="preserve">     </w:t>
              </w:r>
            </w:p>
          </w:sdtContent>
        </w:sdt>
      </w:sdtContent>
    </w:sdt>
    <w:p w14:paraId="4B28384F" w14:textId="0944BE5C" w:rsidR="002C56F9" w:rsidRDefault="002C56F9">
      <w:r w:rsidRPr="002C56F9">
        <w:t xml:space="preserve">Annales </w:t>
      </w:r>
      <w:proofErr w:type="spellStart"/>
      <w:r w:rsidRPr="002C56F9">
        <w:t>Altahenses</w:t>
      </w:r>
      <w:proofErr w:type="spellEnd"/>
      <w:r w:rsidRPr="002C56F9">
        <w:t xml:space="preserve"> </w:t>
      </w:r>
      <w:proofErr w:type="spellStart"/>
      <w:r w:rsidRPr="002C56F9">
        <w:t>Maiores</w:t>
      </w:r>
      <w:proofErr w:type="spellEnd"/>
      <w:r w:rsidRPr="002C56F9">
        <w:t>, 8, a. 1065, MGH, SS. XX. 815-17, trans. James Brundage, </w:t>
      </w:r>
      <w:r w:rsidRPr="002C56F9">
        <w:rPr>
          <w:i/>
          <w:iCs/>
        </w:rPr>
        <w:t>The Crusades: A Documentary History</w:t>
      </w:r>
      <w:r w:rsidRPr="002C56F9">
        <w:t>, (Milwaukee, WI: Marquette University Press, 1962)</w:t>
      </w:r>
    </w:p>
    <w:p w14:paraId="2CE8D2BE" w14:textId="3655A3C5" w:rsidR="002C56F9" w:rsidRDefault="002C56F9">
      <w:r w:rsidRPr="002C56F9">
        <w:lastRenderedPageBreak/>
        <w:t xml:space="preserve"> </w:t>
      </w:r>
      <w:proofErr w:type="spellStart"/>
      <w:r w:rsidRPr="00ED00C8">
        <w:t>Bongars</w:t>
      </w:r>
      <w:proofErr w:type="spellEnd"/>
      <w:r w:rsidRPr="00ED00C8">
        <w:t>, </w:t>
      </w:r>
      <w:proofErr w:type="spellStart"/>
      <w:r w:rsidRPr="00ED00C8">
        <w:rPr>
          <w:i/>
          <w:iCs/>
        </w:rPr>
        <w:t>Gesta</w:t>
      </w:r>
      <w:proofErr w:type="spellEnd"/>
      <w:r w:rsidRPr="00ED00C8">
        <w:rPr>
          <w:i/>
          <w:iCs/>
        </w:rPr>
        <w:t xml:space="preserve"> Dei per </w:t>
      </w:r>
      <w:proofErr w:type="spellStart"/>
      <w:r w:rsidRPr="00ED00C8">
        <w:rPr>
          <w:i/>
          <w:iCs/>
        </w:rPr>
        <w:t>Francos</w:t>
      </w:r>
      <w:proofErr w:type="spellEnd"/>
      <w:r w:rsidRPr="00ED00C8">
        <w:t>, 1, pp. 382 f., trans in Oliver J. Thatcher, and Edgar Holmes McNeal, eds., </w:t>
      </w:r>
      <w:r w:rsidRPr="00ED00C8">
        <w:rPr>
          <w:i/>
          <w:iCs/>
        </w:rPr>
        <w:t>A Source Book for Medieval History</w:t>
      </w:r>
      <w:r w:rsidRPr="00ED00C8">
        <w:t xml:space="preserve">, (New York: </w:t>
      </w:r>
      <w:proofErr w:type="spellStart"/>
      <w:r w:rsidRPr="00ED00C8">
        <w:t>Scribners</w:t>
      </w:r>
      <w:proofErr w:type="spellEnd"/>
      <w:r w:rsidRPr="00ED00C8">
        <w:t>, 1905), 513-17</w:t>
      </w:r>
    </w:p>
    <w:p w14:paraId="176A7F0D" w14:textId="3B8D98AD" w:rsidR="002C56F9" w:rsidRDefault="002C56F9" w:rsidP="002C56F9">
      <w:pPr>
        <w:rPr>
          <w:lang w:val="en-US"/>
        </w:rPr>
      </w:pPr>
      <w:r w:rsidRPr="002C56F9">
        <w:rPr>
          <w:lang w:val="en-US"/>
        </w:rPr>
        <w:t>Cartwright,</w:t>
      </w:r>
      <w:r>
        <w:rPr>
          <w:lang w:val="en-US"/>
        </w:rPr>
        <w:t xml:space="preserve"> Mark,</w:t>
      </w:r>
      <w:r w:rsidRPr="002C56F9">
        <w:rPr>
          <w:lang w:val="en-US"/>
        </w:rPr>
        <w:t xml:space="preserve"> ‘The Crusades: Causes and Goals’, </w:t>
      </w:r>
      <w:r w:rsidRPr="002C56F9">
        <w:rPr>
          <w:i/>
          <w:iCs/>
          <w:lang w:val="en-US"/>
        </w:rPr>
        <w:t>World History Encyclopedia</w:t>
      </w:r>
      <w:r w:rsidRPr="002C56F9">
        <w:rPr>
          <w:lang w:val="en-US"/>
        </w:rPr>
        <w:t xml:space="preserve">, 2018, </w:t>
      </w:r>
      <w:hyperlink r:id="rId7" w:history="1">
        <w:r w:rsidRPr="002C56F9">
          <w:rPr>
            <w:rStyle w:val="Hyperlink"/>
            <w:lang w:val="en-US"/>
          </w:rPr>
          <w:t>https://www.ancient.eu/article/1249/the-crusades-causes--goals/</w:t>
        </w:r>
      </w:hyperlink>
      <w:r w:rsidRPr="002C56F9">
        <w:rPr>
          <w:lang w:val="en-US"/>
        </w:rPr>
        <w:t>, [last accessed 5 March 2021]</w:t>
      </w:r>
    </w:p>
    <w:p w14:paraId="42270A87" w14:textId="7EC99139" w:rsidR="002C56F9" w:rsidRDefault="002C56F9" w:rsidP="002C56F9">
      <w:r>
        <w:t>Cherry</w:t>
      </w:r>
      <w:r>
        <w:t>,</w:t>
      </w:r>
      <w:r w:rsidRPr="002C56F9">
        <w:t xml:space="preserve"> </w:t>
      </w:r>
      <w:r w:rsidRPr="002C56F9">
        <w:t>Kendra</w:t>
      </w:r>
      <w:r>
        <w:t xml:space="preserve">, ‘What is Othering’, </w:t>
      </w:r>
      <w:proofErr w:type="spellStart"/>
      <w:r>
        <w:rPr>
          <w:i/>
          <w:iCs/>
        </w:rPr>
        <w:t>Verywell</w:t>
      </w:r>
      <w:proofErr w:type="spellEnd"/>
      <w:r>
        <w:rPr>
          <w:i/>
          <w:iCs/>
        </w:rPr>
        <w:t xml:space="preserve"> mind, </w:t>
      </w:r>
      <w:r>
        <w:t xml:space="preserve">2020, </w:t>
      </w:r>
      <w:hyperlink r:id="rId8" w:history="1">
        <w:r w:rsidRPr="00214E7F">
          <w:rPr>
            <w:rStyle w:val="Hyperlink"/>
          </w:rPr>
          <w:t>https://www.verywellmind.com/what-is-othering-5084425</w:t>
        </w:r>
      </w:hyperlink>
      <w:r>
        <w:t>, [accessed 26</w:t>
      </w:r>
      <w:r w:rsidRPr="00D03021">
        <w:rPr>
          <w:vertAlign w:val="superscript"/>
        </w:rPr>
        <w:t>th</w:t>
      </w:r>
      <w:r>
        <w:t xml:space="preserve"> February 2021]</w:t>
      </w:r>
    </w:p>
    <w:p w14:paraId="15D53717" w14:textId="353D7C2D" w:rsidR="006B0603" w:rsidRDefault="006B0603" w:rsidP="002C56F9">
      <w:pPr>
        <w:rPr>
          <w:lang w:val="en-US"/>
        </w:rPr>
      </w:pPr>
      <w:r w:rsidRPr="006B0603">
        <w:rPr>
          <w:lang w:val="en-US"/>
        </w:rPr>
        <w:t>Gibbon</w:t>
      </w:r>
      <w:r>
        <w:rPr>
          <w:lang w:val="en-US"/>
        </w:rPr>
        <w:t xml:space="preserve">, </w:t>
      </w:r>
      <w:r w:rsidRPr="006B0603">
        <w:rPr>
          <w:lang w:val="en-US"/>
        </w:rPr>
        <w:t xml:space="preserve">Edward, ‘Motives of the Crusaders’, in </w:t>
      </w:r>
      <w:r w:rsidRPr="006B0603">
        <w:rPr>
          <w:i/>
          <w:iCs/>
          <w:lang w:val="en-US"/>
        </w:rPr>
        <w:t xml:space="preserve">The Crusades: Motives and Achievements, </w:t>
      </w:r>
      <w:r w:rsidRPr="006B0603">
        <w:rPr>
          <w:lang w:val="en-US"/>
        </w:rPr>
        <w:t>ed. by James A. Brundage (USA: D. C. Heath and Company, 1964), p.4-6 (p.5)</w:t>
      </w:r>
    </w:p>
    <w:p w14:paraId="12D19069" w14:textId="40CF81E4" w:rsidR="006B0603" w:rsidRDefault="006B0603" w:rsidP="002C56F9">
      <w:r w:rsidRPr="006B0603">
        <w:t>Munro</w:t>
      </w:r>
      <w:r>
        <w:t xml:space="preserve">, </w:t>
      </w:r>
      <w:r w:rsidRPr="006B0603">
        <w:t>Dana C., "Urban and the Crusaders", Translations and Reprints from the Original Sources of European History, Vol 1:2, (Philadelphia: University of Pennsylvania, 1895), 5-8</w:t>
      </w:r>
    </w:p>
    <w:p w14:paraId="73B6E38A" w14:textId="65B68A9B" w:rsidR="006B0603" w:rsidRDefault="006B0603" w:rsidP="002C56F9">
      <w:proofErr w:type="spellStart"/>
      <w:r w:rsidRPr="006B0603">
        <w:t>Portnykh</w:t>
      </w:r>
      <w:proofErr w:type="spellEnd"/>
      <w:r>
        <w:t>,</w:t>
      </w:r>
      <w:r w:rsidRPr="006B0603">
        <w:t xml:space="preserve"> </w:t>
      </w:r>
      <w:r w:rsidRPr="006B0603">
        <w:t xml:space="preserve">Valentin, ‘God wills it! Supplementary divine purposes according to crusade propaganda’, </w:t>
      </w:r>
      <w:r w:rsidRPr="006B0603">
        <w:rPr>
          <w:i/>
          <w:iCs/>
        </w:rPr>
        <w:t xml:space="preserve">Journal of Ecclesiastical History, </w:t>
      </w:r>
      <w:r w:rsidRPr="006B0603">
        <w:t>Vol.70. No.3 (2019), p. 472-486 (p.473)</w:t>
      </w:r>
    </w:p>
    <w:p w14:paraId="00BF2A89" w14:textId="77777777" w:rsidR="006B0603" w:rsidRDefault="006B0603" w:rsidP="002C56F9"/>
    <w:p w14:paraId="63FD59BE" w14:textId="77777777" w:rsidR="002C56F9" w:rsidRPr="002C56F9" w:rsidRDefault="002C56F9" w:rsidP="002C56F9">
      <w:pPr>
        <w:rPr>
          <w:lang w:val="en-US"/>
        </w:rPr>
      </w:pPr>
    </w:p>
    <w:p w14:paraId="0E788FF7" w14:textId="77777777" w:rsidR="002C56F9" w:rsidRDefault="002C56F9"/>
    <w:p w14:paraId="55A1467C" w14:textId="77777777" w:rsidR="002C56F9" w:rsidRDefault="002C56F9"/>
    <w:p w14:paraId="67F1125C" w14:textId="406D423C" w:rsidR="002C56F9" w:rsidRPr="00756069" w:rsidRDefault="002C56F9" w:rsidP="00756069">
      <w:pPr>
        <w:rPr>
          <w:sz w:val="24"/>
          <w:szCs w:val="24"/>
        </w:rPr>
      </w:pPr>
    </w:p>
    <w:sectPr w:rsidR="002C56F9" w:rsidRPr="007560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E5CF53" w14:textId="77777777" w:rsidR="001C332E" w:rsidRDefault="001C332E" w:rsidP="002A2549">
      <w:pPr>
        <w:spacing w:after="0" w:line="240" w:lineRule="auto"/>
      </w:pPr>
      <w:r>
        <w:separator/>
      </w:r>
    </w:p>
  </w:endnote>
  <w:endnote w:type="continuationSeparator" w:id="0">
    <w:p w14:paraId="568B7F21" w14:textId="77777777" w:rsidR="001C332E" w:rsidRDefault="001C332E" w:rsidP="002A2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0149DE" w14:textId="77777777" w:rsidR="001C332E" w:rsidRDefault="001C332E" w:rsidP="002A2549">
      <w:pPr>
        <w:spacing w:after="0" w:line="240" w:lineRule="auto"/>
      </w:pPr>
      <w:r>
        <w:separator/>
      </w:r>
    </w:p>
  </w:footnote>
  <w:footnote w:type="continuationSeparator" w:id="0">
    <w:p w14:paraId="49251C23" w14:textId="77777777" w:rsidR="001C332E" w:rsidRDefault="001C332E" w:rsidP="002A2549">
      <w:pPr>
        <w:spacing w:after="0" w:line="240" w:lineRule="auto"/>
      </w:pPr>
      <w:r>
        <w:continuationSeparator/>
      </w:r>
    </w:p>
  </w:footnote>
  <w:footnote w:id="1">
    <w:p w14:paraId="061D2AD1" w14:textId="04A5E17E" w:rsidR="002A2549" w:rsidRPr="008F04A3" w:rsidRDefault="002A2549">
      <w:pPr>
        <w:pStyle w:val="FootnoteText"/>
        <w:rPr>
          <w:lang w:val="en-US"/>
        </w:rPr>
      </w:pPr>
      <w:r>
        <w:rPr>
          <w:rStyle w:val="FootnoteReference"/>
        </w:rPr>
        <w:footnoteRef/>
      </w:r>
      <w:r>
        <w:t xml:space="preserve"> </w:t>
      </w:r>
      <w:bookmarkStart w:id="0" w:name="_Hlk64716248"/>
      <w:r>
        <w:rPr>
          <w:lang w:val="en-US"/>
        </w:rPr>
        <w:t>Edward Gibbon, ‘Motives of the Crusaders</w:t>
      </w:r>
      <w:r w:rsidR="008F04A3">
        <w:rPr>
          <w:lang w:val="en-US"/>
        </w:rPr>
        <w:t xml:space="preserve">’, in </w:t>
      </w:r>
      <w:r w:rsidR="008F04A3">
        <w:rPr>
          <w:i/>
          <w:iCs/>
          <w:lang w:val="en-US"/>
        </w:rPr>
        <w:t xml:space="preserve">The Crusades: Motives and Achievements, </w:t>
      </w:r>
      <w:r w:rsidR="008F04A3">
        <w:rPr>
          <w:lang w:val="en-US"/>
        </w:rPr>
        <w:t>ed. by James A. Brundage</w:t>
      </w:r>
      <w:r w:rsidR="00821A29">
        <w:rPr>
          <w:lang w:val="en-US"/>
        </w:rPr>
        <w:t xml:space="preserve"> (USA: D. C. Heath and Company, 1964), p.4-6 (p.4)</w:t>
      </w:r>
      <w:bookmarkEnd w:id="0"/>
    </w:p>
  </w:footnote>
  <w:footnote w:id="2">
    <w:p w14:paraId="2F3081F8" w14:textId="0D8B3CD9" w:rsidR="00821A29" w:rsidRPr="00821A29" w:rsidRDefault="00821A29">
      <w:pPr>
        <w:pStyle w:val="FootnoteText"/>
        <w:rPr>
          <w:lang w:val="en-US"/>
        </w:rPr>
      </w:pPr>
      <w:r>
        <w:rPr>
          <w:rStyle w:val="FootnoteReference"/>
        </w:rPr>
        <w:footnoteRef/>
      </w:r>
      <w:r>
        <w:t xml:space="preserve"> </w:t>
      </w:r>
      <w:bookmarkStart w:id="1" w:name="_Hlk65856683"/>
      <w:r w:rsidRPr="00821A29">
        <w:rPr>
          <w:lang w:val="en-US"/>
        </w:rPr>
        <w:t xml:space="preserve">Edward Gibbon, ‘Motives of the Crusaders’, in </w:t>
      </w:r>
      <w:r w:rsidRPr="00821A29">
        <w:rPr>
          <w:i/>
          <w:iCs/>
          <w:lang w:val="en-US"/>
        </w:rPr>
        <w:t xml:space="preserve">The Crusades: Motives and Achievements, </w:t>
      </w:r>
      <w:r w:rsidRPr="00821A29">
        <w:rPr>
          <w:lang w:val="en-US"/>
        </w:rPr>
        <w:t>ed. by James A. Brundage (USA: D. C. Heath and Company, 1964), p.4-6 (p.</w:t>
      </w:r>
      <w:r>
        <w:rPr>
          <w:lang w:val="en-US"/>
        </w:rPr>
        <w:t>5</w:t>
      </w:r>
      <w:r w:rsidRPr="00821A29">
        <w:rPr>
          <w:lang w:val="en-US"/>
        </w:rPr>
        <w:t>)</w:t>
      </w:r>
      <w:bookmarkEnd w:id="1"/>
    </w:p>
  </w:footnote>
  <w:footnote w:id="3">
    <w:p w14:paraId="2D56C656" w14:textId="1794AE11" w:rsidR="0086238D" w:rsidRPr="0086238D" w:rsidRDefault="0086238D">
      <w:pPr>
        <w:pStyle w:val="FootnoteText"/>
        <w:rPr>
          <w:lang w:val="en-US"/>
        </w:rPr>
      </w:pPr>
      <w:r>
        <w:rPr>
          <w:rStyle w:val="FootnoteReference"/>
        </w:rPr>
        <w:footnoteRef/>
      </w:r>
      <w:r>
        <w:t xml:space="preserve"> </w:t>
      </w:r>
      <w:r w:rsidRPr="0086238D">
        <w:rPr>
          <w:lang w:val="en-US"/>
        </w:rPr>
        <w:t xml:space="preserve">Edward Gibbon, ‘Motives of the Crusaders’, in </w:t>
      </w:r>
      <w:r w:rsidRPr="0086238D">
        <w:rPr>
          <w:i/>
          <w:iCs/>
          <w:lang w:val="en-US"/>
        </w:rPr>
        <w:t xml:space="preserve">The Crusades: Motives and Achievements, </w:t>
      </w:r>
      <w:r w:rsidRPr="0086238D">
        <w:rPr>
          <w:lang w:val="en-US"/>
        </w:rPr>
        <w:t>ed. by James A. Brundage (USA: D. C. Heath and Company, 1964), p.4-6 (p.</w:t>
      </w:r>
      <w:r>
        <w:rPr>
          <w:lang w:val="en-US"/>
        </w:rPr>
        <w:t>5</w:t>
      </w:r>
      <w:r w:rsidRPr="0086238D">
        <w:rPr>
          <w:lang w:val="en-US"/>
        </w:rPr>
        <w:t>)</w:t>
      </w:r>
    </w:p>
  </w:footnote>
  <w:footnote w:id="4">
    <w:p w14:paraId="05235C89" w14:textId="79FC7E68" w:rsidR="00E80036" w:rsidRPr="008108BF" w:rsidRDefault="00E80036">
      <w:pPr>
        <w:pStyle w:val="FootnoteText"/>
      </w:pPr>
      <w:r>
        <w:rPr>
          <w:rStyle w:val="FootnoteReference"/>
        </w:rPr>
        <w:footnoteRef/>
      </w:r>
      <w:r>
        <w:t xml:space="preserve"> </w:t>
      </w:r>
      <w:bookmarkStart w:id="2" w:name="_Hlk65238629"/>
      <w:proofErr w:type="spellStart"/>
      <w:r w:rsidR="008108BF" w:rsidRPr="008108BF">
        <w:t>Bongars</w:t>
      </w:r>
      <w:proofErr w:type="spellEnd"/>
      <w:r w:rsidR="008108BF" w:rsidRPr="008108BF">
        <w:t>, </w:t>
      </w:r>
      <w:proofErr w:type="spellStart"/>
      <w:r w:rsidR="008108BF" w:rsidRPr="008108BF">
        <w:rPr>
          <w:i/>
          <w:iCs/>
        </w:rPr>
        <w:t>Gesta</w:t>
      </w:r>
      <w:proofErr w:type="spellEnd"/>
      <w:r w:rsidR="008108BF" w:rsidRPr="008108BF">
        <w:rPr>
          <w:i/>
          <w:iCs/>
        </w:rPr>
        <w:t xml:space="preserve"> Dei per </w:t>
      </w:r>
      <w:proofErr w:type="spellStart"/>
      <w:r w:rsidR="008108BF" w:rsidRPr="008108BF">
        <w:rPr>
          <w:i/>
          <w:iCs/>
        </w:rPr>
        <w:t>Francos</w:t>
      </w:r>
      <w:proofErr w:type="spellEnd"/>
      <w:r w:rsidR="008108BF" w:rsidRPr="008108BF">
        <w:t>, 1, pp. 382 f., trans in Oliver J. Thatcher, and Edgar Holmes McNeal, eds., </w:t>
      </w:r>
      <w:r w:rsidR="008108BF" w:rsidRPr="008108BF">
        <w:rPr>
          <w:i/>
          <w:iCs/>
        </w:rPr>
        <w:t>A Source Book for Medieval History</w:t>
      </w:r>
      <w:r w:rsidR="008108BF" w:rsidRPr="008108BF">
        <w:t xml:space="preserve">, (New York: </w:t>
      </w:r>
      <w:proofErr w:type="spellStart"/>
      <w:r w:rsidR="008108BF" w:rsidRPr="008108BF">
        <w:t>Scribners</w:t>
      </w:r>
      <w:proofErr w:type="spellEnd"/>
      <w:r w:rsidR="008108BF" w:rsidRPr="008108BF">
        <w:t>, 1905), 513-17</w:t>
      </w:r>
      <w:bookmarkEnd w:id="2"/>
    </w:p>
  </w:footnote>
  <w:footnote w:id="5">
    <w:p w14:paraId="7154EADC" w14:textId="3961BC90" w:rsidR="00412006" w:rsidRPr="00CD0A4B" w:rsidRDefault="00412006">
      <w:pPr>
        <w:pStyle w:val="FootnoteText"/>
      </w:pPr>
      <w:r>
        <w:rPr>
          <w:rStyle w:val="FootnoteReference"/>
        </w:rPr>
        <w:footnoteRef/>
      </w:r>
      <w:r>
        <w:t xml:space="preserve"> </w:t>
      </w:r>
      <w:bookmarkStart w:id="3" w:name="_Hlk64885297"/>
      <w:r w:rsidR="00CD0A4B">
        <w:t xml:space="preserve">Valentin </w:t>
      </w:r>
      <w:proofErr w:type="spellStart"/>
      <w:r w:rsidR="00CD0A4B">
        <w:t>Portnykh</w:t>
      </w:r>
      <w:proofErr w:type="spellEnd"/>
      <w:r w:rsidR="00CD0A4B">
        <w:t xml:space="preserve">, ‘God wills it! Supplementary divine purposes according to crusade propaganda’, </w:t>
      </w:r>
      <w:r w:rsidR="00CD0A4B">
        <w:rPr>
          <w:i/>
          <w:iCs/>
        </w:rPr>
        <w:t xml:space="preserve">Journal of Ecclesiastical History, </w:t>
      </w:r>
      <w:r w:rsidR="00CD0A4B">
        <w:t>Vol.70. No.3 (2019), p. 472-486 (p.473)</w:t>
      </w:r>
      <w:bookmarkEnd w:id="3"/>
    </w:p>
  </w:footnote>
  <w:footnote w:id="6">
    <w:p w14:paraId="59273E77" w14:textId="1E317BE7" w:rsidR="003C0692" w:rsidRDefault="003C0692">
      <w:pPr>
        <w:pStyle w:val="FootnoteText"/>
      </w:pPr>
      <w:r>
        <w:rPr>
          <w:rStyle w:val="FootnoteReference"/>
        </w:rPr>
        <w:footnoteRef/>
      </w:r>
      <w:r>
        <w:t xml:space="preserve"> </w:t>
      </w:r>
      <w:r w:rsidRPr="003C0692">
        <w:t xml:space="preserve">Valentin </w:t>
      </w:r>
      <w:proofErr w:type="spellStart"/>
      <w:r w:rsidRPr="003C0692">
        <w:t>Portnykh</w:t>
      </w:r>
      <w:proofErr w:type="spellEnd"/>
      <w:r w:rsidRPr="003C0692">
        <w:t xml:space="preserve">, ‘God wills it! Supplementary divine purposes according to crusade propaganda’, </w:t>
      </w:r>
      <w:r w:rsidRPr="003C0692">
        <w:rPr>
          <w:i/>
          <w:iCs/>
        </w:rPr>
        <w:t xml:space="preserve">Journal of Ecclesiastical History, </w:t>
      </w:r>
      <w:r w:rsidRPr="003C0692">
        <w:t>Vol.70. No.3 (2019), p. 472-486 (p.473)</w:t>
      </w:r>
    </w:p>
  </w:footnote>
  <w:footnote w:id="7">
    <w:p w14:paraId="5A71D892" w14:textId="335F1243" w:rsidR="00487820" w:rsidRDefault="00487820">
      <w:pPr>
        <w:pStyle w:val="FootnoteText"/>
      </w:pPr>
      <w:r>
        <w:rPr>
          <w:rStyle w:val="FootnoteReference"/>
        </w:rPr>
        <w:footnoteRef/>
      </w:r>
      <w:r>
        <w:t xml:space="preserve"> </w:t>
      </w:r>
      <w:bookmarkStart w:id="4" w:name="_Hlk65857111"/>
      <w:bookmarkStart w:id="5" w:name="_Hlk65857160"/>
      <w:r w:rsidRPr="00487820">
        <w:t>Valentin</w:t>
      </w:r>
      <w:bookmarkEnd w:id="5"/>
      <w:r w:rsidRPr="00487820">
        <w:t xml:space="preserve"> </w:t>
      </w:r>
      <w:proofErr w:type="spellStart"/>
      <w:r w:rsidRPr="00487820">
        <w:t>Portnykh</w:t>
      </w:r>
      <w:proofErr w:type="spellEnd"/>
      <w:r w:rsidRPr="00487820">
        <w:t xml:space="preserve">, ‘God wills it! Supplementary divine purposes according to crusade propaganda’, </w:t>
      </w:r>
      <w:r w:rsidRPr="00487820">
        <w:rPr>
          <w:i/>
          <w:iCs/>
        </w:rPr>
        <w:t xml:space="preserve">Journal of Ecclesiastical History, </w:t>
      </w:r>
      <w:r w:rsidRPr="00487820">
        <w:t>Vol.70. No.3 (2019), p. 472-486 (p.473)</w:t>
      </w:r>
      <w:bookmarkEnd w:id="4"/>
    </w:p>
  </w:footnote>
  <w:footnote w:id="8">
    <w:p w14:paraId="3B561D60" w14:textId="34FF5301" w:rsidR="0097215D" w:rsidRDefault="0097215D">
      <w:pPr>
        <w:pStyle w:val="FootnoteText"/>
      </w:pPr>
      <w:r>
        <w:rPr>
          <w:rStyle w:val="FootnoteReference"/>
        </w:rPr>
        <w:footnoteRef/>
      </w:r>
      <w:r>
        <w:t xml:space="preserve"> </w:t>
      </w:r>
      <w:r w:rsidRPr="0097215D">
        <w:rPr>
          <w:lang w:val="en-US"/>
        </w:rPr>
        <w:t xml:space="preserve">Edward Gibbon, ‘Motives of the Crusaders’, in </w:t>
      </w:r>
      <w:r w:rsidRPr="0097215D">
        <w:rPr>
          <w:i/>
          <w:iCs/>
          <w:lang w:val="en-US"/>
        </w:rPr>
        <w:t xml:space="preserve">The Crusades: Motives and Achievements, </w:t>
      </w:r>
      <w:r w:rsidRPr="0097215D">
        <w:rPr>
          <w:lang w:val="en-US"/>
        </w:rPr>
        <w:t>ed. by James A. Brundage (USA: D. C. Heath and Company, 1964), p.4-6 (p.4)</w:t>
      </w:r>
    </w:p>
  </w:footnote>
  <w:footnote w:id="9">
    <w:p w14:paraId="2B608344" w14:textId="0219A5DE" w:rsidR="0097215D" w:rsidRDefault="0097215D">
      <w:pPr>
        <w:pStyle w:val="FootnoteText"/>
      </w:pPr>
      <w:r>
        <w:rPr>
          <w:rStyle w:val="FootnoteReference"/>
        </w:rPr>
        <w:footnoteRef/>
      </w:r>
      <w:r>
        <w:t xml:space="preserve"> </w:t>
      </w:r>
      <w:r w:rsidRPr="0097215D">
        <w:rPr>
          <w:lang w:val="en-US"/>
        </w:rPr>
        <w:t xml:space="preserve">Edward Gibbon, ‘Motives of the Crusaders’, in </w:t>
      </w:r>
      <w:r w:rsidRPr="0097215D">
        <w:rPr>
          <w:i/>
          <w:iCs/>
          <w:lang w:val="en-US"/>
        </w:rPr>
        <w:t xml:space="preserve">The Crusades: Motives and Achievements, </w:t>
      </w:r>
      <w:r w:rsidRPr="0097215D">
        <w:rPr>
          <w:lang w:val="en-US"/>
        </w:rPr>
        <w:t>ed. by James A. Brundage (USA: D. C. Heath and Company, 1964), p.4-6 (p.4)</w:t>
      </w:r>
    </w:p>
  </w:footnote>
  <w:footnote w:id="10">
    <w:p w14:paraId="064D6BFD" w14:textId="0957DE43" w:rsidR="00952B04" w:rsidRDefault="00952B04">
      <w:pPr>
        <w:pStyle w:val="FootnoteText"/>
      </w:pPr>
      <w:r>
        <w:rPr>
          <w:rStyle w:val="FootnoteReference"/>
        </w:rPr>
        <w:footnoteRef/>
      </w:r>
      <w:r>
        <w:t xml:space="preserve"> </w:t>
      </w:r>
      <w:bookmarkStart w:id="6" w:name="_Hlk64893550"/>
      <w:r>
        <w:rPr>
          <w:lang w:val="en-US"/>
        </w:rPr>
        <w:t>Norman Cohn</w:t>
      </w:r>
      <w:r w:rsidRPr="00952B04">
        <w:rPr>
          <w:lang w:val="en-US"/>
        </w:rPr>
        <w:t>, ‘</w:t>
      </w:r>
      <w:r>
        <w:rPr>
          <w:lang w:val="en-US"/>
        </w:rPr>
        <w:t>The Appeal of the Crusade to the Poor’</w:t>
      </w:r>
      <w:r w:rsidRPr="00952B04">
        <w:rPr>
          <w:lang w:val="en-US"/>
        </w:rPr>
        <w:t xml:space="preserve">, in </w:t>
      </w:r>
      <w:r w:rsidRPr="00952B04">
        <w:rPr>
          <w:i/>
          <w:iCs/>
          <w:lang w:val="en-US"/>
        </w:rPr>
        <w:t xml:space="preserve">The Crusades: Motives and Achievements, </w:t>
      </w:r>
      <w:r w:rsidRPr="00952B04">
        <w:rPr>
          <w:lang w:val="en-US"/>
        </w:rPr>
        <w:t>ed. by James A. Brundage (USA: D. C. Heath and Company, 1964), p.</w:t>
      </w:r>
      <w:r>
        <w:rPr>
          <w:lang w:val="en-US"/>
        </w:rPr>
        <w:t>3</w:t>
      </w:r>
      <w:r w:rsidRPr="00952B04">
        <w:rPr>
          <w:lang w:val="en-US"/>
        </w:rPr>
        <w:t>4-</w:t>
      </w:r>
      <w:r>
        <w:rPr>
          <w:lang w:val="en-US"/>
        </w:rPr>
        <w:t>41</w:t>
      </w:r>
      <w:r w:rsidRPr="00952B04">
        <w:rPr>
          <w:lang w:val="en-US"/>
        </w:rPr>
        <w:t xml:space="preserve"> (p.</w:t>
      </w:r>
      <w:r>
        <w:rPr>
          <w:lang w:val="en-US"/>
        </w:rPr>
        <w:t>3</w:t>
      </w:r>
      <w:r w:rsidRPr="00952B04">
        <w:rPr>
          <w:lang w:val="en-US"/>
        </w:rPr>
        <w:t>4)</w:t>
      </w:r>
      <w:bookmarkEnd w:id="6"/>
    </w:p>
  </w:footnote>
  <w:footnote w:id="11">
    <w:p w14:paraId="303F087F" w14:textId="7E5ADE6A" w:rsidR="00952B04" w:rsidRDefault="00952B04">
      <w:pPr>
        <w:pStyle w:val="FootnoteText"/>
      </w:pPr>
      <w:r>
        <w:rPr>
          <w:rStyle w:val="FootnoteReference"/>
        </w:rPr>
        <w:footnoteRef/>
      </w:r>
      <w:r>
        <w:t xml:space="preserve"> </w:t>
      </w:r>
      <w:r w:rsidRPr="00952B04">
        <w:rPr>
          <w:lang w:val="en-US"/>
        </w:rPr>
        <w:t xml:space="preserve">Norman Cohn, ‘The Appeal of the Crusade to the Poor’, in </w:t>
      </w:r>
      <w:r w:rsidRPr="00952B04">
        <w:rPr>
          <w:i/>
          <w:iCs/>
          <w:lang w:val="en-US"/>
        </w:rPr>
        <w:t xml:space="preserve">The Crusades: Motives and Achievements, </w:t>
      </w:r>
      <w:r w:rsidRPr="00952B04">
        <w:rPr>
          <w:lang w:val="en-US"/>
        </w:rPr>
        <w:t>ed. by James A. Brundage (USA: D. C. Heath and Company, 1964), p.34-41 (p.34)</w:t>
      </w:r>
    </w:p>
  </w:footnote>
  <w:footnote w:id="12">
    <w:p w14:paraId="68754E7F" w14:textId="7277A30E" w:rsidR="006D3857" w:rsidRDefault="006D3857">
      <w:pPr>
        <w:pStyle w:val="FootnoteText"/>
      </w:pPr>
      <w:r>
        <w:rPr>
          <w:rStyle w:val="FootnoteReference"/>
        </w:rPr>
        <w:footnoteRef/>
      </w:r>
      <w:r>
        <w:t xml:space="preserve"> </w:t>
      </w:r>
      <w:bookmarkStart w:id="7" w:name="_Hlk65496300"/>
      <w:r w:rsidRPr="006D3857">
        <w:t xml:space="preserve">Annales </w:t>
      </w:r>
      <w:proofErr w:type="spellStart"/>
      <w:r w:rsidRPr="006D3857">
        <w:t>Altahenses</w:t>
      </w:r>
      <w:proofErr w:type="spellEnd"/>
      <w:r w:rsidRPr="006D3857">
        <w:t xml:space="preserve"> </w:t>
      </w:r>
      <w:proofErr w:type="spellStart"/>
      <w:r w:rsidRPr="006D3857">
        <w:t>Maiores</w:t>
      </w:r>
      <w:proofErr w:type="spellEnd"/>
      <w:r w:rsidRPr="006D3857">
        <w:t>, 8, a. 1065, MGH, SS. XX. 815-17, trans. James Brundage, </w:t>
      </w:r>
      <w:r w:rsidRPr="006D3857">
        <w:rPr>
          <w:i/>
          <w:iCs/>
        </w:rPr>
        <w:t>The Crusades: A Documentary History</w:t>
      </w:r>
      <w:r w:rsidRPr="006D3857">
        <w:t>, (Milwaukee, WI: Marquette University Press, 1962)</w:t>
      </w:r>
      <w:bookmarkEnd w:id="7"/>
    </w:p>
  </w:footnote>
  <w:footnote w:id="13">
    <w:p w14:paraId="168164BA" w14:textId="50D3AD22" w:rsidR="006D3857" w:rsidRDefault="006D3857">
      <w:pPr>
        <w:pStyle w:val="FootnoteText"/>
      </w:pPr>
      <w:r>
        <w:rPr>
          <w:rStyle w:val="FootnoteReference"/>
        </w:rPr>
        <w:footnoteRef/>
      </w:r>
      <w:r>
        <w:t xml:space="preserve"> </w:t>
      </w:r>
      <w:r w:rsidRPr="006D3857">
        <w:t xml:space="preserve">Annales </w:t>
      </w:r>
      <w:proofErr w:type="spellStart"/>
      <w:r w:rsidRPr="006D3857">
        <w:t>Altahenses</w:t>
      </w:r>
      <w:proofErr w:type="spellEnd"/>
      <w:r w:rsidRPr="006D3857">
        <w:t xml:space="preserve"> </w:t>
      </w:r>
      <w:proofErr w:type="spellStart"/>
      <w:r w:rsidRPr="006D3857">
        <w:t>Maiores</w:t>
      </w:r>
      <w:proofErr w:type="spellEnd"/>
      <w:r w:rsidRPr="006D3857">
        <w:t>, 8, a. 1065, MGH, SS. XX. 815-17, trans. James Brundage, </w:t>
      </w:r>
      <w:r w:rsidRPr="006D3857">
        <w:rPr>
          <w:i/>
          <w:iCs/>
        </w:rPr>
        <w:t>The Crusades: A Documentary History</w:t>
      </w:r>
      <w:r w:rsidRPr="006D3857">
        <w:t>, (Milwaukee, WI: Marquette University Press, 1962)</w:t>
      </w:r>
    </w:p>
  </w:footnote>
  <w:footnote w:id="14">
    <w:p w14:paraId="1C0FC00B" w14:textId="4B6F0629" w:rsidR="006D3857" w:rsidRDefault="006D3857">
      <w:pPr>
        <w:pStyle w:val="FootnoteText"/>
      </w:pPr>
      <w:r>
        <w:rPr>
          <w:rStyle w:val="FootnoteReference"/>
        </w:rPr>
        <w:footnoteRef/>
      </w:r>
      <w:r>
        <w:t xml:space="preserve"> </w:t>
      </w:r>
      <w:r w:rsidRPr="006D3857">
        <w:t xml:space="preserve">Annales </w:t>
      </w:r>
      <w:proofErr w:type="spellStart"/>
      <w:r w:rsidRPr="006D3857">
        <w:t>Altahenses</w:t>
      </w:r>
      <w:proofErr w:type="spellEnd"/>
      <w:r w:rsidRPr="006D3857">
        <w:t xml:space="preserve"> </w:t>
      </w:r>
      <w:proofErr w:type="spellStart"/>
      <w:r w:rsidRPr="006D3857">
        <w:t>Maiores</w:t>
      </w:r>
      <w:proofErr w:type="spellEnd"/>
      <w:r w:rsidRPr="006D3857">
        <w:t>, 8, a. 1065, MGH, SS. XX. 815-17, trans. James Brundage, </w:t>
      </w:r>
      <w:r w:rsidRPr="006D3857">
        <w:rPr>
          <w:i/>
          <w:iCs/>
        </w:rPr>
        <w:t>The Crusades: A Documentary History</w:t>
      </w:r>
      <w:r w:rsidRPr="006D3857">
        <w:t>, (Milwaukee, WI: Marquette University Press, 1962)</w:t>
      </w:r>
    </w:p>
  </w:footnote>
  <w:footnote w:id="15">
    <w:p w14:paraId="6DB240D8" w14:textId="6AC83D44" w:rsidR="00ED00C8" w:rsidRDefault="00ED00C8">
      <w:pPr>
        <w:pStyle w:val="FootnoteText"/>
      </w:pPr>
      <w:r>
        <w:rPr>
          <w:rStyle w:val="FootnoteReference"/>
        </w:rPr>
        <w:footnoteRef/>
      </w:r>
      <w:r>
        <w:t xml:space="preserve"> </w:t>
      </w:r>
      <w:bookmarkStart w:id="8" w:name="_Hlk65242498"/>
      <w:proofErr w:type="spellStart"/>
      <w:r w:rsidRPr="00ED00C8">
        <w:t>Bongars</w:t>
      </w:r>
      <w:proofErr w:type="spellEnd"/>
      <w:r w:rsidRPr="00ED00C8">
        <w:t>, </w:t>
      </w:r>
      <w:proofErr w:type="spellStart"/>
      <w:r w:rsidRPr="00ED00C8">
        <w:rPr>
          <w:i/>
          <w:iCs/>
        </w:rPr>
        <w:t>Gesta</w:t>
      </w:r>
      <w:proofErr w:type="spellEnd"/>
      <w:r w:rsidRPr="00ED00C8">
        <w:rPr>
          <w:i/>
          <w:iCs/>
        </w:rPr>
        <w:t xml:space="preserve"> Dei per </w:t>
      </w:r>
      <w:proofErr w:type="spellStart"/>
      <w:r w:rsidRPr="00ED00C8">
        <w:rPr>
          <w:i/>
          <w:iCs/>
        </w:rPr>
        <w:t>Francos</w:t>
      </w:r>
      <w:proofErr w:type="spellEnd"/>
      <w:r w:rsidRPr="00ED00C8">
        <w:t>, 1, pp. 382 f., trans in Oliver J. Thatcher, and Edgar Holmes McNeal, eds., </w:t>
      </w:r>
      <w:r w:rsidRPr="00ED00C8">
        <w:rPr>
          <w:i/>
          <w:iCs/>
        </w:rPr>
        <w:t>A Source Book for Medieval History</w:t>
      </w:r>
      <w:r w:rsidRPr="00ED00C8">
        <w:t xml:space="preserve">, (New York: </w:t>
      </w:r>
      <w:proofErr w:type="spellStart"/>
      <w:r w:rsidRPr="00ED00C8">
        <w:t>Scribners</w:t>
      </w:r>
      <w:proofErr w:type="spellEnd"/>
      <w:r w:rsidRPr="00ED00C8">
        <w:t>, 1905), 513-17</w:t>
      </w:r>
      <w:bookmarkEnd w:id="8"/>
    </w:p>
  </w:footnote>
  <w:footnote w:id="16">
    <w:p w14:paraId="4E321CEA" w14:textId="4A8C5D58" w:rsidR="00D03021" w:rsidRPr="00D03021" w:rsidRDefault="00D03021">
      <w:pPr>
        <w:pStyle w:val="FootnoteText"/>
      </w:pPr>
      <w:r>
        <w:rPr>
          <w:rStyle w:val="FootnoteReference"/>
        </w:rPr>
        <w:footnoteRef/>
      </w:r>
      <w:r>
        <w:t xml:space="preserve"> </w:t>
      </w:r>
      <w:bookmarkStart w:id="9" w:name="_Hlk65856578"/>
      <w:r>
        <w:t xml:space="preserve">Kendra Cherry, ‘What is Othering’, </w:t>
      </w:r>
      <w:proofErr w:type="spellStart"/>
      <w:r>
        <w:rPr>
          <w:i/>
          <w:iCs/>
        </w:rPr>
        <w:t>Verywell</w:t>
      </w:r>
      <w:proofErr w:type="spellEnd"/>
      <w:r>
        <w:rPr>
          <w:i/>
          <w:iCs/>
        </w:rPr>
        <w:t xml:space="preserve"> mind, </w:t>
      </w:r>
      <w:r>
        <w:t xml:space="preserve">2020, </w:t>
      </w:r>
      <w:hyperlink r:id="rId1" w:history="1">
        <w:r w:rsidRPr="00214E7F">
          <w:rPr>
            <w:rStyle w:val="Hyperlink"/>
          </w:rPr>
          <w:t>https://www.verywellmind.com/what-is-othering-5084425</w:t>
        </w:r>
      </w:hyperlink>
      <w:r>
        <w:t>, [accessed 26</w:t>
      </w:r>
      <w:r w:rsidRPr="00D03021">
        <w:rPr>
          <w:vertAlign w:val="superscript"/>
        </w:rPr>
        <w:t>th</w:t>
      </w:r>
      <w:r>
        <w:t xml:space="preserve"> February 2021]</w:t>
      </w:r>
      <w:bookmarkEnd w:id="9"/>
    </w:p>
  </w:footnote>
  <w:footnote w:id="17">
    <w:p w14:paraId="3181C3EB" w14:textId="42E5E6E0" w:rsidR="00E42683" w:rsidRDefault="00E42683">
      <w:pPr>
        <w:pStyle w:val="FootnoteText"/>
      </w:pPr>
      <w:r>
        <w:rPr>
          <w:rStyle w:val="FootnoteReference"/>
        </w:rPr>
        <w:footnoteRef/>
      </w:r>
      <w:r>
        <w:t xml:space="preserve"> </w:t>
      </w:r>
      <w:bookmarkStart w:id="10" w:name="_Hlk65838217"/>
      <w:proofErr w:type="spellStart"/>
      <w:r w:rsidRPr="00E42683">
        <w:t>Bongars</w:t>
      </w:r>
      <w:proofErr w:type="spellEnd"/>
      <w:r w:rsidRPr="00E42683">
        <w:t>, </w:t>
      </w:r>
      <w:proofErr w:type="spellStart"/>
      <w:r w:rsidRPr="00E42683">
        <w:rPr>
          <w:i/>
          <w:iCs/>
        </w:rPr>
        <w:t>Gesta</w:t>
      </w:r>
      <w:proofErr w:type="spellEnd"/>
      <w:r w:rsidRPr="00E42683">
        <w:rPr>
          <w:i/>
          <w:iCs/>
        </w:rPr>
        <w:t xml:space="preserve"> Dei per </w:t>
      </w:r>
      <w:proofErr w:type="spellStart"/>
      <w:r w:rsidRPr="00E42683">
        <w:rPr>
          <w:i/>
          <w:iCs/>
        </w:rPr>
        <w:t>Francos</w:t>
      </w:r>
      <w:proofErr w:type="spellEnd"/>
      <w:r w:rsidRPr="00E42683">
        <w:t>, 1, pp. 382 f., trans in Oliver J. Thatcher, and Edgar Holmes McNeal, eds., </w:t>
      </w:r>
      <w:r w:rsidRPr="00E42683">
        <w:rPr>
          <w:i/>
          <w:iCs/>
        </w:rPr>
        <w:t>A Source Book for Medieval History</w:t>
      </w:r>
      <w:r w:rsidRPr="00E42683">
        <w:t xml:space="preserve">, (New York: </w:t>
      </w:r>
      <w:proofErr w:type="spellStart"/>
      <w:r w:rsidRPr="00E42683">
        <w:t>Scribners</w:t>
      </w:r>
      <w:proofErr w:type="spellEnd"/>
      <w:r w:rsidRPr="00E42683">
        <w:t>, 1905), 513-17</w:t>
      </w:r>
      <w:bookmarkEnd w:id="10"/>
    </w:p>
  </w:footnote>
  <w:footnote w:id="18">
    <w:p w14:paraId="567B64D2" w14:textId="77777777" w:rsidR="001112E4" w:rsidRPr="001112E4" w:rsidRDefault="001112E4" w:rsidP="001112E4">
      <w:pPr>
        <w:pStyle w:val="FootnoteText"/>
      </w:pPr>
      <w:r>
        <w:rPr>
          <w:rStyle w:val="FootnoteReference"/>
        </w:rPr>
        <w:footnoteRef/>
      </w:r>
      <w:r>
        <w:t xml:space="preserve"> </w:t>
      </w:r>
      <w:r w:rsidRPr="001112E4">
        <w:t>Dana C. Munro, "Urban and the Crusaders", Translations and Reprints from the Original Sources of European History, Vol 1:2, (Philadelphia: University of Pennsylvania, 1895), 5-8</w:t>
      </w:r>
    </w:p>
    <w:p w14:paraId="3A1B2101" w14:textId="56D7BB8E" w:rsidR="001112E4" w:rsidRPr="001112E4" w:rsidRDefault="001112E4">
      <w:pPr>
        <w:pStyle w:val="FootnoteText"/>
        <w:rPr>
          <w:lang w:val="en-US"/>
        </w:rPr>
      </w:pPr>
    </w:p>
  </w:footnote>
  <w:footnote w:id="19">
    <w:p w14:paraId="6237F284" w14:textId="77777777" w:rsidR="007726D0" w:rsidRPr="007726D0" w:rsidRDefault="007726D0" w:rsidP="007726D0">
      <w:pPr>
        <w:pStyle w:val="FootnoteText"/>
      </w:pPr>
      <w:r>
        <w:rPr>
          <w:rStyle w:val="FootnoteReference"/>
        </w:rPr>
        <w:footnoteRef/>
      </w:r>
      <w:r>
        <w:t xml:space="preserve"> </w:t>
      </w:r>
      <w:bookmarkStart w:id="11" w:name="_Hlk65678353"/>
      <w:r w:rsidRPr="007726D0">
        <w:t>Dana C. Munro, "Urban and the Crusaders", Translations and Reprints from the Original Sources of European History, Vol 1:2, (Philadelphia: University of Pennsylvania, 1895), 5-8</w:t>
      </w:r>
    </w:p>
    <w:bookmarkEnd w:id="11"/>
    <w:p w14:paraId="61A7551E" w14:textId="175FAC2A" w:rsidR="007726D0" w:rsidRDefault="007726D0">
      <w:pPr>
        <w:pStyle w:val="FootnoteText"/>
      </w:pPr>
    </w:p>
  </w:footnote>
  <w:footnote w:id="20">
    <w:p w14:paraId="02B1551F" w14:textId="77777777" w:rsidR="00CC1A63" w:rsidRPr="00CC1A63" w:rsidRDefault="00CC1A63" w:rsidP="00CC1A63">
      <w:pPr>
        <w:pStyle w:val="FootnoteText"/>
      </w:pPr>
      <w:r>
        <w:rPr>
          <w:rStyle w:val="FootnoteReference"/>
        </w:rPr>
        <w:footnoteRef/>
      </w:r>
      <w:bookmarkStart w:id="12" w:name="_Hlk65681351"/>
      <w:r w:rsidRPr="00CC1A63">
        <w:t>Dana C. Munro, "Urban and the Crusaders", Translations and Reprints from the Original Sources of European History, Vol 1:2, (Philadelphia: University of Pennsylvania, 1895), 5-8</w:t>
      </w:r>
      <w:bookmarkEnd w:id="12"/>
    </w:p>
    <w:p w14:paraId="1916371B" w14:textId="681B432D" w:rsidR="00CC1A63" w:rsidRDefault="00CC1A63">
      <w:pPr>
        <w:pStyle w:val="FootnoteText"/>
      </w:pPr>
      <w:r>
        <w:t xml:space="preserve"> </w:t>
      </w:r>
    </w:p>
  </w:footnote>
  <w:footnote w:id="21">
    <w:p w14:paraId="22482325" w14:textId="1706F19D" w:rsidR="00045CC2" w:rsidRDefault="00045CC2">
      <w:pPr>
        <w:pStyle w:val="FootnoteText"/>
      </w:pPr>
      <w:r>
        <w:rPr>
          <w:rStyle w:val="FootnoteReference"/>
        </w:rPr>
        <w:footnoteRef/>
      </w:r>
      <w:r>
        <w:t xml:space="preserve"> </w:t>
      </w:r>
      <w:r w:rsidRPr="00045CC2">
        <w:rPr>
          <w:lang w:val="en-US"/>
        </w:rPr>
        <w:t xml:space="preserve">Edward Gibbon, ‘Motives of the Crusaders’, in </w:t>
      </w:r>
      <w:r w:rsidRPr="00045CC2">
        <w:rPr>
          <w:i/>
          <w:iCs/>
          <w:lang w:val="en-US"/>
        </w:rPr>
        <w:t xml:space="preserve">The Crusades: Motives and Achievements, </w:t>
      </w:r>
      <w:r w:rsidRPr="00045CC2">
        <w:rPr>
          <w:lang w:val="en-US"/>
        </w:rPr>
        <w:t>ed. by James A. Brundage (USA: D. C. Heath and Company, 1964), p.4-6 (p.</w:t>
      </w:r>
      <w:r w:rsidR="00C942DC">
        <w:rPr>
          <w:lang w:val="en-US"/>
        </w:rPr>
        <w:t>5</w:t>
      </w:r>
      <w:r w:rsidRPr="00045CC2">
        <w:rPr>
          <w:lang w:val="en-US"/>
        </w:rPr>
        <w:t>)</w:t>
      </w:r>
    </w:p>
  </w:footnote>
  <w:footnote w:id="22">
    <w:p w14:paraId="738A4CEE" w14:textId="6F59812E" w:rsidR="00294034" w:rsidRDefault="00294034">
      <w:pPr>
        <w:pStyle w:val="FootnoteText"/>
      </w:pPr>
      <w:r>
        <w:rPr>
          <w:rStyle w:val="FootnoteReference"/>
        </w:rPr>
        <w:footnoteRef/>
      </w:r>
      <w:r>
        <w:t xml:space="preserve"> </w:t>
      </w:r>
      <w:r w:rsidRPr="00294034">
        <w:t>Dana C. Munro, "Urban and the Crusaders", Translations and Reprints from the Original Sources of European History, Vol 1:2, (Philadelphia: University of Pennsylvania, 1895), 5-8</w:t>
      </w:r>
    </w:p>
  </w:footnote>
  <w:footnote w:id="23">
    <w:p w14:paraId="036732FA" w14:textId="21EDD1A8" w:rsidR="00045CC2" w:rsidRDefault="00045CC2">
      <w:pPr>
        <w:pStyle w:val="FootnoteText"/>
      </w:pPr>
      <w:r>
        <w:rPr>
          <w:rStyle w:val="FootnoteReference"/>
        </w:rPr>
        <w:footnoteRef/>
      </w:r>
      <w:r>
        <w:t xml:space="preserve"> </w:t>
      </w:r>
      <w:r w:rsidRPr="00045CC2">
        <w:rPr>
          <w:lang w:val="en-US"/>
        </w:rPr>
        <w:t xml:space="preserve">Edward Gibbon, ‘Motives of the Crusaders’, in </w:t>
      </w:r>
      <w:r w:rsidRPr="00045CC2">
        <w:rPr>
          <w:i/>
          <w:iCs/>
          <w:lang w:val="en-US"/>
        </w:rPr>
        <w:t xml:space="preserve">The Crusades: Motives and Achievements, </w:t>
      </w:r>
      <w:r w:rsidRPr="00045CC2">
        <w:rPr>
          <w:lang w:val="en-US"/>
        </w:rPr>
        <w:t>ed. by James A. Brundage (USA: D. C. Heath and Company, 1964), p.4-6 (p.</w:t>
      </w:r>
      <w:r w:rsidR="00C942DC">
        <w:rPr>
          <w:lang w:val="en-US"/>
        </w:rPr>
        <w:t>5</w:t>
      </w:r>
      <w:r w:rsidRPr="00045CC2">
        <w:rPr>
          <w:lang w:val="en-US"/>
        </w:rPr>
        <w:t>)</w:t>
      </w:r>
    </w:p>
  </w:footnote>
  <w:footnote w:id="24">
    <w:p w14:paraId="04D44979" w14:textId="41B7D164" w:rsidR="00110B5E" w:rsidRDefault="00110B5E">
      <w:pPr>
        <w:pStyle w:val="FootnoteText"/>
      </w:pPr>
      <w:r>
        <w:rPr>
          <w:rStyle w:val="FootnoteReference"/>
        </w:rPr>
        <w:footnoteRef/>
      </w:r>
      <w:bookmarkStart w:id="13" w:name="_Hlk65837406"/>
      <w:r w:rsidRPr="00110B5E">
        <w:rPr>
          <w:lang w:val="en-US"/>
        </w:rPr>
        <w:t xml:space="preserve">Edward Gibbon, ‘Motives of the Crusaders’, in </w:t>
      </w:r>
      <w:r w:rsidRPr="00110B5E">
        <w:rPr>
          <w:i/>
          <w:iCs/>
          <w:lang w:val="en-US"/>
        </w:rPr>
        <w:t xml:space="preserve">The Crusades: Motives and Achievements, </w:t>
      </w:r>
      <w:r w:rsidRPr="00110B5E">
        <w:rPr>
          <w:lang w:val="en-US"/>
        </w:rPr>
        <w:t>ed. by James A. Brundage (USA: D. C. Heath and Company, 1964), p.4-6 (p.</w:t>
      </w:r>
      <w:r w:rsidR="00C942DC">
        <w:rPr>
          <w:lang w:val="en-US"/>
        </w:rPr>
        <w:t>5</w:t>
      </w:r>
      <w:r w:rsidRPr="00110B5E">
        <w:rPr>
          <w:lang w:val="en-US"/>
        </w:rPr>
        <w:t>)</w:t>
      </w:r>
      <w:r>
        <w:t xml:space="preserve"> </w:t>
      </w:r>
      <w:bookmarkEnd w:id="13"/>
    </w:p>
  </w:footnote>
  <w:footnote w:id="25">
    <w:p w14:paraId="10B0864C" w14:textId="4601C4FE" w:rsidR="00C942DC" w:rsidRPr="00C942DC" w:rsidRDefault="00C942DC">
      <w:pPr>
        <w:pStyle w:val="FootnoteText"/>
        <w:rPr>
          <w:lang w:val="en-US"/>
        </w:rPr>
      </w:pPr>
      <w:r>
        <w:rPr>
          <w:rStyle w:val="FootnoteReference"/>
        </w:rPr>
        <w:footnoteRef/>
      </w:r>
      <w:r>
        <w:t xml:space="preserve"> </w:t>
      </w:r>
      <w:r w:rsidRPr="00C942DC">
        <w:rPr>
          <w:lang w:val="en-US"/>
        </w:rPr>
        <w:t xml:space="preserve">Edward Gibbon, ‘Motives of the Crusaders’, in </w:t>
      </w:r>
      <w:r w:rsidRPr="00C942DC">
        <w:rPr>
          <w:i/>
          <w:iCs/>
          <w:lang w:val="en-US"/>
        </w:rPr>
        <w:t xml:space="preserve">The Crusades: Motives and Achievements, </w:t>
      </w:r>
      <w:r w:rsidRPr="00C942DC">
        <w:rPr>
          <w:lang w:val="en-US"/>
        </w:rPr>
        <w:t>ed. by James A. Brundage (USA: D. C. Heath and Company, 1964), p.4-6 (p.5)</w:t>
      </w:r>
    </w:p>
  </w:footnote>
  <w:footnote w:id="26">
    <w:p w14:paraId="474D7521" w14:textId="508BE7FD" w:rsidR="00C942DC" w:rsidRPr="00C942DC" w:rsidRDefault="00C942DC">
      <w:pPr>
        <w:pStyle w:val="FootnoteText"/>
        <w:rPr>
          <w:lang w:val="en-US"/>
        </w:rPr>
      </w:pPr>
      <w:r>
        <w:rPr>
          <w:rStyle w:val="FootnoteReference"/>
        </w:rPr>
        <w:footnoteRef/>
      </w:r>
      <w:r>
        <w:t xml:space="preserve"> </w:t>
      </w:r>
      <w:r w:rsidRPr="00C942DC">
        <w:rPr>
          <w:lang w:val="en-US"/>
        </w:rPr>
        <w:t xml:space="preserve">Edward Gibbon, ‘Motives of the Crusaders’, in </w:t>
      </w:r>
      <w:r w:rsidRPr="00C942DC">
        <w:rPr>
          <w:i/>
          <w:iCs/>
          <w:lang w:val="en-US"/>
        </w:rPr>
        <w:t xml:space="preserve">The Crusades: Motives and Achievements, </w:t>
      </w:r>
      <w:r w:rsidRPr="00C942DC">
        <w:rPr>
          <w:lang w:val="en-US"/>
        </w:rPr>
        <w:t>ed. by James A. Brundage (USA: D. C. Heath and Company, 1964), p.4-6 (p.5)</w:t>
      </w:r>
    </w:p>
  </w:footnote>
  <w:footnote w:id="27">
    <w:p w14:paraId="41535402" w14:textId="03600034" w:rsidR="006D6C4D" w:rsidRPr="006D6C4D" w:rsidRDefault="006D6C4D">
      <w:pPr>
        <w:pStyle w:val="FootnoteText"/>
        <w:rPr>
          <w:lang w:val="en-US"/>
        </w:rPr>
      </w:pPr>
      <w:r>
        <w:rPr>
          <w:rStyle w:val="FootnoteReference"/>
        </w:rPr>
        <w:footnoteRef/>
      </w:r>
      <w:r>
        <w:t xml:space="preserve"> </w:t>
      </w:r>
      <w:proofErr w:type="spellStart"/>
      <w:r w:rsidRPr="006D6C4D">
        <w:t>Bongars</w:t>
      </w:r>
      <w:proofErr w:type="spellEnd"/>
      <w:r w:rsidRPr="006D6C4D">
        <w:t>, </w:t>
      </w:r>
      <w:proofErr w:type="spellStart"/>
      <w:r w:rsidRPr="006D6C4D">
        <w:rPr>
          <w:i/>
          <w:iCs/>
        </w:rPr>
        <w:t>Gesta</w:t>
      </w:r>
      <w:proofErr w:type="spellEnd"/>
      <w:r w:rsidRPr="006D6C4D">
        <w:rPr>
          <w:i/>
          <w:iCs/>
        </w:rPr>
        <w:t xml:space="preserve"> Dei per </w:t>
      </w:r>
      <w:proofErr w:type="spellStart"/>
      <w:r w:rsidRPr="006D6C4D">
        <w:rPr>
          <w:i/>
          <w:iCs/>
        </w:rPr>
        <w:t>Francos</w:t>
      </w:r>
      <w:proofErr w:type="spellEnd"/>
      <w:r w:rsidRPr="006D6C4D">
        <w:t>, 1, pp. 382 f., trans in Oliver J. Thatcher, and Edgar Holmes McNeal, eds., </w:t>
      </w:r>
      <w:r w:rsidRPr="006D6C4D">
        <w:rPr>
          <w:i/>
          <w:iCs/>
        </w:rPr>
        <w:t>A Source Book for Medieval History</w:t>
      </w:r>
      <w:r w:rsidRPr="006D6C4D">
        <w:t xml:space="preserve">, (New York: </w:t>
      </w:r>
      <w:proofErr w:type="spellStart"/>
      <w:r w:rsidRPr="006D6C4D">
        <w:t>Scribners</w:t>
      </w:r>
      <w:proofErr w:type="spellEnd"/>
      <w:r w:rsidRPr="006D6C4D">
        <w:t>, 1905), 513-17</w:t>
      </w:r>
    </w:p>
  </w:footnote>
  <w:footnote w:id="28">
    <w:p w14:paraId="13C65B76" w14:textId="3D060BCC" w:rsidR="00F82958" w:rsidRPr="00F82958" w:rsidRDefault="00F82958">
      <w:pPr>
        <w:pStyle w:val="FootnoteText"/>
        <w:rPr>
          <w:lang w:val="en-US"/>
        </w:rPr>
      </w:pPr>
      <w:r>
        <w:rPr>
          <w:rStyle w:val="FootnoteReference"/>
        </w:rPr>
        <w:footnoteRef/>
      </w:r>
      <w:r>
        <w:t xml:space="preserve"> </w:t>
      </w:r>
      <w:bookmarkStart w:id="14" w:name="_Hlk65851892"/>
      <w:bookmarkStart w:id="15" w:name="_Hlk65856499"/>
      <w:r>
        <w:rPr>
          <w:lang w:val="en-US"/>
        </w:rPr>
        <w:t xml:space="preserve">Mark Cartwright, ‘The Crusades: Causes and Goals’, </w:t>
      </w:r>
      <w:r>
        <w:rPr>
          <w:i/>
          <w:iCs/>
          <w:lang w:val="en-US"/>
        </w:rPr>
        <w:t>World History Encyclopedia</w:t>
      </w:r>
      <w:r>
        <w:rPr>
          <w:lang w:val="en-US"/>
        </w:rPr>
        <w:t xml:space="preserve">, 2018, </w:t>
      </w:r>
      <w:hyperlink r:id="rId2" w:history="1">
        <w:r w:rsidRPr="00123AA6">
          <w:rPr>
            <w:rStyle w:val="Hyperlink"/>
            <w:lang w:val="en-US"/>
          </w:rPr>
          <w:t>https://www.ancient.eu/article/1249/the-crusades-causes--goals/</w:t>
        </w:r>
      </w:hyperlink>
      <w:r>
        <w:rPr>
          <w:lang w:val="en-US"/>
        </w:rPr>
        <w:t>, [last accessed 5 March 2021]</w:t>
      </w:r>
      <w:bookmarkEnd w:id="14"/>
    </w:p>
    <w:bookmarkEnd w:id="15"/>
  </w:footnote>
  <w:footnote w:id="29">
    <w:p w14:paraId="0A53B07D" w14:textId="78E9ECCF" w:rsidR="00B541E0" w:rsidRPr="00B541E0" w:rsidRDefault="00B541E0">
      <w:pPr>
        <w:pStyle w:val="FootnoteText"/>
        <w:rPr>
          <w:lang w:val="en-US"/>
        </w:rPr>
      </w:pPr>
      <w:r>
        <w:rPr>
          <w:rStyle w:val="FootnoteReference"/>
        </w:rPr>
        <w:footnoteRef/>
      </w:r>
      <w:r>
        <w:t xml:space="preserve"> </w:t>
      </w:r>
      <w:r w:rsidRPr="00B541E0">
        <w:rPr>
          <w:lang w:val="en-US"/>
        </w:rPr>
        <w:t xml:space="preserve">Mark Cartwright, ‘The Crusades: Causes and Goals’, </w:t>
      </w:r>
      <w:r w:rsidRPr="00B541E0">
        <w:rPr>
          <w:i/>
          <w:iCs/>
          <w:lang w:val="en-US"/>
        </w:rPr>
        <w:t>World History Encyclopedia</w:t>
      </w:r>
      <w:r w:rsidRPr="00B541E0">
        <w:rPr>
          <w:lang w:val="en-US"/>
        </w:rPr>
        <w:t xml:space="preserve">, 2018, </w:t>
      </w:r>
      <w:hyperlink r:id="rId3" w:history="1">
        <w:r w:rsidRPr="00B541E0">
          <w:rPr>
            <w:rStyle w:val="Hyperlink"/>
            <w:lang w:val="en-US"/>
          </w:rPr>
          <w:t>https://www.ancient.eu/article/1249/the-crusades-causes--goals/</w:t>
        </w:r>
      </w:hyperlink>
      <w:r w:rsidRPr="00B541E0">
        <w:rPr>
          <w:lang w:val="en-US"/>
        </w:rPr>
        <w:t>, [last accessed 5 March 2021]</w:t>
      </w:r>
    </w:p>
  </w:footnote>
  <w:footnote w:id="30">
    <w:p w14:paraId="42CA19CC" w14:textId="115EA3C8" w:rsidR="002C56F9" w:rsidRPr="002C56F9" w:rsidRDefault="002C56F9">
      <w:pPr>
        <w:pStyle w:val="FootnoteText"/>
        <w:rPr>
          <w:lang w:val="en-US"/>
        </w:rPr>
      </w:pPr>
      <w:r>
        <w:rPr>
          <w:rStyle w:val="FootnoteReference"/>
        </w:rPr>
        <w:footnoteRef/>
      </w:r>
      <w:r w:rsidRPr="002C56F9">
        <w:rPr>
          <w:lang w:val="en-US"/>
        </w:rPr>
        <w:t xml:space="preserve">Mark Cartwright, ‘The Crusades: Causes and Goals’, </w:t>
      </w:r>
      <w:r w:rsidRPr="002C56F9">
        <w:rPr>
          <w:i/>
          <w:iCs/>
          <w:lang w:val="en-US"/>
        </w:rPr>
        <w:t>World History Encyclopedia</w:t>
      </w:r>
      <w:r w:rsidRPr="002C56F9">
        <w:rPr>
          <w:lang w:val="en-US"/>
        </w:rPr>
        <w:t xml:space="preserve">, 2018, </w:t>
      </w:r>
      <w:hyperlink r:id="rId4" w:history="1">
        <w:r w:rsidRPr="002C56F9">
          <w:rPr>
            <w:rStyle w:val="Hyperlink"/>
            <w:lang w:val="en-US"/>
          </w:rPr>
          <w:t>https://www.ancient.eu/article/1249/the-crusades-causes--goals/</w:t>
        </w:r>
      </w:hyperlink>
      <w:r w:rsidRPr="002C56F9">
        <w:rPr>
          <w:lang w:val="en-US"/>
        </w:rPr>
        <w:t>, [last accessed 5 March 2021]</w:t>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069"/>
    <w:rsid w:val="00013E4F"/>
    <w:rsid w:val="000371D9"/>
    <w:rsid w:val="00045CC2"/>
    <w:rsid w:val="00110B5E"/>
    <w:rsid w:val="001112E4"/>
    <w:rsid w:val="001B6589"/>
    <w:rsid w:val="001C332E"/>
    <w:rsid w:val="001C774E"/>
    <w:rsid w:val="001F4DDB"/>
    <w:rsid w:val="002845D2"/>
    <w:rsid w:val="00294034"/>
    <w:rsid w:val="002A2549"/>
    <w:rsid w:val="002A53A9"/>
    <w:rsid w:val="002A7FDF"/>
    <w:rsid w:val="002C56F9"/>
    <w:rsid w:val="00306AD2"/>
    <w:rsid w:val="003620AF"/>
    <w:rsid w:val="003A1155"/>
    <w:rsid w:val="003C0692"/>
    <w:rsid w:val="00412006"/>
    <w:rsid w:val="004223DE"/>
    <w:rsid w:val="00456B71"/>
    <w:rsid w:val="004657E3"/>
    <w:rsid w:val="004664B9"/>
    <w:rsid w:val="004727E7"/>
    <w:rsid w:val="0048199A"/>
    <w:rsid w:val="004852CB"/>
    <w:rsid w:val="00487820"/>
    <w:rsid w:val="004A38B5"/>
    <w:rsid w:val="004C59EC"/>
    <w:rsid w:val="005A167E"/>
    <w:rsid w:val="005E10BF"/>
    <w:rsid w:val="006469A3"/>
    <w:rsid w:val="0067445E"/>
    <w:rsid w:val="00691357"/>
    <w:rsid w:val="006B0603"/>
    <w:rsid w:val="006D3857"/>
    <w:rsid w:val="006D6C4D"/>
    <w:rsid w:val="006E51BF"/>
    <w:rsid w:val="00716BB2"/>
    <w:rsid w:val="00731200"/>
    <w:rsid w:val="00756069"/>
    <w:rsid w:val="007726D0"/>
    <w:rsid w:val="007A0F86"/>
    <w:rsid w:val="008108BF"/>
    <w:rsid w:val="00821A29"/>
    <w:rsid w:val="00822B76"/>
    <w:rsid w:val="008464A7"/>
    <w:rsid w:val="0086238D"/>
    <w:rsid w:val="008F04A3"/>
    <w:rsid w:val="009136DB"/>
    <w:rsid w:val="00916E35"/>
    <w:rsid w:val="00933A49"/>
    <w:rsid w:val="00952B04"/>
    <w:rsid w:val="00961F0C"/>
    <w:rsid w:val="0097215D"/>
    <w:rsid w:val="009C0538"/>
    <w:rsid w:val="00A315EA"/>
    <w:rsid w:val="00AD4C74"/>
    <w:rsid w:val="00B14604"/>
    <w:rsid w:val="00B2269B"/>
    <w:rsid w:val="00B541E0"/>
    <w:rsid w:val="00B605C9"/>
    <w:rsid w:val="00C736DF"/>
    <w:rsid w:val="00C942DC"/>
    <w:rsid w:val="00CC1A63"/>
    <w:rsid w:val="00CD0A4B"/>
    <w:rsid w:val="00CD19BB"/>
    <w:rsid w:val="00CF397B"/>
    <w:rsid w:val="00D03021"/>
    <w:rsid w:val="00D1731F"/>
    <w:rsid w:val="00D76FE3"/>
    <w:rsid w:val="00D9012D"/>
    <w:rsid w:val="00DA4329"/>
    <w:rsid w:val="00E42683"/>
    <w:rsid w:val="00E57BD0"/>
    <w:rsid w:val="00E65DB3"/>
    <w:rsid w:val="00E80036"/>
    <w:rsid w:val="00EB1A80"/>
    <w:rsid w:val="00EB5E58"/>
    <w:rsid w:val="00ED00C8"/>
    <w:rsid w:val="00ED1787"/>
    <w:rsid w:val="00EF6DF4"/>
    <w:rsid w:val="00F07FB9"/>
    <w:rsid w:val="00F35A8F"/>
    <w:rsid w:val="00F82958"/>
    <w:rsid w:val="00FB380C"/>
    <w:rsid w:val="00FC169C"/>
    <w:rsid w:val="00FD3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880702"/>
  <w15:chartTrackingRefBased/>
  <w15:docId w15:val="{E1AE4201-B54F-4036-BE4C-2EF150F3A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6F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A25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2549"/>
    <w:rPr>
      <w:sz w:val="20"/>
      <w:szCs w:val="20"/>
    </w:rPr>
  </w:style>
  <w:style w:type="character" w:styleId="FootnoteReference">
    <w:name w:val="footnote reference"/>
    <w:basedOn w:val="DefaultParagraphFont"/>
    <w:uiPriority w:val="99"/>
    <w:semiHidden/>
    <w:unhideWhenUsed/>
    <w:rsid w:val="002A2549"/>
    <w:rPr>
      <w:vertAlign w:val="superscript"/>
    </w:rPr>
  </w:style>
  <w:style w:type="character" w:styleId="Hyperlink">
    <w:name w:val="Hyperlink"/>
    <w:basedOn w:val="DefaultParagraphFont"/>
    <w:uiPriority w:val="99"/>
    <w:unhideWhenUsed/>
    <w:rsid w:val="00D03021"/>
    <w:rPr>
      <w:color w:val="0563C1" w:themeColor="hyperlink"/>
      <w:u w:val="single"/>
    </w:rPr>
  </w:style>
  <w:style w:type="character" w:styleId="UnresolvedMention">
    <w:name w:val="Unresolved Mention"/>
    <w:basedOn w:val="DefaultParagraphFont"/>
    <w:uiPriority w:val="99"/>
    <w:semiHidden/>
    <w:unhideWhenUsed/>
    <w:rsid w:val="00D03021"/>
    <w:rPr>
      <w:color w:val="605E5C"/>
      <w:shd w:val="clear" w:color="auto" w:fill="E1DFDD"/>
    </w:rPr>
  </w:style>
  <w:style w:type="character" w:customStyle="1" w:styleId="Heading1Char">
    <w:name w:val="Heading 1 Char"/>
    <w:basedOn w:val="DefaultParagraphFont"/>
    <w:link w:val="Heading1"/>
    <w:uiPriority w:val="9"/>
    <w:rsid w:val="002C56F9"/>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othering-5084425" TargetMode="External"/><Relationship Id="rId3" Type="http://schemas.openxmlformats.org/officeDocument/2006/relationships/settings" Target="settings.xml"/><Relationship Id="rId7" Type="http://schemas.openxmlformats.org/officeDocument/2006/relationships/hyperlink" Target="https://www.ancient.eu/article/1249/the-crusades-causes--goal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ancient.eu/article/1249/the-crusades-causes--goals/" TargetMode="External"/><Relationship Id="rId2" Type="http://schemas.openxmlformats.org/officeDocument/2006/relationships/hyperlink" Target="https://www.ancient.eu/article/1249/the-crusades-causes--goals/" TargetMode="External"/><Relationship Id="rId1" Type="http://schemas.openxmlformats.org/officeDocument/2006/relationships/hyperlink" Target="https://www.verywellmind.com/what-is-othering-5084425" TargetMode="External"/><Relationship Id="rId4" Type="http://schemas.openxmlformats.org/officeDocument/2006/relationships/hyperlink" Target="https://www.ancient.eu/article/1249/the-crusades-causes--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624E3E-D37C-409D-ABD3-1A693003A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5524</TotalTime>
  <Pages>5</Pages>
  <Words>1818</Words>
  <Characters>8582</Characters>
  <Application>Microsoft Office Word</Application>
  <DocSecurity>0</DocSecurity>
  <Lines>130</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Priestley</dc:creator>
  <cp:keywords/>
  <dc:description/>
  <cp:lastModifiedBy>Andrew Priestley</cp:lastModifiedBy>
  <cp:revision>16</cp:revision>
  <dcterms:created xsi:type="dcterms:W3CDTF">2021-02-18T13:13:00Z</dcterms:created>
  <dcterms:modified xsi:type="dcterms:W3CDTF">2021-03-05T17:40:00Z</dcterms:modified>
</cp:coreProperties>
</file>