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20431C"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28EE40F0"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946842">
        <w:rPr>
          <w:rFonts w:ascii="Arial" w:hAnsi="Arial" w:cs="Arial"/>
          <w:sz w:val="28"/>
          <w:szCs w:val="28"/>
          <w:lang w:val="nl-NL"/>
        </w:rPr>
        <w:t>INTRODUCTION TO HEALTH AND SOCIAL CARE</w:t>
      </w:r>
    </w:p>
    <w:p w14:paraId="537571AF" w14:textId="5FF1D42B"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946842">
        <w:rPr>
          <w:rFonts w:ascii="Arial" w:hAnsi="Arial" w:cs="Arial"/>
          <w:sz w:val="28"/>
          <w:szCs w:val="28"/>
        </w:rPr>
        <w:t xml:space="preserve"> (LCHS4003)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E990AF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AF775D">
        <w:rPr>
          <w:rFonts w:ascii="Arial" w:hAnsi="Arial" w:cs="Arial"/>
          <w:sz w:val="28"/>
          <w:szCs w:val="28"/>
          <w:lang w:val="nl-NL"/>
        </w:rPr>
        <w:t xml:space="preserve"> IMAN EL MAKKAOUI BENZINA</w:t>
      </w:r>
    </w:p>
    <w:p w14:paraId="39AA4413" w14:textId="73FBBC3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715740">
        <w:rPr>
          <w:rFonts w:ascii="Arial" w:hAnsi="Arial" w:cs="Arial"/>
          <w:sz w:val="28"/>
          <w:szCs w:val="28"/>
          <w:lang w:val="nl-NL"/>
        </w:rPr>
        <w:t>2524</w:t>
      </w:r>
      <w:r w:rsidR="00946842">
        <w:rPr>
          <w:rFonts w:ascii="Arial" w:hAnsi="Arial" w:cs="Arial"/>
          <w:sz w:val="28"/>
          <w:szCs w:val="28"/>
          <w:lang w:val="nl-NL"/>
        </w:rPr>
        <w:t>370</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17E74EC0"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FA4F13">
        <w:rPr>
          <w:rFonts w:ascii="Arial" w:hAnsi="Arial" w:cs="Arial"/>
          <w:sz w:val="28"/>
          <w:szCs w:val="28"/>
        </w:rPr>
        <w:t xml:space="preserve"> D</w:t>
      </w:r>
      <w:r w:rsidR="007548DC">
        <w:rPr>
          <w:rFonts w:ascii="Arial" w:hAnsi="Arial" w:cs="Arial"/>
          <w:sz w:val="28"/>
          <w:szCs w:val="28"/>
        </w:rPr>
        <w:t>r JOLLY</w:t>
      </w:r>
      <w:r w:rsidR="00860543">
        <w:rPr>
          <w:rFonts w:ascii="Arial" w:hAnsi="Arial" w:cs="Arial"/>
          <w:sz w:val="28"/>
          <w:szCs w:val="28"/>
        </w:rPr>
        <w:t xml:space="preserve"> NWANKO</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74326208" w14:textId="77777777" w:rsidR="00333081" w:rsidRPr="00333081" w:rsidRDefault="00333081" w:rsidP="00333081">
      <w:pPr>
        <w:tabs>
          <w:tab w:val="left" w:pos="6540"/>
        </w:tabs>
        <w:spacing w:line="360" w:lineRule="auto"/>
        <w:rPr>
          <w:rFonts w:asciiTheme="minorBidi" w:hAnsiTheme="minorBidi"/>
          <w:sz w:val="22"/>
        </w:rPr>
      </w:pPr>
    </w:p>
    <w:p w14:paraId="4BE7C23E"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1. Introduction</w:t>
      </w:r>
    </w:p>
    <w:p w14:paraId="1513AFC0" w14:textId="77777777" w:rsidR="00333081" w:rsidRPr="00333081" w:rsidRDefault="00333081" w:rsidP="00333081">
      <w:pPr>
        <w:tabs>
          <w:tab w:val="left" w:pos="6540"/>
        </w:tabs>
        <w:spacing w:line="360" w:lineRule="auto"/>
        <w:rPr>
          <w:rFonts w:asciiTheme="minorBidi" w:hAnsiTheme="minorBidi"/>
          <w:sz w:val="22"/>
        </w:rPr>
      </w:pPr>
    </w:p>
    <w:p w14:paraId="2F4A0974"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Health and social care professionals have a responsibility to provide safe, respectful and person-centred care. Effective communication, accurate record keeping and collaborative working are particularly important when supporting older people with complex needs. This report focuses on Mrs Thompson, an 84-year-old woman who has recently been discharged from hospital following pneumonia. She lives alone in sheltered housing, receives domiciliary care twice a day and has mild dementia. Concerns have been raised because she missed her medication for two days and was later found outside without appropriate clothing in cold weather. These incidents may place her health and safety at risk. This report will discuss the importance of effective communication, using Berlo’s (1960) communication model, good administrative skills and record keeping, and collaborative working between the professionals involved in Mrs Thompson’s care.</w:t>
      </w:r>
    </w:p>
    <w:p w14:paraId="46598387" w14:textId="77777777" w:rsidR="00333081" w:rsidRPr="00333081" w:rsidRDefault="00333081" w:rsidP="00333081">
      <w:pPr>
        <w:tabs>
          <w:tab w:val="left" w:pos="6540"/>
        </w:tabs>
        <w:spacing w:line="360" w:lineRule="auto"/>
        <w:rPr>
          <w:rFonts w:asciiTheme="minorBidi" w:hAnsiTheme="minorBidi"/>
          <w:sz w:val="22"/>
        </w:rPr>
      </w:pPr>
    </w:p>
    <w:p w14:paraId="7317AA75"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2. Importance of Effective Communication</w:t>
      </w:r>
    </w:p>
    <w:p w14:paraId="6DF3313A" w14:textId="77777777" w:rsidR="00333081" w:rsidRPr="00333081" w:rsidRDefault="00333081" w:rsidP="00333081">
      <w:pPr>
        <w:tabs>
          <w:tab w:val="left" w:pos="6540"/>
        </w:tabs>
        <w:spacing w:line="360" w:lineRule="auto"/>
        <w:rPr>
          <w:rFonts w:asciiTheme="minorBidi" w:hAnsiTheme="minorBidi"/>
          <w:sz w:val="22"/>
        </w:rPr>
      </w:pPr>
    </w:p>
    <w:p w14:paraId="25B47F79"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Effective communication is essential when supporting Mrs Thompson because her mild dementia may affect her memory, understanding and ability to communicate her needs. Communication should therefore be adapted to her individual abilities and should remain person-centred. NICE (2018) recommends that people living with dementia should be encouraged to express their own views and that communication methods should be </w:t>
      </w:r>
      <w:proofErr w:type="gramStart"/>
      <w:r w:rsidRPr="00333081">
        <w:rPr>
          <w:rFonts w:asciiTheme="minorBidi" w:hAnsiTheme="minorBidi"/>
          <w:sz w:val="22"/>
        </w:rPr>
        <w:t>adapted</w:t>
      </w:r>
      <w:proofErr w:type="gramEnd"/>
      <w:r w:rsidRPr="00333081">
        <w:rPr>
          <w:rFonts w:asciiTheme="minorBidi" w:hAnsiTheme="minorBidi"/>
          <w:sz w:val="22"/>
        </w:rPr>
        <w:t xml:space="preserve"> when necessary, for example by using simplified information or visual aids. This can help Mrs Thompson to remain involved in decisions about her care.</w:t>
      </w:r>
    </w:p>
    <w:p w14:paraId="2A68DDF5"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When communicating with Mrs Thompson, care workers should speak clearly and calmly, use simple language and give her enough time to respond. They should avoid giving too much information at once and should reduce distractions where possible. For example, when discussing medication, the care worker could ask a simple question such as, “Have you taken your medication this morning?” rather than using complicated language. They should also listen carefully and observe her non-verbal communication. Person-centred communication can help people with dementia to express themselves and maintain meaningful relationships (</w:t>
      </w:r>
      <w:proofErr w:type="spellStart"/>
      <w:r w:rsidRPr="00333081">
        <w:rPr>
          <w:rFonts w:asciiTheme="minorBidi" w:hAnsiTheme="minorBidi"/>
          <w:sz w:val="22"/>
        </w:rPr>
        <w:t>Savundranayagam</w:t>
      </w:r>
      <w:proofErr w:type="spellEnd"/>
      <w:r w:rsidRPr="00333081">
        <w:rPr>
          <w:rFonts w:asciiTheme="minorBidi" w:hAnsiTheme="minorBidi"/>
          <w:sz w:val="22"/>
        </w:rPr>
        <w:t xml:space="preserve"> and Moore-Nielsen, 2015).</w:t>
      </w:r>
    </w:p>
    <w:p w14:paraId="709755F3"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lastRenderedPageBreak/>
        <w:t xml:space="preserve">Berlo’s (1960) Model of Communication is useful when considering Mrs Thompson’s situation. The model consists of four main components: Source, Message, Channel and Receiver. The source is the person sending the information, the message is the information being communicated, the channel is the method used to </w:t>
      </w:r>
      <w:proofErr w:type="gramStart"/>
      <w:r w:rsidRPr="00333081">
        <w:rPr>
          <w:rFonts w:asciiTheme="minorBidi" w:hAnsiTheme="minorBidi"/>
          <w:sz w:val="22"/>
        </w:rPr>
        <w:t>communicate</w:t>
      </w:r>
      <w:proofErr w:type="gramEnd"/>
      <w:r w:rsidRPr="00333081">
        <w:rPr>
          <w:rFonts w:asciiTheme="minorBidi" w:hAnsiTheme="minorBidi"/>
          <w:sz w:val="22"/>
        </w:rPr>
        <w:t xml:space="preserve"> and the receiver is the person receiving the message (Berlo, 1960). In Mrs Thompson’s case, a domiciliary care worker could be the source, the message could be information about her medication, the channel could be spoken communication supported by body language, and Mrs Thompson would be the receiver. However, factors such as dementia, hearing difficulties, anxiety or environmental distractions could affect how she understands the message. Therefore, the care worker should check her understanding and allow her to ask questions.</w:t>
      </w:r>
    </w:p>
    <w:p w14:paraId="5D1C8288"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Communication with Mrs Thompson’s family is also important because relatives may have useful information about her routines, preferences and changes in behaviour. However, professionals must respect confidentiality and should not automatically share personal information simply because someone is a family member. NICE (2018) recommends involving family members or carers where appropriate while also involving the person with dementia in decisions about their care.</w:t>
      </w:r>
    </w:p>
    <w:p w14:paraId="0E9691E7" w14:textId="77777777" w:rsid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The Equality Act 2010 is relevant because age and disability are protected characteristics. Mrs Thompson should not receive poorer treatment because she is elderly or has dementia. Communication should be adapted to her needs so that she can participate as much as possible in decisions about her care. The Equality Act 2010 provides protection against discrimination and supports equality in the provision of services (Equality Act 2010).</w:t>
      </w:r>
    </w:p>
    <w:p w14:paraId="7E4EBC66" w14:textId="4F5198ED" w:rsidR="000F1A9D" w:rsidRPr="00333081" w:rsidRDefault="00181B0B" w:rsidP="00333081">
      <w:pPr>
        <w:tabs>
          <w:tab w:val="left" w:pos="6540"/>
        </w:tabs>
        <w:spacing w:line="360" w:lineRule="auto"/>
        <w:rPr>
          <w:rFonts w:asciiTheme="minorBidi" w:hAnsiTheme="minorBidi"/>
          <w:sz w:val="22"/>
        </w:rPr>
      </w:pPr>
      <w:r>
        <w:rPr>
          <w:rFonts w:asciiTheme="minorBidi" w:hAnsiTheme="minorBidi"/>
          <w:sz w:val="22"/>
        </w:rPr>
        <w:t>Capacity and consent are also important when caring for Mrs Thom</w:t>
      </w:r>
      <w:r w:rsidR="006C0A28">
        <w:rPr>
          <w:rFonts w:asciiTheme="minorBidi" w:hAnsiTheme="minorBidi"/>
          <w:sz w:val="22"/>
        </w:rPr>
        <w:t xml:space="preserve">pson. Although she has mild dementia, professionals should </w:t>
      </w:r>
      <w:r w:rsidR="00B50D35">
        <w:rPr>
          <w:rFonts w:asciiTheme="minorBidi" w:hAnsiTheme="minorBidi"/>
          <w:sz w:val="22"/>
        </w:rPr>
        <w:t xml:space="preserve">not assume that she lacks capacity. The Mental Capacity Act 2005 states </w:t>
      </w:r>
      <w:r w:rsidR="003468A1">
        <w:rPr>
          <w:rFonts w:asciiTheme="minorBidi" w:hAnsiTheme="minorBidi"/>
          <w:sz w:val="22"/>
        </w:rPr>
        <w:t xml:space="preserve">that people should be supported to make their own decisions where possible. Staff </w:t>
      </w:r>
      <w:r w:rsidR="00381E99">
        <w:rPr>
          <w:rFonts w:asciiTheme="minorBidi" w:hAnsiTheme="minorBidi"/>
          <w:sz w:val="22"/>
        </w:rPr>
        <w:t>should use clear language, give her time to respond and involve her in decisions about her medication and care. This supports her dignity and independence.</w:t>
      </w:r>
    </w:p>
    <w:p w14:paraId="4C160BB1"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Effective communication is particularly important following the medication incident. Staff should discuss the situation with Mrs Thompson in a respectful way and avoid making her feel blamed or embarrassed. Any concerns should also be communicated to the relevant professionals so that appropriate action can be taken.</w:t>
      </w:r>
    </w:p>
    <w:p w14:paraId="04CB6DD4" w14:textId="77777777" w:rsidR="00333081" w:rsidRPr="00333081" w:rsidRDefault="00333081" w:rsidP="00333081">
      <w:pPr>
        <w:tabs>
          <w:tab w:val="left" w:pos="6540"/>
        </w:tabs>
        <w:spacing w:line="360" w:lineRule="auto"/>
        <w:rPr>
          <w:rFonts w:asciiTheme="minorBidi" w:hAnsiTheme="minorBidi"/>
          <w:sz w:val="22"/>
        </w:rPr>
      </w:pPr>
    </w:p>
    <w:p w14:paraId="0B412068"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3. Importance of Good Administrative Skills and Record Keeping</w:t>
      </w:r>
    </w:p>
    <w:p w14:paraId="5C84E6B5" w14:textId="77777777" w:rsidR="00333081" w:rsidRPr="00333081" w:rsidRDefault="00333081" w:rsidP="00333081">
      <w:pPr>
        <w:tabs>
          <w:tab w:val="left" w:pos="6540"/>
        </w:tabs>
        <w:spacing w:line="360" w:lineRule="auto"/>
        <w:rPr>
          <w:rFonts w:asciiTheme="minorBidi" w:hAnsiTheme="minorBidi"/>
          <w:sz w:val="22"/>
        </w:rPr>
      </w:pPr>
    </w:p>
    <w:p w14:paraId="71939F0B"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lastRenderedPageBreak/>
        <w:t>Good administrative skills are important for providing safe and accountable health and social care. In Mrs Thompson’s case, accurate records are particularly important because there has been a medication incident and concerns about her safety. Records should clearly show what happened, what action was taken and whether further action is required.</w:t>
      </w:r>
    </w:p>
    <w:p w14:paraId="6444B311"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The domiciliary care worker should record the missed medication accurately, including the date and time, the medication involved, what Mrs Thompson said about the incident and any action taken. The incident should also be reported according to the organisation’s policies and procedures. The medication review requested after the incident should be documented and communicated to the appropriate professionals.</w:t>
      </w:r>
    </w:p>
    <w:p w14:paraId="3D41E62E"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Records should be factual, clear, objective and completed as soon as possible. For example, instead of writing “Mrs Thompson was careless with her medication”, a professional record could state that “Mrs Thompson reported that she had forgotten to take her medication for two days”. This provides </w:t>
      </w:r>
      <w:proofErr w:type="gramStart"/>
      <w:r w:rsidRPr="00333081">
        <w:rPr>
          <w:rFonts w:asciiTheme="minorBidi" w:hAnsiTheme="minorBidi"/>
          <w:sz w:val="22"/>
        </w:rPr>
        <w:t>factual information</w:t>
      </w:r>
      <w:proofErr w:type="gramEnd"/>
      <w:r w:rsidRPr="00333081">
        <w:rPr>
          <w:rFonts w:asciiTheme="minorBidi" w:hAnsiTheme="minorBidi"/>
          <w:sz w:val="22"/>
        </w:rPr>
        <w:t xml:space="preserve"> without making an inappropriate judgement.</w:t>
      </w:r>
    </w:p>
    <w:p w14:paraId="365E8DCE"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The Data Protection Act 2018 and UK GDPR are particularly important because Mrs Thompson’s medical and social care information is personal and sensitive. Health information is classified as special category data and therefore requires additional protection (ICO, 2026). Professionals must ensure that information is processed lawfully and securely and that only appropriate information is collected and shared. The main data protection principles include lawfulness, fairness and transparency, purpose limitation, data minimisation, accuracy, storage limitation, and integrity and confidentiality (ICO, 2026).</w:t>
      </w:r>
    </w:p>
    <w:p w14:paraId="26BD01E5"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In practice, staff should only access information that is necessary for their professional role. They should not discuss Mrs Thompson’s personal information in public areas and </w:t>
      </w:r>
      <w:proofErr w:type="gramStart"/>
      <w:r w:rsidRPr="00333081">
        <w:rPr>
          <w:rFonts w:asciiTheme="minorBidi" w:hAnsiTheme="minorBidi"/>
          <w:sz w:val="22"/>
        </w:rPr>
        <w:t>paper</w:t>
      </w:r>
      <w:proofErr w:type="gramEnd"/>
      <w:r w:rsidRPr="00333081">
        <w:rPr>
          <w:rFonts w:asciiTheme="minorBidi" w:hAnsiTheme="minorBidi"/>
          <w:sz w:val="22"/>
        </w:rPr>
        <w:t xml:space="preserve"> or electronic records should be stored securely. Information should also only be shared with relevant professionals when there is an appropriate reason to do so.</w:t>
      </w:r>
    </w:p>
    <w:p w14:paraId="2C3FE8E7"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Good record keeping also supports continuity of care. Mrs Thompson receives support from domiciliary care workers and may also require support from her GP, community nurse and local authority. If the medication incident is not recorded correctly, another professional may not understand the risks involved or know that a medication review has been requested. NICE (2018) recommends that relevant information is shared and recorded in the person’s care and support plan to support continuity and consistency of care.</w:t>
      </w:r>
    </w:p>
    <w:p w14:paraId="08BB875B"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Administrative skills can therefore contribute directly to patient safety. Accurate records allow professionals to identify changes, review incidents and decide whether Mrs Thompson’s care needs have increased. If she continues to forget medication or is repeatedly found </w:t>
      </w:r>
      <w:r w:rsidRPr="00333081">
        <w:rPr>
          <w:rFonts w:asciiTheme="minorBidi" w:hAnsiTheme="minorBidi"/>
          <w:sz w:val="22"/>
        </w:rPr>
        <w:lastRenderedPageBreak/>
        <w:t>outside without suitable clothing, her care plan and risk assessment may need to be reviewed.</w:t>
      </w:r>
    </w:p>
    <w:p w14:paraId="1D44576C" w14:textId="77777777" w:rsidR="00333081" w:rsidRPr="00333081" w:rsidRDefault="00333081" w:rsidP="00333081">
      <w:pPr>
        <w:tabs>
          <w:tab w:val="left" w:pos="6540"/>
        </w:tabs>
        <w:spacing w:line="360" w:lineRule="auto"/>
        <w:rPr>
          <w:rFonts w:asciiTheme="minorBidi" w:hAnsiTheme="minorBidi"/>
          <w:sz w:val="22"/>
        </w:rPr>
      </w:pPr>
    </w:p>
    <w:p w14:paraId="61DA87E6"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4. Importance of Working Collaboratively</w:t>
      </w:r>
    </w:p>
    <w:p w14:paraId="6762DFE6"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Collaborative working is important because Mrs Thompson’s needs cannot be managed effectively by one professional alone. Different professionals have different responsibilities. Her GP can review her medical condition and medication, while a community nurse may monitor her recovery from pneumonia and provide clinical support. Domiciliary care workers have regular contact with Mrs Thompson and may notice changes in her behaviour, medication routines or ability to remain safe. The local council may also have responsibilities for her social care assessment and safeguarding.</w:t>
      </w:r>
    </w:p>
    <w:p w14:paraId="137B9478"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NICE (2018) recommends that people living with dementia should have a named health or social care professional who is responsible for coordinating their care. Effective coordination can help professionals consider all of Mrs Thompson’s needs together rather than dealing with each incident separately. The medication problem and the incident involving inappropriate clothing could indicate that she requires additional support.</w:t>
      </w:r>
    </w:p>
    <w:p w14:paraId="7AE14406"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There can be challenges when several organisations and professionals are involved. These may include poor communication, delays in sharing information, different professional priorities and unclear responsibilities. Weller, Boyd and Cumin (2014) explain that communication failures can create risks to patient safety in multidisciplinary healthcare teams.</w:t>
      </w:r>
    </w:p>
    <w:p w14:paraId="02257865"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These challenges can be reduced through clear care plans, accurate records, regular communication and multidisciplinary meetings. Professionals should understand their responsibilities and respect the contribution of other team members. Information should be shared appropriately and confidentiality must be maintained. The Care Act 2014 also places responsibilities on local authorities relating to wellbeing and safeguarding adults who may be at risk of abuse or neglect. In Mrs Thompson’s case, professionals should therefore respond to concerns about her safety rather than waiting for another incident to occur.</w:t>
      </w:r>
    </w:p>
    <w:p w14:paraId="72886732" w14:textId="77777777" w:rsidR="00333081" w:rsidRPr="00333081" w:rsidRDefault="00333081" w:rsidP="00333081">
      <w:pPr>
        <w:tabs>
          <w:tab w:val="left" w:pos="6540"/>
        </w:tabs>
        <w:spacing w:line="360" w:lineRule="auto"/>
        <w:rPr>
          <w:rFonts w:asciiTheme="minorBidi" w:hAnsiTheme="minorBidi"/>
          <w:sz w:val="22"/>
        </w:rPr>
      </w:pPr>
    </w:p>
    <w:p w14:paraId="75EBE552"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5. Conclusion</w:t>
      </w:r>
    </w:p>
    <w:p w14:paraId="75C96ACE" w14:textId="77777777" w:rsidR="00333081" w:rsidRPr="00333081" w:rsidRDefault="00333081" w:rsidP="00333081">
      <w:pPr>
        <w:tabs>
          <w:tab w:val="left" w:pos="6540"/>
        </w:tabs>
        <w:spacing w:line="360" w:lineRule="auto"/>
        <w:rPr>
          <w:rFonts w:asciiTheme="minorBidi" w:hAnsiTheme="minorBidi"/>
          <w:sz w:val="22"/>
        </w:rPr>
      </w:pPr>
    </w:p>
    <w:p w14:paraId="4B134FF4"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lastRenderedPageBreak/>
        <w:t>In conclusion, effective communication, good administrative skills and collaborative working are essential for providing safe and person-centred care to Mrs Thompson. Her age, mild dementia, recent hospital discharge, missed medication and vulnerability in cold weather demonstrate the importance of recognising and responding to changes in her needs.</w:t>
      </w:r>
    </w:p>
    <w:p w14:paraId="7872B086"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Communication should be adapted to her abilities while respecting her dignity, independence and right to participate in decisions. Berlo’s (1960) communication model demonstrates how the source, message, channel and receiver can affect communication. The Equality Act 2010 also supports fair and non-discriminatory treatment.</w:t>
      </w:r>
    </w:p>
    <w:p w14:paraId="697E0E02"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Accurate record keeping is important because it provides clear information about incidents and supports continuity of care. The Data Protection Act 2018 and UK GDPR also ensure that Mrs Thompson’s personal information is handled appropriately. Finally, effective collaboration between the GP, community nurse, domiciliary care workers and local council can help identify risks and provide coordinated support. By working together, professionals can improve Mrs Thompson’s safety, wellbeing and independence.</w:t>
      </w:r>
    </w:p>
    <w:p w14:paraId="23EC43D6" w14:textId="77777777" w:rsidR="00333081" w:rsidRPr="00333081" w:rsidRDefault="00333081" w:rsidP="00333081">
      <w:pPr>
        <w:tabs>
          <w:tab w:val="left" w:pos="6540"/>
        </w:tabs>
        <w:spacing w:line="360" w:lineRule="auto"/>
        <w:rPr>
          <w:rFonts w:asciiTheme="minorBidi" w:hAnsiTheme="minorBidi"/>
          <w:sz w:val="22"/>
        </w:rPr>
      </w:pPr>
    </w:p>
    <w:p w14:paraId="39F32BCE" w14:textId="7777777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References</w:t>
      </w:r>
    </w:p>
    <w:p w14:paraId="40E4471E" w14:textId="77777777" w:rsidR="00333081" w:rsidRPr="00333081" w:rsidRDefault="00333081" w:rsidP="00333081">
      <w:pPr>
        <w:tabs>
          <w:tab w:val="left" w:pos="6540"/>
        </w:tabs>
        <w:spacing w:line="360" w:lineRule="auto"/>
        <w:rPr>
          <w:rFonts w:asciiTheme="minorBidi" w:hAnsiTheme="minorBidi"/>
          <w:sz w:val="22"/>
        </w:rPr>
      </w:pPr>
    </w:p>
    <w:p w14:paraId="1089161B" w14:textId="6E7E40A0"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Berlo, D.K. (1960) The Process of Communication: An Introduction to Theory and Practice. New York: Holt, Rinehart and Winston. </w:t>
      </w:r>
    </w:p>
    <w:p w14:paraId="7621B2DE" w14:textId="77777777" w:rsidR="00333081" w:rsidRPr="00333081" w:rsidRDefault="00333081" w:rsidP="00333081">
      <w:pPr>
        <w:tabs>
          <w:tab w:val="left" w:pos="6540"/>
        </w:tabs>
        <w:spacing w:line="360" w:lineRule="auto"/>
        <w:rPr>
          <w:rFonts w:asciiTheme="minorBidi" w:hAnsiTheme="minorBidi"/>
          <w:sz w:val="22"/>
        </w:rPr>
      </w:pPr>
    </w:p>
    <w:p w14:paraId="05D7DD2C" w14:textId="4515C047"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Care Act 2014 (2014) Care Act 2014. London: The Stationery Office. Available at: </w:t>
      </w:r>
      <w:hyperlink r:id="rId8" w:history="1">
        <w:r w:rsidR="00940570" w:rsidRPr="003F1239">
          <w:rPr>
            <w:rStyle w:val="Hipervnculo"/>
            <w:rFonts w:asciiTheme="minorBidi" w:hAnsiTheme="minorBidi"/>
            <w:sz w:val="22"/>
          </w:rPr>
          <w:t>https://www.legislation.gov.uk/ukpga/2014/23</w:t>
        </w:r>
      </w:hyperlink>
      <w:r w:rsidR="00940570">
        <w:rPr>
          <w:rFonts w:asciiTheme="minorBidi" w:hAnsiTheme="minorBidi"/>
          <w:sz w:val="22"/>
        </w:rPr>
        <w:t xml:space="preserve"> </w:t>
      </w:r>
      <w:r w:rsidRPr="00333081">
        <w:rPr>
          <w:rFonts w:asciiTheme="minorBidi" w:hAnsiTheme="minorBidi"/>
          <w:sz w:val="22"/>
        </w:rPr>
        <w:t xml:space="preserve"> (Accessed: 20 August 2026). </w:t>
      </w:r>
    </w:p>
    <w:p w14:paraId="454C9177" w14:textId="77777777" w:rsidR="00333081" w:rsidRPr="00333081" w:rsidRDefault="00333081" w:rsidP="00333081">
      <w:pPr>
        <w:tabs>
          <w:tab w:val="left" w:pos="6540"/>
        </w:tabs>
        <w:spacing w:line="360" w:lineRule="auto"/>
        <w:rPr>
          <w:rFonts w:asciiTheme="minorBidi" w:hAnsiTheme="minorBidi"/>
          <w:sz w:val="22"/>
        </w:rPr>
      </w:pPr>
    </w:p>
    <w:p w14:paraId="257549B7" w14:textId="6AFACF2D"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Equality Act 2010 (2010) Equality Act 2010. London: The Stationery Office. Available at: </w:t>
      </w:r>
      <w:hyperlink r:id="rId9" w:history="1">
        <w:r w:rsidR="00940570" w:rsidRPr="003F1239">
          <w:rPr>
            <w:rStyle w:val="Hipervnculo"/>
            <w:rFonts w:asciiTheme="minorBidi" w:hAnsiTheme="minorBidi"/>
            <w:sz w:val="22"/>
          </w:rPr>
          <w:t>https://www.legislation.gov.uk/ukpga/2010/15</w:t>
        </w:r>
      </w:hyperlink>
      <w:r w:rsidR="00940570">
        <w:rPr>
          <w:rFonts w:asciiTheme="minorBidi" w:hAnsiTheme="minorBidi"/>
          <w:sz w:val="22"/>
        </w:rPr>
        <w:t xml:space="preserve"> </w:t>
      </w:r>
      <w:r w:rsidRPr="00333081">
        <w:rPr>
          <w:rFonts w:asciiTheme="minorBidi" w:hAnsiTheme="minorBidi"/>
          <w:sz w:val="22"/>
        </w:rPr>
        <w:t xml:space="preserve"> (Accessed: 20 August 2026). </w:t>
      </w:r>
    </w:p>
    <w:p w14:paraId="1F99AFE6" w14:textId="77777777" w:rsidR="00333081" w:rsidRPr="00333081" w:rsidRDefault="00333081" w:rsidP="00333081">
      <w:pPr>
        <w:tabs>
          <w:tab w:val="left" w:pos="6540"/>
        </w:tabs>
        <w:spacing w:line="360" w:lineRule="auto"/>
        <w:rPr>
          <w:rFonts w:asciiTheme="minorBidi" w:hAnsiTheme="minorBidi"/>
          <w:sz w:val="22"/>
        </w:rPr>
      </w:pPr>
    </w:p>
    <w:p w14:paraId="65FDC9CB" w14:textId="074347B2"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Information Commissioner’s Office (ICO) (2026) A guide to the data protection principles. Available at: https://ico.org.uk/for-organisations/uk-gdpr-guidance-and-resources/data-protection-principles/ (Accessed: 20 August 2026). </w:t>
      </w:r>
    </w:p>
    <w:p w14:paraId="54335646" w14:textId="77777777" w:rsidR="00333081" w:rsidRPr="00333081" w:rsidRDefault="00333081" w:rsidP="00333081">
      <w:pPr>
        <w:tabs>
          <w:tab w:val="left" w:pos="6540"/>
        </w:tabs>
        <w:spacing w:line="360" w:lineRule="auto"/>
        <w:rPr>
          <w:rFonts w:asciiTheme="minorBidi" w:hAnsiTheme="minorBidi"/>
          <w:sz w:val="22"/>
        </w:rPr>
      </w:pPr>
    </w:p>
    <w:p w14:paraId="508199FD" w14:textId="5421BD4A" w:rsidR="00333081" w:rsidRPr="00333081" w:rsidRDefault="00333081" w:rsidP="00333081">
      <w:pPr>
        <w:tabs>
          <w:tab w:val="left" w:pos="6540"/>
        </w:tabs>
        <w:spacing w:line="360" w:lineRule="auto"/>
        <w:rPr>
          <w:rFonts w:asciiTheme="minorBidi" w:hAnsiTheme="minorBidi"/>
          <w:sz w:val="22"/>
        </w:rPr>
      </w:pPr>
      <w:r w:rsidRPr="00333081">
        <w:rPr>
          <w:rFonts w:asciiTheme="minorBidi" w:hAnsiTheme="minorBidi"/>
          <w:sz w:val="22"/>
        </w:rPr>
        <w:lastRenderedPageBreak/>
        <w:t xml:space="preserve">National Institute for Health and Care Excellence (NICE) (2018) Dementia: assessment, management and support for people living with dementia and their carers (NG97). Available at: </w:t>
      </w:r>
      <w:hyperlink r:id="rId10" w:history="1">
        <w:r w:rsidR="00940570" w:rsidRPr="003F1239">
          <w:rPr>
            <w:rStyle w:val="Hipervnculo"/>
            <w:rFonts w:asciiTheme="minorBidi" w:hAnsiTheme="minorBidi"/>
            <w:sz w:val="22"/>
          </w:rPr>
          <w:t>https://www.nice.org.uk/guidance/ng97</w:t>
        </w:r>
      </w:hyperlink>
      <w:r w:rsidR="00940570">
        <w:rPr>
          <w:rFonts w:asciiTheme="minorBidi" w:hAnsiTheme="minorBidi"/>
          <w:sz w:val="22"/>
        </w:rPr>
        <w:t xml:space="preserve"> </w:t>
      </w:r>
      <w:r w:rsidRPr="00333081">
        <w:rPr>
          <w:rFonts w:asciiTheme="minorBidi" w:hAnsiTheme="minorBidi"/>
          <w:sz w:val="22"/>
        </w:rPr>
        <w:t xml:space="preserve"> (Accessed: 20 August 2026). </w:t>
      </w:r>
    </w:p>
    <w:p w14:paraId="16FD6198" w14:textId="77777777" w:rsidR="00333081" w:rsidRPr="00333081" w:rsidRDefault="00333081" w:rsidP="00333081">
      <w:pPr>
        <w:tabs>
          <w:tab w:val="left" w:pos="6540"/>
        </w:tabs>
        <w:spacing w:line="360" w:lineRule="auto"/>
        <w:rPr>
          <w:rFonts w:asciiTheme="minorBidi" w:hAnsiTheme="minorBidi"/>
          <w:sz w:val="22"/>
        </w:rPr>
      </w:pPr>
    </w:p>
    <w:p w14:paraId="1195C02A" w14:textId="290CC9E6" w:rsidR="00333081" w:rsidRPr="00333081" w:rsidRDefault="00333081" w:rsidP="00333081">
      <w:pPr>
        <w:tabs>
          <w:tab w:val="left" w:pos="6540"/>
        </w:tabs>
        <w:spacing w:line="360" w:lineRule="auto"/>
        <w:rPr>
          <w:rFonts w:asciiTheme="minorBidi" w:hAnsiTheme="minorBidi"/>
          <w:sz w:val="22"/>
        </w:rPr>
      </w:pPr>
      <w:proofErr w:type="spellStart"/>
      <w:r w:rsidRPr="00333081">
        <w:rPr>
          <w:rFonts w:asciiTheme="minorBidi" w:hAnsiTheme="minorBidi"/>
          <w:sz w:val="22"/>
        </w:rPr>
        <w:t>Savundranayagam</w:t>
      </w:r>
      <w:proofErr w:type="spellEnd"/>
      <w:r w:rsidRPr="00333081">
        <w:rPr>
          <w:rFonts w:asciiTheme="minorBidi" w:hAnsiTheme="minorBidi"/>
          <w:sz w:val="22"/>
        </w:rPr>
        <w:t>, M.Y. and Moore-Nielsen, K. (2015) ‘Language-based communication strategies that support person-</w:t>
      </w:r>
      <w:proofErr w:type="spellStart"/>
      <w:r w:rsidRPr="00333081">
        <w:rPr>
          <w:rFonts w:asciiTheme="minorBidi" w:hAnsiTheme="minorBidi"/>
          <w:sz w:val="22"/>
        </w:rPr>
        <w:t>centered</w:t>
      </w:r>
      <w:proofErr w:type="spellEnd"/>
      <w:r w:rsidRPr="00333081">
        <w:rPr>
          <w:rFonts w:asciiTheme="minorBidi" w:hAnsiTheme="minorBidi"/>
          <w:sz w:val="22"/>
        </w:rPr>
        <w:t xml:space="preserve"> communication with persons with dementia’, International Psychogeriatrics, 27(10), pp. 1707–1718. </w:t>
      </w:r>
    </w:p>
    <w:p w14:paraId="38F9CAB9" w14:textId="77777777" w:rsidR="00333081" w:rsidRPr="00333081" w:rsidRDefault="00333081" w:rsidP="00333081">
      <w:pPr>
        <w:tabs>
          <w:tab w:val="left" w:pos="6540"/>
        </w:tabs>
        <w:spacing w:line="360" w:lineRule="auto"/>
        <w:rPr>
          <w:rFonts w:asciiTheme="minorBidi" w:hAnsiTheme="minorBidi"/>
          <w:sz w:val="22"/>
        </w:rPr>
      </w:pPr>
    </w:p>
    <w:p w14:paraId="1425F4AC" w14:textId="7A50EFFE" w:rsidR="001D7C03" w:rsidRPr="00CD33A8" w:rsidRDefault="00333081" w:rsidP="00333081">
      <w:pPr>
        <w:tabs>
          <w:tab w:val="left" w:pos="6540"/>
        </w:tabs>
        <w:spacing w:line="360" w:lineRule="auto"/>
        <w:rPr>
          <w:rFonts w:asciiTheme="minorBidi" w:hAnsiTheme="minorBidi"/>
          <w:sz w:val="22"/>
        </w:rPr>
      </w:pPr>
      <w:r w:rsidRPr="00333081">
        <w:rPr>
          <w:rFonts w:asciiTheme="minorBidi" w:hAnsiTheme="minorBidi"/>
          <w:sz w:val="22"/>
        </w:rPr>
        <w:t xml:space="preserve">Weller, J., Boyd, M. and Cumin, D. (2014) ‘Teams, tribes and patient safety: overcoming barriers to effective teamwork in healthcare’, Postgraduate Medical Journal, 90(1061), pp. 149–154. </w:t>
      </w:r>
    </w:p>
    <w:sectPr w:rsidR="001D7C03" w:rsidRPr="00CD33A8" w:rsidSect="00E620E7">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33E68" w14:textId="77777777" w:rsidR="006D0462" w:rsidRDefault="006D0462" w:rsidP="003E4ECF">
      <w:pPr>
        <w:spacing w:after="0" w:line="240" w:lineRule="auto"/>
      </w:pPr>
      <w:r>
        <w:separator/>
      </w:r>
    </w:p>
  </w:endnote>
  <w:endnote w:type="continuationSeparator" w:id="0">
    <w:p w14:paraId="2F17D2EC" w14:textId="77777777" w:rsidR="006D0462" w:rsidRDefault="006D046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Piedepgina"/>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29EEE" w14:textId="77777777" w:rsidR="006D0462" w:rsidRDefault="006D0462" w:rsidP="003E4ECF">
      <w:pPr>
        <w:spacing w:after="0" w:line="240" w:lineRule="auto"/>
      </w:pPr>
      <w:r>
        <w:separator/>
      </w:r>
    </w:p>
  </w:footnote>
  <w:footnote w:type="continuationSeparator" w:id="0">
    <w:p w14:paraId="27BBD8FE" w14:textId="77777777" w:rsidR="006D0462" w:rsidRDefault="006D0462"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0F1A9D"/>
    <w:rsid w:val="001042C3"/>
    <w:rsid w:val="00181B0B"/>
    <w:rsid w:val="001B7A44"/>
    <w:rsid w:val="001D60BE"/>
    <w:rsid w:val="001D7C03"/>
    <w:rsid w:val="001E211F"/>
    <w:rsid w:val="0020431C"/>
    <w:rsid w:val="00216C85"/>
    <w:rsid w:val="0026393A"/>
    <w:rsid w:val="00273EDD"/>
    <w:rsid w:val="00281F07"/>
    <w:rsid w:val="002C3965"/>
    <w:rsid w:val="00321C4C"/>
    <w:rsid w:val="00333081"/>
    <w:rsid w:val="003468A1"/>
    <w:rsid w:val="00354337"/>
    <w:rsid w:val="00381E99"/>
    <w:rsid w:val="00392BBC"/>
    <w:rsid w:val="003E4ECF"/>
    <w:rsid w:val="00455ED8"/>
    <w:rsid w:val="00462366"/>
    <w:rsid w:val="00495CFE"/>
    <w:rsid w:val="004A736E"/>
    <w:rsid w:val="004B4A3A"/>
    <w:rsid w:val="00507B71"/>
    <w:rsid w:val="00567079"/>
    <w:rsid w:val="00574577"/>
    <w:rsid w:val="006535DE"/>
    <w:rsid w:val="006925AA"/>
    <w:rsid w:val="006C0A28"/>
    <w:rsid w:val="006D0462"/>
    <w:rsid w:val="006E22FD"/>
    <w:rsid w:val="00715740"/>
    <w:rsid w:val="00725177"/>
    <w:rsid w:val="00733A1C"/>
    <w:rsid w:val="00743458"/>
    <w:rsid w:val="007548DC"/>
    <w:rsid w:val="007764FF"/>
    <w:rsid w:val="00790F7A"/>
    <w:rsid w:val="007A0915"/>
    <w:rsid w:val="007A1B8D"/>
    <w:rsid w:val="007C67A5"/>
    <w:rsid w:val="00814A9E"/>
    <w:rsid w:val="00860543"/>
    <w:rsid w:val="008C4636"/>
    <w:rsid w:val="008E3943"/>
    <w:rsid w:val="008E6C91"/>
    <w:rsid w:val="0090040D"/>
    <w:rsid w:val="00940570"/>
    <w:rsid w:val="00945216"/>
    <w:rsid w:val="00946842"/>
    <w:rsid w:val="00990765"/>
    <w:rsid w:val="009B2A07"/>
    <w:rsid w:val="009D052C"/>
    <w:rsid w:val="009D1D1E"/>
    <w:rsid w:val="00A035FD"/>
    <w:rsid w:val="00A206B5"/>
    <w:rsid w:val="00A85AF9"/>
    <w:rsid w:val="00AA621C"/>
    <w:rsid w:val="00AD23A0"/>
    <w:rsid w:val="00AF775D"/>
    <w:rsid w:val="00B50D35"/>
    <w:rsid w:val="00B57EC3"/>
    <w:rsid w:val="00B666D4"/>
    <w:rsid w:val="00B87E75"/>
    <w:rsid w:val="00C05E4D"/>
    <w:rsid w:val="00C11F2F"/>
    <w:rsid w:val="00CD0464"/>
    <w:rsid w:val="00CD33A8"/>
    <w:rsid w:val="00D37C15"/>
    <w:rsid w:val="00E03E9B"/>
    <w:rsid w:val="00E11FA9"/>
    <w:rsid w:val="00E2390F"/>
    <w:rsid w:val="00E569FD"/>
    <w:rsid w:val="00E620E7"/>
    <w:rsid w:val="00EA4774"/>
    <w:rsid w:val="00F529D6"/>
    <w:rsid w:val="00F66E1B"/>
    <w:rsid w:val="00FA4F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Ttulo2">
    <w:name w:val="heading 2"/>
    <w:basedOn w:val="Normal"/>
    <w:next w:val="Normal"/>
    <w:link w:val="Ttulo2C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Ttulo3">
    <w:name w:val="heading 3"/>
    <w:basedOn w:val="Normal"/>
    <w:link w:val="Ttulo3C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620E7"/>
    <w:rPr>
      <w:rFonts w:ascii="Arial" w:eastAsiaTheme="majorEastAsia" w:hAnsi="Arial"/>
      <w:b/>
      <w:sz w:val="32"/>
    </w:rPr>
  </w:style>
  <w:style w:type="character" w:customStyle="1" w:styleId="Ttulo2Car">
    <w:name w:val="Título 2 Car"/>
    <w:basedOn w:val="Fuentedeprrafopredeter"/>
    <w:link w:val="Ttulo2"/>
    <w:uiPriority w:val="9"/>
    <w:rsid w:val="00A035FD"/>
    <w:rPr>
      <w:rFonts w:ascii="Arial" w:eastAsiaTheme="majorEastAsia" w:hAnsi="Arial" w:cstheme="majorBidi"/>
      <w:b/>
      <w:i/>
      <w:color w:val="2F5496" w:themeColor="accent1" w:themeShade="BF"/>
      <w:sz w:val="26"/>
      <w:szCs w:val="26"/>
    </w:rPr>
  </w:style>
  <w:style w:type="character" w:customStyle="1" w:styleId="Ttulo3Car">
    <w:name w:val="Título 3 Car"/>
    <w:basedOn w:val="Fuentedeprrafopredeter"/>
    <w:link w:val="Ttulo3"/>
    <w:uiPriority w:val="9"/>
    <w:rsid w:val="002C3965"/>
    <w:rPr>
      <w:rFonts w:ascii="Arial" w:eastAsia="Times New Roman" w:hAnsi="Arial" w:cs="Times New Roman"/>
      <w:b/>
      <w:bCs/>
      <w:szCs w:val="27"/>
      <w:lang w:eastAsia="en-GB"/>
    </w:rPr>
  </w:style>
  <w:style w:type="paragraph" w:styleId="Encabezado">
    <w:name w:val="header"/>
    <w:basedOn w:val="Normal"/>
    <w:link w:val="EncabezadoCar"/>
    <w:uiPriority w:val="99"/>
    <w:unhideWhenUsed/>
    <w:rsid w:val="003E4ECF"/>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3E4ECF"/>
  </w:style>
  <w:style w:type="paragraph" w:styleId="Piedepgina">
    <w:name w:val="footer"/>
    <w:basedOn w:val="Normal"/>
    <w:link w:val="PiedepginaCar"/>
    <w:uiPriority w:val="99"/>
    <w:unhideWhenUsed/>
    <w:rsid w:val="003E4EC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3E4ECF"/>
  </w:style>
  <w:style w:type="character" w:styleId="Hipervnculo">
    <w:name w:val="Hyperlink"/>
    <w:basedOn w:val="Fuentedeprrafopredeter"/>
    <w:uiPriority w:val="99"/>
    <w:unhideWhenUsed/>
    <w:rsid w:val="008E6C91"/>
    <w:rPr>
      <w:color w:val="0563C1" w:themeColor="hyperlink"/>
      <w:u w:val="single"/>
    </w:rPr>
  </w:style>
  <w:style w:type="character" w:styleId="Mencinsinresolver">
    <w:name w:val="Unresolved Mention"/>
    <w:basedOn w:val="Fuentedeprrafopredeter"/>
    <w:uiPriority w:val="99"/>
    <w:semiHidden/>
    <w:unhideWhenUsed/>
    <w:rsid w:val="008E6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nice.org.uk/guidance/ng97" TargetMode="External"/><Relationship Id="rId4" Type="http://schemas.openxmlformats.org/officeDocument/2006/relationships/footnotes" Target="footnotes.xml"/><Relationship Id="rId9" Type="http://schemas.openxmlformats.org/officeDocument/2006/relationships/hyperlink" Target="https://www.legislation.gov.uk/ukpga/201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7</Pages>
  <Words>1953</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Wafaa Moumni belaidi</cp:lastModifiedBy>
  <cp:revision>59</cp:revision>
  <dcterms:created xsi:type="dcterms:W3CDTF">2021-10-31T12:16:00Z</dcterms:created>
  <dcterms:modified xsi:type="dcterms:W3CDTF">2026-08-20T20:12:00Z</dcterms:modified>
</cp:coreProperties>
</file>