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A9755" w14:textId="66CF6ADD" w:rsidR="00C25967" w:rsidRDefault="002F67FE" w:rsidP="00710CAF">
      <w:pPr>
        <w:spacing w:line="360" w:lineRule="auto"/>
        <w:rPr>
          <w:rFonts w:ascii="Arial" w:hAnsi="Arial" w:cs="Arial"/>
          <w:sz w:val="22"/>
          <w:szCs w:val="22"/>
        </w:rPr>
      </w:pPr>
      <w:r>
        <w:rPr>
          <w:rFonts w:ascii="Arial" w:hAnsi="Arial" w:cs="Arial"/>
          <w:noProof/>
          <w:sz w:val="22"/>
          <w:szCs w:val="22"/>
        </w:rPr>
        <w:drawing>
          <wp:inline distT="0" distB="0" distL="0" distR="0" wp14:anchorId="6269744A" wp14:editId="0898AD89">
            <wp:extent cx="4260215" cy="1906621"/>
            <wp:effectExtent l="0" t="0" r="6985" b="0"/>
            <wp:docPr id="770023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65214" cy="1908858"/>
                    </a:xfrm>
                    <a:prstGeom prst="rect">
                      <a:avLst/>
                    </a:prstGeom>
                    <a:noFill/>
                  </pic:spPr>
                </pic:pic>
              </a:graphicData>
            </a:graphic>
          </wp:inline>
        </w:drawing>
      </w:r>
    </w:p>
    <w:p w14:paraId="6E8C51AE" w14:textId="77777777" w:rsidR="002F67FE" w:rsidRDefault="002F67FE" w:rsidP="00710CAF">
      <w:pPr>
        <w:spacing w:line="360" w:lineRule="auto"/>
        <w:rPr>
          <w:rFonts w:ascii="Arial" w:hAnsi="Arial" w:cs="Arial"/>
          <w:sz w:val="22"/>
          <w:szCs w:val="22"/>
        </w:rPr>
      </w:pPr>
    </w:p>
    <w:p w14:paraId="13A6E778" w14:textId="77777777" w:rsidR="002F67FE" w:rsidRDefault="002F67FE" w:rsidP="00710CAF">
      <w:pPr>
        <w:spacing w:line="360" w:lineRule="auto"/>
        <w:rPr>
          <w:rFonts w:ascii="Arial" w:hAnsi="Arial" w:cs="Arial"/>
          <w:sz w:val="22"/>
          <w:szCs w:val="22"/>
        </w:rPr>
      </w:pPr>
    </w:p>
    <w:p w14:paraId="2ED1509D" w14:textId="77777777" w:rsidR="00470B75" w:rsidRPr="00470B75" w:rsidRDefault="00470B75" w:rsidP="00470B75">
      <w:pPr>
        <w:keepNext/>
        <w:keepLines/>
        <w:spacing w:before="360" w:after="80" w:line="360" w:lineRule="auto"/>
        <w:outlineLvl w:val="0"/>
        <w:rPr>
          <w:rFonts w:ascii="Arial" w:hAnsi="Arial" w:cs="Arial"/>
          <w:b/>
          <w:bCs/>
          <w:color w:val="000000" w:themeColor="text1"/>
          <w:sz w:val="22"/>
          <w:szCs w:val="22"/>
          <w:u w:val="single"/>
        </w:rPr>
      </w:pPr>
      <w:r w:rsidRPr="00470B75">
        <w:rPr>
          <w:rFonts w:ascii="Arial" w:hAnsi="Arial" w:cs="Arial"/>
          <w:b/>
          <w:bCs/>
          <w:color w:val="000000" w:themeColor="text1"/>
          <w:sz w:val="22"/>
          <w:szCs w:val="22"/>
        </w:rPr>
        <w:t xml:space="preserve">Name: Sumaira Imtiaz </w:t>
      </w:r>
    </w:p>
    <w:p w14:paraId="2F0E58E6" w14:textId="77777777" w:rsidR="00470B75" w:rsidRPr="00470B75" w:rsidRDefault="00470B75" w:rsidP="00470B75">
      <w:pPr>
        <w:spacing w:line="360" w:lineRule="auto"/>
        <w:rPr>
          <w:rFonts w:ascii="Arial" w:hAnsi="Arial" w:cs="Arial"/>
          <w:b/>
          <w:bCs/>
          <w:color w:val="000000" w:themeColor="text1"/>
          <w:sz w:val="22"/>
          <w:szCs w:val="22"/>
        </w:rPr>
      </w:pPr>
      <w:r w:rsidRPr="00470B75">
        <w:rPr>
          <w:rFonts w:ascii="Arial" w:hAnsi="Arial" w:cs="Arial"/>
          <w:b/>
          <w:bCs/>
          <w:color w:val="000000" w:themeColor="text1"/>
          <w:sz w:val="22"/>
          <w:szCs w:val="22"/>
        </w:rPr>
        <w:t>Student ID: (2421039)</w:t>
      </w:r>
    </w:p>
    <w:p w14:paraId="54753C6E" w14:textId="66B23AAF" w:rsidR="00470B75" w:rsidRPr="00470B75" w:rsidRDefault="00470B75" w:rsidP="00470B75">
      <w:pPr>
        <w:spacing w:line="360" w:lineRule="auto"/>
        <w:rPr>
          <w:rFonts w:ascii="Arial" w:hAnsi="Arial" w:cs="Arial"/>
          <w:b/>
          <w:bCs/>
          <w:color w:val="000000" w:themeColor="text1"/>
          <w:sz w:val="22"/>
          <w:szCs w:val="22"/>
        </w:rPr>
      </w:pPr>
      <w:r w:rsidRPr="00470B75">
        <w:rPr>
          <w:rFonts w:ascii="Arial" w:hAnsi="Arial" w:cs="Arial"/>
          <w:b/>
          <w:bCs/>
          <w:color w:val="000000" w:themeColor="text1"/>
          <w:sz w:val="22"/>
          <w:szCs w:val="22"/>
        </w:rPr>
        <w:t>Module Code: LCHS40</w:t>
      </w:r>
      <w:r w:rsidR="00687A97" w:rsidRPr="008A45E3">
        <w:rPr>
          <w:rFonts w:ascii="Arial" w:hAnsi="Arial" w:cs="Arial"/>
          <w:b/>
          <w:bCs/>
          <w:color w:val="000000" w:themeColor="text1"/>
          <w:sz w:val="22"/>
          <w:szCs w:val="22"/>
        </w:rPr>
        <w:t>10</w:t>
      </w:r>
    </w:p>
    <w:p w14:paraId="309C2FBD" w14:textId="5E84DEA0" w:rsidR="00470B75" w:rsidRPr="00470B75" w:rsidRDefault="00470B75" w:rsidP="00470B75">
      <w:pPr>
        <w:spacing w:line="360" w:lineRule="auto"/>
        <w:rPr>
          <w:rFonts w:ascii="Arial" w:hAnsi="Arial" w:cs="Arial"/>
          <w:b/>
          <w:bCs/>
          <w:color w:val="000000" w:themeColor="text1"/>
          <w:sz w:val="22"/>
          <w:szCs w:val="22"/>
        </w:rPr>
      </w:pPr>
      <w:r w:rsidRPr="00470B75">
        <w:rPr>
          <w:rFonts w:ascii="Arial" w:hAnsi="Arial" w:cs="Arial"/>
          <w:b/>
          <w:bCs/>
          <w:color w:val="000000" w:themeColor="text1"/>
          <w:sz w:val="22"/>
          <w:szCs w:val="22"/>
        </w:rPr>
        <w:t xml:space="preserve">Module Title: </w:t>
      </w:r>
      <w:r w:rsidR="00FD1434" w:rsidRPr="008A45E3">
        <w:rPr>
          <w:rFonts w:ascii="Arial" w:hAnsi="Arial" w:cs="Arial"/>
          <w:b/>
          <w:bCs/>
          <w:color w:val="000000" w:themeColor="text1"/>
          <w:sz w:val="22"/>
          <w:szCs w:val="22"/>
        </w:rPr>
        <w:t>Psycholo</w:t>
      </w:r>
      <w:r w:rsidR="00D5343D" w:rsidRPr="008A45E3">
        <w:rPr>
          <w:rFonts w:ascii="Arial" w:hAnsi="Arial" w:cs="Arial"/>
          <w:b/>
          <w:bCs/>
          <w:color w:val="000000" w:themeColor="text1"/>
          <w:sz w:val="22"/>
          <w:szCs w:val="22"/>
        </w:rPr>
        <w:t>gy in</w:t>
      </w:r>
      <w:r w:rsidR="00BD6844" w:rsidRPr="008A45E3">
        <w:rPr>
          <w:rFonts w:ascii="Arial" w:hAnsi="Arial" w:cs="Arial"/>
          <w:b/>
          <w:bCs/>
          <w:color w:val="000000" w:themeColor="text1"/>
          <w:sz w:val="22"/>
          <w:szCs w:val="22"/>
        </w:rPr>
        <w:t xml:space="preserve"> Health and Social Care</w:t>
      </w:r>
    </w:p>
    <w:p w14:paraId="72E02F16" w14:textId="11A9135C" w:rsidR="00470B75" w:rsidRPr="00470B75" w:rsidRDefault="00470B75" w:rsidP="00470B75">
      <w:pPr>
        <w:spacing w:line="360" w:lineRule="auto"/>
        <w:rPr>
          <w:rFonts w:ascii="Arial" w:eastAsiaTheme="minorEastAsia" w:hAnsi="Arial" w:cs="Arial"/>
          <w:b/>
          <w:bCs/>
          <w:color w:val="000000" w:themeColor="text1"/>
          <w:sz w:val="22"/>
          <w:szCs w:val="22"/>
        </w:rPr>
      </w:pPr>
      <w:r w:rsidRPr="00470B75">
        <w:rPr>
          <w:rFonts w:ascii="Arial" w:hAnsi="Arial" w:cs="Arial"/>
          <w:b/>
          <w:bCs/>
          <w:color w:val="000000" w:themeColor="text1"/>
          <w:sz w:val="22"/>
          <w:szCs w:val="22"/>
        </w:rPr>
        <w:t xml:space="preserve">Lecturer: </w:t>
      </w:r>
      <w:r w:rsidR="001679A2" w:rsidRPr="008A45E3">
        <w:rPr>
          <w:rFonts w:ascii="Arial" w:eastAsiaTheme="minorEastAsia" w:hAnsi="Arial" w:cs="Arial"/>
          <w:b/>
          <w:bCs/>
          <w:color w:val="000000" w:themeColor="text1"/>
          <w:sz w:val="22"/>
          <w:szCs w:val="22"/>
        </w:rPr>
        <w:t>Helen Parsons</w:t>
      </w:r>
    </w:p>
    <w:p w14:paraId="1D7B5F7F" w14:textId="446A919E" w:rsidR="00470B75" w:rsidRPr="00470B75" w:rsidRDefault="00470B75" w:rsidP="00470B75">
      <w:pPr>
        <w:spacing w:line="360" w:lineRule="auto"/>
        <w:rPr>
          <w:rFonts w:ascii="Arial" w:eastAsiaTheme="minorEastAsia" w:hAnsi="Arial" w:cs="Arial"/>
          <w:b/>
          <w:bCs/>
          <w:color w:val="000000" w:themeColor="text1"/>
          <w:sz w:val="22"/>
          <w:szCs w:val="22"/>
        </w:rPr>
      </w:pPr>
      <w:r w:rsidRPr="00470B75">
        <w:rPr>
          <w:rFonts w:ascii="Arial" w:eastAsiaTheme="minorEastAsia" w:hAnsi="Arial" w:cs="Arial"/>
          <w:b/>
          <w:bCs/>
          <w:color w:val="000000" w:themeColor="text1"/>
          <w:sz w:val="22"/>
          <w:szCs w:val="22"/>
        </w:rPr>
        <w:t xml:space="preserve">Assignment Title: </w:t>
      </w:r>
      <w:r w:rsidR="0030632B" w:rsidRPr="008A45E3">
        <w:rPr>
          <w:rFonts w:ascii="Arial" w:eastAsiaTheme="minorEastAsia" w:hAnsi="Arial" w:cs="Arial"/>
          <w:b/>
          <w:bCs/>
          <w:color w:val="000000" w:themeColor="text1"/>
          <w:sz w:val="22"/>
          <w:szCs w:val="22"/>
        </w:rPr>
        <w:t>Bib</w:t>
      </w:r>
      <w:r w:rsidR="00425305" w:rsidRPr="008A45E3">
        <w:rPr>
          <w:rFonts w:ascii="Arial" w:eastAsiaTheme="minorEastAsia" w:hAnsi="Arial" w:cs="Arial"/>
          <w:b/>
          <w:bCs/>
          <w:color w:val="000000" w:themeColor="text1"/>
          <w:sz w:val="22"/>
          <w:szCs w:val="22"/>
        </w:rPr>
        <w:t>liography &amp; Report</w:t>
      </w:r>
    </w:p>
    <w:p w14:paraId="210B5265" w14:textId="6791956F" w:rsidR="00470B75" w:rsidRPr="00470B75" w:rsidRDefault="00470B75" w:rsidP="00470B75">
      <w:pPr>
        <w:spacing w:line="360" w:lineRule="auto"/>
        <w:rPr>
          <w:rFonts w:ascii="Arial" w:eastAsiaTheme="minorEastAsia" w:hAnsi="Arial" w:cs="Arial"/>
          <w:b/>
          <w:bCs/>
          <w:color w:val="000000" w:themeColor="text1"/>
          <w:sz w:val="22"/>
          <w:szCs w:val="22"/>
        </w:rPr>
      </w:pPr>
      <w:r w:rsidRPr="00470B75">
        <w:rPr>
          <w:rFonts w:ascii="Arial" w:eastAsiaTheme="minorEastAsia" w:hAnsi="Arial" w:cs="Arial"/>
          <w:b/>
          <w:bCs/>
          <w:color w:val="000000" w:themeColor="text1"/>
          <w:sz w:val="22"/>
          <w:szCs w:val="22"/>
        </w:rPr>
        <w:t xml:space="preserve">Submitted </w:t>
      </w:r>
      <w:proofErr w:type="gramStart"/>
      <w:r w:rsidRPr="00470B75">
        <w:rPr>
          <w:rFonts w:ascii="Arial" w:eastAsiaTheme="minorEastAsia" w:hAnsi="Arial" w:cs="Arial"/>
          <w:b/>
          <w:bCs/>
          <w:color w:val="000000" w:themeColor="text1"/>
          <w:sz w:val="22"/>
          <w:szCs w:val="22"/>
        </w:rPr>
        <w:t>on:</w:t>
      </w:r>
      <w:proofErr w:type="gramEnd"/>
      <w:r w:rsidRPr="00470B75">
        <w:rPr>
          <w:rFonts w:ascii="Arial" w:eastAsiaTheme="minorEastAsia" w:hAnsi="Arial" w:cs="Arial"/>
          <w:b/>
          <w:bCs/>
          <w:color w:val="000000" w:themeColor="text1"/>
          <w:sz w:val="22"/>
          <w:szCs w:val="22"/>
        </w:rPr>
        <w:t xml:space="preserve">  2</w:t>
      </w:r>
      <w:r w:rsidR="00425305" w:rsidRPr="008A45E3">
        <w:rPr>
          <w:rFonts w:ascii="Arial" w:eastAsiaTheme="minorEastAsia" w:hAnsi="Arial" w:cs="Arial"/>
          <w:b/>
          <w:bCs/>
          <w:color w:val="000000" w:themeColor="text1"/>
          <w:sz w:val="22"/>
          <w:szCs w:val="22"/>
        </w:rPr>
        <w:t>4</w:t>
      </w:r>
      <w:r w:rsidRPr="00470B75">
        <w:rPr>
          <w:rFonts w:ascii="Arial" w:eastAsiaTheme="minorEastAsia" w:hAnsi="Arial" w:cs="Arial"/>
          <w:b/>
          <w:bCs/>
          <w:color w:val="000000" w:themeColor="text1"/>
          <w:sz w:val="22"/>
          <w:szCs w:val="22"/>
        </w:rPr>
        <w:t>- 03 - 2026</w:t>
      </w:r>
    </w:p>
    <w:p w14:paraId="4A64BC91" w14:textId="77777777" w:rsidR="00470B75" w:rsidRPr="00470B75" w:rsidRDefault="00470B75" w:rsidP="00470B75">
      <w:pPr>
        <w:spacing w:line="360" w:lineRule="auto"/>
        <w:rPr>
          <w:rFonts w:ascii="Arial" w:eastAsiaTheme="minorEastAsia" w:hAnsi="Arial" w:cs="Arial"/>
          <w:b/>
          <w:bCs/>
          <w:color w:val="000000" w:themeColor="text1"/>
          <w:sz w:val="22"/>
          <w:szCs w:val="22"/>
        </w:rPr>
      </w:pPr>
    </w:p>
    <w:p w14:paraId="639491F8" w14:textId="77777777" w:rsidR="002F67FE" w:rsidRPr="008A45E3" w:rsidRDefault="002F67FE" w:rsidP="00710CAF">
      <w:pPr>
        <w:spacing w:line="360" w:lineRule="auto"/>
        <w:rPr>
          <w:rFonts w:ascii="Arial" w:hAnsi="Arial" w:cs="Arial"/>
          <w:color w:val="000000" w:themeColor="text1"/>
          <w:sz w:val="22"/>
          <w:szCs w:val="22"/>
        </w:rPr>
      </w:pPr>
    </w:p>
    <w:p w14:paraId="76B73009" w14:textId="77777777" w:rsidR="002F67FE" w:rsidRDefault="002F67FE" w:rsidP="00710CAF">
      <w:pPr>
        <w:spacing w:line="360" w:lineRule="auto"/>
        <w:rPr>
          <w:rFonts w:ascii="Arial" w:hAnsi="Arial" w:cs="Arial"/>
          <w:sz w:val="22"/>
          <w:szCs w:val="22"/>
        </w:rPr>
      </w:pPr>
    </w:p>
    <w:p w14:paraId="7DDB6854" w14:textId="77777777" w:rsidR="00902CB5" w:rsidRDefault="00902CB5" w:rsidP="00710CAF">
      <w:pPr>
        <w:spacing w:line="360" w:lineRule="auto"/>
        <w:rPr>
          <w:rFonts w:ascii="Arial" w:hAnsi="Arial" w:cs="Arial"/>
          <w:sz w:val="22"/>
          <w:szCs w:val="22"/>
        </w:rPr>
      </w:pPr>
    </w:p>
    <w:p w14:paraId="252C05F0" w14:textId="77777777" w:rsidR="00902CB5" w:rsidRDefault="00902CB5" w:rsidP="00710CAF">
      <w:pPr>
        <w:spacing w:line="360" w:lineRule="auto"/>
        <w:rPr>
          <w:rFonts w:ascii="Arial" w:hAnsi="Arial" w:cs="Arial"/>
          <w:sz w:val="22"/>
          <w:szCs w:val="22"/>
        </w:rPr>
      </w:pPr>
    </w:p>
    <w:p w14:paraId="210E8663" w14:textId="77777777" w:rsidR="00902CB5" w:rsidRDefault="00902CB5" w:rsidP="00710CAF">
      <w:pPr>
        <w:spacing w:line="360" w:lineRule="auto"/>
        <w:rPr>
          <w:rFonts w:ascii="Arial" w:hAnsi="Arial" w:cs="Arial"/>
          <w:sz w:val="22"/>
          <w:szCs w:val="22"/>
        </w:rPr>
      </w:pPr>
    </w:p>
    <w:p w14:paraId="33BB055A" w14:textId="77777777" w:rsidR="00902CB5" w:rsidRDefault="00902CB5" w:rsidP="00710CAF">
      <w:pPr>
        <w:spacing w:line="360" w:lineRule="auto"/>
        <w:rPr>
          <w:rFonts w:ascii="Arial" w:hAnsi="Arial" w:cs="Arial"/>
          <w:sz w:val="22"/>
          <w:szCs w:val="22"/>
        </w:rPr>
      </w:pPr>
    </w:p>
    <w:p w14:paraId="3EE6745F" w14:textId="77777777" w:rsidR="00902CB5" w:rsidRDefault="00902CB5" w:rsidP="00710CAF">
      <w:pPr>
        <w:spacing w:line="360" w:lineRule="auto"/>
        <w:rPr>
          <w:rFonts w:ascii="Arial" w:hAnsi="Arial" w:cs="Arial"/>
          <w:sz w:val="22"/>
          <w:szCs w:val="22"/>
        </w:rPr>
      </w:pPr>
    </w:p>
    <w:p w14:paraId="328D2176" w14:textId="77777777" w:rsidR="0011600F" w:rsidRDefault="0011600F" w:rsidP="00EB76C7">
      <w:pPr>
        <w:rPr>
          <w:rFonts w:ascii="Arial" w:eastAsiaTheme="minorEastAsia" w:hAnsi="Arial" w:cs="Arial"/>
          <w:sz w:val="22"/>
          <w:szCs w:val="22"/>
        </w:rPr>
      </w:pPr>
    </w:p>
    <w:p w14:paraId="7F813813" w14:textId="77777777" w:rsidR="0011600F" w:rsidRDefault="0011600F" w:rsidP="00EB76C7">
      <w:pPr>
        <w:rPr>
          <w:rFonts w:ascii="Arial" w:eastAsiaTheme="minorEastAsia" w:hAnsi="Arial" w:cs="Arial"/>
          <w:sz w:val="22"/>
          <w:szCs w:val="22"/>
        </w:rPr>
      </w:pPr>
    </w:p>
    <w:p w14:paraId="1720102D" w14:textId="77777777" w:rsidR="0011600F" w:rsidRDefault="0011600F" w:rsidP="00EB76C7">
      <w:pPr>
        <w:rPr>
          <w:rFonts w:ascii="Arial" w:eastAsiaTheme="minorEastAsia" w:hAnsi="Arial" w:cs="Arial"/>
          <w:sz w:val="22"/>
          <w:szCs w:val="22"/>
        </w:rPr>
      </w:pPr>
    </w:p>
    <w:p w14:paraId="4A188F4A" w14:textId="1B514065" w:rsidR="00EB76C7" w:rsidRPr="00EB76C7" w:rsidRDefault="00EB76C7" w:rsidP="00EB76C7">
      <w:pPr>
        <w:rPr>
          <w:rFonts w:ascii="Arial" w:eastAsiaTheme="minorEastAsia" w:hAnsi="Arial" w:cs="Arial"/>
          <w:b/>
          <w:bCs/>
          <w:sz w:val="22"/>
          <w:szCs w:val="22"/>
        </w:rPr>
      </w:pPr>
      <w:r w:rsidRPr="00EB76C7">
        <w:rPr>
          <w:rFonts w:ascii="Arial" w:eastAsiaTheme="minorEastAsia" w:hAnsi="Arial" w:cs="Arial"/>
          <w:b/>
          <w:bCs/>
          <w:sz w:val="22"/>
          <w:szCs w:val="22"/>
        </w:rPr>
        <w:lastRenderedPageBreak/>
        <w:t>Table of Contents</w:t>
      </w:r>
    </w:p>
    <w:p w14:paraId="2B3DF28F" w14:textId="77777777" w:rsidR="00EB76C7" w:rsidRPr="00EB76C7" w:rsidRDefault="00EB76C7" w:rsidP="00EB76C7">
      <w:pPr>
        <w:rPr>
          <w:rFonts w:ascii="Arial" w:eastAsiaTheme="minorEastAsia" w:hAnsi="Arial" w:cs="Arial"/>
          <w:sz w:val="22"/>
          <w:szCs w:val="22"/>
        </w:rPr>
      </w:pPr>
      <w:r w:rsidRPr="00EB76C7">
        <w:rPr>
          <w:rFonts w:ascii="Arial" w:eastAsiaTheme="minorEastAsia" w:hAnsi="Arial" w:cs="Arial"/>
          <w:sz w:val="22"/>
          <w:szCs w:val="22"/>
        </w:rPr>
        <w:t>Part A – Annotated Bibliography ............................ 3</w:t>
      </w:r>
    </w:p>
    <w:p w14:paraId="028F2847" w14:textId="77777777" w:rsidR="00EB76C7" w:rsidRPr="00EB76C7" w:rsidRDefault="00EB76C7" w:rsidP="00EB76C7">
      <w:pPr>
        <w:rPr>
          <w:rFonts w:ascii="Arial" w:eastAsiaTheme="minorEastAsia" w:hAnsi="Arial" w:cs="Arial"/>
          <w:sz w:val="22"/>
          <w:szCs w:val="22"/>
        </w:rPr>
      </w:pPr>
      <w:r w:rsidRPr="00EB76C7">
        <w:rPr>
          <w:rFonts w:ascii="Arial" w:eastAsiaTheme="minorEastAsia" w:hAnsi="Arial" w:cs="Arial"/>
          <w:sz w:val="22"/>
          <w:szCs w:val="22"/>
        </w:rPr>
        <w:t>1.1 Source 1 ......................................................... 3</w:t>
      </w:r>
    </w:p>
    <w:p w14:paraId="4908D47B" w14:textId="77777777" w:rsidR="00EB76C7" w:rsidRPr="00EB76C7" w:rsidRDefault="00EB76C7" w:rsidP="00EB76C7">
      <w:pPr>
        <w:rPr>
          <w:rFonts w:ascii="Arial" w:eastAsiaTheme="minorEastAsia" w:hAnsi="Arial" w:cs="Arial"/>
          <w:sz w:val="22"/>
          <w:szCs w:val="22"/>
        </w:rPr>
      </w:pPr>
      <w:r w:rsidRPr="00EB76C7">
        <w:rPr>
          <w:rFonts w:ascii="Arial" w:eastAsiaTheme="minorEastAsia" w:hAnsi="Arial" w:cs="Arial"/>
          <w:sz w:val="22"/>
          <w:szCs w:val="22"/>
        </w:rPr>
        <w:t>1.2 Source 2 ......................................................... 4</w:t>
      </w:r>
    </w:p>
    <w:p w14:paraId="72CC3E5C" w14:textId="77777777" w:rsidR="00EB76C7" w:rsidRPr="00EB76C7" w:rsidRDefault="00EB76C7" w:rsidP="00EB76C7">
      <w:pPr>
        <w:rPr>
          <w:rFonts w:ascii="Arial" w:eastAsiaTheme="minorEastAsia" w:hAnsi="Arial" w:cs="Arial"/>
          <w:sz w:val="22"/>
          <w:szCs w:val="22"/>
        </w:rPr>
      </w:pPr>
      <w:r w:rsidRPr="00EB76C7">
        <w:rPr>
          <w:rFonts w:ascii="Arial" w:eastAsiaTheme="minorEastAsia" w:hAnsi="Arial" w:cs="Arial"/>
          <w:sz w:val="22"/>
          <w:szCs w:val="22"/>
        </w:rPr>
        <w:t>1.3 Source 3 ......................................................... 5</w:t>
      </w:r>
    </w:p>
    <w:p w14:paraId="208151CD" w14:textId="77777777" w:rsidR="00EB76C7" w:rsidRPr="00EB76C7" w:rsidRDefault="00EB76C7" w:rsidP="00EB76C7">
      <w:pPr>
        <w:rPr>
          <w:rFonts w:ascii="Arial" w:eastAsiaTheme="minorEastAsia" w:hAnsi="Arial" w:cs="Arial"/>
          <w:sz w:val="22"/>
          <w:szCs w:val="22"/>
        </w:rPr>
      </w:pPr>
      <w:r w:rsidRPr="00EB76C7">
        <w:rPr>
          <w:rFonts w:ascii="Arial" w:eastAsiaTheme="minorEastAsia" w:hAnsi="Arial" w:cs="Arial"/>
          <w:sz w:val="22"/>
          <w:szCs w:val="22"/>
        </w:rPr>
        <w:t>1.4 Source 4 ......................................................... 6</w:t>
      </w:r>
    </w:p>
    <w:p w14:paraId="1C2BDB0D" w14:textId="77777777" w:rsidR="00EB76C7" w:rsidRPr="00EB76C7" w:rsidRDefault="00EB76C7" w:rsidP="00EB76C7">
      <w:pPr>
        <w:rPr>
          <w:rFonts w:ascii="Arial" w:eastAsiaTheme="minorEastAsia" w:hAnsi="Arial" w:cs="Arial"/>
          <w:sz w:val="22"/>
          <w:szCs w:val="22"/>
        </w:rPr>
      </w:pPr>
      <w:r w:rsidRPr="00EB76C7">
        <w:rPr>
          <w:rFonts w:ascii="Arial" w:eastAsiaTheme="minorEastAsia" w:hAnsi="Arial" w:cs="Arial"/>
          <w:sz w:val="22"/>
          <w:szCs w:val="22"/>
        </w:rPr>
        <w:t>Part B – Professional Report ................................. 7</w:t>
      </w:r>
    </w:p>
    <w:p w14:paraId="597F3054" w14:textId="77777777" w:rsidR="00EB76C7" w:rsidRPr="00EB76C7" w:rsidRDefault="00EB76C7" w:rsidP="00EB76C7">
      <w:pPr>
        <w:rPr>
          <w:rFonts w:ascii="Arial" w:eastAsiaTheme="minorEastAsia" w:hAnsi="Arial" w:cs="Arial"/>
          <w:sz w:val="22"/>
          <w:szCs w:val="22"/>
        </w:rPr>
      </w:pPr>
      <w:r w:rsidRPr="00EB76C7">
        <w:rPr>
          <w:rFonts w:ascii="Arial" w:eastAsiaTheme="minorEastAsia" w:hAnsi="Arial" w:cs="Arial"/>
          <w:sz w:val="22"/>
          <w:szCs w:val="22"/>
        </w:rPr>
        <w:t>2.1 Introduction .................................................... 7</w:t>
      </w:r>
    </w:p>
    <w:p w14:paraId="7F6DDF9A" w14:textId="77777777" w:rsidR="00EB76C7" w:rsidRPr="00EB76C7" w:rsidRDefault="00EB76C7" w:rsidP="00EB76C7">
      <w:pPr>
        <w:rPr>
          <w:rFonts w:ascii="Arial" w:eastAsiaTheme="minorEastAsia" w:hAnsi="Arial" w:cs="Arial"/>
          <w:sz w:val="22"/>
          <w:szCs w:val="22"/>
        </w:rPr>
      </w:pPr>
      <w:r w:rsidRPr="00EB76C7">
        <w:rPr>
          <w:rFonts w:ascii="Arial" w:eastAsiaTheme="minorEastAsia" w:hAnsi="Arial" w:cs="Arial"/>
          <w:sz w:val="22"/>
          <w:szCs w:val="22"/>
        </w:rPr>
        <w:t>2.2 Explanation of the Theory ............................. 8</w:t>
      </w:r>
    </w:p>
    <w:p w14:paraId="35281606" w14:textId="77777777" w:rsidR="00EB76C7" w:rsidRPr="00EB76C7" w:rsidRDefault="00EB76C7" w:rsidP="00EB76C7">
      <w:pPr>
        <w:rPr>
          <w:rFonts w:ascii="Arial" w:eastAsiaTheme="minorEastAsia" w:hAnsi="Arial" w:cs="Arial"/>
          <w:sz w:val="22"/>
          <w:szCs w:val="22"/>
        </w:rPr>
      </w:pPr>
      <w:r w:rsidRPr="00EB76C7">
        <w:rPr>
          <w:rFonts w:ascii="Arial" w:eastAsiaTheme="minorEastAsia" w:hAnsi="Arial" w:cs="Arial"/>
          <w:sz w:val="22"/>
          <w:szCs w:val="22"/>
        </w:rPr>
        <w:t>2.3 Application to Practice ................................. 9</w:t>
      </w:r>
    </w:p>
    <w:p w14:paraId="5DE1C06A" w14:textId="77777777" w:rsidR="00EB76C7" w:rsidRPr="00EB76C7" w:rsidRDefault="00EB76C7" w:rsidP="00EB76C7">
      <w:pPr>
        <w:rPr>
          <w:rFonts w:ascii="Arial" w:eastAsiaTheme="minorEastAsia" w:hAnsi="Arial" w:cs="Arial"/>
          <w:sz w:val="22"/>
          <w:szCs w:val="22"/>
        </w:rPr>
      </w:pPr>
      <w:r w:rsidRPr="00EB76C7">
        <w:rPr>
          <w:rFonts w:ascii="Arial" w:eastAsiaTheme="minorEastAsia" w:hAnsi="Arial" w:cs="Arial"/>
          <w:sz w:val="22"/>
          <w:szCs w:val="22"/>
        </w:rPr>
        <w:t>2.4 Challenge and Strategy ............................... 10</w:t>
      </w:r>
    </w:p>
    <w:p w14:paraId="389F935A" w14:textId="77777777" w:rsidR="00EB76C7" w:rsidRPr="00EB76C7" w:rsidRDefault="00EB76C7" w:rsidP="00EB76C7">
      <w:pPr>
        <w:rPr>
          <w:rFonts w:ascii="Arial" w:eastAsiaTheme="minorEastAsia" w:hAnsi="Arial" w:cs="Arial"/>
          <w:sz w:val="22"/>
          <w:szCs w:val="22"/>
        </w:rPr>
      </w:pPr>
      <w:r w:rsidRPr="00EB76C7">
        <w:rPr>
          <w:rFonts w:ascii="Arial" w:eastAsiaTheme="minorEastAsia" w:hAnsi="Arial" w:cs="Arial"/>
          <w:sz w:val="22"/>
          <w:szCs w:val="22"/>
        </w:rPr>
        <w:t>2.5 Conclusion .................................................... 11</w:t>
      </w:r>
    </w:p>
    <w:p w14:paraId="5CE4AC4D" w14:textId="3E18F39E" w:rsidR="00EB76C7" w:rsidRPr="00EB76C7" w:rsidRDefault="00EB76C7" w:rsidP="00EB76C7">
      <w:pPr>
        <w:rPr>
          <w:rFonts w:ascii="Arial" w:eastAsiaTheme="minorEastAsia" w:hAnsi="Arial" w:cs="Arial"/>
          <w:sz w:val="22"/>
          <w:szCs w:val="22"/>
        </w:rPr>
      </w:pPr>
      <w:r w:rsidRPr="00EB76C7">
        <w:rPr>
          <w:rFonts w:ascii="Arial" w:eastAsiaTheme="minorEastAsia" w:hAnsi="Arial" w:cs="Arial"/>
          <w:sz w:val="22"/>
          <w:szCs w:val="22"/>
        </w:rPr>
        <w:t>Reference</w:t>
      </w:r>
      <w:r w:rsidR="008B4102">
        <w:rPr>
          <w:rFonts w:ascii="Arial" w:eastAsiaTheme="minorEastAsia" w:hAnsi="Arial" w:cs="Arial"/>
          <w:sz w:val="22"/>
          <w:szCs w:val="22"/>
        </w:rPr>
        <w:t>s</w:t>
      </w:r>
      <w:r w:rsidRPr="00EB76C7">
        <w:rPr>
          <w:rFonts w:ascii="Arial" w:eastAsiaTheme="minorEastAsia" w:hAnsi="Arial" w:cs="Arial"/>
          <w:sz w:val="22"/>
          <w:szCs w:val="22"/>
        </w:rPr>
        <w:t xml:space="preserve"> .................................................... 12</w:t>
      </w:r>
    </w:p>
    <w:p w14:paraId="2F4C0363" w14:textId="77777777" w:rsidR="00902CB5" w:rsidRDefault="00902CB5" w:rsidP="00710CAF">
      <w:pPr>
        <w:spacing w:line="360" w:lineRule="auto"/>
        <w:rPr>
          <w:rFonts w:ascii="Arial" w:hAnsi="Arial" w:cs="Arial"/>
          <w:sz w:val="22"/>
          <w:szCs w:val="22"/>
        </w:rPr>
      </w:pPr>
    </w:p>
    <w:p w14:paraId="2B7BDDEF" w14:textId="77777777" w:rsidR="00D6490D" w:rsidRDefault="00D6490D" w:rsidP="00710CAF">
      <w:pPr>
        <w:spacing w:line="360" w:lineRule="auto"/>
        <w:rPr>
          <w:rFonts w:ascii="Arial" w:hAnsi="Arial" w:cs="Arial"/>
          <w:sz w:val="22"/>
          <w:szCs w:val="22"/>
        </w:rPr>
      </w:pPr>
    </w:p>
    <w:p w14:paraId="2B65F5DE" w14:textId="77777777" w:rsidR="00D6490D" w:rsidRDefault="00D6490D" w:rsidP="00710CAF">
      <w:pPr>
        <w:spacing w:line="360" w:lineRule="auto"/>
        <w:rPr>
          <w:rFonts w:ascii="Arial" w:hAnsi="Arial" w:cs="Arial"/>
          <w:sz w:val="22"/>
          <w:szCs w:val="22"/>
        </w:rPr>
      </w:pPr>
    </w:p>
    <w:p w14:paraId="73EFF65C" w14:textId="77777777" w:rsidR="00D6490D" w:rsidRDefault="00D6490D" w:rsidP="00710CAF">
      <w:pPr>
        <w:spacing w:line="360" w:lineRule="auto"/>
        <w:rPr>
          <w:rFonts w:ascii="Arial" w:hAnsi="Arial" w:cs="Arial"/>
          <w:sz w:val="22"/>
          <w:szCs w:val="22"/>
        </w:rPr>
      </w:pPr>
    </w:p>
    <w:p w14:paraId="267FD0A3" w14:textId="77777777" w:rsidR="00D6490D" w:rsidRDefault="00D6490D" w:rsidP="00710CAF">
      <w:pPr>
        <w:spacing w:line="360" w:lineRule="auto"/>
        <w:rPr>
          <w:rFonts w:ascii="Arial" w:hAnsi="Arial" w:cs="Arial"/>
          <w:sz w:val="22"/>
          <w:szCs w:val="22"/>
        </w:rPr>
      </w:pPr>
    </w:p>
    <w:p w14:paraId="46D1A879" w14:textId="77777777" w:rsidR="00D6490D" w:rsidRDefault="00D6490D" w:rsidP="00710CAF">
      <w:pPr>
        <w:spacing w:line="360" w:lineRule="auto"/>
        <w:rPr>
          <w:rFonts w:ascii="Arial" w:hAnsi="Arial" w:cs="Arial"/>
          <w:sz w:val="22"/>
          <w:szCs w:val="22"/>
        </w:rPr>
      </w:pPr>
    </w:p>
    <w:p w14:paraId="4BBACA9D" w14:textId="77777777" w:rsidR="00D6490D" w:rsidRDefault="00D6490D" w:rsidP="00710CAF">
      <w:pPr>
        <w:spacing w:line="360" w:lineRule="auto"/>
        <w:rPr>
          <w:rFonts w:ascii="Arial" w:hAnsi="Arial" w:cs="Arial"/>
          <w:sz w:val="22"/>
          <w:szCs w:val="22"/>
        </w:rPr>
      </w:pPr>
    </w:p>
    <w:p w14:paraId="73ABB7CC" w14:textId="77777777" w:rsidR="00D6490D" w:rsidRDefault="00D6490D" w:rsidP="00710CAF">
      <w:pPr>
        <w:spacing w:line="360" w:lineRule="auto"/>
        <w:rPr>
          <w:rFonts w:ascii="Arial" w:hAnsi="Arial" w:cs="Arial"/>
          <w:sz w:val="22"/>
          <w:szCs w:val="22"/>
        </w:rPr>
      </w:pPr>
    </w:p>
    <w:p w14:paraId="12D14473" w14:textId="77777777" w:rsidR="00D6490D" w:rsidRDefault="00D6490D" w:rsidP="00710CAF">
      <w:pPr>
        <w:spacing w:line="360" w:lineRule="auto"/>
        <w:rPr>
          <w:rFonts w:ascii="Arial" w:hAnsi="Arial" w:cs="Arial"/>
          <w:sz w:val="22"/>
          <w:szCs w:val="22"/>
        </w:rPr>
      </w:pPr>
    </w:p>
    <w:p w14:paraId="6A1D8D53" w14:textId="77777777" w:rsidR="00D6490D" w:rsidRDefault="00D6490D" w:rsidP="00710CAF">
      <w:pPr>
        <w:spacing w:line="360" w:lineRule="auto"/>
        <w:rPr>
          <w:rFonts w:ascii="Arial" w:hAnsi="Arial" w:cs="Arial"/>
          <w:sz w:val="22"/>
          <w:szCs w:val="22"/>
        </w:rPr>
      </w:pPr>
    </w:p>
    <w:p w14:paraId="0AFDB679" w14:textId="77777777" w:rsidR="00D6490D" w:rsidRDefault="00D6490D" w:rsidP="00710CAF">
      <w:pPr>
        <w:spacing w:line="360" w:lineRule="auto"/>
        <w:rPr>
          <w:rFonts w:ascii="Arial" w:hAnsi="Arial" w:cs="Arial"/>
          <w:sz w:val="22"/>
          <w:szCs w:val="22"/>
        </w:rPr>
      </w:pPr>
    </w:p>
    <w:p w14:paraId="41D18E65" w14:textId="77777777" w:rsidR="00D6490D" w:rsidRDefault="00D6490D" w:rsidP="00710CAF">
      <w:pPr>
        <w:spacing w:line="360" w:lineRule="auto"/>
        <w:rPr>
          <w:rFonts w:ascii="Arial" w:hAnsi="Arial" w:cs="Arial"/>
          <w:sz w:val="22"/>
          <w:szCs w:val="22"/>
        </w:rPr>
      </w:pPr>
    </w:p>
    <w:p w14:paraId="71A7B65A" w14:textId="77777777" w:rsidR="00D6490D" w:rsidRDefault="00D6490D" w:rsidP="00710CAF">
      <w:pPr>
        <w:spacing w:line="360" w:lineRule="auto"/>
        <w:rPr>
          <w:rFonts w:ascii="Arial" w:hAnsi="Arial" w:cs="Arial"/>
          <w:sz w:val="22"/>
          <w:szCs w:val="22"/>
        </w:rPr>
      </w:pPr>
    </w:p>
    <w:p w14:paraId="36D2A2E0" w14:textId="77777777" w:rsidR="00D6490D" w:rsidRDefault="00D6490D" w:rsidP="00710CAF">
      <w:pPr>
        <w:spacing w:line="360" w:lineRule="auto"/>
        <w:rPr>
          <w:rFonts w:ascii="Arial" w:hAnsi="Arial" w:cs="Arial"/>
          <w:sz w:val="22"/>
          <w:szCs w:val="22"/>
        </w:rPr>
      </w:pPr>
    </w:p>
    <w:p w14:paraId="4A0B7DF0" w14:textId="77777777" w:rsidR="00D6490D" w:rsidRDefault="00D6490D" w:rsidP="00710CAF">
      <w:pPr>
        <w:spacing w:line="360" w:lineRule="auto"/>
        <w:rPr>
          <w:rFonts w:ascii="Arial" w:hAnsi="Arial" w:cs="Arial"/>
          <w:sz w:val="22"/>
          <w:szCs w:val="22"/>
        </w:rPr>
      </w:pPr>
    </w:p>
    <w:p w14:paraId="4325443C"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sz w:val="22"/>
          <w:szCs w:val="22"/>
        </w:rPr>
        <w:lastRenderedPageBreak/>
        <w:t xml:space="preserve">                                                 </w:t>
      </w:r>
      <w:r w:rsidRPr="0009794A">
        <w:rPr>
          <w:rFonts w:ascii="Arial" w:eastAsiaTheme="minorEastAsia" w:hAnsi="Arial" w:cs="Arial"/>
          <w:b/>
          <w:bCs/>
          <w:sz w:val="22"/>
          <w:szCs w:val="22"/>
        </w:rPr>
        <w:t>Part A – Annotated Bibliography</w:t>
      </w:r>
    </w:p>
    <w:p w14:paraId="07B799E0"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Source 1</w:t>
      </w:r>
    </w:p>
    <w:p w14:paraId="2996E551"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Reference</w:t>
      </w:r>
    </w:p>
    <w:p w14:paraId="1CE81E15" w14:textId="77777777" w:rsidR="0009794A" w:rsidRPr="0009794A" w:rsidRDefault="0009794A" w:rsidP="0009794A">
      <w:pPr>
        <w:spacing w:line="360" w:lineRule="auto"/>
        <w:rPr>
          <w:rFonts w:ascii="Arial" w:eastAsiaTheme="minorEastAsia" w:hAnsi="Arial" w:cs="Arial"/>
          <w:sz w:val="22"/>
          <w:szCs w:val="22"/>
        </w:rPr>
      </w:pPr>
      <w:r w:rsidRPr="0009794A">
        <w:rPr>
          <w:rFonts w:ascii="Arial" w:eastAsiaTheme="minorEastAsia" w:hAnsi="Arial" w:cs="Arial"/>
          <w:sz w:val="22"/>
          <w:szCs w:val="22"/>
        </w:rPr>
        <w:t xml:space="preserve">Cattan, M., White, M., Bond, J. and Learmouth, A. (2021) ‘Preventing social isolation and loneliness among older people’, </w:t>
      </w:r>
      <w:r w:rsidRPr="0009794A">
        <w:rPr>
          <w:rFonts w:ascii="Arial" w:eastAsiaTheme="minorEastAsia" w:hAnsi="Arial" w:cs="Arial"/>
          <w:i/>
          <w:iCs/>
          <w:sz w:val="22"/>
          <w:szCs w:val="22"/>
        </w:rPr>
        <w:t>Ageing &amp; Society</w:t>
      </w:r>
      <w:r w:rsidRPr="0009794A">
        <w:rPr>
          <w:rFonts w:ascii="Arial" w:eastAsiaTheme="minorEastAsia" w:hAnsi="Arial" w:cs="Arial"/>
          <w:sz w:val="22"/>
          <w:szCs w:val="22"/>
        </w:rPr>
        <w:t>, 41(3), pp. 1–20.</w:t>
      </w:r>
    </w:p>
    <w:p w14:paraId="0FD6D450"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Summary</w:t>
      </w:r>
    </w:p>
    <w:p w14:paraId="3F9BBBE2" w14:textId="7FA6939E" w:rsidR="0009794A" w:rsidRPr="0009794A" w:rsidRDefault="0009794A" w:rsidP="0009794A">
      <w:pPr>
        <w:spacing w:line="360" w:lineRule="auto"/>
        <w:rPr>
          <w:rFonts w:ascii="Arial" w:eastAsiaTheme="minorEastAsia" w:hAnsi="Arial" w:cs="Arial"/>
          <w:sz w:val="22"/>
          <w:szCs w:val="22"/>
        </w:rPr>
      </w:pPr>
      <w:r w:rsidRPr="0009794A">
        <w:rPr>
          <w:rFonts w:ascii="Arial" w:eastAsiaTheme="minorEastAsia" w:hAnsi="Arial" w:cs="Arial"/>
          <w:sz w:val="22"/>
          <w:szCs w:val="22"/>
        </w:rPr>
        <w:t>This article examines different interventions used to reduce loneliness and social isolation among older adults. It highlights the importance of maintaining social engagement through activities, group programmes and community involvement. The findings suggest that older adults who actively participate in social activities experience improved mental health and overall wellbeing. These ideas support Activity Theory, which suggests that remaining socially active can improve</w:t>
      </w:r>
      <w:r w:rsidR="003D7475">
        <w:rPr>
          <w:rFonts w:ascii="Arial" w:eastAsiaTheme="minorEastAsia" w:hAnsi="Arial" w:cs="Arial"/>
          <w:sz w:val="22"/>
          <w:szCs w:val="22"/>
        </w:rPr>
        <w:t xml:space="preserve"> </w:t>
      </w:r>
      <w:r w:rsidR="00AF392A">
        <w:rPr>
          <w:rFonts w:ascii="Arial" w:eastAsiaTheme="minorEastAsia" w:hAnsi="Arial" w:cs="Arial"/>
          <w:sz w:val="22"/>
          <w:szCs w:val="22"/>
        </w:rPr>
        <w:t>the</w:t>
      </w:r>
      <w:r w:rsidRPr="0009794A">
        <w:rPr>
          <w:rFonts w:ascii="Arial" w:eastAsiaTheme="minorEastAsia" w:hAnsi="Arial" w:cs="Arial"/>
          <w:sz w:val="22"/>
          <w:szCs w:val="22"/>
        </w:rPr>
        <w:t xml:space="preserve"> quality of life in later adulthood. It also shows the importance of community-based programmes in reducing isolation.</w:t>
      </w:r>
    </w:p>
    <w:p w14:paraId="54839721"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Critical Comment</w:t>
      </w:r>
    </w:p>
    <w:p w14:paraId="5749B882" w14:textId="4F53B6B7" w:rsidR="0009794A" w:rsidRPr="0009794A" w:rsidRDefault="0009794A" w:rsidP="0009794A">
      <w:pPr>
        <w:spacing w:line="360" w:lineRule="auto"/>
        <w:rPr>
          <w:rFonts w:ascii="Arial" w:eastAsiaTheme="minorEastAsia" w:hAnsi="Arial" w:cs="Arial"/>
          <w:sz w:val="22"/>
          <w:szCs w:val="22"/>
        </w:rPr>
      </w:pPr>
      <w:r w:rsidRPr="0009794A">
        <w:rPr>
          <w:rFonts w:ascii="Arial" w:eastAsiaTheme="minorEastAsia" w:hAnsi="Arial" w:cs="Arial"/>
          <w:sz w:val="22"/>
          <w:szCs w:val="22"/>
        </w:rPr>
        <w:t xml:space="preserve">This article is relevant to health and social care practice because it provides recent evidence that social engagement can reduce loneliness and improve mental wellbeing. It is useful in residential care settings where activities can be used to support residents. However, not all individuals may benefit equally, especially those with complex health needs or limited mobility. This highlights the importance of person-centred approaches when encouraging participation. When compared </w:t>
      </w:r>
      <w:r w:rsidR="003D7475" w:rsidRPr="0009794A">
        <w:rPr>
          <w:rFonts w:ascii="Arial" w:eastAsiaTheme="minorEastAsia" w:hAnsi="Arial" w:cs="Arial"/>
          <w:sz w:val="22"/>
          <w:szCs w:val="22"/>
        </w:rPr>
        <w:t>to Erikson’s</w:t>
      </w:r>
      <w:r w:rsidRPr="0009794A">
        <w:rPr>
          <w:rFonts w:ascii="Arial" w:eastAsiaTheme="minorEastAsia" w:hAnsi="Arial" w:cs="Arial"/>
          <w:sz w:val="22"/>
          <w:szCs w:val="22"/>
        </w:rPr>
        <w:t xml:space="preserve"> theory, which focuses on internal reflection, this study focuses more on external social engagement, suggesting that both approaches are important.</w:t>
      </w:r>
    </w:p>
    <w:p w14:paraId="4238462B"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Source 2</w:t>
      </w:r>
    </w:p>
    <w:p w14:paraId="03E8AB87"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Reference</w:t>
      </w:r>
    </w:p>
    <w:p w14:paraId="10090D99" w14:textId="77777777" w:rsidR="0009794A" w:rsidRPr="0009794A" w:rsidRDefault="0009794A" w:rsidP="0009794A">
      <w:pPr>
        <w:spacing w:line="360" w:lineRule="auto"/>
        <w:rPr>
          <w:rFonts w:ascii="Arial" w:eastAsiaTheme="minorEastAsia" w:hAnsi="Arial" w:cs="Arial"/>
          <w:sz w:val="22"/>
          <w:szCs w:val="22"/>
        </w:rPr>
      </w:pPr>
      <w:r w:rsidRPr="0009794A">
        <w:rPr>
          <w:rFonts w:ascii="Arial" w:eastAsiaTheme="minorEastAsia" w:hAnsi="Arial" w:cs="Arial"/>
          <w:sz w:val="22"/>
          <w:szCs w:val="22"/>
        </w:rPr>
        <w:t xml:space="preserve">Windle, G. and Woods, B. (2020) ‘The impact of reminiscence interventions on wellbeing in older adults’, </w:t>
      </w:r>
      <w:r w:rsidRPr="0009794A">
        <w:rPr>
          <w:rFonts w:ascii="Arial" w:eastAsiaTheme="minorEastAsia" w:hAnsi="Arial" w:cs="Arial"/>
          <w:i/>
          <w:iCs/>
          <w:sz w:val="22"/>
          <w:szCs w:val="22"/>
        </w:rPr>
        <w:t>International Journal of Geriatric Psychiatry</w:t>
      </w:r>
      <w:r w:rsidRPr="0009794A">
        <w:rPr>
          <w:rFonts w:ascii="Arial" w:eastAsiaTheme="minorEastAsia" w:hAnsi="Arial" w:cs="Arial"/>
          <w:sz w:val="22"/>
          <w:szCs w:val="22"/>
        </w:rPr>
        <w:t>, 35(2), pp. 1–10.</w:t>
      </w:r>
    </w:p>
    <w:p w14:paraId="465B58DC"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Summary</w:t>
      </w:r>
    </w:p>
    <w:p w14:paraId="396CC531" w14:textId="17CE1847" w:rsidR="0009794A" w:rsidRPr="0009794A" w:rsidRDefault="0009794A" w:rsidP="0009794A">
      <w:pPr>
        <w:spacing w:line="360" w:lineRule="auto"/>
        <w:rPr>
          <w:rFonts w:ascii="Arial" w:eastAsiaTheme="minorEastAsia" w:hAnsi="Arial" w:cs="Arial"/>
          <w:sz w:val="22"/>
          <w:szCs w:val="22"/>
        </w:rPr>
      </w:pPr>
      <w:r w:rsidRPr="0009794A">
        <w:rPr>
          <w:rFonts w:ascii="Arial" w:eastAsiaTheme="minorEastAsia" w:hAnsi="Arial" w:cs="Arial"/>
          <w:sz w:val="22"/>
          <w:szCs w:val="22"/>
        </w:rPr>
        <w:t xml:space="preserve">This article explores reminiscence therapy and its role in improving wellbeing among older adults, particularly those living in care settings. It is based on Erik Erikson’s stages of development, especially the concept of life review in later adulthood. The study suggests that reflecting on past experiences can improve mood, strengthen identity and support </w:t>
      </w:r>
      <w:r w:rsidRPr="0009794A">
        <w:rPr>
          <w:rFonts w:ascii="Arial" w:eastAsiaTheme="minorEastAsia" w:hAnsi="Arial" w:cs="Arial"/>
          <w:sz w:val="22"/>
          <w:szCs w:val="22"/>
        </w:rPr>
        <w:lastRenderedPageBreak/>
        <w:t xml:space="preserve">emotional wellbeing. </w:t>
      </w:r>
      <w:r w:rsidR="00616026">
        <w:rPr>
          <w:rFonts w:ascii="Arial" w:eastAsiaTheme="minorEastAsia" w:hAnsi="Arial" w:cs="Arial"/>
          <w:sz w:val="22"/>
          <w:szCs w:val="22"/>
        </w:rPr>
        <w:t>This</w:t>
      </w:r>
      <w:r w:rsidRPr="0009794A">
        <w:rPr>
          <w:rFonts w:ascii="Arial" w:eastAsiaTheme="minorEastAsia" w:hAnsi="Arial" w:cs="Arial"/>
          <w:sz w:val="22"/>
          <w:szCs w:val="22"/>
        </w:rPr>
        <w:t xml:space="preserve"> shows that looking back at life experiences can help older adults feel more positive and valued. This approach is important for maintaining a sense of identity.</w:t>
      </w:r>
    </w:p>
    <w:p w14:paraId="1CD5B767"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Critical Comment</w:t>
      </w:r>
    </w:p>
    <w:p w14:paraId="4DE9B2A6" w14:textId="77777777" w:rsidR="0009794A" w:rsidRPr="0009794A" w:rsidRDefault="0009794A" w:rsidP="0009794A">
      <w:pPr>
        <w:spacing w:line="360" w:lineRule="auto"/>
        <w:rPr>
          <w:rFonts w:ascii="Arial" w:eastAsiaTheme="minorEastAsia" w:hAnsi="Arial" w:cs="Arial"/>
          <w:sz w:val="22"/>
          <w:szCs w:val="22"/>
        </w:rPr>
      </w:pPr>
      <w:r w:rsidRPr="0009794A">
        <w:rPr>
          <w:rFonts w:ascii="Arial" w:eastAsiaTheme="minorEastAsia" w:hAnsi="Arial" w:cs="Arial"/>
          <w:sz w:val="22"/>
          <w:szCs w:val="22"/>
        </w:rPr>
        <w:t>This article is useful for understanding how psychological support can improve wellbeing in older adults. It is particularly relevant for care homes, especially for residents with dementia. However, it may not be effective for individuals with severe cognitive decline. This suggests that interventions should be adapted based on individual needs. Compared to Activity Theory, which focuses on active participation, this approach focuses on internal psychological processes. This shows that both reflection and activity are important in supporting older adults. It also highlights the importance of emotional support alongside physical care.</w:t>
      </w:r>
    </w:p>
    <w:p w14:paraId="1977680B"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Source 3</w:t>
      </w:r>
    </w:p>
    <w:p w14:paraId="14DF2A64"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Reference</w:t>
      </w:r>
    </w:p>
    <w:p w14:paraId="506A013D" w14:textId="77777777" w:rsidR="0009794A" w:rsidRPr="0009794A" w:rsidRDefault="0009794A" w:rsidP="0009794A">
      <w:pPr>
        <w:spacing w:line="360" w:lineRule="auto"/>
        <w:rPr>
          <w:rFonts w:ascii="Arial" w:eastAsiaTheme="minorEastAsia" w:hAnsi="Arial" w:cs="Arial"/>
          <w:sz w:val="22"/>
          <w:szCs w:val="22"/>
        </w:rPr>
      </w:pPr>
      <w:r w:rsidRPr="0009794A">
        <w:rPr>
          <w:rFonts w:ascii="Arial" w:eastAsiaTheme="minorEastAsia" w:hAnsi="Arial" w:cs="Arial"/>
          <w:sz w:val="22"/>
          <w:szCs w:val="22"/>
        </w:rPr>
        <w:t xml:space="preserve">Green, M. and Nolan, M. (2022) ‘Attachment-informed care for older adults’, </w:t>
      </w:r>
      <w:r w:rsidRPr="0009794A">
        <w:rPr>
          <w:rFonts w:ascii="Arial" w:eastAsiaTheme="minorEastAsia" w:hAnsi="Arial" w:cs="Arial"/>
          <w:i/>
          <w:iCs/>
          <w:sz w:val="22"/>
          <w:szCs w:val="22"/>
        </w:rPr>
        <w:t>Journal of Advanced Nursing</w:t>
      </w:r>
      <w:r w:rsidRPr="0009794A">
        <w:rPr>
          <w:rFonts w:ascii="Arial" w:eastAsiaTheme="minorEastAsia" w:hAnsi="Arial" w:cs="Arial"/>
          <w:sz w:val="22"/>
          <w:szCs w:val="22"/>
        </w:rPr>
        <w:t>, 78(5), pp. 1345–1355.</w:t>
      </w:r>
    </w:p>
    <w:p w14:paraId="0DBE62DF"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Summary</w:t>
      </w:r>
    </w:p>
    <w:p w14:paraId="5BE3B317" w14:textId="77777777" w:rsidR="0009794A" w:rsidRPr="0009794A" w:rsidRDefault="0009794A" w:rsidP="0009794A">
      <w:pPr>
        <w:spacing w:line="360" w:lineRule="auto"/>
        <w:rPr>
          <w:rFonts w:ascii="Arial" w:eastAsiaTheme="minorEastAsia" w:hAnsi="Arial" w:cs="Arial"/>
          <w:sz w:val="22"/>
          <w:szCs w:val="22"/>
        </w:rPr>
      </w:pPr>
      <w:r w:rsidRPr="0009794A">
        <w:rPr>
          <w:rFonts w:ascii="Arial" w:eastAsiaTheme="minorEastAsia" w:hAnsi="Arial" w:cs="Arial"/>
          <w:sz w:val="22"/>
          <w:szCs w:val="22"/>
        </w:rPr>
        <w:t>This article applies John Bowlby’s Attachment Theory to older adult care. It explains how secure and consistent relationships with caregivers can improve emotional wellbeing and reduce anxiety. The study highlights the importance of person-centred care and continuity in caregiving relationships, especially when older adults move into care settings. This means providing stable and consistent support to help build trust. It also shows how strong relationships can improve communication and care outcomes.</w:t>
      </w:r>
    </w:p>
    <w:p w14:paraId="495A6E65"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Critical Comment</w:t>
      </w:r>
    </w:p>
    <w:p w14:paraId="2D49E7E4" w14:textId="77777777" w:rsidR="0009794A" w:rsidRPr="0009794A" w:rsidRDefault="0009794A" w:rsidP="0009794A">
      <w:pPr>
        <w:spacing w:line="360" w:lineRule="auto"/>
        <w:rPr>
          <w:rFonts w:ascii="Arial" w:eastAsiaTheme="minorEastAsia" w:hAnsi="Arial" w:cs="Arial"/>
          <w:sz w:val="22"/>
          <w:szCs w:val="22"/>
        </w:rPr>
      </w:pPr>
      <w:r w:rsidRPr="0009794A">
        <w:rPr>
          <w:rFonts w:ascii="Arial" w:eastAsiaTheme="minorEastAsia" w:hAnsi="Arial" w:cs="Arial"/>
          <w:sz w:val="22"/>
          <w:szCs w:val="22"/>
        </w:rPr>
        <w:t>This article is relevant to health and social care practice because it shows how relationships can affect emotional wellbeing. It is particularly useful in residential care settings where individuals may feel anxious or insecure. However, applying attachment-informed care may be difficult due to staff shortages and time pressures. This suggests that organisations need to provide better support for staff. Compared to positive psychology, which focuses on strengths and positive experiences, attachment theory focuses more on emotional security and relationships. This shows that both approaches are important for supporting overall wellbeing. It also reinforces the need for stable caregiving environments.</w:t>
      </w:r>
    </w:p>
    <w:p w14:paraId="0751EF72"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Source 4</w:t>
      </w:r>
    </w:p>
    <w:p w14:paraId="6D5BA52E"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lastRenderedPageBreak/>
        <w:t>Reference</w:t>
      </w:r>
    </w:p>
    <w:p w14:paraId="6FDCBB76" w14:textId="77777777" w:rsidR="0009794A" w:rsidRPr="0009794A" w:rsidRDefault="0009794A" w:rsidP="0009794A">
      <w:pPr>
        <w:spacing w:line="360" w:lineRule="auto"/>
        <w:rPr>
          <w:rFonts w:ascii="Arial" w:eastAsiaTheme="minorEastAsia" w:hAnsi="Arial" w:cs="Arial"/>
          <w:sz w:val="22"/>
          <w:szCs w:val="22"/>
        </w:rPr>
      </w:pPr>
      <w:r w:rsidRPr="0009794A">
        <w:rPr>
          <w:rFonts w:ascii="Arial" w:eastAsiaTheme="minorEastAsia" w:hAnsi="Arial" w:cs="Arial"/>
          <w:sz w:val="22"/>
          <w:szCs w:val="22"/>
        </w:rPr>
        <w:t xml:space="preserve">Park, N., Peterson, C. and Seligman, M. (2021) ‘Strengths of character and wellbeing in later life’, </w:t>
      </w:r>
      <w:r w:rsidRPr="0009794A">
        <w:rPr>
          <w:rFonts w:ascii="Arial" w:eastAsiaTheme="minorEastAsia" w:hAnsi="Arial" w:cs="Arial"/>
          <w:i/>
          <w:iCs/>
          <w:sz w:val="22"/>
          <w:szCs w:val="22"/>
        </w:rPr>
        <w:t>Journal of Positive Psychology</w:t>
      </w:r>
      <w:r w:rsidRPr="0009794A">
        <w:rPr>
          <w:rFonts w:ascii="Arial" w:eastAsiaTheme="minorEastAsia" w:hAnsi="Arial" w:cs="Arial"/>
          <w:sz w:val="22"/>
          <w:szCs w:val="22"/>
        </w:rPr>
        <w:t>, 16(2), pp. 1–10.</w:t>
      </w:r>
    </w:p>
    <w:p w14:paraId="0210917C"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Summary</w:t>
      </w:r>
    </w:p>
    <w:p w14:paraId="50AA0003" w14:textId="00922CB6" w:rsidR="0009794A" w:rsidRPr="0009794A" w:rsidRDefault="0009794A" w:rsidP="0009794A">
      <w:pPr>
        <w:spacing w:line="360" w:lineRule="auto"/>
        <w:rPr>
          <w:rFonts w:ascii="Arial" w:eastAsiaTheme="minorEastAsia" w:hAnsi="Arial" w:cs="Arial"/>
          <w:sz w:val="22"/>
          <w:szCs w:val="22"/>
        </w:rPr>
      </w:pPr>
      <w:r w:rsidRPr="0009794A">
        <w:rPr>
          <w:rFonts w:ascii="Arial" w:eastAsiaTheme="minorEastAsia" w:hAnsi="Arial" w:cs="Arial"/>
          <w:sz w:val="22"/>
          <w:szCs w:val="22"/>
        </w:rPr>
        <w:t>This article explores positive psychology and its role in supporting wellbeing among older adults. It focuses on strengths, positive emotions and meaningful engagement in later life. The study suggests that when older adults focus on their strengths and take part in enjoyable activities, their mental health and life satisfaction improve. These ideas are linked to positive psychology</w:t>
      </w:r>
      <w:r w:rsidR="00EF18CB">
        <w:rPr>
          <w:rFonts w:ascii="Arial" w:eastAsiaTheme="minorEastAsia" w:hAnsi="Arial" w:cs="Arial"/>
          <w:sz w:val="22"/>
          <w:szCs w:val="22"/>
        </w:rPr>
        <w:t xml:space="preserve"> theory</w:t>
      </w:r>
      <w:r w:rsidRPr="0009794A">
        <w:rPr>
          <w:rFonts w:ascii="Arial" w:eastAsiaTheme="minorEastAsia" w:hAnsi="Arial" w:cs="Arial"/>
          <w:sz w:val="22"/>
          <w:szCs w:val="22"/>
        </w:rPr>
        <w:t>, which aims to promote happiness and wellbeing. This approach can also increase confidence and motivation in older adults.</w:t>
      </w:r>
    </w:p>
    <w:p w14:paraId="24CF5540" w14:textId="77777777" w:rsidR="0009794A" w:rsidRPr="0009794A" w:rsidRDefault="0009794A" w:rsidP="0009794A">
      <w:pPr>
        <w:spacing w:line="360" w:lineRule="auto"/>
        <w:rPr>
          <w:rFonts w:ascii="Arial" w:eastAsiaTheme="minorEastAsia" w:hAnsi="Arial" w:cs="Arial"/>
          <w:b/>
          <w:bCs/>
          <w:sz w:val="22"/>
          <w:szCs w:val="22"/>
        </w:rPr>
      </w:pPr>
      <w:r w:rsidRPr="0009794A">
        <w:rPr>
          <w:rFonts w:ascii="Arial" w:eastAsiaTheme="minorEastAsia" w:hAnsi="Arial" w:cs="Arial"/>
          <w:b/>
          <w:bCs/>
          <w:sz w:val="22"/>
          <w:szCs w:val="22"/>
        </w:rPr>
        <w:t>Critical Comment</w:t>
      </w:r>
    </w:p>
    <w:p w14:paraId="410640C8" w14:textId="77777777" w:rsidR="0009794A" w:rsidRPr="0009794A" w:rsidRDefault="0009794A" w:rsidP="0009794A">
      <w:pPr>
        <w:spacing w:line="360" w:lineRule="auto"/>
        <w:rPr>
          <w:rFonts w:ascii="Arial" w:eastAsiaTheme="minorEastAsia" w:hAnsi="Arial" w:cs="Arial"/>
          <w:sz w:val="22"/>
          <w:szCs w:val="22"/>
        </w:rPr>
      </w:pPr>
      <w:r w:rsidRPr="0009794A">
        <w:rPr>
          <w:rFonts w:ascii="Arial" w:eastAsiaTheme="minorEastAsia" w:hAnsi="Arial" w:cs="Arial"/>
          <w:sz w:val="22"/>
          <w:szCs w:val="22"/>
        </w:rPr>
        <w:t>This article is useful for understanding how positive approaches can support wellbeing in older adults. It is relevant in care settings where activities can be designed to promote enjoyment and engagement. However, it may not fully consider individuals with serious health conditions who may struggle to participate in activities. This suggests that activities should be adapted to meet individual needs. Compared to John Bowlby’s Attachment Theory, which focuses on relationships, positive psychology focuses more on individual strengths and positive experiences. This suggests that combining both approaches can provide better support. It also shows that positive experiences can improve long-term wellbeing.</w:t>
      </w:r>
    </w:p>
    <w:p w14:paraId="1A9421EF" w14:textId="77777777" w:rsidR="00D6490D" w:rsidRDefault="00D6490D" w:rsidP="00710CAF">
      <w:pPr>
        <w:spacing w:line="360" w:lineRule="auto"/>
        <w:rPr>
          <w:rFonts w:ascii="Arial" w:hAnsi="Arial" w:cs="Arial"/>
          <w:sz w:val="22"/>
          <w:szCs w:val="22"/>
        </w:rPr>
      </w:pPr>
    </w:p>
    <w:p w14:paraId="0DA52C3D" w14:textId="77777777" w:rsidR="009037B7" w:rsidRDefault="009037B7" w:rsidP="00710CAF">
      <w:pPr>
        <w:spacing w:line="360" w:lineRule="auto"/>
        <w:rPr>
          <w:rFonts w:ascii="Arial" w:hAnsi="Arial" w:cs="Arial"/>
          <w:sz w:val="22"/>
          <w:szCs w:val="22"/>
        </w:rPr>
      </w:pPr>
    </w:p>
    <w:p w14:paraId="2E3ACE18" w14:textId="77777777" w:rsidR="009037B7" w:rsidRDefault="009037B7" w:rsidP="00710CAF">
      <w:pPr>
        <w:spacing w:line="360" w:lineRule="auto"/>
        <w:rPr>
          <w:rFonts w:ascii="Arial" w:hAnsi="Arial" w:cs="Arial"/>
          <w:sz w:val="22"/>
          <w:szCs w:val="22"/>
        </w:rPr>
      </w:pPr>
    </w:p>
    <w:p w14:paraId="44D15B18" w14:textId="77777777" w:rsidR="009037B7" w:rsidRDefault="009037B7" w:rsidP="00710CAF">
      <w:pPr>
        <w:spacing w:line="360" w:lineRule="auto"/>
        <w:rPr>
          <w:rFonts w:ascii="Arial" w:hAnsi="Arial" w:cs="Arial"/>
          <w:sz w:val="22"/>
          <w:szCs w:val="22"/>
        </w:rPr>
      </w:pPr>
    </w:p>
    <w:p w14:paraId="5D1BADB1" w14:textId="77777777" w:rsidR="009037B7" w:rsidRDefault="009037B7" w:rsidP="00710CAF">
      <w:pPr>
        <w:spacing w:line="360" w:lineRule="auto"/>
        <w:rPr>
          <w:rFonts w:ascii="Arial" w:hAnsi="Arial" w:cs="Arial"/>
          <w:sz w:val="22"/>
          <w:szCs w:val="22"/>
        </w:rPr>
      </w:pPr>
    </w:p>
    <w:p w14:paraId="6E0B20A0" w14:textId="77777777" w:rsidR="009037B7" w:rsidRDefault="009037B7" w:rsidP="00710CAF">
      <w:pPr>
        <w:spacing w:line="360" w:lineRule="auto"/>
        <w:rPr>
          <w:rFonts w:ascii="Arial" w:hAnsi="Arial" w:cs="Arial"/>
          <w:sz w:val="22"/>
          <w:szCs w:val="22"/>
        </w:rPr>
      </w:pPr>
    </w:p>
    <w:p w14:paraId="70906AD0" w14:textId="77777777" w:rsidR="009037B7" w:rsidRDefault="009037B7" w:rsidP="00710CAF">
      <w:pPr>
        <w:spacing w:line="360" w:lineRule="auto"/>
        <w:rPr>
          <w:rFonts w:ascii="Arial" w:hAnsi="Arial" w:cs="Arial"/>
          <w:sz w:val="22"/>
          <w:szCs w:val="22"/>
        </w:rPr>
      </w:pPr>
    </w:p>
    <w:p w14:paraId="1DC72F54" w14:textId="77777777" w:rsidR="009037B7" w:rsidRDefault="009037B7" w:rsidP="00710CAF">
      <w:pPr>
        <w:spacing w:line="360" w:lineRule="auto"/>
        <w:rPr>
          <w:rFonts w:ascii="Arial" w:hAnsi="Arial" w:cs="Arial"/>
          <w:sz w:val="22"/>
          <w:szCs w:val="22"/>
        </w:rPr>
      </w:pPr>
    </w:p>
    <w:p w14:paraId="38AA9BC5" w14:textId="77777777" w:rsidR="009037B7" w:rsidRDefault="009037B7" w:rsidP="00710CAF">
      <w:pPr>
        <w:spacing w:line="360" w:lineRule="auto"/>
        <w:rPr>
          <w:rFonts w:ascii="Arial" w:hAnsi="Arial" w:cs="Arial"/>
          <w:sz w:val="22"/>
          <w:szCs w:val="22"/>
        </w:rPr>
      </w:pPr>
    </w:p>
    <w:p w14:paraId="56408E69" w14:textId="77777777" w:rsidR="009037B7" w:rsidRDefault="009037B7" w:rsidP="00710CAF">
      <w:pPr>
        <w:spacing w:line="360" w:lineRule="auto"/>
        <w:rPr>
          <w:rFonts w:ascii="Arial" w:hAnsi="Arial" w:cs="Arial"/>
          <w:sz w:val="22"/>
          <w:szCs w:val="22"/>
        </w:rPr>
      </w:pPr>
    </w:p>
    <w:p w14:paraId="59A6A052" w14:textId="77777777" w:rsidR="00277FD5" w:rsidRPr="00277FD5" w:rsidRDefault="00277FD5" w:rsidP="00277FD5">
      <w:pPr>
        <w:spacing w:line="360" w:lineRule="auto"/>
        <w:rPr>
          <w:rFonts w:ascii="Arial" w:eastAsiaTheme="minorEastAsia" w:hAnsi="Arial" w:cs="Arial"/>
          <w:b/>
          <w:bCs/>
          <w:sz w:val="22"/>
          <w:szCs w:val="22"/>
        </w:rPr>
      </w:pPr>
      <w:r w:rsidRPr="00277FD5">
        <w:rPr>
          <w:rFonts w:ascii="Arial" w:eastAsiaTheme="minorEastAsia" w:hAnsi="Arial" w:cs="Arial"/>
          <w:b/>
          <w:bCs/>
          <w:sz w:val="22"/>
          <w:szCs w:val="22"/>
        </w:rPr>
        <w:lastRenderedPageBreak/>
        <w:t xml:space="preserve">                                       Part B - Professional Report</w:t>
      </w:r>
    </w:p>
    <w:p w14:paraId="6861462C" w14:textId="77777777" w:rsidR="00277FD5" w:rsidRPr="00277FD5" w:rsidRDefault="00277FD5" w:rsidP="00277FD5">
      <w:pPr>
        <w:spacing w:line="360" w:lineRule="auto"/>
        <w:rPr>
          <w:rFonts w:ascii="Arial" w:eastAsiaTheme="minorEastAsia" w:hAnsi="Arial" w:cs="Arial"/>
          <w:b/>
          <w:bCs/>
          <w:sz w:val="22"/>
          <w:szCs w:val="22"/>
          <w:u w:val="single"/>
        </w:rPr>
      </w:pPr>
      <w:r w:rsidRPr="00277FD5">
        <w:rPr>
          <w:rFonts w:ascii="Arial" w:eastAsiaTheme="minorEastAsia" w:hAnsi="Arial" w:cs="Arial"/>
          <w:b/>
          <w:bCs/>
          <w:sz w:val="22"/>
          <w:szCs w:val="22"/>
          <w:u w:val="single"/>
        </w:rPr>
        <w:t>Introduction</w:t>
      </w:r>
    </w:p>
    <w:p w14:paraId="76CE04C3" w14:textId="03E3A84B" w:rsidR="00277FD5" w:rsidRPr="00277FD5" w:rsidRDefault="00277FD5" w:rsidP="00277FD5">
      <w:pPr>
        <w:spacing w:before="100" w:beforeAutospacing="1" w:after="100" w:afterAutospacing="1" w:line="360" w:lineRule="auto"/>
        <w:rPr>
          <w:rFonts w:ascii="Arial" w:eastAsiaTheme="minorEastAsia" w:hAnsi="Arial" w:cs="Arial"/>
          <w:kern w:val="0"/>
          <w:sz w:val="22"/>
          <w:szCs w:val="22"/>
          <w14:ligatures w14:val="none"/>
        </w:rPr>
      </w:pPr>
      <w:r w:rsidRPr="00277FD5">
        <w:rPr>
          <w:rFonts w:ascii="Arial" w:eastAsiaTheme="minorEastAsia" w:hAnsi="Arial" w:cs="Arial"/>
          <w:kern w:val="0"/>
          <w:sz w:val="22"/>
          <w:szCs w:val="22"/>
          <w14:ligatures w14:val="none"/>
        </w:rPr>
        <w:t>This report explains how Erikson’s psychosocial theory suggests that human development occurs across eight stages, each with a psychological conflict. In older adulthood, the stage of ego integrity versus despair is used to improve psychological wellbeing in older adults living in care by reflecting on life experiences and finding meaning. When people reflect on their life experiences, they feel more fulfilled and improve their wellbeing. How</w:t>
      </w:r>
      <w:r w:rsidR="00071BE8">
        <w:rPr>
          <w:rFonts w:ascii="Arial" w:eastAsiaTheme="minorEastAsia" w:hAnsi="Arial" w:cs="Arial"/>
          <w:kern w:val="0"/>
          <w:sz w:val="22"/>
          <w:szCs w:val="22"/>
          <w14:ligatures w14:val="none"/>
        </w:rPr>
        <w:t>ever</w:t>
      </w:r>
      <w:r w:rsidRPr="00277FD5">
        <w:rPr>
          <w:rFonts w:ascii="Arial" w:eastAsiaTheme="minorEastAsia" w:hAnsi="Arial" w:cs="Arial"/>
          <w:kern w:val="0"/>
          <w:sz w:val="22"/>
          <w:szCs w:val="22"/>
          <w14:ligatures w14:val="none"/>
        </w:rPr>
        <w:t xml:space="preserve">, not reflecting on life experiences and leaving them unresolved can lead to stress. Many older adults experience loneliness and their identity changes when being in a care home. This report shows the main concept of the theory and how it relates to the older adults and strategies care staff should use in the real world. This report also contains a real </w:t>
      </w:r>
      <w:r w:rsidR="000C6574">
        <w:rPr>
          <w:rFonts w:ascii="Arial" w:eastAsiaTheme="minorEastAsia" w:hAnsi="Arial" w:cs="Arial"/>
          <w:kern w:val="0"/>
          <w:sz w:val="22"/>
          <w:szCs w:val="22"/>
          <w14:ligatures w14:val="none"/>
        </w:rPr>
        <w:t>–</w:t>
      </w:r>
      <w:r w:rsidRPr="00277FD5">
        <w:rPr>
          <w:rFonts w:ascii="Arial" w:eastAsiaTheme="minorEastAsia" w:hAnsi="Arial" w:cs="Arial"/>
          <w:kern w:val="0"/>
          <w:sz w:val="22"/>
          <w:szCs w:val="22"/>
          <w14:ligatures w14:val="none"/>
        </w:rPr>
        <w:t xml:space="preserve"> world</w:t>
      </w:r>
      <w:r w:rsidR="000C6574">
        <w:rPr>
          <w:rFonts w:ascii="Arial" w:eastAsiaTheme="minorEastAsia" w:hAnsi="Arial" w:cs="Arial"/>
          <w:kern w:val="0"/>
          <w:sz w:val="22"/>
          <w:szCs w:val="22"/>
          <w14:ligatures w14:val="none"/>
        </w:rPr>
        <w:t xml:space="preserve"> </w:t>
      </w:r>
      <w:r w:rsidRPr="00277FD5">
        <w:rPr>
          <w:rFonts w:ascii="Arial" w:eastAsiaTheme="minorEastAsia" w:hAnsi="Arial" w:cs="Arial"/>
          <w:kern w:val="0"/>
          <w:sz w:val="22"/>
          <w:szCs w:val="22"/>
          <w14:ligatures w14:val="none"/>
        </w:rPr>
        <w:t>scenario and discusses challenges with evidence-based solutions. (Cattan et al., 2021; Rodríguez-Martínez et al., 2023).</w:t>
      </w:r>
    </w:p>
    <w:p w14:paraId="58999391" w14:textId="77777777" w:rsidR="00277FD5" w:rsidRPr="00277FD5" w:rsidRDefault="00277FD5" w:rsidP="00277FD5">
      <w:pPr>
        <w:spacing w:before="100" w:beforeAutospacing="1" w:after="100" w:afterAutospacing="1" w:line="360" w:lineRule="auto"/>
        <w:rPr>
          <w:rFonts w:ascii="Arial" w:eastAsiaTheme="minorEastAsia" w:hAnsi="Arial" w:cs="Arial"/>
          <w:b/>
          <w:bCs/>
          <w:kern w:val="0"/>
          <w:sz w:val="22"/>
          <w:szCs w:val="22"/>
          <w:u w:val="single"/>
          <w14:ligatures w14:val="none"/>
        </w:rPr>
      </w:pPr>
      <w:r w:rsidRPr="00277FD5">
        <w:rPr>
          <w:rFonts w:ascii="Arial" w:eastAsiaTheme="minorEastAsia" w:hAnsi="Arial" w:cs="Arial"/>
          <w:b/>
          <w:bCs/>
          <w:kern w:val="0"/>
          <w:sz w:val="22"/>
          <w:szCs w:val="22"/>
          <w:u w:val="single"/>
          <w14:ligatures w14:val="none"/>
        </w:rPr>
        <w:t>Explanation of the Theory</w:t>
      </w:r>
    </w:p>
    <w:p w14:paraId="16BEFCB7" w14:textId="2F29F4D2" w:rsidR="00277FD5" w:rsidRPr="00277FD5" w:rsidRDefault="00277FD5" w:rsidP="00277FD5">
      <w:pPr>
        <w:spacing w:before="100" w:beforeAutospacing="1" w:after="100" w:afterAutospacing="1" w:line="360" w:lineRule="auto"/>
        <w:rPr>
          <w:rFonts w:ascii="Arial" w:eastAsiaTheme="minorEastAsia" w:hAnsi="Arial" w:cs="Arial"/>
          <w:b/>
          <w:bCs/>
          <w:kern w:val="0"/>
          <w:sz w:val="22"/>
          <w:szCs w:val="22"/>
          <w:u w:val="single"/>
          <w14:ligatures w14:val="none"/>
        </w:rPr>
      </w:pPr>
      <w:r w:rsidRPr="00277FD5">
        <w:rPr>
          <w:rFonts w:ascii="Arial" w:eastAsiaTheme="minorEastAsia" w:hAnsi="Arial" w:cs="Arial"/>
          <w:kern w:val="0"/>
          <w:sz w:val="22"/>
          <w:szCs w:val="22"/>
          <w14:ligatures w14:val="none"/>
        </w:rPr>
        <w:t xml:space="preserve">Ego integrity is achieved when a person feels a sense of satisfaction, acceptance, and having a life purpose. However, despair </w:t>
      </w:r>
      <w:r w:rsidR="0008545B">
        <w:rPr>
          <w:rFonts w:ascii="Arial" w:eastAsiaTheme="minorEastAsia" w:hAnsi="Arial" w:cs="Arial"/>
          <w:kern w:val="0"/>
          <w:sz w:val="22"/>
          <w:szCs w:val="22"/>
          <w14:ligatures w14:val="none"/>
        </w:rPr>
        <w:t>occurs</w:t>
      </w:r>
      <w:r w:rsidRPr="00277FD5">
        <w:rPr>
          <w:rFonts w:ascii="Arial" w:eastAsiaTheme="minorEastAsia" w:hAnsi="Arial" w:cs="Arial"/>
          <w:kern w:val="0"/>
          <w:sz w:val="22"/>
          <w:szCs w:val="22"/>
          <w14:ligatures w14:val="none"/>
        </w:rPr>
        <w:t xml:space="preserve"> when peopl</w:t>
      </w:r>
      <w:r w:rsidR="0008545B">
        <w:rPr>
          <w:rFonts w:ascii="Arial" w:eastAsiaTheme="minorEastAsia" w:hAnsi="Arial" w:cs="Arial"/>
          <w:kern w:val="0"/>
          <w:sz w:val="22"/>
          <w:szCs w:val="22"/>
          <w14:ligatures w14:val="none"/>
        </w:rPr>
        <w:t>e</w:t>
      </w:r>
      <w:r w:rsidRPr="00277FD5">
        <w:rPr>
          <w:rFonts w:ascii="Arial" w:eastAsiaTheme="minorEastAsia" w:hAnsi="Arial" w:cs="Arial"/>
          <w:kern w:val="0"/>
          <w:sz w:val="22"/>
          <w:szCs w:val="22"/>
          <w14:ligatures w14:val="none"/>
        </w:rPr>
        <w:t xml:space="preserve"> experience</w:t>
      </w:r>
      <w:r w:rsidR="0008545B">
        <w:rPr>
          <w:rFonts w:ascii="Arial" w:eastAsiaTheme="minorEastAsia" w:hAnsi="Arial" w:cs="Arial"/>
          <w:kern w:val="0"/>
          <w:sz w:val="22"/>
          <w:szCs w:val="22"/>
          <w14:ligatures w14:val="none"/>
        </w:rPr>
        <w:t xml:space="preserve"> </w:t>
      </w:r>
      <w:r w:rsidRPr="00277FD5">
        <w:rPr>
          <w:rFonts w:ascii="Arial" w:eastAsiaTheme="minorEastAsia" w:hAnsi="Arial" w:cs="Arial"/>
          <w:kern w:val="0"/>
          <w:sz w:val="22"/>
          <w:szCs w:val="22"/>
          <w14:ligatures w14:val="none"/>
        </w:rPr>
        <w:t>regret, loss or a sense of failure (Knight &amp; Ricciardelli, 2022). This stage is linked to mental health because problems not solved can lead to depression, anxiety and reduce</w:t>
      </w:r>
      <w:r w:rsidR="00804F90">
        <w:rPr>
          <w:rFonts w:ascii="Arial" w:eastAsiaTheme="minorEastAsia" w:hAnsi="Arial" w:cs="Arial"/>
          <w:kern w:val="0"/>
          <w:sz w:val="22"/>
          <w:szCs w:val="22"/>
          <w14:ligatures w14:val="none"/>
        </w:rPr>
        <w:t xml:space="preserve"> the</w:t>
      </w:r>
      <w:r w:rsidRPr="00277FD5">
        <w:rPr>
          <w:rFonts w:ascii="Arial" w:eastAsiaTheme="minorEastAsia" w:hAnsi="Arial" w:cs="Arial"/>
          <w:kern w:val="0"/>
          <w:sz w:val="22"/>
          <w:szCs w:val="22"/>
          <w14:ligatures w14:val="none"/>
        </w:rPr>
        <w:t xml:space="preserve"> quality of life in older adults (World Health Organization, 2021).</w:t>
      </w:r>
    </w:p>
    <w:p w14:paraId="37F1C68E" w14:textId="7B91C2BC" w:rsidR="00277FD5" w:rsidRPr="00277FD5" w:rsidRDefault="00277FD5" w:rsidP="00277FD5">
      <w:pPr>
        <w:spacing w:before="100" w:beforeAutospacing="1" w:after="100" w:afterAutospacing="1" w:line="360" w:lineRule="auto"/>
        <w:rPr>
          <w:rFonts w:ascii="Arial" w:eastAsiaTheme="minorEastAsia" w:hAnsi="Arial" w:cs="Arial"/>
          <w:kern w:val="0"/>
          <w:sz w:val="22"/>
          <w:szCs w:val="22"/>
          <w14:ligatures w14:val="none"/>
        </w:rPr>
      </w:pPr>
      <w:r w:rsidRPr="00277FD5">
        <w:rPr>
          <w:rFonts w:ascii="Arial" w:eastAsiaTheme="minorEastAsia" w:hAnsi="Arial" w:cs="Arial"/>
          <w:kern w:val="0"/>
          <w:sz w:val="22"/>
          <w:szCs w:val="22"/>
          <w14:ligatures w14:val="none"/>
        </w:rPr>
        <w:t>The theory is related in resident</w:t>
      </w:r>
      <w:r w:rsidR="004D3E7A">
        <w:rPr>
          <w:rFonts w:ascii="Arial" w:eastAsiaTheme="minorEastAsia" w:hAnsi="Arial" w:cs="Arial"/>
          <w:kern w:val="0"/>
          <w:sz w:val="22"/>
          <w:szCs w:val="22"/>
          <w14:ligatures w14:val="none"/>
        </w:rPr>
        <w:t>ial</w:t>
      </w:r>
      <w:r w:rsidRPr="00277FD5">
        <w:rPr>
          <w:rFonts w:ascii="Arial" w:eastAsiaTheme="minorEastAsia" w:hAnsi="Arial" w:cs="Arial"/>
          <w:kern w:val="0"/>
          <w:sz w:val="22"/>
          <w:szCs w:val="22"/>
          <w14:ligatures w14:val="none"/>
        </w:rPr>
        <w:t xml:space="preserve"> care settings where people face many changes in later life like loss of independence, bereavement or declining health. These experiences can deepen reflection and emotional vulnerability (Brownie et al., 2021). Supporting older adults in achieving ego integrity can play a role in promoting resilience, dignity, and increase </w:t>
      </w:r>
      <w:r w:rsidR="004D3E7A">
        <w:rPr>
          <w:rFonts w:ascii="Arial" w:eastAsiaTheme="minorEastAsia" w:hAnsi="Arial" w:cs="Arial"/>
          <w:kern w:val="0"/>
          <w:sz w:val="22"/>
          <w:szCs w:val="22"/>
          <w14:ligatures w14:val="none"/>
        </w:rPr>
        <w:t xml:space="preserve">overall </w:t>
      </w:r>
      <w:r w:rsidRPr="00277FD5">
        <w:rPr>
          <w:rFonts w:ascii="Arial" w:eastAsiaTheme="minorEastAsia" w:hAnsi="Arial" w:cs="Arial"/>
          <w:kern w:val="0"/>
          <w:sz w:val="22"/>
          <w:szCs w:val="22"/>
          <w14:ligatures w14:val="none"/>
        </w:rPr>
        <w:t>wellbeing.</w:t>
      </w:r>
    </w:p>
    <w:p w14:paraId="515B19C4" w14:textId="77777777" w:rsidR="00277FD5" w:rsidRPr="00277FD5" w:rsidRDefault="00277FD5" w:rsidP="00277FD5">
      <w:pPr>
        <w:spacing w:before="100" w:beforeAutospacing="1" w:after="100" w:afterAutospacing="1" w:line="360" w:lineRule="auto"/>
        <w:rPr>
          <w:rFonts w:ascii="Arial" w:eastAsiaTheme="minorEastAsia" w:hAnsi="Arial" w:cs="Arial"/>
          <w:b/>
          <w:bCs/>
          <w:kern w:val="0"/>
          <w:sz w:val="22"/>
          <w:szCs w:val="22"/>
          <w:u w:val="single"/>
          <w14:ligatures w14:val="none"/>
        </w:rPr>
      </w:pPr>
      <w:r w:rsidRPr="00277FD5">
        <w:rPr>
          <w:rFonts w:ascii="Arial" w:eastAsiaTheme="minorEastAsia" w:hAnsi="Arial" w:cs="Arial"/>
          <w:b/>
          <w:bCs/>
          <w:kern w:val="0"/>
          <w:sz w:val="22"/>
          <w:szCs w:val="22"/>
          <w:u w:val="single"/>
          <w14:ligatures w14:val="none"/>
        </w:rPr>
        <w:t>Application to Practice</w:t>
      </w:r>
    </w:p>
    <w:p w14:paraId="2EF8486D" w14:textId="77777777" w:rsidR="00277FD5" w:rsidRPr="00277FD5" w:rsidRDefault="00277FD5" w:rsidP="00277FD5">
      <w:pPr>
        <w:spacing w:before="100" w:beforeAutospacing="1" w:after="100" w:afterAutospacing="1" w:line="360" w:lineRule="auto"/>
        <w:rPr>
          <w:rFonts w:ascii="Arial" w:eastAsiaTheme="minorEastAsia" w:hAnsi="Arial" w:cs="Arial"/>
          <w:kern w:val="0"/>
          <w:sz w:val="22"/>
          <w:szCs w:val="22"/>
          <w14:ligatures w14:val="none"/>
        </w:rPr>
      </w:pPr>
      <w:r w:rsidRPr="00277FD5">
        <w:rPr>
          <w:rFonts w:ascii="Arial" w:eastAsiaTheme="minorEastAsia" w:hAnsi="Arial" w:cs="Arial"/>
          <w:kern w:val="0"/>
          <w:sz w:val="22"/>
          <w:szCs w:val="22"/>
          <w14:ligatures w14:val="none"/>
        </w:rPr>
        <w:t>Applying Erikson’s theory in residential care involves creating opportunities for life reflection and emotional support. One approach is reminiscence therapy, where people are encouraged to talk about past experiences, achievements and relationships. This has been shown to improve mood and reduce depressive symptoms in older adults (Woods et al., 2022).</w:t>
      </w:r>
    </w:p>
    <w:p w14:paraId="6FB19342" w14:textId="77777777" w:rsidR="001673AB" w:rsidRDefault="00277FD5" w:rsidP="00277FD5">
      <w:pPr>
        <w:spacing w:before="100" w:beforeAutospacing="1" w:after="100" w:afterAutospacing="1" w:line="360" w:lineRule="auto"/>
        <w:rPr>
          <w:rFonts w:ascii="Arial" w:eastAsiaTheme="minorEastAsia" w:hAnsi="Arial" w:cs="Arial"/>
          <w:kern w:val="0"/>
          <w:sz w:val="22"/>
          <w:szCs w:val="22"/>
          <w14:ligatures w14:val="none"/>
        </w:rPr>
      </w:pPr>
      <w:r w:rsidRPr="00277FD5">
        <w:rPr>
          <w:rFonts w:ascii="Arial" w:eastAsiaTheme="minorEastAsia" w:hAnsi="Arial" w:cs="Arial"/>
          <w:kern w:val="0"/>
          <w:sz w:val="22"/>
          <w:szCs w:val="22"/>
          <w14:ligatures w14:val="none"/>
        </w:rPr>
        <w:lastRenderedPageBreak/>
        <w:t>Care staff can also support ego integrity by providing person-centred care. This helps to value the pe</w:t>
      </w:r>
      <w:r w:rsidR="00834FFD">
        <w:rPr>
          <w:rFonts w:ascii="Arial" w:eastAsiaTheme="minorEastAsia" w:hAnsi="Arial" w:cs="Arial"/>
          <w:kern w:val="0"/>
          <w:sz w:val="22"/>
          <w:szCs w:val="22"/>
          <w14:ligatures w14:val="none"/>
        </w:rPr>
        <w:t>rson</w:t>
      </w:r>
      <w:r w:rsidRPr="00277FD5">
        <w:rPr>
          <w:rFonts w:ascii="Arial" w:eastAsiaTheme="minorEastAsia" w:hAnsi="Arial" w:cs="Arial"/>
          <w:kern w:val="0"/>
          <w:sz w:val="22"/>
          <w:szCs w:val="22"/>
          <w14:ligatures w14:val="none"/>
        </w:rPr>
        <w:t>’s identity, preferences, and life history. For example, adding routines to their life, hobbies, and cultural practices into daily care can help give a sense of continuity and self-worth (Brownie and Nancarrow, 2021).</w:t>
      </w:r>
    </w:p>
    <w:p w14:paraId="516972DF" w14:textId="77777777" w:rsidR="001673AB" w:rsidRDefault="00277FD5" w:rsidP="00277FD5">
      <w:pPr>
        <w:spacing w:before="100" w:beforeAutospacing="1" w:after="100" w:afterAutospacing="1" w:line="360" w:lineRule="auto"/>
        <w:rPr>
          <w:rFonts w:ascii="Arial" w:eastAsiaTheme="minorEastAsia" w:hAnsi="Arial" w:cs="Arial"/>
          <w:kern w:val="0"/>
          <w:sz w:val="22"/>
          <w:szCs w:val="22"/>
          <w14:ligatures w14:val="none"/>
        </w:rPr>
      </w:pPr>
      <w:r w:rsidRPr="00277FD5">
        <w:rPr>
          <w:rFonts w:ascii="Arial" w:eastAsiaTheme="minorEastAsia" w:hAnsi="Arial" w:cs="Arial"/>
          <w:b/>
          <w:bCs/>
          <w:kern w:val="0"/>
          <w:sz w:val="22"/>
          <w:szCs w:val="22"/>
          <w:u w:val="single"/>
          <w14:ligatures w14:val="none"/>
        </w:rPr>
        <w:t>Case Scenario</w:t>
      </w:r>
      <w:r w:rsidRPr="00277FD5">
        <w:rPr>
          <w:rFonts w:ascii="Arial" w:eastAsiaTheme="minorEastAsia" w:hAnsi="Arial" w:cs="Arial"/>
          <w:kern w:val="0"/>
          <w:sz w:val="22"/>
          <w:szCs w:val="22"/>
          <w14:ligatures w14:val="none"/>
        </w:rPr>
        <w:br/>
      </w:r>
    </w:p>
    <w:p w14:paraId="2AFBECB6" w14:textId="0A6B4CAE" w:rsidR="00277FD5" w:rsidRPr="00277FD5" w:rsidRDefault="00277FD5" w:rsidP="00277FD5">
      <w:pPr>
        <w:spacing w:before="100" w:beforeAutospacing="1" w:after="100" w:afterAutospacing="1" w:line="360" w:lineRule="auto"/>
        <w:rPr>
          <w:rFonts w:ascii="Arial" w:eastAsiaTheme="minorEastAsia" w:hAnsi="Arial" w:cs="Arial"/>
          <w:kern w:val="0"/>
          <w:sz w:val="22"/>
          <w:szCs w:val="22"/>
          <w14:ligatures w14:val="none"/>
        </w:rPr>
      </w:pPr>
      <w:r w:rsidRPr="00277FD5">
        <w:rPr>
          <w:rFonts w:ascii="Arial" w:eastAsiaTheme="minorEastAsia" w:hAnsi="Arial" w:cs="Arial"/>
          <w:kern w:val="0"/>
          <w:sz w:val="22"/>
          <w:szCs w:val="22"/>
          <w14:ligatures w14:val="none"/>
        </w:rPr>
        <w:t>Mrs Evans is an 82-year-old resident who shows sadness and says that her life “didn’t amount to much.” Staff introduced weekly reminiscence sessions using photographs and conversations to encourage Mrs Evans to share stories about raising her family and her career as a teacher. Staff talked about her contributions and achievements which helped improve her mood and</w:t>
      </w:r>
      <w:r w:rsidR="0087632B">
        <w:rPr>
          <w:rFonts w:ascii="Arial" w:eastAsiaTheme="minorEastAsia" w:hAnsi="Arial" w:cs="Arial"/>
          <w:kern w:val="0"/>
          <w:sz w:val="22"/>
          <w:szCs w:val="22"/>
          <w14:ligatures w14:val="none"/>
        </w:rPr>
        <w:t xml:space="preserve"> </w:t>
      </w:r>
      <w:r w:rsidR="004135FB">
        <w:rPr>
          <w:rFonts w:ascii="Arial" w:eastAsiaTheme="minorEastAsia" w:hAnsi="Arial" w:cs="Arial"/>
          <w:kern w:val="0"/>
          <w:sz w:val="22"/>
          <w:szCs w:val="22"/>
          <w14:ligatures w14:val="none"/>
        </w:rPr>
        <w:t>increased</w:t>
      </w:r>
      <w:r w:rsidRPr="00277FD5">
        <w:rPr>
          <w:rFonts w:ascii="Arial" w:eastAsiaTheme="minorEastAsia" w:hAnsi="Arial" w:cs="Arial"/>
          <w:kern w:val="0"/>
          <w:sz w:val="22"/>
          <w:szCs w:val="22"/>
          <w14:ligatures w14:val="none"/>
        </w:rPr>
        <w:t xml:space="preserve"> her engagement in activities. This demonstrates how theory can be applied in practice to improve emotional wellbeing.</w:t>
      </w:r>
    </w:p>
    <w:p w14:paraId="1DB4DA9C" w14:textId="77777777" w:rsidR="00277FD5" w:rsidRPr="00277FD5" w:rsidRDefault="00277FD5" w:rsidP="00277FD5">
      <w:pPr>
        <w:spacing w:before="100" w:beforeAutospacing="1" w:after="100" w:afterAutospacing="1" w:line="360" w:lineRule="auto"/>
        <w:rPr>
          <w:rFonts w:ascii="Arial" w:eastAsiaTheme="minorEastAsia" w:hAnsi="Arial" w:cs="Arial"/>
          <w:kern w:val="0"/>
          <w:sz w:val="22"/>
          <w:szCs w:val="22"/>
          <w14:ligatures w14:val="none"/>
        </w:rPr>
      </w:pPr>
      <w:r w:rsidRPr="00277FD5">
        <w:rPr>
          <w:rFonts w:ascii="Arial" w:eastAsiaTheme="minorEastAsia" w:hAnsi="Arial" w:cs="Arial"/>
          <w:kern w:val="0"/>
          <w:sz w:val="22"/>
          <w:szCs w:val="22"/>
          <w14:ligatures w14:val="none"/>
        </w:rPr>
        <w:t>This example shows how structured reflection and emotional validation can help change people from despair towards ego integrity. Also involving family members in care can give a positive identity and belonging (Bangerter et al., 2020).</w:t>
      </w:r>
    </w:p>
    <w:p w14:paraId="3E335A01" w14:textId="77777777" w:rsidR="00277FD5" w:rsidRPr="00277FD5" w:rsidRDefault="00277FD5" w:rsidP="00277FD5">
      <w:pPr>
        <w:spacing w:before="100" w:beforeAutospacing="1" w:after="100" w:afterAutospacing="1" w:line="360" w:lineRule="auto"/>
        <w:rPr>
          <w:rFonts w:ascii="Arial" w:eastAsiaTheme="minorEastAsia" w:hAnsi="Arial" w:cs="Arial"/>
          <w:b/>
          <w:bCs/>
          <w:kern w:val="0"/>
          <w:sz w:val="22"/>
          <w:szCs w:val="22"/>
          <w:u w:val="single"/>
          <w14:ligatures w14:val="none"/>
        </w:rPr>
      </w:pPr>
      <w:r w:rsidRPr="00277FD5">
        <w:rPr>
          <w:rFonts w:ascii="Arial" w:eastAsiaTheme="minorEastAsia" w:hAnsi="Arial" w:cs="Arial"/>
          <w:b/>
          <w:bCs/>
          <w:kern w:val="0"/>
          <w:sz w:val="22"/>
          <w:szCs w:val="22"/>
          <w:u w:val="single"/>
          <w14:ligatures w14:val="none"/>
        </w:rPr>
        <w:t>Challenge &amp; Strategy</w:t>
      </w:r>
    </w:p>
    <w:p w14:paraId="5310AF34" w14:textId="77777777" w:rsidR="00277FD5" w:rsidRPr="00277FD5" w:rsidRDefault="00277FD5" w:rsidP="00277FD5">
      <w:pPr>
        <w:spacing w:before="100" w:beforeAutospacing="1" w:after="100" w:afterAutospacing="1" w:line="360" w:lineRule="auto"/>
        <w:rPr>
          <w:rFonts w:ascii="Arial" w:eastAsiaTheme="minorEastAsia" w:hAnsi="Arial" w:cs="Arial"/>
          <w:kern w:val="0"/>
          <w:sz w:val="22"/>
          <w:szCs w:val="22"/>
          <w14:ligatures w14:val="none"/>
        </w:rPr>
      </w:pPr>
      <w:r w:rsidRPr="00277FD5">
        <w:rPr>
          <w:rFonts w:ascii="Arial" w:eastAsiaTheme="minorEastAsia" w:hAnsi="Arial" w:cs="Arial"/>
          <w:kern w:val="0"/>
          <w:sz w:val="22"/>
          <w:szCs w:val="22"/>
          <w14:ligatures w14:val="none"/>
        </w:rPr>
        <w:t>A challenge in using this theory is cognitive decline, especially in people with dementia as dementia limits their ability to engage in reflective discussions. This can make traditional reminiscence approaches less effective (Livingston et al., 2020).</w:t>
      </w:r>
    </w:p>
    <w:p w14:paraId="421E4BBC" w14:textId="1B37D982" w:rsidR="00277FD5" w:rsidRPr="00277FD5" w:rsidRDefault="00277FD5" w:rsidP="00277FD5">
      <w:pPr>
        <w:spacing w:before="100" w:beforeAutospacing="1" w:after="100" w:afterAutospacing="1" w:line="360" w:lineRule="auto"/>
        <w:rPr>
          <w:rFonts w:ascii="Arial" w:eastAsiaTheme="minorEastAsia" w:hAnsi="Arial" w:cs="Arial"/>
          <w:kern w:val="0"/>
          <w:sz w:val="22"/>
          <w:szCs w:val="22"/>
          <w14:ligatures w14:val="none"/>
        </w:rPr>
      </w:pPr>
      <w:r w:rsidRPr="00277FD5">
        <w:rPr>
          <w:rFonts w:ascii="Arial" w:eastAsiaTheme="minorEastAsia" w:hAnsi="Arial" w:cs="Arial"/>
          <w:kern w:val="0"/>
          <w:sz w:val="22"/>
          <w:szCs w:val="22"/>
          <w14:ligatures w14:val="none"/>
        </w:rPr>
        <w:t>An evidence-based strategy is to use interventions that include sensory-based and non</w:t>
      </w:r>
      <w:r w:rsidR="007620BF">
        <w:rPr>
          <w:rFonts w:ascii="Arial" w:eastAsiaTheme="minorEastAsia" w:hAnsi="Arial" w:cs="Arial"/>
          <w:kern w:val="0"/>
          <w:sz w:val="22"/>
          <w:szCs w:val="22"/>
          <w14:ligatures w14:val="none"/>
        </w:rPr>
        <w:t>-</w:t>
      </w:r>
      <w:r w:rsidRPr="00277FD5">
        <w:rPr>
          <w:rFonts w:ascii="Arial" w:eastAsiaTheme="minorEastAsia" w:hAnsi="Arial" w:cs="Arial"/>
          <w:kern w:val="0"/>
          <w:sz w:val="22"/>
          <w:szCs w:val="22"/>
          <w14:ligatures w14:val="none"/>
        </w:rPr>
        <w:t>verbal methods like music therapy, familiar objects, or visual prompts. These strategies can help to trigger emotional memories even when verbal communication is damaged (McDermott et al., 2021). Staff training is also important to make sure that they can tailor interventions to individual needs and provide consistent emotional support. By adapting these techniques</w:t>
      </w:r>
      <w:r w:rsidR="007620BF">
        <w:rPr>
          <w:rFonts w:ascii="Arial" w:eastAsiaTheme="minorEastAsia" w:hAnsi="Arial" w:cs="Arial"/>
          <w:kern w:val="0"/>
          <w:sz w:val="22"/>
          <w:szCs w:val="22"/>
          <w14:ligatures w14:val="none"/>
        </w:rPr>
        <w:t>,</w:t>
      </w:r>
      <w:r w:rsidRPr="00277FD5">
        <w:rPr>
          <w:rFonts w:ascii="Arial" w:eastAsiaTheme="minorEastAsia" w:hAnsi="Arial" w:cs="Arial"/>
          <w:kern w:val="0"/>
          <w:sz w:val="22"/>
          <w:szCs w:val="22"/>
          <w14:ligatures w14:val="none"/>
        </w:rPr>
        <w:t xml:space="preserve"> it can increase ego integrity, even for people who are cognitively impaired.</w:t>
      </w:r>
    </w:p>
    <w:p w14:paraId="1F4C5014" w14:textId="77777777" w:rsidR="00277FD5" w:rsidRPr="00277FD5" w:rsidRDefault="00277FD5" w:rsidP="00277FD5">
      <w:pPr>
        <w:spacing w:before="100" w:beforeAutospacing="1" w:after="100" w:afterAutospacing="1" w:line="360" w:lineRule="auto"/>
        <w:rPr>
          <w:rFonts w:ascii="Arial" w:eastAsiaTheme="minorEastAsia" w:hAnsi="Arial" w:cs="Arial"/>
          <w:b/>
          <w:bCs/>
          <w:kern w:val="0"/>
          <w:sz w:val="22"/>
          <w:szCs w:val="22"/>
          <w:u w:val="single"/>
          <w14:ligatures w14:val="none"/>
        </w:rPr>
      </w:pPr>
      <w:r w:rsidRPr="00277FD5">
        <w:rPr>
          <w:rFonts w:ascii="Arial" w:eastAsiaTheme="minorEastAsia" w:hAnsi="Arial" w:cs="Arial"/>
          <w:b/>
          <w:bCs/>
          <w:kern w:val="0"/>
          <w:sz w:val="22"/>
          <w:szCs w:val="22"/>
          <w:u w:val="single"/>
          <w14:ligatures w14:val="none"/>
        </w:rPr>
        <w:t>Conclusion</w:t>
      </w:r>
    </w:p>
    <w:p w14:paraId="4DA8CE81" w14:textId="7D704438" w:rsidR="00277FD5" w:rsidRPr="00277FD5" w:rsidRDefault="00277FD5" w:rsidP="00277FD5">
      <w:pPr>
        <w:spacing w:before="100" w:beforeAutospacing="1" w:after="100" w:afterAutospacing="1" w:line="360" w:lineRule="auto"/>
        <w:rPr>
          <w:rFonts w:ascii="Times New Roman" w:eastAsiaTheme="minorEastAsia" w:hAnsi="Times New Roman" w:cs="Times New Roman"/>
          <w:kern w:val="0"/>
          <w14:ligatures w14:val="none"/>
        </w:rPr>
      </w:pPr>
      <w:r w:rsidRPr="00277FD5">
        <w:rPr>
          <w:rFonts w:ascii="Arial" w:eastAsiaTheme="minorEastAsia" w:hAnsi="Arial" w:cs="Arial"/>
          <w:kern w:val="0"/>
          <w:sz w:val="22"/>
          <w:szCs w:val="22"/>
          <w14:ligatures w14:val="none"/>
        </w:rPr>
        <w:t xml:space="preserve">Erikson’s psychosocial theory provides a clear framework for understanding emotional wellbeing in older adults. By supporting life reflection and identity, care staff can increase ego integrity and reduce stress. There are challenges such as cognitive decline, adapted person-centred strategies </w:t>
      </w:r>
      <w:r w:rsidR="009E7D24">
        <w:rPr>
          <w:rFonts w:ascii="Arial" w:eastAsiaTheme="minorEastAsia" w:hAnsi="Arial" w:cs="Arial"/>
          <w:kern w:val="0"/>
          <w:sz w:val="22"/>
          <w:szCs w:val="22"/>
          <w14:ligatures w14:val="none"/>
        </w:rPr>
        <w:t>that</w:t>
      </w:r>
      <w:r w:rsidRPr="00277FD5">
        <w:rPr>
          <w:rFonts w:ascii="Arial" w:eastAsiaTheme="minorEastAsia" w:hAnsi="Arial" w:cs="Arial"/>
          <w:kern w:val="0"/>
          <w:sz w:val="22"/>
          <w:szCs w:val="22"/>
          <w14:ligatures w14:val="none"/>
        </w:rPr>
        <w:t xml:space="preserve"> can </w:t>
      </w:r>
      <w:proofErr w:type="gramStart"/>
      <w:r w:rsidRPr="00277FD5">
        <w:rPr>
          <w:rFonts w:ascii="Arial" w:eastAsiaTheme="minorEastAsia" w:hAnsi="Arial" w:cs="Arial"/>
          <w:kern w:val="0"/>
          <w:sz w:val="22"/>
          <w:szCs w:val="22"/>
          <w14:ligatures w14:val="none"/>
        </w:rPr>
        <w:t xml:space="preserve">help </w:t>
      </w:r>
      <w:r w:rsidR="00C04BED">
        <w:rPr>
          <w:rFonts w:ascii="Arial" w:eastAsiaTheme="minorEastAsia" w:hAnsi="Arial" w:cs="Arial"/>
          <w:kern w:val="0"/>
          <w:sz w:val="22"/>
          <w:szCs w:val="22"/>
          <w14:ligatures w14:val="none"/>
        </w:rPr>
        <w:t xml:space="preserve"> improve</w:t>
      </w:r>
      <w:proofErr w:type="gramEnd"/>
      <w:r w:rsidR="00B25E18">
        <w:rPr>
          <w:rFonts w:ascii="Arial" w:eastAsiaTheme="minorEastAsia" w:hAnsi="Arial" w:cs="Arial"/>
          <w:kern w:val="0"/>
          <w:sz w:val="22"/>
          <w:szCs w:val="22"/>
          <w14:ligatures w14:val="none"/>
        </w:rPr>
        <w:t xml:space="preserve"> overall</w:t>
      </w:r>
      <w:r w:rsidRPr="00277FD5">
        <w:rPr>
          <w:rFonts w:ascii="Arial" w:eastAsiaTheme="minorEastAsia" w:hAnsi="Arial" w:cs="Arial"/>
          <w:kern w:val="0"/>
          <w:sz w:val="22"/>
          <w:szCs w:val="22"/>
          <w14:ligatures w14:val="none"/>
        </w:rPr>
        <w:t xml:space="preserve"> wellbeing in residential care </w:t>
      </w:r>
      <w:r w:rsidRPr="00277FD5">
        <w:rPr>
          <w:rFonts w:ascii="Arial" w:eastAsiaTheme="minorEastAsia" w:hAnsi="Arial" w:cs="Arial"/>
          <w:kern w:val="0"/>
          <w:sz w:val="22"/>
          <w:szCs w:val="22"/>
          <w14:ligatures w14:val="none"/>
        </w:rPr>
        <w:lastRenderedPageBreak/>
        <w:t>settings. This highlights the importance of using psychological theory to guide effective care practice and improve outcomes for older adults.</w:t>
      </w:r>
    </w:p>
    <w:p w14:paraId="59376F48" w14:textId="7C55401D" w:rsidR="009037B7" w:rsidRDefault="00803F1D" w:rsidP="00710CAF">
      <w:pPr>
        <w:spacing w:line="360" w:lineRule="auto"/>
        <w:rPr>
          <w:rFonts w:ascii="Arial" w:hAnsi="Arial" w:cs="Arial"/>
          <w:b/>
          <w:bCs/>
          <w:sz w:val="22"/>
          <w:szCs w:val="22"/>
        </w:rPr>
      </w:pPr>
      <w:r>
        <w:rPr>
          <w:rFonts w:ascii="Arial" w:hAnsi="Arial" w:cs="Arial"/>
          <w:b/>
          <w:bCs/>
          <w:sz w:val="22"/>
          <w:szCs w:val="22"/>
        </w:rPr>
        <w:t xml:space="preserve">                                                             </w:t>
      </w:r>
      <w:r w:rsidR="00B25E18" w:rsidRPr="00803F1D">
        <w:rPr>
          <w:rFonts w:ascii="Arial" w:hAnsi="Arial" w:cs="Arial"/>
          <w:b/>
          <w:bCs/>
          <w:sz w:val="22"/>
          <w:szCs w:val="22"/>
        </w:rPr>
        <w:t>Refer</w:t>
      </w:r>
      <w:r w:rsidRPr="00803F1D">
        <w:rPr>
          <w:rFonts w:ascii="Arial" w:hAnsi="Arial" w:cs="Arial"/>
          <w:b/>
          <w:bCs/>
          <w:sz w:val="22"/>
          <w:szCs w:val="22"/>
        </w:rPr>
        <w:t>ences</w:t>
      </w:r>
    </w:p>
    <w:p w14:paraId="421454F3" w14:textId="77777777" w:rsidR="00442380" w:rsidRPr="00442380" w:rsidRDefault="00442380" w:rsidP="00442380">
      <w:pPr>
        <w:spacing w:before="100" w:beforeAutospacing="1" w:after="100" w:afterAutospacing="1" w:line="360" w:lineRule="auto"/>
        <w:rPr>
          <w:rFonts w:ascii="Arial" w:eastAsiaTheme="minorEastAsia" w:hAnsi="Arial" w:cs="Arial"/>
          <w:kern w:val="0"/>
          <w:sz w:val="22"/>
          <w:szCs w:val="22"/>
          <w14:ligatures w14:val="none"/>
        </w:rPr>
      </w:pPr>
      <w:r w:rsidRPr="00442380">
        <w:rPr>
          <w:rFonts w:ascii="Arial" w:eastAsiaTheme="minorEastAsia" w:hAnsi="Arial" w:cs="Arial"/>
          <w:kern w:val="0"/>
          <w:sz w:val="22"/>
          <w:szCs w:val="22"/>
          <w14:ligatures w14:val="none"/>
        </w:rPr>
        <w:t xml:space="preserve">Bangerter, L.R., Heid, A.R., Zarit, S.H. and Van Haitsma, K. (2020) ‘Person-centred care and residents’ quality of life in long-term care’, </w:t>
      </w:r>
      <w:r w:rsidRPr="00442380">
        <w:rPr>
          <w:rFonts w:ascii="Arial" w:eastAsiaTheme="minorEastAsia" w:hAnsi="Arial" w:cs="Arial"/>
          <w:i/>
          <w:iCs/>
          <w:kern w:val="0"/>
          <w:sz w:val="22"/>
          <w:szCs w:val="22"/>
          <w14:ligatures w14:val="none"/>
        </w:rPr>
        <w:t>The Gerontologist</w:t>
      </w:r>
      <w:r w:rsidRPr="00442380">
        <w:rPr>
          <w:rFonts w:ascii="Arial" w:eastAsiaTheme="minorEastAsia" w:hAnsi="Arial" w:cs="Arial"/>
          <w:kern w:val="0"/>
          <w:sz w:val="22"/>
          <w:szCs w:val="22"/>
          <w14:ligatures w14:val="none"/>
        </w:rPr>
        <w:t>, 60(6), pp. 1142–1152.</w:t>
      </w:r>
    </w:p>
    <w:p w14:paraId="210BCFE9" w14:textId="77777777" w:rsidR="00442380" w:rsidRPr="00442380" w:rsidRDefault="00442380" w:rsidP="00442380">
      <w:pPr>
        <w:spacing w:before="100" w:beforeAutospacing="1" w:after="100" w:afterAutospacing="1" w:line="360" w:lineRule="auto"/>
        <w:rPr>
          <w:rFonts w:ascii="Arial" w:eastAsiaTheme="minorEastAsia" w:hAnsi="Arial" w:cs="Arial"/>
          <w:kern w:val="0"/>
          <w:sz w:val="22"/>
          <w:szCs w:val="22"/>
          <w14:ligatures w14:val="none"/>
        </w:rPr>
      </w:pPr>
      <w:r w:rsidRPr="00442380">
        <w:rPr>
          <w:rFonts w:ascii="Arial" w:eastAsiaTheme="minorEastAsia" w:hAnsi="Arial" w:cs="Arial"/>
          <w:kern w:val="0"/>
          <w:sz w:val="22"/>
          <w:szCs w:val="22"/>
          <w14:ligatures w14:val="none"/>
        </w:rPr>
        <w:t xml:space="preserve">Brownie, S. and Nancarrow, S. (2021) ‘Effects of person-centred care on residents and staff in aged-care facilities’, </w:t>
      </w:r>
      <w:r w:rsidRPr="00442380">
        <w:rPr>
          <w:rFonts w:ascii="Arial" w:eastAsiaTheme="minorEastAsia" w:hAnsi="Arial" w:cs="Arial"/>
          <w:i/>
          <w:iCs/>
          <w:kern w:val="0"/>
          <w:sz w:val="22"/>
          <w:szCs w:val="22"/>
          <w14:ligatures w14:val="none"/>
        </w:rPr>
        <w:t>Clinical Interventions in Aging</w:t>
      </w:r>
      <w:r w:rsidRPr="00442380">
        <w:rPr>
          <w:rFonts w:ascii="Arial" w:eastAsiaTheme="minorEastAsia" w:hAnsi="Arial" w:cs="Arial"/>
          <w:kern w:val="0"/>
          <w:sz w:val="22"/>
          <w:szCs w:val="22"/>
          <w14:ligatures w14:val="none"/>
        </w:rPr>
        <w:t>, 16, pp. 1663–1674.</w:t>
      </w:r>
    </w:p>
    <w:p w14:paraId="5D33EB1E" w14:textId="77777777" w:rsidR="00442380" w:rsidRPr="00442380" w:rsidRDefault="00442380" w:rsidP="00442380">
      <w:pPr>
        <w:spacing w:before="100" w:beforeAutospacing="1" w:after="100" w:afterAutospacing="1" w:line="360" w:lineRule="auto"/>
        <w:rPr>
          <w:rFonts w:ascii="Arial" w:eastAsiaTheme="minorEastAsia" w:hAnsi="Arial" w:cs="Arial"/>
          <w:kern w:val="0"/>
          <w:sz w:val="22"/>
          <w:szCs w:val="22"/>
          <w14:ligatures w14:val="none"/>
        </w:rPr>
      </w:pPr>
      <w:r w:rsidRPr="00442380">
        <w:rPr>
          <w:rFonts w:ascii="Arial" w:eastAsiaTheme="minorEastAsia" w:hAnsi="Arial" w:cs="Arial"/>
          <w:kern w:val="0"/>
          <w:sz w:val="22"/>
          <w:szCs w:val="22"/>
          <w14:ligatures w14:val="none"/>
        </w:rPr>
        <w:t xml:space="preserve">Cattan, M., White, M., Bond, J. and Learmouth, A. (2021) ‘Preventing social isolation and loneliness among older people’, </w:t>
      </w:r>
      <w:r w:rsidRPr="00442380">
        <w:rPr>
          <w:rFonts w:ascii="Arial" w:eastAsiaTheme="minorEastAsia" w:hAnsi="Arial" w:cs="Arial"/>
          <w:i/>
          <w:iCs/>
          <w:kern w:val="0"/>
          <w:sz w:val="22"/>
          <w:szCs w:val="22"/>
          <w14:ligatures w14:val="none"/>
        </w:rPr>
        <w:t>Ageing &amp; Society</w:t>
      </w:r>
      <w:r w:rsidRPr="00442380">
        <w:rPr>
          <w:rFonts w:ascii="Arial" w:eastAsiaTheme="minorEastAsia" w:hAnsi="Arial" w:cs="Arial"/>
          <w:kern w:val="0"/>
          <w:sz w:val="22"/>
          <w:szCs w:val="22"/>
          <w14:ligatures w14:val="none"/>
        </w:rPr>
        <w:t>, 41(3), pp. 1–20.</w:t>
      </w:r>
    </w:p>
    <w:p w14:paraId="2BCFD70F" w14:textId="77777777" w:rsidR="00442380" w:rsidRPr="00442380" w:rsidRDefault="00442380" w:rsidP="00442380">
      <w:pPr>
        <w:spacing w:before="100" w:beforeAutospacing="1" w:after="100" w:afterAutospacing="1" w:line="360" w:lineRule="auto"/>
        <w:rPr>
          <w:rFonts w:ascii="Arial" w:eastAsiaTheme="minorEastAsia" w:hAnsi="Arial" w:cs="Arial"/>
          <w:kern w:val="0"/>
          <w:sz w:val="22"/>
          <w:szCs w:val="22"/>
          <w14:ligatures w14:val="none"/>
        </w:rPr>
      </w:pPr>
      <w:r w:rsidRPr="00442380">
        <w:rPr>
          <w:rFonts w:ascii="Arial" w:eastAsiaTheme="minorEastAsia" w:hAnsi="Arial" w:cs="Arial"/>
          <w:kern w:val="0"/>
          <w:sz w:val="22"/>
          <w:szCs w:val="22"/>
          <w14:ligatures w14:val="none"/>
        </w:rPr>
        <w:t xml:space="preserve">Knight, T. and Ricciardelli, L. (2022) ‘Successful aging: psychosocial factors and wellbeing in later life’, </w:t>
      </w:r>
      <w:r w:rsidRPr="00442380">
        <w:rPr>
          <w:rFonts w:ascii="Arial" w:eastAsiaTheme="minorEastAsia" w:hAnsi="Arial" w:cs="Arial"/>
          <w:i/>
          <w:iCs/>
          <w:kern w:val="0"/>
          <w:sz w:val="22"/>
          <w:szCs w:val="22"/>
          <w14:ligatures w14:val="none"/>
        </w:rPr>
        <w:t>Journal of Aging Studies</w:t>
      </w:r>
      <w:r w:rsidRPr="00442380">
        <w:rPr>
          <w:rFonts w:ascii="Arial" w:eastAsiaTheme="minorEastAsia" w:hAnsi="Arial" w:cs="Arial"/>
          <w:kern w:val="0"/>
          <w:sz w:val="22"/>
          <w:szCs w:val="22"/>
          <w14:ligatures w14:val="none"/>
        </w:rPr>
        <w:t>, 61, 101012.</w:t>
      </w:r>
    </w:p>
    <w:p w14:paraId="5F7A2946" w14:textId="77777777" w:rsidR="00442380" w:rsidRPr="00442380" w:rsidRDefault="00442380" w:rsidP="00442380">
      <w:pPr>
        <w:spacing w:before="100" w:beforeAutospacing="1" w:after="100" w:afterAutospacing="1" w:line="360" w:lineRule="auto"/>
        <w:rPr>
          <w:rFonts w:ascii="Arial" w:eastAsiaTheme="minorEastAsia" w:hAnsi="Arial" w:cs="Arial"/>
          <w:kern w:val="0"/>
          <w:sz w:val="22"/>
          <w:szCs w:val="22"/>
          <w14:ligatures w14:val="none"/>
        </w:rPr>
      </w:pPr>
      <w:r w:rsidRPr="00442380">
        <w:rPr>
          <w:rFonts w:ascii="Arial" w:eastAsiaTheme="minorEastAsia" w:hAnsi="Arial" w:cs="Arial"/>
          <w:kern w:val="0"/>
          <w:sz w:val="22"/>
          <w:szCs w:val="22"/>
          <w14:ligatures w14:val="none"/>
        </w:rPr>
        <w:t xml:space="preserve">Livingston, G., Huntley, J., </w:t>
      </w:r>
      <w:proofErr w:type="spellStart"/>
      <w:r w:rsidRPr="00442380">
        <w:rPr>
          <w:rFonts w:ascii="Arial" w:eastAsiaTheme="minorEastAsia" w:hAnsi="Arial" w:cs="Arial"/>
          <w:kern w:val="0"/>
          <w:sz w:val="22"/>
          <w:szCs w:val="22"/>
          <w14:ligatures w14:val="none"/>
        </w:rPr>
        <w:t>Sommerlad</w:t>
      </w:r>
      <w:proofErr w:type="spellEnd"/>
      <w:r w:rsidRPr="00442380">
        <w:rPr>
          <w:rFonts w:ascii="Arial" w:eastAsiaTheme="minorEastAsia" w:hAnsi="Arial" w:cs="Arial"/>
          <w:kern w:val="0"/>
          <w:sz w:val="22"/>
          <w:szCs w:val="22"/>
          <w14:ligatures w14:val="none"/>
        </w:rPr>
        <w:t xml:space="preserve">, A. et al. (2020) ‘Dementia prevention, intervention, and care’, </w:t>
      </w:r>
      <w:r w:rsidRPr="00442380">
        <w:rPr>
          <w:rFonts w:ascii="Arial" w:eastAsiaTheme="minorEastAsia" w:hAnsi="Arial" w:cs="Arial"/>
          <w:i/>
          <w:iCs/>
          <w:kern w:val="0"/>
          <w:sz w:val="22"/>
          <w:szCs w:val="22"/>
          <w14:ligatures w14:val="none"/>
        </w:rPr>
        <w:t>The Lancet</w:t>
      </w:r>
      <w:r w:rsidRPr="00442380">
        <w:rPr>
          <w:rFonts w:ascii="Arial" w:eastAsiaTheme="minorEastAsia" w:hAnsi="Arial" w:cs="Arial"/>
          <w:kern w:val="0"/>
          <w:sz w:val="22"/>
          <w:szCs w:val="22"/>
          <w14:ligatures w14:val="none"/>
        </w:rPr>
        <w:t>, 396(10248), pp. 413–446.</w:t>
      </w:r>
    </w:p>
    <w:p w14:paraId="6C8E3F90" w14:textId="77777777" w:rsidR="00442380" w:rsidRPr="00442380" w:rsidRDefault="00442380" w:rsidP="00442380">
      <w:pPr>
        <w:spacing w:before="100" w:beforeAutospacing="1" w:after="100" w:afterAutospacing="1" w:line="360" w:lineRule="auto"/>
        <w:rPr>
          <w:rFonts w:ascii="Arial" w:eastAsiaTheme="minorEastAsia" w:hAnsi="Arial" w:cs="Arial"/>
          <w:kern w:val="0"/>
          <w:sz w:val="22"/>
          <w:szCs w:val="22"/>
          <w14:ligatures w14:val="none"/>
        </w:rPr>
      </w:pPr>
      <w:r w:rsidRPr="00442380">
        <w:rPr>
          <w:rFonts w:ascii="Arial" w:eastAsiaTheme="minorEastAsia" w:hAnsi="Arial" w:cs="Arial"/>
          <w:kern w:val="0"/>
          <w:sz w:val="22"/>
          <w:szCs w:val="22"/>
          <w14:ligatures w14:val="none"/>
        </w:rPr>
        <w:t xml:space="preserve">McDermott, O., Orrell, M. and Ridder, H.M. (2021) ‘The importance of music for people with dementia’, </w:t>
      </w:r>
      <w:r w:rsidRPr="00442380">
        <w:rPr>
          <w:rFonts w:ascii="Arial" w:eastAsiaTheme="minorEastAsia" w:hAnsi="Arial" w:cs="Arial"/>
          <w:i/>
          <w:iCs/>
          <w:kern w:val="0"/>
          <w:sz w:val="22"/>
          <w:szCs w:val="22"/>
          <w14:ligatures w14:val="none"/>
        </w:rPr>
        <w:t>Aging &amp; Mental Health</w:t>
      </w:r>
      <w:r w:rsidRPr="00442380">
        <w:rPr>
          <w:rFonts w:ascii="Arial" w:eastAsiaTheme="minorEastAsia" w:hAnsi="Arial" w:cs="Arial"/>
          <w:kern w:val="0"/>
          <w:sz w:val="22"/>
          <w:szCs w:val="22"/>
          <w14:ligatures w14:val="none"/>
        </w:rPr>
        <w:t>, 25(7), pp. 1196–1204.</w:t>
      </w:r>
    </w:p>
    <w:p w14:paraId="28296F0D" w14:textId="77777777" w:rsidR="00442380" w:rsidRPr="00442380" w:rsidRDefault="00442380" w:rsidP="00442380">
      <w:pPr>
        <w:spacing w:before="100" w:beforeAutospacing="1" w:after="100" w:afterAutospacing="1" w:line="360" w:lineRule="auto"/>
        <w:rPr>
          <w:rFonts w:ascii="Arial" w:eastAsiaTheme="minorEastAsia" w:hAnsi="Arial" w:cs="Arial"/>
          <w:kern w:val="0"/>
          <w:sz w:val="22"/>
          <w:szCs w:val="22"/>
          <w14:ligatures w14:val="none"/>
        </w:rPr>
      </w:pPr>
      <w:r w:rsidRPr="00442380">
        <w:rPr>
          <w:rFonts w:ascii="Arial" w:eastAsiaTheme="minorEastAsia" w:hAnsi="Arial" w:cs="Arial"/>
          <w:kern w:val="0"/>
          <w:sz w:val="22"/>
          <w:szCs w:val="22"/>
          <w14:ligatures w14:val="none"/>
        </w:rPr>
        <w:t>Rodríguez-Martínez, A., De-la-Fuente-Robles, Y.M., Martín-</w:t>
      </w:r>
      <w:proofErr w:type="spellStart"/>
      <w:r w:rsidRPr="00442380">
        <w:rPr>
          <w:rFonts w:ascii="Arial" w:eastAsiaTheme="minorEastAsia" w:hAnsi="Arial" w:cs="Arial"/>
          <w:kern w:val="0"/>
          <w:sz w:val="22"/>
          <w:szCs w:val="22"/>
          <w14:ligatures w14:val="none"/>
        </w:rPr>
        <w:t>Cano</w:t>
      </w:r>
      <w:proofErr w:type="spellEnd"/>
      <w:r w:rsidRPr="00442380">
        <w:rPr>
          <w:rFonts w:ascii="Arial" w:eastAsiaTheme="minorEastAsia" w:hAnsi="Arial" w:cs="Arial"/>
          <w:kern w:val="0"/>
          <w:sz w:val="22"/>
          <w:szCs w:val="22"/>
          <w14:ligatures w14:val="none"/>
        </w:rPr>
        <w:t xml:space="preserve">, M.C. and Jiménez-Delgado, J.J. (2023) ‘Quality of life and well-being of older adults in nursing homes’, </w:t>
      </w:r>
      <w:r w:rsidRPr="00442380">
        <w:rPr>
          <w:rFonts w:ascii="Arial" w:eastAsiaTheme="minorEastAsia" w:hAnsi="Arial" w:cs="Arial"/>
          <w:i/>
          <w:iCs/>
          <w:kern w:val="0"/>
          <w:sz w:val="22"/>
          <w:szCs w:val="22"/>
          <w14:ligatures w14:val="none"/>
        </w:rPr>
        <w:t>Social Sciences</w:t>
      </w:r>
      <w:r w:rsidRPr="00442380">
        <w:rPr>
          <w:rFonts w:ascii="Arial" w:eastAsiaTheme="minorEastAsia" w:hAnsi="Arial" w:cs="Arial"/>
          <w:kern w:val="0"/>
          <w:sz w:val="22"/>
          <w:szCs w:val="22"/>
          <w14:ligatures w14:val="none"/>
        </w:rPr>
        <w:t>, 12(7), 418.</w:t>
      </w:r>
    </w:p>
    <w:p w14:paraId="58960363" w14:textId="77777777" w:rsidR="00442380" w:rsidRPr="00442380" w:rsidRDefault="00442380" w:rsidP="00442380">
      <w:pPr>
        <w:spacing w:before="100" w:beforeAutospacing="1" w:after="100" w:afterAutospacing="1" w:line="360" w:lineRule="auto"/>
        <w:rPr>
          <w:rFonts w:ascii="Arial" w:eastAsiaTheme="minorEastAsia" w:hAnsi="Arial" w:cs="Arial"/>
          <w:kern w:val="0"/>
          <w:sz w:val="22"/>
          <w:szCs w:val="22"/>
          <w14:ligatures w14:val="none"/>
        </w:rPr>
      </w:pPr>
      <w:r w:rsidRPr="00442380">
        <w:rPr>
          <w:rFonts w:ascii="Arial" w:eastAsiaTheme="minorEastAsia" w:hAnsi="Arial" w:cs="Arial"/>
          <w:kern w:val="0"/>
          <w:sz w:val="22"/>
          <w:szCs w:val="22"/>
          <w14:ligatures w14:val="none"/>
        </w:rPr>
        <w:t xml:space="preserve">Woods, B., </w:t>
      </w:r>
      <w:proofErr w:type="spellStart"/>
      <w:r w:rsidRPr="00442380">
        <w:rPr>
          <w:rFonts w:ascii="Arial" w:eastAsiaTheme="minorEastAsia" w:hAnsi="Arial" w:cs="Arial"/>
          <w:kern w:val="0"/>
          <w:sz w:val="22"/>
          <w:szCs w:val="22"/>
          <w14:ligatures w14:val="none"/>
        </w:rPr>
        <w:t>O’Philbin</w:t>
      </w:r>
      <w:proofErr w:type="spellEnd"/>
      <w:r w:rsidRPr="00442380">
        <w:rPr>
          <w:rFonts w:ascii="Arial" w:eastAsiaTheme="minorEastAsia" w:hAnsi="Arial" w:cs="Arial"/>
          <w:kern w:val="0"/>
          <w:sz w:val="22"/>
          <w:szCs w:val="22"/>
          <w14:ligatures w14:val="none"/>
        </w:rPr>
        <w:t xml:space="preserve">, L., Farrell, E. et al. (2022) ‘Reminiscence therapy for dementia’, </w:t>
      </w:r>
      <w:r w:rsidRPr="00442380">
        <w:rPr>
          <w:rFonts w:ascii="Arial" w:eastAsiaTheme="minorEastAsia" w:hAnsi="Arial" w:cs="Arial"/>
          <w:i/>
          <w:iCs/>
          <w:kern w:val="0"/>
          <w:sz w:val="22"/>
          <w:szCs w:val="22"/>
          <w14:ligatures w14:val="none"/>
        </w:rPr>
        <w:t>Cochrane Database of Systematic Reviews</w:t>
      </w:r>
      <w:r w:rsidRPr="00442380">
        <w:rPr>
          <w:rFonts w:ascii="Arial" w:eastAsiaTheme="minorEastAsia" w:hAnsi="Arial" w:cs="Arial"/>
          <w:kern w:val="0"/>
          <w:sz w:val="22"/>
          <w:szCs w:val="22"/>
          <w14:ligatures w14:val="none"/>
        </w:rPr>
        <w:t>, 3, CD001120.</w:t>
      </w:r>
    </w:p>
    <w:p w14:paraId="0E0CD99D" w14:textId="34F43F2B" w:rsidR="00442380" w:rsidRPr="00442380" w:rsidRDefault="00442380" w:rsidP="00442380">
      <w:pPr>
        <w:spacing w:before="100" w:beforeAutospacing="1" w:after="100" w:afterAutospacing="1" w:line="360" w:lineRule="auto"/>
        <w:rPr>
          <w:rFonts w:ascii="Arial" w:eastAsiaTheme="minorEastAsia" w:hAnsi="Arial" w:cs="Arial"/>
          <w:kern w:val="0"/>
          <w:sz w:val="22"/>
          <w:szCs w:val="22"/>
          <w14:ligatures w14:val="none"/>
        </w:rPr>
      </w:pPr>
      <w:r w:rsidRPr="00442380">
        <w:rPr>
          <w:rFonts w:ascii="Arial" w:eastAsiaTheme="minorEastAsia" w:hAnsi="Arial" w:cs="Arial"/>
          <w:kern w:val="0"/>
          <w:sz w:val="22"/>
          <w:szCs w:val="22"/>
          <w14:ligatures w14:val="none"/>
        </w:rPr>
        <w:t xml:space="preserve">World Health Organization (2021) </w:t>
      </w:r>
      <w:r w:rsidRPr="00442380">
        <w:rPr>
          <w:rFonts w:ascii="Arial" w:eastAsiaTheme="minorEastAsia" w:hAnsi="Arial" w:cs="Arial"/>
          <w:i/>
          <w:iCs/>
          <w:kern w:val="0"/>
          <w:sz w:val="22"/>
          <w:szCs w:val="22"/>
          <w14:ligatures w14:val="none"/>
        </w:rPr>
        <w:t>Global report on ageism</w:t>
      </w:r>
      <w:r w:rsidRPr="00442380">
        <w:rPr>
          <w:rFonts w:ascii="Arial" w:eastAsiaTheme="minorEastAsia" w:hAnsi="Arial" w:cs="Arial"/>
          <w:kern w:val="0"/>
          <w:sz w:val="22"/>
          <w:szCs w:val="22"/>
          <w14:ligatures w14:val="none"/>
        </w:rPr>
        <w:t>. Geneva: W</w:t>
      </w:r>
      <w:r w:rsidR="005765C2">
        <w:rPr>
          <w:rFonts w:ascii="Arial" w:eastAsiaTheme="minorEastAsia" w:hAnsi="Arial" w:cs="Arial"/>
          <w:kern w:val="0"/>
          <w:sz w:val="22"/>
          <w:szCs w:val="22"/>
          <w14:ligatures w14:val="none"/>
        </w:rPr>
        <w:t>orld Health Organization.</w:t>
      </w:r>
    </w:p>
    <w:p w14:paraId="1E051E0D" w14:textId="77777777" w:rsidR="00442380" w:rsidRPr="00442380" w:rsidRDefault="00442380" w:rsidP="00442380">
      <w:pPr>
        <w:spacing w:line="360" w:lineRule="auto"/>
        <w:rPr>
          <w:rFonts w:ascii="Arial" w:eastAsiaTheme="minorEastAsia" w:hAnsi="Arial" w:cs="Arial"/>
          <w:sz w:val="22"/>
          <w:szCs w:val="22"/>
        </w:rPr>
      </w:pPr>
    </w:p>
    <w:p w14:paraId="455E8D2C" w14:textId="77777777" w:rsidR="00442380" w:rsidRPr="00442380" w:rsidRDefault="00442380" w:rsidP="00442380">
      <w:pPr>
        <w:spacing w:line="360" w:lineRule="auto"/>
        <w:rPr>
          <w:rFonts w:ascii="Arial" w:eastAsiaTheme="minorEastAsia" w:hAnsi="Arial" w:cs="Arial"/>
          <w:sz w:val="22"/>
          <w:szCs w:val="22"/>
        </w:rPr>
      </w:pPr>
    </w:p>
    <w:p w14:paraId="52E29355" w14:textId="77777777" w:rsidR="00803F1D" w:rsidRPr="00803F1D" w:rsidRDefault="00803F1D" w:rsidP="00710CAF">
      <w:pPr>
        <w:spacing w:line="360" w:lineRule="auto"/>
        <w:rPr>
          <w:rFonts w:ascii="Arial" w:hAnsi="Arial" w:cs="Arial"/>
          <w:b/>
          <w:bCs/>
          <w:sz w:val="22"/>
          <w:szCs w:val="22"/>
        </w:rPr>
      </w:pPr>
    </w:p>
    <w:sectPr w:rsidR="00803F1D" w:rsidRPr="00803F1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A274D" w14:textId="77777777" w:rsidR="009148B9" w:rsidRDefault="009148B9" w:rsidP="006E0BA6">
      <w:pPr>
        <w:spacing w:after="0" w:line="240" w:lineRule="auto"/>
      </w:pPr>
      <w:r>
        <w:separator/>
      </w:r>
    </w:p>
  </w:endnote>
  <w:endnote w:type="continuationSeparator" w:id="0">
    <w:p w14:paraId="5E438F0A" w14:textId="77777777" w:rsidR="009148B9" w:rsidRDefault="009148B9" w:rsidP="006E0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237362"/>
      <w:docPartObj>
        <w:docPartGallery w:val="Page Numbers (Bottom of Page)"/>
        <w:docPartUnique/>
      </w:docPartObj>
    </w:sdtPr>
    <w:sdtContent>
      <w:p w14:paraId="39CFBF9E" w14:textId="25743B24" w:rsidR="007663E7" w:rsidRDefault="007663E7">
        <w:pPr>
          <w:pStyle w:val="Footer"/>
          <w:jc w:val="right"/>
        </w:pPr>
        <w:r>
          <w:fldChar w:fldCharType="begin"/>
        </w:r>
        <w:r>
          <w:instrText>PAGE   \* MERGEFORMAT</w:instrText>
        </w:r>
        <w:r>
          <w:fldChar w:fldCharType="separate"/>
        </w:r>
        <w:r>
          <w:t>2</w:t>
        </w:r>
        <w:r>
          <w:fldChar w:fldCharType="end"/>
        </w:r>
      </w:p>
    </w:sdtContent>
  </w:sdt>
  <w:p w14:paraId="67920CC2" w14:textId="77777777" w:rsidR="006E0BA6" w:rsidRDefault="006E0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5FDB9" w14:textId="77777777" w:rsidR="009148B9" w:rsidRDefault="009148B9" w:rsidP="006E0BA6">
      <w:pPr>
        <w:spacing w:after="0" w:line="240" w:lineRule="auto"/>
      </w:pPr>
      <w:r>
        <w:separator/>
      </w:r>
    </w:p>
  </w:footnote>
  <w:footnote w:type="continuationSeparator" w:id="0">
    <w:p w14:paraId="489F51CF" w14:textId="77777777" w:rsidR="009148B9" w:rsidRDefault="009148B9" w:rsidP="006E0B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33A"/>
    <w:rsid w:val="00071BE8"/>
    <w:rsid w:val="0008545B"/>
    <w:rsid w:val="00087F00"/>
    <w:rsid w:val="0009794A"/>
    <w:rsid w:val="000C6574"/>
    <w:rsid w:val="000C6EB0"/>
    <w:rsid w:val="000E3C91"/>
    <w:rsid w:val="0011600F"/>
    <w:rsid w:val="001673AB"/>
    <w:rsid w:val="001679A2"/>
    <w:rsid w:val="00176C26"/>
    <w:rsid w:val="00194AAD"/>
    <w:rsid w:val="001D633E"/>
    <w:rsid w:val="001E2386"/>
    <w:rsid w:val="001F062D"/>
    <w:rsid w:val="0020744F"/>
    <w:rsid w:val="00215F35"/>
    <w:rsid w:val="002642B2"/>
    <w:rsid w:val="00277FD5"/>
    <w:rsid w:val="002A0CC5"/>
    <w:rsid w:val="002D7BE3"/>
    <w:rsid w:val="002F67FE"/>
    <w:rsid w:val="0030346D"/>
    <w:rsid w:val="0030632B"/>
    <w:rsid w:val="00336582"/>
    <w:rsid w:val="003A5CC9"/>
    <w:rsid w:val="003D7475"/>
    <w:rsid w:val="003E4698"/>
    <w:rsid w:val="003F515E"/>
    <w:rsid w:val="004135FB"/>
    <w:rsid w:val="004150F0"/>
    <w:rsid w:val="00425305"/>
    <w:rsid w:val="00442380"/>
    <w:rsid w:val="00470B75"/>
    <w:rsid w:val="00493DF9"/>
    <w:rsid w:val="004B12DF"/>
    <w:rsid w:val="004D274E"/>
    <w:rsid w:val="004D2D08"/>
    <w:rsid w:val="004D3E7A"/>
    <w:rsid w:val="005765C2"/>
    <w:rsid w:val="00616026"/>
    <w:rsid w:val="00687A97"/>
    <w:rsid w:val="006D155A"/>
    <w:rsid w:val="006E0BA6"/>
    <w:rsid w:val="00710CAF"/>
    <w:rsid w:val="0076104B"/>
    <w:rsid w:val="007620BF"/>
    <w:rsid w:val="007663E7"/>
    <w:rsid w:val="00775C79"/>
    <w:rsid w:val="007777BF"/>
    <w:rsid w:val="007E2A35"/>
    <w:rsid w:val="007F24EF"/>
    <w:rsid w:val="00803F1D"/>
    <w:rsid w:val="00804F90"/>
    <w:rsid w:val="00834FFD"/>
    <w:rsid w:val="00835B07"/>
    <w:rsid w:val="00854073"/>
    <w:rsid w:val="00873E8F"/>
    <w:rsid w:val="0087632B"/>
    <w:rsid w:val="008803E9"/>
    <w:rsid w:val="008A45E3"/>
    <w:rsid w:val="008B4102"/>
    <w:rsid w:val="008F23D8"/>
    <w:rsid w:val="00902CB5"/>
    <w:rsid w:val="009037B7"/>
    <w:rsid w:val="009148B9"/>
    <w:rsid w:val="009733DE"/>
    <w:rsid w:val="009B7930"/>
    <w:rsid w:val="009C441C"/>
    <w:rsid w:val="009C4D1E"/>
    <w:rsid w:val="009D29E7"/>
    <w:rsid w:val="009E7D24"/>
    <w:rsid w:val="00A10D6E"/>
    <w:rsid w:val="00A8589A"/>
    <w:rsid w:val="00AC44CA"/>
    <w:rsid w:val="00AF392A"/>
    <w:rsid w:val="00B25E18"/>
    <w:rsid w:val="00BD6844"/>
    <w:rsid w:val="00C04BED"/>
    <w:rsid w:val="00C0633A"/>
    <w:rsid w:val="00C06EB9"/>
    <w:rsid w:val="00C25967"/>
    <w:rsid w:val="00C26C47"/>
    <w:rsid w:val="00C6603E"/>
    <w:rsid w:val="00D07E1D"/>
    <w:rsid w:val="00D5343D"/>
    <w:rsid w:val="00D63CDE"/>
    <w:rsid w:val="00D6490D"/>
    <w:rsid w:val="00EA344F"/>
    <w:rsid w:val="00EB76C7"/>
    <w:rsid w:val="00EF18CB"/>
    <w:rsid w:val="00F6748D"/>
    <w:rsid w:val="00FA6A84"/>
    <w:rsid w:val="00FD1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BCD49"/>
  <w15:chartTrackingRefBased/>
  <w15:docId w15:val="{3CDF3A85-3EB1-4E37-8733-A6CE84BCF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3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63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63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63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63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63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63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63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63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3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63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63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63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63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63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63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63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633A"/>
    <w:rPr>
      <w:rFonts w:eastAsiaTheme="majorEastAsia" w:cstheme="majorBidi"/>
      <w:color w:val="272727" w:themeColor="text1" w:themeTint="D8"/>
    </w:rPr>
  </w:style>
  <w:style w:type="paragraph" w:styleId="Title">
    <w:name w:val="Title"/>
    <w:basedOn w:val="Normal"/>
    <w:next w:val="Normal"/>
    <w:link w:val="TitleChar"/>
    <w:uiPriority w:val="10"/>
    <w:qFormat/>
    <w:rsid w:val="00C063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3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63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3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633A"/>
    <w:pPr>
      <w:spacing w:before="160"/>
      <w:jc w:val="center"/>
    </w:pPr>
    <w:rPr>
      <w:i/>
      <w:iCs/>
      <w:color w:val="404040" w:themeColor="text1" w:themeTint="BF"/>
    </w:rPr>
  </w:style>
  <w:style w:type="character" w:customStyle="1" w:styleId="QuoteChar">
    <w:name w:val="Quote Char"/>
    <w:basedOn w:val="DefaultParagraphFont"/>
    <w:link w:val="Quote"/>
    <w:uiPriority w:val="29"/>
    <w:rsid w:val="00C0633A"/>
    <w:rPr>
      <w:i/>
      <w:iCs/>
      <w:color w:val="404040" w:themeColor="text1" w:themeTint="BF"/>
    </w:rPr>
  </w:style>
  <w:style w:type="paragraph" w:styleId="ListParagraph">
    <w:name w:val="List Paragraph"/>
    <w:basedOn w:val="Normal"/>
    <w:uiPriority w:val="34"/>
    <w:qFormat/>
    <w:rsid w:val="00C0633A"/>
    <w:pPr>
      <w:ind w:left="720"/>
      <w:contextualSpacing/>
    </w:pPr>
  </w:style>
  <w:style w:type="character" w:styleId="IntenseEmphasis">
    <w:name w:val="Intense Emphasis"/>
    <w:basedOn w:val="DefaultParagraphFont"/>
    <w:uiPriority w:val="21"/>
    <w:qFormat/>
    <w:rsid w:val="00C0633A"/>
    <w:rPr>
      <w:i/>
      <w:iCs/>
      <w:color w:val="0F4761" w:themeColor="accent1" w:themeShade="BF"/>
    </w:rPr>
  </w:style>
  <w:style w:type="paragraph" w:styleId="IntenseQuote">
    <w:name w:val="Intense Quote"/>
    <w:basedOn w:val="Normal"/>
    <w:next w:val="Normal"/>
    <w:link w:val="IntenseQuoteChar"/>
    <w:uiPriority w:val="30"/>
    <w:qFormat/>
    <w:rsid w:val="00C063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633A"/>
    <w:rPr>
      <w:i/>
      <w:iCs/>
      <w:color w:val="0F4761" w:themeColor="accent1" w:themeShade="BF"/>
    </w:rPr>
  </w:style>
  <w:style w:type="character" w:styleId="IntenseReference">
    <w:name w:val="Intense Reference"/>
    <w:basedOn w:val="DefaultParagraphFont"/>
    <w:uiPriority w:val="32"/>
    <w:qFormat/>
    <w:rsid w:val="00C0633A"/>
    <w:rPr>
      <w:b/>
      <w:bCs/>
      <w:smallCaps/>
      <w:color w:val="0F4761" w:themeColor="accent1" w:themeShade="BF"/>
      <w:spacing w:val="5"/>
    </w:rPr>
  </w:style>
  <w:style w:type="paragraph" w:styleId="NoSpacing">
    <w:name w:val="No Spacing"/>
    <w:link w:val="NoSpacingChar"/>
    <w:uiPriority w:val="1"/>
    <w:qFormat/>
    <w:rsid w:val="002F67F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F67FE"/>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20744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0744F"/>
    <w:pPr>
      <w:spacing w:after="100"/>
    </w:pPr>
  </w:style>
  <w:style w:type="character" w:styleId="Hyperlink">
    <w:name w:val="Hyperlink"/>
    <w:basedOn w:val="DefaultParagraphFont"/>
    <w:uiPriority w:val="99"/>
    <w:unhideWhenUsed/>
    <w:rsid w:val="0020744F"/>
    <w:rPr>
      <w:color w:val="467886" w:themeColor="hyperlink"/>
      <w:u w:val="single"/>
    </w:rPr>
  </w:style>
  <w:style w:type="paragraph" w:styleId="Header">
    <w:name w:val="header"/>
    <w:basedOn w:val="Normal"/>
    <w:link w:val="HeaderChar"/>
    <w:uiPriority w:val="99"/>
    <w:unhideWhenUsed/>
    <w:rsid w:val="006E0B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BA6"/>
  </w:style>
  <w:style w:type="paragraph" w:styleId="Footer">
    <w:name w:val="footer"/>
    <w:basedOn w:val="Normal"/>
    <w:link w:val="FooterChar"/>
    <w:uiPriority w:val="99"/>
    <w:unhideWhenUsed/>
    <w:rsid w:val="006E0B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CE80B-4BD4-4527-BE23-C1256F0E0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Pages>
  <Words>1920</Words>
  <Characters>10944</Characters>
  <Application>Microsoft Office Word</Application>
  <DocSecurity>0</DocSecurity>
  <Lines>91</Lines>
  <Paragraphs>25</Paragraphs>
  <ScaleCrop>false</ScaleCrop>
  <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sumaira imtiaz</dc:creator>
  <cp:keywords/>
  <dc:description/>
  <cp:lastModifiedBy>sumaira imtiaz</cp:lastModifiedBy>
  <cp:revision>87</cp:revision>
  <dcterms:created xsi:type="dcterms:W3CDTF">2026-03-22T16:18:00Z</dcterms:created>
  <dcterms:modified xsi:type="dcterms:W3CDTF">2026-03-23T12:36:00Z</dcterms:modified>
</cp:coreProperties>
</file>