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pPr>
    </w:p>
    <w:p>
      <w:pPr>
        <w:spacing w:before="100" w:beforeAutospacing="1" w:after="100" w:afterAutospacing="1" w:line="360" w:lineRule="auto"/>
        <w:rPr>
          <w:rFonts w:hint="eastAsia" w:eastAsiaTheme="minorHAnsi"/>
          <w:b/>
          <w:sz w:val="36"/>
        </w:rPr>
      </w:pPr>
    </w:p>
    <w:p>
      <w:pPr>
        <w:spacing w:before="100" w:beforeAutospacing="1" w:after="100" w:afterAutospacing="1" w:line="360" w:lineRule="auto"/>
        <w:jc w:val="center"/>
        <w:rPr>
          <w:rFonts w:eastAsiaTheme="minorHAnsi"/>
          <w:b/>
          <w:sz w:val="36"/>
        </w:rPr>
      </w:pPr>
      <w:r>
        <w:rPr>
          <w:rFonts w:eastAsiaTheme="minorHAnsi"/>
          <w:b/>
          <w:sz w:val="36"/>
        </w:rPr>
        <w:t>Philanthropy and Corporate Governance</w:t>
      </w:r>
    </w:p>
    <w:p>
      <w:pPr>
        <w:spacing w:before="100" w:beforeAutospacing="1" w:after="100" w:afterAutospacing="1" w:line="360" w:lineRule="auto"/>
        <w:rPr>
          <w:rFonts w:ascii="Arial Rounded MT Bold" w:hAnsi="Arial Rounded MT Bold"/>
          <w:sz w:val="36"/>
        </w:rPr>
      </w:pPr>
    </w:p>
    <w:p>
      <w:pPr>
        <w:spacing w:before="100" w:beforeAutospacing="1" w:after="100" w:afterAutospacing="1" w:line="360" w:lineRule="auto"/>
        <w:rPr>
          <w:rFonts w:hint="default" w:ascii="Arial Rounded MT Bold" w:hAnsi="Arial Rounded MT Bold"/>
          <w:sz w:val="36"/>
          <w:lang w:val="en-GB"/>
        </w:rPr>
      </w:pPr>
      <w:r>
        <w:rPr>
          <w:rFonts w:hint="default" w:ascii="Arial Rounded MT Bold" w:hAnsi="Arial Rounded MT Bold"/>
          <w:sz w:val="36"/>
          <w:lang w:val="en-GB"/>
        </w:rPr>
        <w:t>Student Name : Hang Wen</w:t>
      </w:r>
    </w:p>
    <w:p>
      <w:pPr>
        <w:spacing w:before="100" w:beforeAutospacing="1" w:after="100" w:afterAutospacing="1" w:line="360" w:lineRule="auto"/>
        <w:rPr>
          <w:rFonts w:hint="default" w:ascii="Arial Rounded MT Bold" w:hAnsi="Arial Rounded MT Bold"/>
          <w:sz w:val="36"/>
          <w:lang w:val="en-GB"/>
        </w:rPr>
      </w:pPr>
      <w:r>
        <w:rPr>
          <w:rFonts w:hint="default" w:ascii="Arial Rounded MT Bold" w:hAnsi="Arial Rounded MT Bold"/>
          <w:sz w:val="36"/>
          <w:lang w:val="en-GB"/>
        </w:rPr>
        <w:t>Student NO : 1801428</w:t>
      </w:r>
      <w:bookmarkStart w:id="8" w:name="_GoBack"/>
      <w:bookmarkEnd w:id="8"/>
    </w:p>
    <w:p>
      <w:pPr>
        <w:spacing w:before="100" w:beforeAutospacing="1" w:after="100" w:afterAutospacing="1" w:line="360" w:lineRule="auto"/>
        <w:rPr>
          <w:rFonts w:ascii="Arial Rounded MT Bold" w:hAnsi="Arial Rounded MT Bold"/>
          <w:sz w:val="36"/>
        </w:rPr>
      </w:pPr>
    </w:p>
    <w:p>
      <w:pPr>
        <w:spacing w:before="100" w:beforeAutospacing="1" w:after="100" w:afterAutospacing="1" w:line="360" w:lineRule="auto"/>
        <w:rPr>
          <w:rFonts w:ascii="Arial Rounded MT Bold" w:hAnsi="Arial Rounded MT Bold"/>
          <w:sz w:val="36"/>
        </w:rPr>
      </w:pPr>
    </w:p>
    <w:p>
      <w:pPr>
        <w:spacing w:before="100" w:beforeAutospacing="1" w:after="100" w:afterAutospacing="1" w:line="360" w:lineRule="auto"/>
        <w:rPr>
          <w:rFonts w:ascii="Arial Rounded MT Bold" w:hAnsi="Arial Rounded MT Bold"/>
          <w:sz w:val="36"/>
        </w:rPr>
      </w:pPr>
    </w:p>
    <w:p>
      <w:pPr>
        <w:spacing w:before="100" w:beforeAutospacing="1" w:after="100" w:afterAutospacing="1" w:line="360" w:lineRule="auto"/>
        <w:rPr>
          <w:rFonts w:ascii="Arial Rounded MT Bold" w:hAnsi="Arial Rounded MT Bold"/>
          <w:sz w:val="36"/>
        </w:rPr>
      </w:pPr>
    </w:p>
    <w:p>
      <w:pPr>
        <w:spacing w:before="100" w:beforeAutospacing="1" w:after="100" w:afterAutospacing="1" w:line="360" w:lineRule="auto"/>
        <w:rPr>
          <w:rFonts w:ascii="Arial Rounded MT Bold" w:hAnsi="Arial Rounded MT Bold"/>
          <w:sz w:val="36"/>
        </w:rPr>
      </w:pPr>
    </w:p>
    <w:p>
      <w:pPr>
        <w:spacing w:before="100" w:beforeAutospacing="1" w:after="100" w:afterAutospacing="1" w:line="360" w:lineRule="auto"/>
        <w:rPr>
          <w:rFonts w:ascii="Arial Rounded MT Bold" w:hAnsi="Arial Rounded MT Bold"/>
          <w:sz w:val="36"/>
        </w:rPr>
      </w:pPr>
    </w:p>
    <w:p>
      <w:pPr>
        <w:spacing w:before="100" w:beforeAutospacing="1" w:after="100" w:afterAutospacing="1" w:line="360" w:lineRule="auto"/>
        <w:rPr>
          <w:rFonts w:asciiTheme="minorEastAsia" w:hAnsiTheme="minorEastAsia"/>
          <w:b/>
          <w:sz w:val="36"/>
        </w:rPr>
      </w:pPr>
      <w:r>
        <w:rPr>
          <w:rFonts w:asciiTheme="minorEastAsia" w:hAnsiTheme="minorEastAsia"/>
          <w:b/>
          <w:sz w:val="36"/>
        </w:rPr>
        <w:t>Table of Contents</w:t>
      </w:r>
    </w:p>
    <w:sdt>
      <w:sdtPr>
        <w:rPr>
          <w:lang w:val="zh-CN"/>
        </w:rPr>
        <w:id w:val="-1899967368"/>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18"/>
            <w:rPr>
              <w:rFonts w:hint="eastAsia"/>
              <w:sz w:val="40"/>
            </w:rPr>
          </w:pPr>
        </w:p>
        <w:p>
          <w:pPr>
            <w:pStyle w:val="7"/>
            <w:tabs>
              <w:tab w:val="right" w:leader="dot" w:pos="9736"/>
            </w:tabs>
            <w:rPr>
              <w:sz w:val="24"/>
            </w:rPr>
          </w:pPr>
          <w:r>
            <w:rPr>
              <w:sz w:val="24"/>
            </w:rPr>
            <w:fldChar w:fldCharType="begin"/>
          </w:r>
          <w:r>
            <w:rPr>
              <w:sz w:val="24"/>
            </w:rPr>
            <w:instrText xml:space="preserve"> TOC \o "1-3" \h \z \u </w:instrText>
          </w:r>
          <w:r>
            <w:rPr>
              <w:sz w:val="24"/>
            </w:rPr>
            <w:fldChar w:fldCharType="separate"/>
          </w:r>
          <w:r>
            <w:fldChar w:fldCharType="begin"/>
          </w:r>
          <w:r>
            <w:instrText xml:space="preserve"> HYPERLINK \l "_Toc6258660" </w:instrText>
          </w:r>
          <w:r>
            <w:fldChar w:fldCharType="separate"/>
          </w:r>
          <w:r>
            <w:rPr>
              <w:rStyle w:val="11"/>
              <w:sz w:val="24"/>
            </w:rPr>
            <w:t>Introduction</w:t>
          </w:r>
          <w:r>
            <w:rPr>
              <w:sz w:val="24"/>
            </w:rPr>
            <w:tab/>
          </w:r>
          <w:r>
            <w:rPr>
              <w:sz w:val="24"/>
            </w:rPr>
            <w:fldChar w:fldCharType="begin"/>
          </w:r>
          <w:r>
            <w:rPr>
              <w:sz w:val="24"/>
            </w:rPr>
            <w:instrText xml:space="preserve"> PAGEREF _Toc6258660 \h </w:instrText>
          </w:r>
          <w:r>
            <w:rPr>
              <w:sz w:val="24"/>
            </w:rPr>
            <w:fldChar w:fldCharType="separate"/>
          </w:r>
          <w:r>
            <w:rPr>
              <w:sz w:val="24"/>
            </w:rPr>
            <w:t>3</w:t>
          </w:r>
          <w:r>
            <w:rPr>
              <w:sz w:val="24"/>
            </w:rPr>
            <w:fldChar w:fldCharType="end"/>
          </w:r>
          <w:r>
            <w:rPr>
              <w:sz w:val="24"/>
            </w:rPr>
            <w:fldChar w:fldCharType="end"/>
          </w:r>
        </w:p>
        <w:p>
          <w:pPr>
            <w:pStyle w:val="7"/>
            <w:tabs>
              <w:tab w:val="right" w:leader="dot" w:pos="9736"/>
            </w:tabs>
            <w:rPr>
              <w:sz w:val="24"/>
            </w:rPr>
          </w:pPr>
          <w:r>
            <w:fldChar w:fldCharType="begin"/>
          </w:r>
          <w:r>
            <w:instrText xml:space="preserve"> HYPERLINK \l "_Toc6258661" </w:instrText>
          </w:r>
          <w:r>
            <w:fldChar w:fldCharType="separate"/>
          </w:r>
          <w:r>
            <w:rPr>
              <w:rStyle w:val="11"/>
              <w:sz w:val="24"/>
            </w:rPr>
            <w:t>The relevant stakeholders</w:t>
          </w:r>
          <w:r>
            <w:rPr>
              <w:sz w:val="24"/>
            </w:rPr>
            <w:tab/>
          </w:r>
          <w:r>
            <w:rPr>
              <w:sz w:val="24"/>
            </w:rPr>
            <w:fldChar w:fldCharType="begin"/>
          </w:r>
          <w:r>
            <w:rPr>
              <w:sz w:val="24"/>
            </w:rPr>
            <w:instrText xml:space="preserve"> PAGEREF _Toc6258661 \h </w:instrText>
          </w:r>
          <w:r>
            <w:rPr>
              <w:sz w:val="24"/>
            </w:rPr>
            <w:fldChar w:fldCharType="separate"/>
          </w:r>
          <w:r>
            <w:rPr>
              <w:sz w:val="24"/>
            </w:rPr>
            <w:t>4</w:t>
          </w:r>
          <w:r>
            <w:rPr>
              <w:sz w:val="24"/>
            </w:rPr>
            <w:fldChar w:fldCharType="end"/>
          </w:r>
          <w:r>
            <w:rPr>
              <w:sz w:val="24"/>
            </w:rPr>
            <w:fldChar w:fldCharType="end"/>
          </w:r>
        </w:p>
        <w:p>
          <w:pPr>
            <w:pStyle w:val="7"/>
            <w:tabs>
              <w:tab w:val="right" w:leader="dot" w:pos="9736"/>
            </w:tabs>
            <w:rPr>
              <w:sz w:val="24"/>
            </w:rPr>
          </w:pPr>
          <w:r>
            <w:fldChar w:fldCharType="begin"/>
          </w:r>
          <w:r>
            <w:instrText xml:space="preserve"> HYPERLINK \l "_Toc6258662" </w:instrText>
          </w:r>
          <w:r>
            <w:fldChar w:fldCharType="separate"/>
          </w:r>
          <w:r>
            <w:rPr>
              <w:rStyle w:val="11"/>
              <w:sz w:val="24"/>
            </w:rPr>
            <w:t>Corporate governance</w:t>
          </w:r>
          <w:r>
            <w:rPr>
              <w:sz w:val="24"/>
            </w:rPr>
            <w:tab/>
          </w:r>
          <w:r>
            <w:rPr>
              <w:sz w:val="24"/>
            </w:rPr>
            <w:fldChar w:fldCharType="begin"/>
          </w:r>
          <w:r>
            <w:rPr>
              <w:sz w:val="24"/>
            </w:rPr>
            <w:instrText xml:space="preserve"> PAGEREF _Toc6258662 \h </w:instrText>
          </w:r>
          <w:r>
            <w:rPr>
              <w:sz w:val="24"/>
            </w:rPr>
            <w:fldChar w:fldCharType="separate"/>
          </w:r>
          <w:r>
            <w:rPr>
              <w:sz w:val="24"/>
            </w:rPr>
            <w:t>4</w:t>
          </w:r>
          <w:r>
            <w:rPr>
              <w:sz w:val="24"/>
            </w:rPr>
            <w:fldChar w:fldCharType="end"/>
          </w:r>
          <w:r>
            <w:rPr>
              <w:sz w:val="24"/>
            </w:rPr>
            <w:fldChar w:fldCharType="end"/>
          </w:r>
        </w:p>
        <w:p>
          <w:pPr>
            <w:pStyle w:val="7"/>
            <w:tabs>
              <w:tab w:val="right" w:leader="dot" w:pos="9736"/>
            </w:tabs>
            <w:rPr>
              <w:sz w:val="24"/>
            </w:rPr>
          </w:pPr>
          <w:r>
            <w:fldChar w:fldCharType="begin"/>
          </w:r>
          <w:r>
            <w:instrText xml:space="preserve"> HYPERLINK \l "_Toc6258663" </w:instrText>
          </w:r>
          <w:r>
            <w:fldChar w:fldCharType="separate"/>
          </w:r>
          <w:r>
            <w:rPr>
              <w:rStyle w:val="11"/>
              <w:sz w:val="24"/>
            </w:rPr>
            <w:t>The judgement of Rockefeller &amp; Carnegie</w:t>
          </w:r>
          <w:r>
            <w:rPr>
              <w:sz w:val="24"/>
            </w:rPr>
            <w:tab/>
          </w:r>
          <w:r>
            <w:rPr>
              <w:sz w:val="24"/>
            </w:rPr>
            <w:fldChar w:fldCharType="begin"/>
          </w:r>
          <w:r>
            <w:rPr>
              <w:sz w:val="24"/>
            </w:rPr>
            <w:instrText xml:space="preserve"> PAGEREF _Toc6258663 \h </w:instrText>
          </w:r>
          <w:r>
            <w:rPr>
              <w:sz w:val="24"/>
            </w:rPr>
            <w:fldChar w:fldCharType="separate"/>
          </w:r>
          <w:r>
            <w:rPr>
              <w:sz w:val="24"/>
            </w:rPr>
            <w:t>7</w:t>
          </w:r>
          <w:r>
            <w:rPr>
              <w:sz w:val="24"/>
            </w:rPr>
            <w:fldChar w:fldCharType="end"/>
          </w:r>
          <w:r>
            <w:rPr>
              <w:sz w:val="24"/>
            </w:rPr>
            <w:fldChar w:fldCharType="end"/>
          </w:r>
        </w:p>
        <w:p>
          <w:pPr>
            <w:pStyle w:val="7"/>
            <w:tabs>
              <w:tab w:val="right" w:leader="dot" w:pos="9736"/>
            </w:tabs>
            <w:rPr>
              <w:sz w:val="24"/>
            </w:rPr>
          </w:pPr>
          <w:r>
            <w:fldChar w:fldCharType="begin"/>
          </w:r>
          <w:r>
            <w:instrText xml:space="preserve"> HYPERLINK \l "_Toc6258664" </w:instrText>
          </w:r>
          <w:r>
            <w:fldChar w:fldCharType="separate"/>
          </w:r>
          <w:r>
            <w:rPr>
              <w:rStyle w:val="11"/>
              <w:sz w:val="24"/>
            </w:rPr>
            <w:t>The merits of philanthropic activities</w:t>
          </w:r>
          <w:r>
            <w:rPr>
              <w:sz w:val="24"/>
            </w:rPr>
            <w:tab/>
          </w:r>
          <w:r>
            <w:rPr>
              <w:sz w:val="24"/>
            </w:rPr>
            <w:fldChar w:fldCharType="begin"/>
          </w:r>
          <w:r>
            <w:rPr>
              <w:sz w:val="24"/>
            </w:rPr>
            <w:instrText xml:space="preserve"> PAGEREF _Toc6258664 \h </w:instrText>
          </w:r>
          <w:r>
            <w:rPr>
              <w:sz w:val="24"/>
            </w:rPr>
            <w:fldChar w:fldCharType="separate"/>
          </w:r>
          <w:r>
            <w:rPr>
              <w:sz w:val="24"/>
            </w:rPr>
            <w:t>7</w:t>
          </w:r>
          <w:r>
            <w:rPr>
              <w:sz w:val="24"/>
            </w:rPr>
            <w:fldChar w:fldCharType="end"/>
          </w:r>
          <w:r>
            <w:rPr>
              <w:sz w:val="24"/>
            </w:rPr>
            <w:fldChar w:fldCharType="end"/>
          </w:r>
        </w:p>
        <w:p>
          <w:pPr>
            <w:pStyle w:val="7"/>
            <w:tabs>
              <w:tab w:val="right" w:leader="dot" w:pos="9736"/>
            </w:tabs>
            <w:rPr>
              <w:sz w:val="24"/>
            </w:rPr>
          </w:pPr>
          <w:r>
            <w:fldChar w:fldCharType="begin"/>
          </w:r>
          <w:r>
            <w:instrText xml:space="preserve"> HYPERLINK \l "_Toc6258665" </w:instrText>
          </w:r>
          <w:r>
            <w:fldChar w:fldCharType="separate"/>
          </w:r>
          <w:r>
            <w:rPr>
              <w:rStyle w:val="11"/>
              <w:sz w:val="24"/>
            </w:rPr>
            <w:t>The reflection on Oxfam’s scandals</w:t>
          </w:r>
          <w:r>
            <w:rPr>
              <w:sz w:val="24"/>
            </w:rPr>
            <w:tab/>
          </w:r>
          <w:r>
            <w:rPr>
              <w:sz w:val="24"/>
            </w:rPr>
            <w:fldChar w:fldCharType="begin"/>
          </w:r>
          <w:r>
            <w:rPr>
              <w:sz w:val="24"/>
            </w:rPr>
            <w:instrText xml:space="preserve"> PAGEREF _Toc6258665 \h </w:instrText>
          </w:r>
          <w:r>
            <w:rPr>
              <w:sz w:val="24"/>
            </w:rPr>
            <w:fldChar w:fldCharType="separate"/>
          </w:r>
          <w:r>
            <w:rPr>
              <w:sz w:val="24"/>
            </w:rPr>
            <w:t>8</w:t>
          </w:r>
          <w:r>
            <w:rPr>
              <w:sz w:val="24"/>
            </w:rPr>
            <w:fldChar w:fldCharType="end"/>
          </w:r>
          <w:r>
            <w:rPr>
              <w:sz w:val="24"/>
            </w:rPr>
            <w:fldChar w:fldCharType="end"/>
          </w:r>
        </w:p>
        <w:p>
          <w:pPr>
            <w:pStyle w:val="7"/>
            <w:tabs>
              <w:tab w:val="right" w:leader="dot" w:pos="9736"/>
            </w:tabs>
            <w:rPr>
              <w:sz w:val="24"/>
            </w:rPr>
          </w:pPr>
          <w:r>
            <w:fldChar w:fldCharType="begin"/>
          </w:r>
          <w:r>
            <w:instrText xml:space="preserve"> HYPERLINK \l "_Toc6258666" </w:instrText>
          </w:r>
          <w:r>
            <w:fldChar w:fldCharType="separate"/>
          </w:r>
          <w:r>
            <w:rPr>
              <w:rStyle w:val="11"/>
              <w:sz w:val="24"/>
            </w:rPr>
            <w:t>Conclusion</w:t>
          </w:r>
          <w:r>
            <w:rPr>
              <w:sz w:val="24"/>
            </w:rPr>
            <w:tab/>
          </w:r>
          <w:r>
            <w:rPr>
              <w:sz w:val="24"/>
            </w:rPr>
            <w:fldChar w:fldCharType="begin"/>
          </w:r>
          <w:r>
            <w:rPr>
              <w:sz w:val="24"/>
            </w:rPr>
            <w:instrText xml:space="preserve"> PAGEREF _Toc6258666 \h </w:instrText>
          </w:r>
          <w:r>
            <w:rPr>
              <w:sz w:val="24"/>
            </w:rPr>
            <w:fldChar w:fldCharType="separate"/>
          </w:r>
          <w:r>
            <w:rPr>
              <w:sz w:val="24"/>
            </w:rPr>
            <w:t>9</w:t>
          </w:r>
          <w:r>
            <w:rPr>
              <w:sz w:val="24"/>
            </w:rPr>
            <w:fldChar w:fldCharType="end"/>
          </w:r>
          <w:r>
            <w:rPr>
              <w:sz w:val="24"/>
            </w:rPr>
            <w:fldChar w:fldCharType="end"/>
          </w:r>
        </w:p>
        <w:p>
          <w:pPr>
            <w:pStyle w:val="7"/>
            <w:tabs>
              <w:tab w:val="right" w:leader="dot" w:pos="9736"/>
            </w:tabs>
            <w:rPr>
              <w:sz w:val="24"/>
            </w:rPr>
          </w:pPr>
          <w:r>
            <w:fldChar w:fldCharType="begin"/>
          </w:r>
          <w:r>
            <w:instrText xml:space="preserve"> HYPERLINK \l "_Toc6258667" </w:instrText>
          </w:r>
          <w:r>
            <w:fldChar w:fldCharType="separate"/>
          </w:r>
          <w:r>
            <w:rPr>
              <w:rStyle w:val="11"/>
              <w:sz w:val="24"/>
            </w:rPr>
            <w:t>Reference list</w:t>
          </w:r>
          <w:r>
            <w:rPr>
              <w:sz w:val="24"/>
            </w:rPr>
            <w:tab/>
          </w:r>
          <w:r>
            <w:rPr>
              <w:sz w:val="24"/>
            </w:rPr>
            <w:fldChar w:fldCharType="begin"/>
          </w:r>
          <w:r>
            <w:rPr>
              <w:sz w:val="24"/>
            </w:rPr>
            <w:instrText xml:space="preserve"> PAGEREF _Toc6258667 \h </w:instrText>
          </w:r>
          <w:r>
            <w:rPr>
              <w:sz w:val="24"/>
            </w:rPr>
            <w:fldChar w:fldCharType="separate"/>
          </w:r>
          <w:r>
            <w:rPr>
              <w:sz w:val="24"/>
            </w:rPr>
            <w:t>10</w:t>
          </w:r>
          <w:r>
            <w:rPr>
              <w:sz w:val="24"/>
            </w:rPr>
            <w:fldChar w:fldCharType="end"/>
          </w:r>
          <w:r>
            <w:rPr>
              <w:sz w:val="24"/>
            </w:rPr>
            <w:fldChar w:fldCharType="end"/>
          </w:r>
        </w:p>
        <w:p>
          <w:r>
            <w:rPr>
              <w:b/>
              <w:bCs/>
              <w:sz w:val="24"/>
              <w:lang w:val="zh-CN"/>
            </w:rPr>
            <w:fldChar w:fldCharType="end"/>
          </w:r>
        </w:p>
      </w:sdtContent>
    </w:sdt>
    <w:p>
      <w:pPr>
        <w:spacing w:before="100" w:beforeAutospacing="1" w:after="100" w:afterAutospacing="1" w:line="360" w:lineRule="auto"/>
        <w:rPr>
          <w:rFonts w:asciiTheme="minorEastAsia" w:hAnsiTheme="minorEastAsia"/>
          <w:b/>
          <w:sz w:val="36"/>
        </w:rPr>
      </w:pPr>
      <w:r>
        <w:rPr>
          <w:rFonts w:asciiTheme="minorEastAsia" w:hAnsiTheme="minorEastAsia"/>
          <w:b/>
          <w:sz w:val="36"/>
        </w:rPr>
        <w:t xml:space="preserve"> </w:t>
      </w:r>
    </w:p>
    <w:p>
      <w:pPr>
        <w:widowControl/>
        <w:spacing w:before="100" w:beforeAutospacing="1" w:after="100" w:afterAutospacing="1" w:line="360" w:lineRule="auto"/>
        <w:rPr>
          <w:rFonts w:ascii="Arial Rounded MT Bold" w:hAnsi="Arial Rounded MT Bold"/>
          <w:sz w:val="36"/>
        </w:rPr>
      </w:pPr>
      <w:r>
        <w:rPr>
          <w:rFonts w:ascii="Arial Rounded MT Bold" w:hAnsi="Arial Rounded MT Bold"/>
          <w:sz w:val="36"/>
        </w:rPr>
        <w:br w:type="page"/>
      </w:r>
    </w:p>
    <w:p>
      <w:pPr>
        <w:pStyle w:val="2"/>
        <w:rPr>
          <w:sz w:val="32"/>
        </w:rPr>
        <w:sectPr>
          <w:footerReference r:id="rId3" w:type="default"/>
          <w:pgSz w:w="11906" w:h="16838"/>
          <w:pgMar w:top="1440" w:right="1080" w:bottom="1440" w:left="1080" w:header="851" w:footer="992" w:gutter="0"/>
          <w:cols w:space="425" w:num="1"/>
          <w:docGrid w:type="lines" w:linePitch="312" w:charSpace="0"/>
        </w:sectPr>
      </w:pPr>
      <w:bookmarkStart w:id="0" w:name="_Toc6258660"/>
    </w:p>
    <w:p>
      <w:pPr>
        <w:pStyle w:val="2"/>
        <w:rPr>
          <w:sz w:val="32"/>
        </w:rPr>
      </w:pPr>
      <w:r>
        <w:rPr>
          <w:sz w:val="32"/>
        </w:rPr>
        <w:t>Introduction</w:t>
      </w:r>
      <w:bookmarkEnd w:id="0"/>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This study will discuss philanthropic activities and their relationship with corporate governance. The philanthropic activities are exemplified by two famous philanthropists - Rockefeller and Carnegie. By discussing the relationship between two subjects, we can gain more insights on whom modern business should value corporate philanthropic activities, and how corporate governance can be helpful in balancing the benefits of stakeholders in corporate philanthropic activities.</w:t>
      </w:r>
    </w:p>
    <w:p>
      <w:pPr>
        <w:pStyle w:val="13"/>
        <w:numPr>
          <w:ilvl w:val="0"/>
          <w:numId w:val="1"/>
        </w:numPr>
        <w:spacing w:before="100" w:beforeAutospacing="1" w:after="100" w:afterAutospacing="1" w:line="360" w:lineRule="auto"/>
        <w:ind w:firstLineChars="0"/>
        <w:rPr>
          <w:rFonts w:eastAsiaTheme="minorHAnsi"/>
          <w:b/>
          <w:sz w:val="24"/>
          <w:szCs w:val="28"/>
        </w:rPr>
      </w:pPr>
      <w:r>
        <w:rPr>
          <w:rFonts w:eastAsiaTheme="minorHAnsi"/>
          <w:b/>
          <w:sz w:val="24"/>
          <w:szCs w:val="28"/>
        </w:rPr>
        <w:t xml:space="preserve">About </w:t>
      </w:r>
      <w:r>
        <w:rPr>
          <w:rFonts w:hint="eastAsia" w:eastAsiaTheme="minorHAnsi"/>
          <w:b/>
          <w:sz w:val="24"/>
          <w:szCs w:val="28"/>
        </w:rPr>
        <w:t>John</w:t>
      </w:r>
      <w:r>
        <w:rPr>
          <w:rFonts w:eastAsiaTheme="minorHAnsi"/>
          <w:b/>
          <w:sz w:val="24"/>
          <w:szCs w:val="28"/>
        </w:rPr>
        <w:t xml:space="preserve"> D. Rockefeller</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John Davidson Rockefeller, an American industrialist and philanthropist, is known for revolutionizing the oil industry. In 1870, Rockefeller established Standard Oil and monopolized 90% of the oil market in America during its heyday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{"citationItems":[{"id":"ITEM-1","itemData":{"URL":"https://www.britannica.com/biography/John-D-Rockefeller","accessed":{"date-parts":[["2019","4","15"]]},"author":[{"dropping-particle":"","family":"Encyclopedia Britannica","given":"","non-dropping-particle":"","parse-names":false,"suffix":""}],"id":"ITEM-1","issued":{"date-parts":[["2019"]]},"title":"John D. Rockefeller | Biography, Facts, &amp;amp; Death","type":"webpage"},"uris":["http://www.mendeley.com/documents/?uuid=c3a39c5b-8665-30ca-9fea-8973dc03c8d6"]}],"mendeley":{"formattedCitation":"(Encyclopedia Britannica, 2019b)","plainTextFormattedCitation":"(Encyclopedia Britannica, 2019b)","previouslyFormattedCitation":"(Encyclopedia Britannica 2019a)"},"properties":{"noteIndex":0},"schema":"https://github.com/citation-style-language/schema/raw/master/csl-citation.json"}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(Encyclopedia Britannica, 2019b)</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The success of the Standard Oil company made Rockefeller the first billionaire in history and the richest in the world at that time. In 1914, Rockefeller’s total fortune reached 2.4% of US GDP, equivalent to more than $400 billon today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{"citationItems":[{"id":"ITEM-1","itemData":{"URL":"https://www.u-s-history.com/pages/h957.html","accessed":{"date-parts":[["2019","4","15"]]},"author":[{"dropping-particle":"","family":"United States History","given":"","non-dropping-particle":"","parse-names":false,"suffix":""}],"id":"ITEM-1","issued":{"date-parts":[["2018"]]},"title":"John D. Rockefeller: The Ultimate Oil Man","type":"webpage"},"uris":["http://www.mendeley.com/documents/?uuid=e711f0a2-993a-3f13-86d4-7963b3b9f43a"]}],"mendeley":{"formattedCitation":"(United States History, 2018)","plainTextFormattedCitation":"(United States History, 2018)","previouslyFormattedCitation":"(United States History 2018)"},"properties":{"noteIndex":0},"schema":"https://github.com/citation-style-language/schema/raw/master/csl-citation.json"}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(United States History, 2018)</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He officially ended his direct management of Standard Oil Company in 1897 but retained most of the equity. After that, Rockefeller was committed to philanthropic activities, mainly in the fields of education and medication. During this life time, Rockefeller contributed a total amount of about $550million to philanthropic activities during this entire life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{"citationItems":[{"id":"ITEM-1","itemData":{"URL":"https://www.stmuhistorymedia.org/john-d-rockefeller-industrialist-philanthropist/","accessed":{"date-parts":[["2019","4","15"]]},"author":[{"dropping-particle":"","family":"STMU History Media Project","given":"","non-dropping-particle":"","parse-names":false,"suffix":""}],"id":"ITEM-1","issued":{"date-parts":[["2018"]]},"title":"John D. Rockefeller: Industrialist &amp;amp; Philanthropist – StMU History Media","type":"webpage"},"uris":["http://www.mendeley.com/documents/?uuid=1024db25-5eb1-3042-b84c-34cc6e52bd1a"]}],"mendeley":{"formattedCitation":"(STMU History Media Project, 2018)","plainTextFormattedCitation":"(STMU History Media Project, 2018)","previouslyFormattedCitation":"(STMU History Media Project 2018)"},"properties":{"noteIndex":0},"schema":"https://github.com/citation-style-language/schema/raw/master/csl-citation.json"}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(STMU History Media Project, 2018)</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w:t>
      </w:r>
    </w:p>
    <w:p>
      <w:pPr>
        <w:pStyle w:val="13"/>
        <w:numPr>
          <w:ilvl w:val="0"/>
          <w:numId w:val="1"/>
        </w:numPr>
        <w:spacing w:before="100" w:beforeAutospacing="1" w:after="100" w:afterAutospacing="1" w:line="360" w:lineRule="auto"/>
        <w:ind w:firstLineChars="0"/>
        <w:rPr>
          <w:rFonts w:ascii="Times New Roman" w:hAnsi="Times New Roman" w:cs="Times New Roman" w:eastAsiaTheme="minorHAnsi"/>
          <w:sz w:val="24"/>
          <w:szCs w:val="28"/>
        </w:rPr>
      </w:pPr>
      <w:r>
        <w:rPr>
          <w:rFonts w:eastAsiaTheme="minorHAnsi"/>
          <w:b/>
          <w:sz w:val="24"/>
          <w:szCs w:val="28"/>
        </w:rPr>
        <w:t xml:space="preserve">About Andrew Carnegie </w:t>
      </w:r>
    </w:p>
    <w:p>
      <w:pPr>
        <w:spacing w:before="100" w:beforeAutospacing="1" w:after="100" w:afterAutospacing="1" w:line="360" w:lineRule="auto"/>
        <w:rPr>
          <w:rFonts w:hint="eastAsia" w:ascii="Times New Roman" w:hAnsi="Times New Roman" w:cs="Times New Roman" w:eastAsiaTheme="minorHAnsi"/>
          <w:sz w:val="24"/>
          <w:szCs w:val="28"/>
        </w:rPr>
      </w:pPr>
      <w:r>
        <w:rPr>
          <w:rFonts w:ascii="Times New Roman" w:hAnsi="Times New Roman" w:cs="Times New Roman" w:eastAsiaTheme="minorHAnsi"/>
          <w:sz w:val="24"/>
          <w:szCs w:val="28"/>
        </w:rPr>
        <w:t xml:space="preserve">Andrew Carnegie, another American industrialist and philanthropist, is known for his achievements in building a large steel conglomerate Carnegie Steer- the predecessor of the current US Steel. Carnegie Steel had maintained monopoly position in the whole US for decades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{"citationItems":[{"id":"ITEM-1","itemData":{"URL":"https://www.britannica.com/biography/Andrew-Carnegie","accessed":{"date-parts":[["2019","4","15"]]},"author":[{"dropping-particle":"","family":"Encyclopedia Britannica","given":"","non-dropping-particle":"","parse-names":false,"suffix":""}],"id":"ITEM-1","issued":{"date-parts":[["2019"]]},"title":"Andrew Carnegie | Biography, Facts, Steel, &amp;amp; Philanthropy |","type":"webpage"},"uris":["http://www.mendeley.com/documents/?uuid=45cecfea-814e-34c3-ac1d-92b9021ca28c"]}],"mendeley":{"formattedCitation":"(Encyclopedia Britannica, 2019a)","plainTextFormattedCitation":"(Encyclopedia Britannica, 2019a)","previouslyFormattedCitation":"(Encyclopedia Britannica 2019b)"},"properties":{"noteIndex":0},"schema":"https://github.com/citation-style-language/schema/raw/master/csl-citation.json"}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(Encyclopedia Britannica, 2019a)</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Carnegie is among the three giants of the US economy at that time, together with Rockefeller and Morgan. Similar to Rockefeller, Carnegie also was committed to the philanthropic activities by paying back to societies through the various approach. </w:t>
      </w:r>
    </w:p>
    <w:p>
      <w:pPr>
        <w:pStyle w:val="2"/>
        <w:rPr>
          <w:sz w:val="32"/>
        </w:rPr>
      </w:pPr>
      <w:bookmarkStart w:id="1" w:name="_Toc6258661"/>
      <w:r>
        <w:rPr>
          <w:sz w:val="32"/>
        </w:rPr>
        <w:t>The relevant stakeholders</w:t>
      </w:r>
      <w:bookmarkEnd w:id="1"/>
      <w:r>
        <w:rPr>
          <w:sz w:val="32"/>
        </w:rPr>
        <w:t xml:space="preserve"> </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Agency problem is a centred issue to be solved by corporate governance. Thus, the major goal of corporate governance is to supervise and balance the interests of stakeholders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{"citationItems":[{"id":"ITEM-1","itemData":{"author":[{"dropping-particle":"","family":"Freeman","given":"R Edward","non-dropping-particle":"","parse-names":false,"suffix":""},{"dropping-particle":"","family":"Harrison","given":"Jeffrey S","non-dropping-particle":"","parse-names":false,"suffix":""},{"dropping-particle":"","family":"Wicks","given":"Andrew C","non-dropping-particle":"","parse-names":false,"suffix":""},{"dropping-particle":"","family":"Parmar","given":"Bidhan L","non-dropping-particle":"","parse-names":false,"suffix":""},{"dropping-particle":"","family":"Colle","given":"Simone","non-dropping-particle":"De","parse-names":false,"suffix":""}],"id":"ITEM-1","issued":{"date-parts":[["2010"]]},"publisher":"Cambridge University Press Cambridge","title":"Stakeholder theory","type":"book"},"uris":["http://www.mendeley.com/documents/?uuid=17079663-a014-432c-b004-4bb215921887"]}],"mendeley":{"formattedCitation":"(Freeman &lt;i&gt;et al.&lt;/i&gt;, 2010)","plainTextFormattedCitation":"(Freeman et al., 2010)","previouslyFormattedCitation":"(Freeman et al. 2010)"},"properties":{"noteIndex":0},"schema":"https://github.com/citation-style-language/schema/raw/master/csl-citation.json"}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 xml:space="preserve">(Freeman </w:t>
      </w:r>
      <w:r>
        <w:rPr>
          <w:rFonts w:ascii="Times New Roman" w:hAnsi="Times New Roman" w:cs="Times New Roman" w:eastAsiaTheme="minorHAnsi"/>
          <w:i/>
          <w:sz w:val="24"/>
          <w:szCs w:val="28"/>
        </w:rPr>
        <w:t>et al.</w:t>
      </w:r>
      <w:r>
        <w:rPr>
          <w:rFonts w:ascii="Times New Roman" w:hAnsi="Times New Roman" w:cs="Times New Roman" w:eastAsiaTheme="minorHAnsi"/>
          <w:sz w:val="24"/>
          <w:szCs w:val="28"/>
        </w:rPr>
        <w:t>, 2010)</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The agency theory indicates that in the business operation, the occurrence of the moral hazard issues that harms the benefits of other stakeholders, and it also explains the necessity of corporate governance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{"citationItems":[{"id":"ITEM-1","itemData":{"ISSN":"1052-150X","author":[{"dropping-particle":"","family":"Harrison","given":"Jeffrey S","non-dropping-particle":"","parse-names":false,"suffix":""},{"dropping-particle":"","family":"Wicks","given":"Andrew C","non-dropping-particle":"","parse-names":false,"suffix":""}],"container-title":"Business ethics quarterly","id":"ITEM-1","issue":"1","issued":{"date-parts":[["2013"]]},"page":"97-124","publisher":"Cambridge University Press","title":"Stakeholder theory, value, and firm performance","type":"article-journal","volume":"23"},"uris":["http://www.mendeley.com/documents/?uuid=09719e3a-f750-4ed0-8601-fd310047e5ae"]}],"mendeley":{"formattedCitation":"(Harrison and Wicks, 2013)","plainTextFormattedCitation":"(Harrison and Wicks, 2013)","previouslyFormattedCitation":"(Harrison and Wicks 2013)"},"properties":{"noteIndex":0},"schema":"https://github.com/citation-style-language/schema/raw/master/csl-citation.json"}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(Harrison and Wicks, 2013)</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The typical stakeholders that are closely related to the business operations of a corporate include:</w:t>
      </w:r>
    </w:p>
    <w:p>
      <w:pPr>
        <w:spacing w:before="100" w:beforeAutospacing="1" w:after="100" w:afterAutospacing="1" w:line="360" w:lineRule="auto"/>
        <w:rPr>
          <w:rFonts w:ascii="Times New Roman" w:hAnsi="Times New Roman" w:cs="Times New Roman" w:eastAsiaTheme="minorHAnsi"/>
          <w:sz w:val="24"/>
          <w:szCs w:val="28"/>
        </w:rPr>
      </w:pPr>
      <w:r>
        <w:rPr>
          <w:rFonts w:cs="Times New Roman" w:eastAsiaTheme="minorHAnsi"/>
          <w:b/>
          <w:sz w:val="22"/>
          <w:szCs w:val="28"/>
        </w:rPr>
        <w:t>Shareholders:</w:t>
      </w:r>
      <w:r>
        <w:rPr>
          <w:rFonts w:ascii="Times New Roman" w:hAnsi="Times New Roman" w:cs="Times New Roman" w:eastAsiaTheme="minorHAnsi"/>
          <w:sz w:val="24"/>
          <w:szCs w:val="28"/>
        </w:rPr>
        <w:t xml:space="preserve"> shareholders are also known as investors. The corporate has the responsibility to maximize corporate value for shareholders via sound and transparent management.</w:t>
      </w:r>
    </w:p>
    <w:p>
      <w:pPr>
        <w:spacing w:before="100" w:beforeAutospacing="1" w:after="100" w:afterAutospacing="1" w:line="360" w:lineRule="auto"/>
        <w:rPr>
          <w:rFonts w:ascii="Times New Roman" w:hAnsi="Times New Roman" w:cs="Times New Roman" w:eastAsiaTheme="minorHAnsi"/>
          <w:sz w:val="24"/>
          <w:szCs w:val="28"/>
        </w:rPr>
      </w:pPr>
      <w:r>
        <w:rPr>
          <w:rFonts w:cs="Times New Roman" w:eastAsiaTheme="minorHAnsi"/>
          <w:b/>
          <w:sz w:val="22"/>
          <w:szCs w:val="28"/>
        </w:rPr>
        <w:t>Customers</w:t>
      </w:r>
      <w:r>
        <w:rPr>
          <w:rFonts w:ascii="Times New Roman" w:hAnsi="Times New Roman" w:cs="Times New Roman" w:eastAsiaTheme="minorHAnsi"/>
          <w:sz w:val="24"/>
          <w:szCs w:val="28"/>
        </w:rPr>
        <w:t xml:space="preserve">: the corporate needs to provide products and/or services with reliable quality and performances at a reasonable cost. </w:t>
      </w:r>
    </w:p>
    <w:p>
      <w:pPr>
        <w:spacing w:before="100" w:beforeAutospacing="1" w:after="100" w:afterAutospacing="1" w:line="360" w:lineRule="auto"/>
        <w:rPr>
          <w:rFonts w:ascii="Times New Roman" w:hAnsi="Times New Roman" w:cs="Times New Roman" w:eastAsiaTheme="minorHAnsi"/>
          <w:sz w:val="24"/>
          <w:szCs w:val="28"/>
        </w:rPr>
      </w:pPr>
      <w:r>
        <w:rPr>
          <w:rFonts w:hint="eastAsia" w:cs="Times New Roman" w:eastAsiaTheme="minorHAnsi"/>
          <w:b/>
          <w:sz w:val="22"/>
          <w:szCs w:val="28"/>
        </w:rPr>
        <w:t>E</w:t>
      </w:r>
      <w:r>
        <w:rPr>
          <w:rFonts w:cs="Times New Roman" w:eastAsiaTheme="minorHAnsi"/>
          <w:b/>
          <w:sz w:val="22"/>
          <w:szCs w:val="28"/>
        </w:rPr>
        <w:t>mployees</w:t>
      </w:r>
      <w:r>
        <w:rPr>
          <w:rFonts w:ascii="Times New Roman" w:hAnsi="Times New Roman" w:cs="Times New Roman" w:eastAsiaTheme="minorHAnsi"/>
          <w:sz w:val="24"/>
          <w:szCs w:val="28"/>
        </w:rPr>
        <w:t>: as the major contributor to business productivity and intelligence, the corporate is required to respect and care individuality, such as establishing fair and proper evaluation and reward system.</w:t>
      </w:r>
    </w:p>
    <w:p>
      <w:pPr>
        <w:spacing w:before="100" w:beforeAutospacing="1" w:after="100" w:afterAutospacing="1" w:line="360" w:lineRule="auto"/>
        <w:rPr>
          <w:rFonts w:ascii="Times New Roman" w:hAnsi="Times New Roman" w:cs="Times New Roman" w:eastAsiaTheme="minorHAnsi"/>
          <w:sz w:val="24"/>
          <w:szCs w:val="28"/>
        </w:rPr>
      </w:pPr>
      <w:r>
        <w:rPr>
          <w:rFonts w:cs="Times New Roman" w:eastAsiaTheme="minorHAnsi"/>
          <w:b/>
          <w:sz w:val="22"/>
          <w:szCs w:val="28"/>
        </w:rPr>
        <w:t>Communities</w:t>
      </w:r>
      <w:r>
        <w:rPr>
          <w:rFonts w:ascii="Times New Roman" w:hAnsi="Times New Roman" w:cs="Times New Roman" w:eastAsiaTheme="minorHAnsi"/>
          <w:sz w:val="24"/>
          <w:szCs w:val="28"/>
        </w:rPr>
        <w:t>: the prosperity and strengthen of a corporate need the support of the communities where it operates, and in turn, the corporate can contribute to the development of a society based on high ethics and low-abiding sprit.</w:t>
      </w:r>
    </w:p>
    <w:p>
      <w:pPr>
        <w:spacing w:before="100" w:beforeAutospacing="1" w:after="100" w:afterAutospacing="1" w:line="360" w:lineRule="auto"/>
        <w:rPr>
          <w:rFonts w:ascii="Times New Roman" w:hAnsi="Times New Roman" w:cs="Times New Roman" w:eastAsiaTheme="minorHAnsi"/>
          <w:sz w:val="24"/>
          <w:szCs w:val="28"/>
        </w:rPr>
      </w:pPr>
      <w:r>
        <w:rPr>
          <w:rFonts w:cs="Times New Roman" w:eastAsiaTheme="minorHAnsi"/>
          <w:b/>
          <w:sz w:val="22"/>
          <w:szCs w:val="28"/>
        </w:rPr>
        <w:t>Environment</w:t>
      </w:r>
      <w:r>
        <w:rPr>
          <w:rFonts w:ascii="Times New Roman" w:hAnsi="Times New Roman" w:cs="Times New Roman" w:eastAsiaTheme="minorHAnsi"/>
          <w:sz w:val="24"/>
          <w:szCs w:val="28"/>
        </w:rPr>
        <w:t xml:space="preserve">: no matter what kind of business it operates, the corporate inevitable leave footprints on the environment, such as the ocean, air, and forest. Environmental protection consciousness throughout all business activities is thus being advocated by the public. </w:t>
      </w:r>
    </w:p>
    <w:p>
      <w:pPr>
        <w:pStyle w:val="2"/>
        <w:rPr>
          <w:sz w:val="32"/>
        </w:rPr>
      </w:pPr>
      <w:bookmarkStart w:id="2" w:name="_Toc6258662"/>
      <w:r>
        <w:rPr>
          <w:sz w:val="32"/>
        </w:rPr>
        <w:t>Corporate governance</w:t>
      </w:r>
      <w:bookmarkEnd w:id="2"/>
      <w:r>
        <w:rPr>
          <w:sz w:val="32"/>
        </w:rPr>
        <w:t xml:space="preserve"> </w:t>
      </w:r>
    </w:p>
    <w:p>
      <w:pPr>
        <w:spacing w:before="100" w:beforeAutospacing="1" w:after="100" w:afterAutospacing="1" w:line="360" w:lineRule="auto"/>
        <w:rPr>
          <w:rFonts w:hint="eastAsia" w:ascii="Times New Roman" w:hAnsi="Times New Roman" w:cs="Times New Roman" w:eastAsiaTheme="minorHAnsi"/>
          <w:sz w:val="24"/>
          <w:szCs w:val="28"/>
        </w:rPr>
      </w:pPr>
      <w:r>
        <w:rPr>
          <w:rFonts w:ascii="Times New Roman" w:hAnsi="Times New Roman" w:cs="Times New Roman" w:eastAsiaTheme="minorHAnsi"/>
          <w:sz w:val="24"/>
          <w:szCs w:val="28"/>
        </w:rPr>
        <w:t xml:space="preserve">Corporate governance was made up of both internal governance and external governance. The internal governance is also referred as corporate governance structure, which mainly refers to the system of mechanisms, rules, regulations and practices by which the organization are monitored, controlled and directed, such as shareholders vote for directors through the general meetings of shareholders, approve the company’s merger and acquisition, review the asset restructuring and other major issues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{"citationItems":[{"id":"ITEM-1","itemData":{"DOI":"10.1111/j.1467-8551.2010.00712.x","ISSN":"10453172","abstract":"Most corporate governance research focuses on a universal link between corporate governance practices (e.g. shareholder activism, board independence) and performance outcomes, but neglects how interdependences between the organization and diverse environments lead to variations in the effectiveness of different corporate governance practices. This paper develops an organizational approach to corporate governance and focuses on two dominant streams that analyse internal and external governance mechanisms. First, we explore governance practices aimed at dealing with a complex set of problems internal to an organization, such</w:instrText>
      </w:r>
      <w:r>
        <w:rPr>
          <w:rFonts w:hint="eastAsia" w:ascii="Times New Roman" w:hAnsi="Times New Roman" w:cs="Times New Roman" w:eastAsiaTheme="minorHAnsi"/>
          <w:sz w:val="24"/>
          <w:szCs w:val="28"/>
        </w:rPr>
        <w:instrText xml:space="preserve"> as conflicts of interest between managers and shareholders, different types of shareholders, and block‐holder opportunism. Second, we discuss the importance of formal and informal governance arrangements that organizations use in managing their relations</w:instrText>
      </w:r>
      <w:r>
        <w:rPr>
          <w:rFonts w:ascii="Times New Roman" w:hAnsi="Times New Roman" w:cs="Times New Roman" w:eastAsiaTheme="minorHAnsi"/>
          <w:sz w:val="24"/>
          <w:szCs w:val="28"/>
        </w:rPr>
        <w:instrText xml:space="preserve">hips with external parties, such as alliance partners, overseas subsidiaries and network members. We argue that an integrated approach bringing these two streams together helps to develop a more holistic view on the effectiveness and efficiency of various corporate governance mechanisms, and suggests a number of avenues for future research. This paper also sets the scene for this thematic issue on corporate governance, scopes the field and introduces 11 papers which make significant contributions towards our understanding of corporate governance.","author":[{"dropping-particle":"","family":"Filatotchev","given":"Igor","non-dropping-particle":"","parse-names":false,"suffix":""},{"dropping-particle":"","family":"Nakajima","given":"Chizu","non-dropping-particle":"","parse-names":false,"suffix":""}],"container-title":"British Journal of Management","id":"ITEM-1","issue":"3","issued":{"date-parts":[["2010","9"]]},"page":"591-606","title":"Internal and external corporate governance: An interface between an organization and its environment","type":"article-journal","volume":"21"},"uris":["http://www.mendeley.com/documents/?uuid=6b760e70-63a6-38e8-a8e4-3d6ad0a2bbae"]}],"mendeley":{"formattedCitation":"(Filatotchev and Nakajima, 2010)","plainTextFormattedCitation":"(Filatotchev and Nakajima, 2010)","previouslyFormattedCitation":"(Filatotchev and Nakajima 2010)"},"properties":{"noteIndex":0},"schema":"https://github.com/citation-style-language/schema/raw/master/csl-citation.json"}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(Filatotchev and Nakajima, 2010)</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External governance refers to the supervision of the company’s management behaviours by external forces such as registration. The laws and regulations on anti-monopoly, security trading, information disclosure, and internal and external auditing enforce compulsory supervision of corporate behaviours from the outside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{"citationItems":[{"id":"ITEM-1","itemData":{"DOI":"10.1111/j.1467-8551.2010.00712.x","ISSN":"10453172","abstract":"Most corporate governance research focuses on a universal link between corporate governance practices (e.g. shareholder activism, board independence) and performance outcomes, but neglects how interdependences between the organization and diverse environments lead to variations in the effectiveness of different corporate governance practices. This paper develops an organizational approach to corporate governance and focuses on two dominant streams that analyse internal and external governance mechanisms. First, we explore governance practices aimed at dealing with a complex set of problems internal to an organization, such</w:instrText>
      </w:r>
      <w:r>
        <w:rPr>
          <w:rFonts w:hint="eastAsia" w:ascii="Times New Roman" w:hAnsi="Times New Roman" w:cs="Times New Roman" w:eastAsiaTheme="minorHAnsi"/>
          <w:sz w:val="24"/>
          <w:szCs w:val="28"/>
        </w:rPr>
        <w:instrText xml:space="preserve"> as conflicts of interest between managers and shareholders, different types of shareholders, and block‐holder opportunism. Second, we discuss the importance of formal and informal governance arrangements that organizations use in managing their relations</w:instrText>
      </w:r>
      <w:r>
        <w:rPr>
          <w:rFonts w:ascii="Times New Roman" w:hAnsi="Times New Roman" w:cs="Times New Roman" w:eastAsiaTheme="minorHAnsi"/>
          <w:sz w:val="24"/>
          <w:szCs w:val="28"/>
        </w:rPr>
        <w:instrText xml:space="preserve">hips with external parties, such as alliance partners, overseas subsidiaries and network members. We argue that an integrated approach bringing these two streams together helps to develop a more holistic view on the effectiveness and efficiency of various corporate governance mechanisms, and suggests a number of avenues for future research. This paper also sets the scene for this thematic issue on corporate governance, scopes the field and introduces 11 papers which make significant contributions towards our understanding of corporate governance.","author":[{"dropping-particle":"","family":"Filatotchev","given":"Igor","non-dropping-particle":"","parse-names":false,"suffix":""},{"dropping-particle":"","family":"Nakajima","given":"Chizu","non-dropping-particle":"","parse-names":false,"suffix":""}],"container-title":"British Journal of Management","id":"ITEM-1","issue":"3","issued":{"date-parts":[["2010","9"]]},"page":"591-606","title":"Internal and external corporate governance: An interface between an organization and its environment","type":"article-journal","volume":"21"},"uris":["http://www.mendeley.com/documents/?uuid=6b760e70-63a6-38e8-a8e4-3d6ad0a2bbae"]}],"mendeley":{"formattedCitation":"(Filatotchev and Nakajima, 2010)","plainTextFormattedCitation":"(Filatotchev and Nakajima, 2010)","previouslyFormattedCitation":"(Filatotchev and Nakajima 2010)"},"properties":{"noteIndex":0},"schema":"https://github.com/citation-style-language/schema/raw/master/csl-citation.json"}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(Filatotchev and Nakajima, 2010)</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Before the last century, entrepreneurs including Rockefeller and Carnegie not only owned the companies; they also exercised their rights for business operations. The corporate governance structure in the US mainly depended on external control, and it was characterized due to the supremacy of interests of shareholder above all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{"citationItems":[{"id":"ITEM-1","itemData":{"abstract":"The literature shows that good corporate governance generally pays—for firms, for markets, and for countries. It is associated with a lower cost of capital, higher returns on equity, greater efficiency, and more favorable treatment of all stakeholders, although the direction of causality is not always clear. The law and finance literature has documented the important role of institutions aimed at contractual and legal enforcement, including corporate governance, across countries. Using firm-level data, researchers have documented relationships between countries’ corporate governance frameworks on the one hand and performance, valuation, the cost of capital, and access to external financing on the other. Given the benefits of good corporate governance, firms and countries should voluntarily reform more. Resistance by entrenched owners and managers at the firm level and political economy factors at the level of markets and countries partly explain why they do not","author":[{"dropping-particle":"","family":"Stijn Claessens","given":"","non-dropping-particle":"","parse-names":false,"suffix":""}],"container-title":"World Bank Research Observer","id":"ITEM-1","issue":"1","issued":{"date-parts":[["2006"]]},"page":"91-122","title":"Corporate Governance and Development","type":"article-journal","volume":"21"},"uris":["http://www.mendeley.com/documents/?uuid=fb962039-7ef7-3783-8aeb-585b9149caee"]}],"mendeley":{"formattedCitation":"(Stijn Claessens, 2006)","plainTextFormattedCitation":"(Stijn Claessens, 2006)","previouslyFormattedCitation":"(Stijn Claessens 2006)"},"properties":{"noteIndex":0},"schema":"https://github.com/citation-style-language/schema/raw/master/csl-citation.json"}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(Stijn Claessens, 2006)</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The corporate governance that characterized by shareholder sovereignty and external market disciplines had played a significant role in protecting the interests of shareholders. However, as the shareholding structure become excessively dispersed and the stock market becomes highly dynamic, the managers at that time were impossible to take into account the long-term development of enterprises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{"citationItems":[{"id":"ITEM-1","itemData":{"DOI":"10.4337/9781847201744","abstract":"In recent years many countries have experienced economic downturns, finan- cial scandals and corporate collapses. As part of the response to these events, countries across the globe have either introduced corporate governance codes or strengthened their existing codes and guidelines. The Organisation for Economic Co-operation and Development (OECD) issued its revised Corporate Governance Principles in 2004, and the International Corporate Governance Network (ICGN) issued its revised Statement on Global Corporate Governance Principles in July 2005. The ICGN further revised its Global Corporate Governance Principles in 2009 ‘based on a review and reconsideration of the ICGN’s existing Principles in the light of what we have learned since they were agreed in 2005, not least through the most recent turbulent times’. The purpose of this volume is to highlight the development of corporate governance in a range of countries from different parts of the world. The volume has five parts which focus on different regions and thereby illustrate the evolution of corporate governance in both developed and emerging markets, in different legal settings, and with varying ownership structures.","author":[{"dropping-particle":"","family":"Mallin","given":"Christine","non-dropping-particle":"","parse-names":false,"suffix":""}],"container-title":"Handbook on International Corporate Governance","id":"ITEM-1","issued":{"date-parts":[["2013"]]},"title":"Handbook on International Corporate Governance","type":"book"},"uris":["http://www.mendeley.com/documents/?uuid=136c6532-33ed-3305-861f-07f1ca5d92d4"]}],"mendeley":{"formattedCitation":"(Mallin, 2013)","plainTextFormattedCitation":"(Mallin, 2013)","previouslyFormattedCitation":"(Mallin 2013)"},"properties":{"noteIndex":0},"schema":"https://github.com/citation-style-language/schema/raw/master/csl-citation.json"}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(Mallin, 2013)</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Additionally, due to the increasing dispersed ownership, the enthusiasms of the outside investor to engage in the management and control of business operations were not high, the agency problem was intensified thus. Besides, the benefits of other stakeholders were barely paid attention. At that time, the external governance had little concerns over the corporates’ long-term investment plan. These had led to the problem of hostile takeovers, and the formulation of monopolies through mergers and acquisitions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{"citationItems":[{"id":"ITEM-1","itemData":{"author":[{"dropping-particle":"","family":"Gerry","given":"H","non-dropping-particle":"","parse-names":false,"suffix":""}],"container-title":"Management Decision","id":"ITEM-1","issue":"9","issued":{"date-parts":[["2003"]]},"page":"923-934","title":"The evolution of corporate governance and its impact on modern corporate America","type":"article-journal","volume":"41"},"uris":["http://www.mendeley.com/documents/?uuid=b4209812-4063-3b9a-8dcd-6690bdd79e27"]}],"mendeley":{"formattedCitation":"(Gerry, 2003)","plainTextFormattedCitation":"(Gerry, 2003)","previouslyFormattedCitation":"(Gerry 2003)"},"properties":{"noteIndex":0},"schema":"https://github.com/citation-style-language/schema/raw/master/csl-citation.json"}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(Gerry, 2003)</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Above reasons can partially explain the formation of monopolies of Standard Oil and </w:t>
      </w:r>
      <w:r>
        <w:rPr>
          <w:rFonts w:hint="eastAsia" w:ascii="Times New Roman" w:hAnsi="Times New Roman" w:cs="Times New Roman" w:eastAsiaTheme="minorHAnsi"/>
          <w:sz w:val="24"/>
          <w:szCs w:val="28"/>
        </w:rPr>
        <w:t>Carnegie</w:t>
      </w:r>
      <w:r>
        <w:rPr>
          <w:rFonts w:ascii="Times New Roman" w:hAnsi="Times New Roman" w:cs="Times New Roman" w:eastAsiaTheme="minorHAnsi"/>
          <w:sz w:val="24"/>
          <w:szCs w:val="28"/>
        </w:rPr>
        <w:t xml:space="preserve"> </w:t>
      </w:r>
      <w:r>
        <w:rPr>
          <w:rFonts w:hint="eastAsia" w:ascii="Times New Roman" w:hAnsi="Times New Roman" w:cs="Times New Roman" w:eastAsiaTheme="minorHAnsi"/>
          <w:sz w:val="24"/>
          <w:szCs w:val="28"/>
        </w:rPr>
        <w:t>Steel.</w:t>
      </w:r>
      <w:r>
        <w:rPr>
          <w:rFonts w:ascii="Times New Roman" w:hAnsi="Times New Roman" w:cs="Times New Roman" w:eastAsiaTheme="minorHAnsi"/>
          <w:sz w:val="24"/>
          <w:szCs w:val="28"/>
        </w:rPr>
        <w:t xml:space="preserve"> </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The corporate governance structure of the US has undergone dramatically changes since the last century due to previous unsound governance practices and issues. </w:t>
      </w:r>
    </w:p>
    <w:p>
      <w:pPr>
        <w:pStyle w:val="13"/>
        <w:numPr>
          <w:ilvl w:val="0"/>
          <w:numId w:val="1"/>
        </w:numPr>
        <w:spacing w:before="100" w:beforeAutospacing="1" w:after="100" w:afterAutospacing="1" w:line="360" w:lineRule="auto"/>
        <w:ind w:firstLineChars="0"/>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the function and structure of the board of directors have changed. The board of directors is an important part of internal corporate governance. From the perspective of legislation, the board of directors can exercise the major decision-making rights. Before the last century, the board of directors performs practically no function; the major decision making was completed by managers rather than investors. After the reform, the importance of the board of directors was significantly promoted, and the proportion of outside directors were increased to promote the independence of the board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{"citationItems":[{"id":"ITEM-1","itemData":{"DOI":"10.1007/978-1-4615-5185-0","author":[{"dropping-particle":"","family":"Berghe","given":"Lutgart","non-dropping-particle":"Van den","parse-names":false,"suffix":""}],"container-title":"International Standardisation of Good Corporate Governance","id":"ITEM-1","issued":{"date-parts":[["2011"]]},"publisher":"Springer Science &amp; Business Media","title":"International Standardisation of Good Corporate Governance","type":"book"},"uris":["http://www.mendeley.com/documents/?uuid=776b9d86-111e-3d5b-bd85-341dd4c749f4"]}],"mendeley":{"formattedCitation":"(Van den Berghe, 2011)","plainTextFormattedCitation":"(Van den Berghe, 2011)","previouslyFormattedCitation":"(Van den Berghe 2011)"},"properties":{"noteIndex":0},"schema":"https://github.com/citation-style-language/schema/raw/master/csl-citation.json"}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(Van den Berghe, 2011)</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w:t>
      </w:r>
    </w:p>
    <w:p>
      <w:pPr>
        <w:pStyle w:val="13"/>
        <w:numPr>
          <w:ilvl w:val="0"/>
          <w:numId w:val="1"/>
        </w:numPr>
        <w:spacing w:before="100" w:beforeAutospacing="1" w:after="100" w:afterAutospacing="1" w:line="360" w:lineRule="auto"/>
        <w:ind w:firstLineChars="0"/>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the role of institutional investors in corporate governance has been significantly strengthened. The participation of institutional investors in corporate governance has strengthened the supervision of shareholders, and to some extend solve the problems of “free-riding” issues and inadequate supervision caused by dispersed ownership structure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{"citationItems":[{"id":"ITEM-1","itemData":{"DOI":"10.1111/jofi.12393","ISSN":"15406261","abstract":"We survey institutional investors to better understand their role in the corporate governance of firms. Consistent with a number of theories we document widespread behind-the-scenes intervention as well as governance-motivated exit. Both governance mechanisms are viewed as complementary devices, in which intervention typically will occur prior to a potential exit. We find that long-term investors and investors that are less concerned about stock liquidity intervene more intensively. Finally, most investors use proxy advisors and believe that their information improves their own voting decisions.","author":[{"dropping-particle":"","family":"McCahery","given":"Joseph A.","non-dropping-particle":"","parse-names":false,"suffix":""},{"dropping-particle":"","family":"Sautner","given":"Zacharias","non-dropping-particle":"","parse-names":false,"suffix":""},{"dropping-particle":"","family":"Starks","given":"Laura T.","non-dropping-particle":"","parse-names":false,"suffix":""}],"container-title":"Journal of Finance","id":"ITEM-1","issue":"6","issued":{"date-parts":[["2016","12"]]},"page":"2905-2932","title":"Behind the Scenes: The Corporate Governance Preferences of Institutional Investors","type":"article-journal","volume":"71"},"uris":["http://www.mendeley.com/documents/?uuid=872651fc-1847-386b-bcce-df79786484b6"]}],"mendeley":{"formattedCitation":"(McCahery, Sautner and Starks, 2016)","plainTextFormattedCitation":"(McCahery, Sautner and Starks, 2016)","previouslyFormattedCitation":"(McCahery, Sautner, and Starks 2016)"},"properties":{"noteIndex":0},"schema":"https://github.com/citation-style-language/schema/raw/master/csl-citation.json"}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(McCahery, Sautner and Starks, 2016)</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w:t>
      </w:r>
    </w:p>
    <w:p>
      <w:pPr>
        <w:pStyle w:val="13"/>
        <w:numPr>
          <w:ilvl w:val="0"/>
          <w:numId w:val="1"/>
        </w:numPr>
        <w:spacing w:before="100" w:beforeAutospacing="1" w:after="100" w:afterAutospacing="1" w:line="360" w:lineRule="auto"/>
        <w:ind w:firstLineChars="0"/>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Employees began to participate in corporate governance through an employee stock ownership plan (Esops). Esops can strength the incentives and constraints on human capital on the one hand. On the other hand, it changed the ownership structure of the corporations, so that employees are willing to engage in supervising business operations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author":[{"dropping-particle":"","family":"Blair","given":"MM","non-dropping-particle":"","parse-names":false,"suffix":""},{"dropping-particle":"","family":"Roe","given":"MJ","non-dropping-particle":"","parse-names":false,"suffix":""}],"id":"ITEM-1","issued":{"date-parts":[["2010"]]},"publisher":"Brookings Institution Press","title":"Employees and corporate governance","type":"book"},"uris":["http://www.mendeley.com/documents/?uuid=a5ee9933-f4ea-3011-818b-a5dc2fe5cc37"]}],"mendeley":{"formattedCitation":"(Blair and Roe, 2010)","plainTextFormattedCitation":"(Blair and Roe, 2010)","previouslyFormattedCitation":"(Blair and Roe 2010)"},"properties":{"noteIndex":0},"schema":"https://github.com/citation-style-language/schema/raw/master/csl-citation.json"}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(Blair and Roe, 2010)</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w:t>
      </w:r>
    </w:p>
    <w:p>
      <w:pPr>
        <w:pStyle w:val="13"/>
        <w:numPr>
          <w:ilvl w:val="0"/>
          <w:numId w:val="1"/>
        </w:numPr>
        <w:spacing w:before="100" w:beforeAutospacing="1" w:after="100" w:afterAutospacing="1" w:line="360" w:lineRule="auto"/>
        <w:ind w:firstLineChars="0"/>
        <w:rPr>
          <w:rFonts w:ascii="Times New Roman" w:hAnsi="Times New Roman" w:cs="Times New Roman" w:eastAsiaTheme="minorHAnsi"/>
          <w:sz w:val="24"/>
          <w:szCs w:val="28"/>
        </w:rPr>
      </w:pPr>
      <w:r>
        <w:rPr>
          <w:rFonts w:ascii="Times New Roman" w:hAnsi="Times New Roman" w:cs="Times New Roman" w:eastAsiaTheme="minorHAnsi"/>
          <w:sz w:val="24"/>
          <w:szCs w:val="28"/>
        </w:rPr>
        <w:t>Hostile takeovers in the capital market have been restricted by legislation, raising doubts about the supremacy of shareholders. Legislation requires that the board needs to be responsible for the benefits of all relevant stakeholders. The vertical integration of Carnegie Steel and the horizontal integration of Standard Oil was legitimate before the reform. However, the reformed legislation constrains the growing numbers of trusts.</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After a series of reform regarding the above perspectives, a sound and solid corporate governance structure should have several characteristics, including fairness, transparency, and rivalrousness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{"citationItems":[{"id":"ITEM-1","itemData":{"DOI":"May 5, 2015","ISBN":"9780198702757","abstract":"Third edition. Subject: \"The book is divided into three clear parts that firstly outline the models and principles of governance, before analysing corporate policy, codes, and practice. International case studies provide real-world examples and a chapter dedicated to global corporate governance illustrates regulation in such diverse regions as Brazil, Russia, the Middle East, and North Africa. This comparative perspective ensures students are able to evaluate the importance of culture in various attitudes to governance. In addition, self-test questions, with solutions provided at the end of the text, enable the reader to directly test their knowledge and assess their progress throughout\"--Publisher. Part. One. Principles. 1. A subject whose time has come -- 2. Governance and management -- 3. Theories and philosophies of corporate governance -- 4. The governance partnership: investors, companies, and directors -- 5. The regulatory framework -- 6. Models of corporate governance Part Two. Policies -- 7. Functions of the board -- 8. The governance of corporate risk -- 9. Corporate social responsibility and sustainability -- 10. The governance of listed companies -- 11. The governance of private companies and other corporate entities -- 12. Corporate governance around the world Part Three. Practices. 13. Board Membership: directors' appointment, roles, and remuneration -- 14. Board Leadership: The reality of the boardroom -- 15. Board Activities: corporate governance in practice -- 16. Board Effectiveness: building better boards -- 17. Board Evaluation: reviewing directors and boards -- 18. The Future of Corporate Governance Appendices. Corporate governance codes around the world -- Answers to end of chapter self-test questions.","author":[{"dropping-particle":"","family":"Tricker","given":"R. Ian","non-dropping-particle":"","parse-names":false,"suffix":""}],"id":"ITEM-1","issued":{"date-parts":[["2015"]]},"number-of-pages":"584","title":"Corporate governance : principles, policies, and practices","type":"book"},"uris":["http://www.mendeley.com/documents/?uuid=260b05a4-9f7e-335a-a386-16e20998384c"]}],"mendeley":{"formattedCitation":"(Tricker, 2015)","plainTextFormattedCitation":"(Tricker, 2015)","previouslyFormattedCitation":"(Tricker 2015)"},"properties":{"noteIndex":0},"schema":"https://github.com/citation-style-language/schema/raw/master/csl-citation.json"}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(Tricker, 2015)</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Fairness indicates that all stakeholder should be treated fairly. Transparency refers to a transparent information disclosure system to attract capital and sustain market confidence with standard provisions.</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While rivalrousness reflects that corporate governance mechanisms should help to maintain a healthy competition within and out of corporations. </w:t>
      </w:r>
    </w:p>
    <w:p>
      <w:pPr>
        <w:spacing w:before="100" w:beforeAutospacing="1" w:after="100" w:afterAutospacing="1" w:line="360" w:lineRule="auto"/>
        <w:rPr>
          <w:rFonts w:hint="eastAsia" w:ascii="Times New Roman" w:hAnsi="Times New Roman" w:cs="Times New Roman" w:eastAsiaTheme="minorHAnsi"/>
          <w:sz w:val="24"/>
          <w:szCs w:val="28"/>
        </w:rPr>
      </w:pPr>
      <w:r>
        <w:rPr>
          <w:rFonts w:ascii="Times New Roman" w:hAnsi="Times New Roman" w:cs="Times New Roman" w:eastAsiaTheme="minorHAnsi"/>
          <w:sz w:val="24"/>
          <w:szCs w:val="28"/>
        </w:rPr>
        <w:t xml:space="preserve">However, despite the continuous reform, there were still scandals about corporate governance, such as the Enron Incident. Many have criticized the weak corporate governance as the primary cause for these scandals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{"citationItems":[{"id":"ITEM-1","itemData":{"DOI":"10.1023/B:BUSI.0000039418.75103.ed","ISSN":"01674544","abstract":"This paper raises a challenge for those who assume that corporate social responsibility and good corporate governance naturally go hand-in-hand. The recent spate of corporate scandals in the United States and elsewhere has dramatized, once again, the severity of the agency problems that may arise between managers and shareholders. These scandals remind us that even if we adopt an extremely narrow concept of managerial responsibility - such that we recognize no social responsibility beyond the obligation to maximize shareholder value - there may still be very serious difficulties associated with the effective institutionalization of this obligation. It also suggests that if we broaden managerial responsibility, in order to include extensive responsibilities to various other stakeholder groups, we may seriously exacerbate these agency problems, making it even more difficult to impose effective discipline upon managers. Hence, our central question: is a strong commitment to corporate social responsibility institutionally feasible In searching for an answer, we revisit the history of public management, and in particular, the experience of social-democratic governments during the 1960s and 1970s, and their attempts to impose social responsibility upon the managers of nationalized industries. The results of this inquiry are less than encouraging for proponents of corporate social responsibility. In fact, the history of public-sector management presents a number of stark warnings, which we would do well to heed if we wish to reconcile robust social responsibility with effective corporate governance.","author":[{"dropping-particle":"","family":"Heath","given":"Joseph","non-dropping-particle":"","parse-names":false,"suffix":""},{"dropping-particle":"","family":"Norman","given":"Wayne","non-dropping-particle":"","parse-names":false,"suffix":""}],"container-title":"Journal of Business Ethics","id":"ITEM-1","issue":"3","issued":{"date-parts":[["2004"]]},"page":"247-265","title":"Stakeholder theory, corporate governance and public management: What can the history of state-run enterprises teach us in the post-Enron era?","type":"article-journal","volume":"53"},"uris":["http://www.mendeley.com/documents/?uuid=3532721f-3526-3d28-b079-62161fbd1c2d"]}],"mendeley":{"formattedCitation":"(Heath and Norman, 2004)","plainTextFormattedCitation":"(Heath and Norman, 2004)","previouslyFormattedCitation":"(Heath and Norman 2004)"},"properties":{"noteIndex":0},"schema":"https://github.com/citation-style-language/schema/raw/master/csl-citation.json"}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(Heath and Norman, 2004)</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Rather describing corporate governance as a blessing or curse, I think so far is probably the best way for organizations to balance the interests of stakeholders after a series of failures in the past.</w:t>
      </w:r>
    </w:p>
    <w:p>
      <w:pPr>
        <w:pStyle w:val="2"/>
        <w:rPr>
          <w:sz w:val="32"/>
        </w:rPr>
      </w:pPr>
      <w:bookmarkStart w:id="3" w:name="_Toc6258663"/>
      <w:r>
        <w:rPr>
          <w:sz w:val="32"/>
        </w:rPr>
        <w:t xml:space="preserve">The judgment of </w:t>
      </w:r>
      <w:r>
        <w:rPr>
          <w:rFonts w:hint="eastAsia"/>
          <w:sz w:val="32"/>
        </w:rPr>
        <w:t>Rockefeller</w:t>
      </w:r>
      <w:r>
        <w:rPr>
          <w:sz w:val="32"/>
        </w:rPr>
        <w:t xml:space="preserve"> </w:t>
      </w:r>
      <w:r>
        <w:rPr>
          <w:rFonts w:hint="eastAsia"/>
          <w:sz w:val="32"/>
        </w:rPr>
        <w:t>&amp;</w:t>
      </w:r>
      <w:r>
        <w:rPr>
          <w:sz w:val="32"/>
        </w:rPr>
        <w:t xml:space="preserve"> </w:t>
      </w:r>
      <w:r>
        <w:rPr>
          <w:rFonts w:hint="eastAsia"/>
          <w:sz w:val="32"/>
        </w:rPr>
        <w:t>Carnegie</w:t>
      </w:r>
      <w:bookmarkEnd w:id="3"/>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Rockefeller and Carnegie were Robber Barons, captains of industry and philanthropists. They used vertical and horizontal integration to </w:t>
      </w:r>
      <w:r>
        <w:rPr>
          <w:rFonts w:hint="eastAsia" w:ascii="Times New Roman" w:hAnsi="Times New Roman" w:cs="Times New Roman" w:eastAsiaTheme="minorHAnsi"/>
          <w:sz w:val="24"/>
          <w:szCs w:val="28"/>
        </w:rPr>
        <w:t>monopolize</w:t>
      </w:r>
      <w:r>
        <w:rPr>
          <w:rFonts w:ascii="Times New Roman" w:hAnsi="Times New Roman" w:cs="Times New Roman" w:eastAsiaTheme="minorHAnsi"/>
          <w:sz w:val="24"/>
          <w:szCs w:val="28"/>
        </w:rPr>
        <w:t xml:space="preserve"> the whole market, which made them Robber Barons. However, their monopoly position gave them enough power to push the innovation and revolution of the whole industry, which made then Captains of Industry. After their retirement, they contributed their time and wealth to the development of communities, which made them great philanthropists. The modern corporate governance can prevent entrepreneurs from being Robber Barons by constraining market monopoly effectively. However, we still look forward to having Captains of Industry and philanthropists.</w:t>
      </w:r>
    </w:p>
    <w:p>
      <w:pPr>
        <w:pStyle w:val="2"/>
        <w:rPr>
          <w:sz w:val="32"/>
        </w:rPr>
      </w:pPr>
      <w:bookmarkStart w:id="4" w:name="_Toc6258664"/>
      <w:r>
        <w:rPr>
          <w:sz w:val="32"/>
        </w:rPr>
        <w:t>The merits of philanthropic activities</w:t>
      </w:r>
      <w:bookmarkEnd w:id="4"/>
      <w:r>
        <w:rPr>
          <w:sz w:val="32"/>
        </w:rPr>
        <w:t xml:space="preserve"> </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The public's expectations for corporate social responsibility are rising, and it is expected that the company will shoulder greater responsibility for society, not just perform cautiously within the legal framework.</w:t>
      </w:r>
      <w:r>
        <w:t xml:space="preserve"> </w:t>
      </w:r>
      <w:r>
        <w:rPr>
          <w:rFonts w:ascii="Times New Roman" w:hAnsi="Times New Roman" w:cs="Times New Roman" w:eastAsiaTheme="minorHAnsi"/>
          <w:sz w:val="24"/>
          <w:szCs w:val="28"/>
        </w:rPr>
        <w:t xml:space="preserve">Thus, since the 1970s, the "Corporate Social Responsibility Movement" has gradually emerged, advocating the integration of economic responsibility and social responsibility, and establishing interdependence and mutual promotion between enterprises and society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{"citationItems":[{"id":"ITEM-1","itemData":{"DOI":"10.1007/s10551-013-1969-7","ISSN":"15730697","abstract":"We review some 30 years of academic research on corporate philanthropy, taking stock of the current state of research about this rising practice and identifying gaps and puzzles that deserve further investigation. To do so, we examine a total of 162 academic papers in the fields of management, economics, sociology, and public policy, and analyze their content in a systematic fashion. We distin- guish four main lines of inquiry within the literature: the essence of corporate philanthropy, its different drivers, the way it is organized, and its likely outcomes. After reviewing the main findings of the literature, we build on several research gaps to highlight directions for future research on corporate philanthropy with an interest in strengthening our understanding of this fascinating phe- nomenon at the crossroads of business and society.","author":[{"dropping-particle":"","family":"Gautier","given":"Arthur","non-dropping-particle":"","parse-names":false,"suffix":""},{"dropping-particle":"","family":"Pache","given":"Anne Claire","non-dropping-particle":"","parse-names":false,"suffix":""}],"container-title":"Journal of Business Ethics","id":"ITEM-1","issue":"3","issued":{"date-parts":[["2013"]]},"page":"343-369","title":"Research on Corporate Philanthropy: A Review and Assessment","type":"article-journal","volume":"126"},"uris":["http://www.mendeley.com/documents/?uuid=222e2565-cbde-3e2f-9514-ee7ad30bf9c7"]}],"mendeley":{"formattedCitation":"(Gautier and Pache, 2013)","plainTextFormattedCitation":"(Gautier and Pache, 2013)","previouslyFormattedCitation":"(Gautier and Pache 2013)"},"properties":{"noteIndex":0},"schema":"https://github.com/citation-style-language/schema/raw/master/csl-citation.json"}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(Gautier and Pache, 2013)</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w:t>
      </w:r>
      <w:r>
        <w:t xml:space="preserve"> </w:t>
      </w:r>
      <w:r>
        <w:rPr>
          <w:rFonts w:ascii="Times New Roman" w:hAnsi="Times New Roman" w:cs="Times New Roman" w:eastAsiaTheme="minorHAnsi"/>
          <w:sz w:val="24"/>
          <w:szCs w:val="28"/>
        </w:rPr>
        <w:t>As the main way for enterprises to undertake social responsibility, corporate charitable donations have attracted more and more attention from enterprises.</w:t>
      </w:r>
      <w:r>
        <w:t xml:space="preserve"> </w:t>
      </w:r>
      <w:r>
        <w:rPr>
          <w:rFonts w:ascii="Times New Roman" w:hAnsi="Times New Roman" w:cs="Times New Roman" w:eastAsiaTheme="minorHAnsi"/>
          <w:sz w:val="24"/>
          <w:szCs w:val="28"/>
        </w:rPr>
        <w:t xml:space="preserve">Objectively speaking, these well-organized and planned charitable donations partially compensate for the lack of government intervention in some urgent issues and solve some public crises and social problems that need to be resolved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{"citationItems":[{"id":"ITEM-1","itemData":{"DOI":"10.1007/s10551-014-2109-8","ISSN":"15730697","abstract":"Drawing on stakeholder theory and the concept of enlightened self-interest, we argue that firms that actively engage in corporate philanthropic giving also tend to demonstrate greater concern for investors’ interests by providing more transparent financial information and avoiding corporate misconduct. Moreover, the relationships between corporate giving, financial information transparency, and corporate misconduct vary significantly according to the firm’s ownership type, which affects the fundamental motivations for corporate philanthropy. In a sample of Chinese publicly listed firms from the 2003–2009 period, we find a positive relationship between corporate giving and financial transparency, and note that the relationship is stronger for non-state-owned enterprises (non-SOEs). We also find a significantly negative association between corporate giving and corporate misconduct for non-SOEs, but not for SOEs. Taken together, these findings suggest that responsibility to both stakeholders and shareholders is a vital part of building trust and reputations in China’s non-SOE sector.","author":[{"dropping-particle":"","family":"Qian","given":"Cuili","non-dropping-particle":"","parse-names":false,"suffix":""},{"dropping-particle":"","family":"Gao","given":"Xinzi","non-dropping-particle":"","parse-names":false,"suffix":""},{"dropping-particle":"","family":"Tsang","given":"Albert","non-dropping-particle":"","parse-names":false,"suffix":""}],"container-title":"Journal of Business Ethics","id":"ITEM-1","issue":"4","issued":{"date-parts":[["2015"]]},"page":"851-867","title":"Corporate Philanthropy, Ownership Type, and Financial Transparency","type":"article-journal","volume":"130"},"uris":["http://www.mendeley.com/documents/?uuid=8aa88ca4-835b-3c4a-a0ca-921e156b500d"]}],"mendeley":{"formattedCitation":"(Qian, Gao and Tsang, 2015)","plainTextFormattedCitation":"(Qian, Gao and Tsang, 2015)","previouslyFormattedCitation":"(Qian, Gao, and Tsang 2015)"},"properties":{"noteIndex":0},"schema":"https://github.com/citation-style-language/schema/raw/master/csl-citation.json"}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(Qian, Gao and Tsang, 2015)</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However, on the other hand, charitable donations also bring unexpected benefits to the company. First of all, the philanthropic activities fulfil the public’s expectations of corporate social responsibility. Thus, corporations can develop a favourable brand image that can raise customer loyalty and satisfaction.</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Meanwhile, the philanthropic activities will improve the business environment where the corporate operates and lay a solid foundation for sustainable development in the future. As well, the philanthropic activities will also help the company to improve management such as human resources and marketing, because employees will be more willing to engage and contribute in a socially responsible organization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{"citationItems":[{"id":"ITEM-1","itemData":{"DOI":"10.2224/sbp.2015.43.6.977","ISSN":"03012212","abstract":"The concept of corporate social responsibility (CSR) is very meaningful in a culture such as that of the Republic of Korea, where individual ethics are grounded in Confucianism, which emphasizes humanism and altruism. We examined the mediating role of emotion in the relationships among participants’ perceptions of CSR, their attitude toward philanthropic corporate sponsorship of a sporting event, and of the sponsoring company’s brand equity. We conducted a survey with 251 participants in a charitable sports event held in Seoul, South Korea, which was sponsored by a major Korean company. The results of analysis of the data collected provide an understanding of how strong brand equity of the sponsoring company was generated among participants. The findings also shed light on the mediating role of emotion in the relationship between the company’s brand equity and 2 major participant cognitive factors of attitude toward an event and perception of CSR. Results indicate that sponsoring a charitable sporting event targeted at certain types of consumers can be an effective marketing tool for a company to build brand equity. (PsycINFO Database Record (c) 2015 APA, all rights reserved). (journal abstract)","author":[{"dropping-particle":"","family":"Lee","given":"Woo-Young","non-dropping-particle":"","parse-names":false,"suffix":""},{"dropping-particle":"","family":"Hur","given":"Youngjin","non-dropping-particle":"","parse-names":false,"suffix":""},{"dropping-particle":"","family":"Sung","given":"Minjung","non-dropping-particle":"","parse-names":false,"suffix":""}],"container-title":"Social Behavior and Personality: an international journal","id":"ITEM-1","issue":"6","issued":{"date-parts":[["2015"]]},"page":"977-991","title":"Happy to Support: Emotion as a Mediator in Brand Building Through Philanthropic Corporate Sponsorship","type":"article-journal","volume":"43"},"uris":["http://www.mendeley.com/documents/?uuid=92b5d7f5-6a42-3bab-b570-5dbf800e7bdc"]}],"mendeley":{"formattedCitation":"(Lee, Hur and Sung, 2015)","plainTextFormattedCitation":"(Lee, Hur and Sung, 2015)","previouslyFormattedCitation":"(Lee, Hur, and Sung 2015)"},"properties":{"noteIndex":0},"schema":"https://github.com/citation-style-language/schema/raw/master/csl-citation.json"}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(Lee, Hur and Sung, 2015)</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As a consequence, these merits of philanthropic activities will, in turn, encourage corporate philanthropic activities.</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Based on the above merits, the motivations of philanthropic activities can be divided into short-term business strategy; and long-term businesses strategy. The short-term strategy includes raise consumer interests in products, promote sales, tax saving, etc; long-term strategy includes promote brand image, gain community recognition, and increase employee engagement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{"citationItems":[{"id":"ITEM-1","itemData":{"DOI":"10.1108/MD-09-2016-0625","ISSN":"0025-1747","abstract":"Purpose This study explores corporate strategic orientations as important drivers of firms’ philanthropic engagement. Specifically, the purpose of this paper is to empirically examine the relationship between two broad corporate strategic orientations – domain offense (DO) and domain abandonment (DA) strategies – and the level of philanthropic engagement. Design/methodology/approach The authors propose that firms pursuing aggressive DO strategies are more likely to invest in corporate philanthropy as part of their market expansion efforts. On the contrary, firms pursuing DA strategies are less likely to invest in corporate philanthropy because of decreased slack resources, rather conservative external stakeholder expectations as well as a firm’s conscious decision to disengage with external stakeholders. Hierarchical multiple regression analysis was conducted using data from 122 publicly traded US corporations from 2008 to 2013. Findings The findings provided empirical support for a significant positive r...","author":[{"dropping-particle":"","family":"Abebe","given":"Michael","non-dropping-particle":"","parse-names":false,"suffix":""},{"dropping-particle":"","family":"Cha","given":"Wonsuk","non-dropping-particle":"","parse-names":false,"suffix":""}],"container-title":"Management Decision","id":"ITEM-1","issue":"3","issued":{"date-parts":[["2018","3","12"]]},"page":"515-533","publisher":" Emerald Publishing Limited ","title":"The effect of firm strategic orientation on corporate philanthropic engagement","type":"article-journal","volume":"56"},"uris":["http://www.mendeley.com/documents/?uuid=85057b61-b429-3320-837c-621b6a1d6a12"]}],"mendeley":{"formattedCitation":"(Abebe and Cha, 2018)","plainTextFormattedCitation":"(Abebe and Cha, 2018)","previouslyFormattedCitation":"(Abebe and Cha 2018)"},"properties":{"noteIndex":0},"schema":"https://github.com/citation-style-language/schema/raw/master/csl-citation.json"}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(Abebe and Cha, 2018)</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xml:space="preserve">. </w:t>
      </w:r>
    </w:p>
    <w:p>
      <w:pPr>
        <w:spacing w:before="100" w:beforeAutospacing="1" w:after="100" w:afterAutospacing="1" w:line="360" w:lineRule="auto"/>
        <w:rPr>
          <w:rFonts w:hint="eastAsia" w:ascii="Times New Roman" w:hAnsi="Times New Roman" w:cs="Times New Roman" w:eastAsiaTheme="minorHAnsi"/>
          <w:sz w:val="24"/>
          <w:szCs w:val="28"/>
        </w:rPr>
      </w:pPr>
      <w:r>
        <w:rPr>
          <w:rFonts w:ascii="Times New Roman" w:hAnsi="Times New Roman" w:cs="Times New Roman" w:eastAsiaTheme="minorHAnsi"/>
          <w:sz w:val="24"/>
          <w:szCs w:val="28"/>
        </w:rPr>
        <w:t>Both as generous philanthropists, the behaviours of Rockefeller and Carnegie helped them to build a brand with social responsibility. They also helped in shortening the distance between the organization and the community, as well we the organization and consumers. Although it did create profits for Standard Oil and Carnegie Still in the short-term, it will generate long-term benefits in multiple ways.</w:t>
      </w:r>
    </w:p>
    <w:p>
      <w:pPr>
        <w:pStyle w:val="2"/>
        <w:rPr>
          <w:sz w:val="32"/>
        </w:rPr>
      </w:pPr>
      <w:bookmarkStart w:id="5" w:name="_Toc6258665"/>
      <w:r>
        <w:rPr>
          <w:sz w:val="32"/>
        </w:rPr>
        <w:t>The reflection on Oxfam’s scandals</w:t>
      </w:r>
      <w:bookmarkEnd w:id="5"/>
      <w:r>
        <w:rPr>
          <w:sz w:val="32"/>
        </w:rPr>
        <w:t xml:space="preserve"> </w:t>
      </w:r>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On February 19, 2018, Oxfam UK and Oxfam International announced the internal investigation report of the 2011 “Haitian Incident,” the report is about several Oxfam employees in the UK who were accused of involvement in inappropriate sexual misconduct and other misconduct during the 2010 earthquake in Haiti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{"citationItems":[{"id":"ITEM-1","itemData":{"URL":"https://www.oxfam.org/en/oxfam-release-2011-haiti-internal-report","accessed":{"date-parts":[["2019","4","15"]]},"author":[{"dropping-particle":"","family":"Oxfam International","given":"","non-dropping-particle":"","parse-names":false,"suffix":""}],"id":"ITEM-1","issued":{"date-parts":[["2018"]]},"title":"Oxfam release of 2011 Haiti internal report","type":"webpage"},"uris":["http://www.mendeley.com/documents/?uuid=1f74cdd1-2b44-32b8-bb0b-330d08a397db"]}],"mendeley":{"formattedCitation":"(Oxfam International, 2018)","plainTextFormattedCitation":"(Oxfam International, 2018)","previouslyFormattedCitation":"(Oxfam International 2018)"},"properties":{"noteIndex":0},"schema":"https://github.com/citation-style-language/schema/raw/master/csl-citation.json"}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(Oxfam International, 2018)</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Oxfam UK is meeting with the Haitian government to apologize for the incident and discuss remedial measures, including how to support affected women. the fuzzy disclosure of charitable donations and lack of moral standards were the major reasons behind this incident.</w:t>
      </w:r>
    </w:p>
    <w:p>
      <w:pPr>
        <w:spacing w:before="100" w:beforeAutospacing="1" w:after="100" w:afterAutospacing="1" w:line="360" w:lineRule="auto"/>
        <w:rPr>
          <w:rFonts w:hint="eastAsia" w:ascii="Times New Roman" w:hAnsi="Times New Roman" w:cs="Times New Roman" w:eastAsiaTheme="minorHAnsi"/>
          <w:sz w:val="24"/>
          <w:szCs w:val="28"/>
        </w:rPr>
      </w:pPr>
      <w:r>
        <w:rPr>
          <w:rFonts w:ascii="Times New Roman" w:hAnsi="Times New Roman" w:cs="Times New Roman" w:eastAsiaTheme="minorHAnsi"/>
          <w:sz w:val="24"/>
          <w:szCs w:val="28"/>
        </w:rPr>
        <w:t xml:space="preserve">Standing at the middle between the donors and the beneficiaries, the bad reputation stems from Haiti Incident will make it hard for Oxfam to rebuild trust in the future. For similar incidents to be avoided, there are a few suggestions for charitable organizations. It is necessary to establish an independent committee to comprehensively review the structure, processes, and regulations. At the same time, although charitable will hire some volunteers in some understaff situations, they still need to establish a database that keeps records of all personnel </w:t>
      </w:r>
      <w:r>
        <w:rPr>
          <w:rFonts w:ascii="Times New Roman" w:hAnsi="Times New Roman" w:cs="Times New Roman" w:eastAsiaTheme="minorHAnsi"/>
          <w:sz w:val="24"/>
          <w:szCs w:val="28"/>
        </w:rPr>
        <w:fldChar w:fldCharType="begin" w:fldLock="1"/>
      </w:r>
      <w:r>
        <w:rPr>
          <w:rFonts w:ascii="Times New Roman" w:hAnsi="Times New Roman" w:cs="Times New Roman" w:eastAsiaTheme="minorHAnsi"/>
          <w:sz w:val="24"/>
          <w:szCs w:val="28"/>
        </w:rPr>
        <w:instrText xml:space="preserve">ADDIN CSL_CITATION {"citationItems":[{"id":"ITEM-1","itemData":{"URL":"https://www.personneltoday.com/hr/oxfam-scandal-can-teach-us-background-checking/","accessed":{"date-parts":[["2019","4","15"]]},"author":[{"dropping-particle":"","family":"Personnel Today","given":"","non-dropping-particle":"","parse-names":false,"suffix":""}],"id":"ITEM-1","issued":{"date-parts":[["2018"]]},"title":"What the Oxfam scandal can teach us about background checking - Personnel Today","type":"webpage"},"uris":["http://www.mendeley.com/documents/?uuid=5a2c265d-4503-3e89-82bd-37f1bbd107bf"]}],"mendeley":{"formattedCitation":"(Personnel Today, 2018)","plainTextFormattedCitation":"(Personnel Today, 2018)","previouslyFormattedCitation":"(Personnel Today 2018)"},"properties":{"noteIndex":0},"schema":"https://github.com/citation-style-language/schema/raw/master/csl-citation.json"}</w:instrText>
      </w:r>
      <w:r>
        <w:rPr>
          <w:rFonts w:ascii="Times New Roman" w:hAnsi="Times New Roman" w:cs="Times New Roman" w:eastAsiaTheme="minorHAnsi"/>
          <w:sz w:val="24"/>
          <w:szCs w:val="28"/>
        </w:rPr>
        <w:fldChar w:fldCharType="separate"/>
      </w:r>
      <w:r>
        <w:rPr>
          <w:rFonts w:ascii="Times New Roman" w:hAnsi="Times New Roman" w:cs="Times New Roman" w:eastAsiaTheme="minorHAnsi"/>
          <w:sz w:val="24"/>
          <w:szCs w:val="28"/>
        </w:rPr>
        <w:t>(Personnel Today, 2018)</w:t>
      </w:r>
      <w:r>
        <w:rPr>
          <w:rFonts w:ascii="Times New Roman" w:hAnsi="Times New Roman" w:cs="Times New Roman" w:eastAsiaTheme="minorHAnsi"/>
          <w:sz w:val="24"/>
          <w:szCs w:val="28"/>
        </w:rPr>
        <w:fldChar w:fldCharType="end"/>
      </w:r>
      <w:r>
        <w:rPr>
          <w:rFonts w:ascii="Times New Roman" w:hAnsi="Times New Roman" w:cs="Times New Roman" w:eastAsiaTheme="minorHAnsi"/>
          <w:sz w:val="24"/>
          <w:szCs w:val="28"/>
        </w:rPr>
        <w:t>. Besides, charitable organizations should commit to improve the internal organizational culture and protect both employees and beneficiaries from sexual discrimination and sexual crimes. A clear organizational attitude can reach the effect of warning potential criminals.</w:t>
      </w:r>
      <w:r>
        <w:t xml:space="preserve"> </w:t>
      </w:r>
      <w:r>
        <w:rPr>
          <w:rFonts w:ascii="Times New Roman" w:hAnsi="Times New Roman" w:cs="Times New Roman" w:eastAsiaTheme="minorHAnsi"/>
          <w:sz w:val="24"/>
          <w:szCs w:val="28"/>
        </w:rPr>
        <w:t>From a management perspective, how an organization views the attitude of equal sexual behaviour not only determines the internal behaviour norms but also the external public image.</w:t>
      </w:r>
      <w:r>
        <w:t xml:space="preserve"> </w:t>
      </w:r>
      <w:r>
        <w:rPr>
          <w:rFonts w:ascii="Times New Roman" w:hAnsi="Times New Roman" w:cs="Times New Roman" w:eastAsiaTheme="minorHAnsi"/>
          <w:sz w:val="24"/>
          <w:szCs w:val="28"/>
        </w:rPr>
        <w:t>In the absence of a clear attitude of the organization, sexual misconduct usually occurs afterwards rather than prevention.</w:t>
      </w:r>
      <w:r>
        <w:t xml:space="preserve"> </w:t>
      </w:r>
      <w:r>
        <w:rPr>
          <w:rFonts w:ascii="Times New Roman" w:hAnsi="Times New Roman" w:cs="Times New Roman" w:eastAsiaTheme="minorHAnsi"/>
          <w:sz w:val="24"/>
          <w:szCs w:val="28"/>
        </w:rPr>
        <w:t>At the same time, organizational attitudes make it easier for the potential criminals to be aware of the code of conduct that needs to be cared in the workplace.</w:t>
      </w:r>
    </w:p>
    <w:p>
      <w:pPr>
        <w:pStyle w:val="2"/>
        <w:rPr>
          <w:sz w:val="32"/>
        </w:rPr>
      </w:pPr>
      <w:bookmarkStart w:id="6" w:name="_Toc6258666"/>
      <w:r>
        <w:rPr>
          <w:sz w:val="32"/>
        </w:rPr>
        <w:t>Conclusion</w:t>
      </w:r>
      <w:bookmarkEnd w:id="6"/>
    </w:p>
    <w:p>
      <w:pPr>
        <w:spacing w:before="100" w:beforeAutospacing="1" w:after="100" w:afterAutospacing="1" w:line="360" w:lineRule="auto"/>
        <w:rPr>
          <w:rFonts w:ascii="Times New Roman" w:hAnsi="Times New Roman" w:cs="Times New Roman" w:eastAsiaTheme="minorHAnsi"/>
          <w:sz w:val="24"/>
          <w:szCs w:val="28"/>
        </w:rPr>
      </w:pPr>
      <w:r>
        <w:rPr>
          <w:rFonts w:ascii="Times New Roman" w:hAnsi="Times New Roman" w:cs="Times New Roman" w:eastAsiaTheme="minorHAnsi"/>
          <w:sz w:val="24"/>
          <w:szCs w:val="28"/>
        </w:rPr>
        <w:t xml:space="preserve">This essay discusses the influence of philanthropists by using Rockefeller and Carnegie as examples. philanthropic activities can mutually benefit the corporate and society. However, the conduct of philanthropic activities needs to balance the benefits of all stakeholders through well corporate governance. </w:t>
      </w:r>
    </w:p>
    <w:p>
      <w:pPr>
        <w:widowControl/>
        <w:jc w:val="left"/>
        <w:rPr>
          <w:rFonts w:hint="eastAsia" w:ascii="Times New Roman" w:hAnsi="Times New Roman" w:cs="Times New Roman" w:eastAsiaTheme="minorHAnsi"/>
          <w:sz w:val="24"/>
          <w:szCs w:val="28"/>
        </w:rPr>
      </w:pPr>
      <w:r>
        <w:rPr>
          <w:rFonts w:ascii="Times New Roman" w:hAnsi="Times New Roman" w:cs="Times New Roman" w:eastAsiaTheme="minorHAnsi"/>
          <w:sz w:val="24"/>
          <w:szCs w:val="28"/>
        </w:rPr>
        <w:br w:type="page"/>
      </w:r>
    </w:p>
    <w:p>
      <w:pPr>
        <w:pStyle w:val="2"/>
        <w:rPr>
          <w:sz w:val="32"/>
        </w:rPr>
      </w:pPr>
      <w:bookmarkStart w:id="7" w:name="_Toc6258667"/>
      <w:r>
        <w:rPr>
          <w:rFonts w:hint="eastAsia"/>
          <w:sz w:val="32"/>
        </w:rPr>
        <w:t>R</w:t>
      </w:r>
      <w:r>
        <w:rPr>
          <w:sz w:val="32"/>
        </w:rPr>
        <w:t>eference list</w:t>
      </w:r>
      <w:bookmarkEnd w:id="7"/>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eastAsiaTheme="minorHAnsi"/>
          <w:b/>
          <w:sz w:val="22"/>
          <w:szCs w:val="28"/>
        </w:rPr>
        <w:fldChar w:fldCharType="begin" w:fldLock="1"/>
      </w:r>
      <w:r>
        <w:rPr>
          <w:rFonts w:ascii="Times New Roman" w:hAnsi="Times New Roman" w:cs="Times New Roman" w:eastAsiaTheme="minorHAnsi"/>
          <w:b/>
          <w:sz w:val="22"/>
          <w:szCs w:val="28"/>
        </w:rPr>
        <w:instrText xml:space="preserve">ADDIN Mendeley Bibliography CSL_BIBLIOGRAPHY </w:instrText>
      </w:r>
      <w:r>
        <w:rPr>
          <w:rFonts w:ascii="Times New Roman" w:hAnsi="Times New Roman" w:cs="Times New Roman" w:eastAsiaTheme="minorHAnsi"/>
          <w:b/>
          <w:sz w:val="22"/>
          <w:szCs w:val="28"/>
        </w:rPr>
        <w:fldChar w:fldCharType="separate"/>
      </w:r>
      <w:r>
        <w:rPr>
          <w:rFonts w:ascii="Times New Roman" w:hAnsi="Times New Roman" w:cs="Times New Roman"/>
          <w:kern w:val="0"/>
          <w:sz w:val="22"/>
          <w:szCs w:val="24"/>
        </w:rPr>
        <w:t xml:space="preserve">Abebe, M. and Cha, W. (2018) ‘The effect of firm strategic orientation on corporate philanthropic engagement’, </w:t>
      </w:r>
      <w:r>
        <w:rPr>
          <w:rFonts w:ascii="Times New Roman" w:hAnsi="Times New Roman" w:cs="Times New Roman"/>
          <w:i/>
          <w:iCs/>
          <w:kern w:val="0"/>
          <w:sz w:val="22"/>
          <w:szCs w:val="24"/>
        </w:rPr>
        <w:t>Management Decision</w:t>
      </w:r>
      <w:r>
        <w:rPr>
          <w:rFonts w:ascii="Times New Roman" w:hAnsi="Times New Roman" w:cs="Times New Roman"/>
          <w:kern w:val="0"/>
          <w:sz w:val="22"/>
          <w:szCs w:val="24"/>
        </w:rPr>
        <w:t>.  Emerald Publishing Limited , 56(3), pp. 515–533. doi: 10.1108/MD-09-2016-0625.</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Van den Berghe, L. (2011) </w:t>
      </w:r>
      <w:r>
        <w:rPr>
          <w:rFonts w:ascii="Times New Roman" w:hAnsi="Times New Roman" w:cs="Times New Roman"/>
          <w:i/>
          <w:iCs/>
          <w:kern w:val="0"/>
          <w:sz w:val="22"/>
          <w:szCs w:val="24"/>
        </w:rPr>
        <w:t>International Standardisation of Good Corporate Governance</w:t>
      </w:r>
      <w:r>
        <w:rPr>
          <w:rFonts w:ascii="Times New Roman" w:hAnsi="Times New Roman" w:cs="Times New Roman"/>
          <w:kern w:val="0"/>
          <w:sz w:val="22"/>
          <w:szCs w:val="24"/>
        </w:rPr>
        <w:t xml:space="preserve">, </w:t>
      </w:r>
      <w:r>
        <w:rPr>
          <w:rFonts w:ascii="Times New Roman" w:hAnsi="Times New Roman" w:cs="Times New Roman"/>
          <w:i/>
          <w:iCs/>
          <w:kern w:val="0"/>
          <w:sz w:val="22"/>
          <w:szCs w:val="24"/>
        </w:rPr>
        <w:t>International Standardisation of Good Corporate Governance</w:t>
      </w:r>
      <w:r>
        <w:rPr>
          <w:rFonts w:ascii="Times New Roman" w:hAnsi="Times New Roman" w:cs="Times New Roman"/>
          <w:kern w:val="0"/>
          <w:sz w:val="22"/>
          <w:szCs w:val="24"/>
        </w:rPr>
        <w:t>. Springer Science &amp; Business Media. doi: 10.1007/978-1-4615-5185-0.</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Blair, M. and Roe, M. (2010) </w:t>
      </w:r>
      <w:r>
        <w:rPr>
          <w:rFonts w:ascii="Times New Roman" w:hAnsi="Times New Roman" w:cs="Times New Roman"/>
          <w:i/>
          <w:iCs/>
          <w:kern w:val="0"/>
          <w:sz w:val="22"/>
          <w:szCs w:val="24"/>
        </w:rPr>
        <w:t>Employees and corporate governance</w:t>
      </w:r>
      <w:r>
        <w:rPr>
          <w:rFonts w:ascii="Times New Roman" w:hAnsi="Times New Roman" w:cs="Times New Roman"/>
          <w:kern w:val="0"/>
          <w:sz w:val="22"/>
          <w:szCs w:val="24"/>
        </w:rPr>
        <w:t>. Brookings Institution Press.</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Encyclopedia Britannica (2019a) </w:t>
      </w:r>
      <w:r>
        <w:rPr>
          <w:rFonts w:ascii="Times New Roman" w:hAnsi="Times New Roman" w:cs="Times New Roman"/>
          <w:i/>
          <w:iCs/>
          <w:kern w:val="0"/>
          <w:sz w:val="22"/>
          <w:szCs w:val="24"/>
        </w:rPr>
        <w:t>Andrew Carnegie | Biography, Facts, Steel, &amp;amp; Philanthropy |</w:t>
      </w:r>
      <w:r>
        <w:rPr>
          <w:rFonts w:ascii="Times New Roman" w:hAnsi="Times New Roman" w:cs="Times New Roman"/>
          <w:kern w:val="0"/>
          <w:sz w:val="22"/>
          <w:szCs w:val="24"/>
        </w:rPr>
        <w:t>. Available at: https://www.britannica.com/biography/Andrew-Carnegie (Accessed: 15 April 2019).</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Encyclopedia Britannica (2019b) </w:t>
      </w:r>
      <w:r>
        <w:rPr>
          <w:rFonts w:ascii="Times New Roman" w:hAnsi="Times New Roman" w:cs="Times New Roman"/>
          <w:i/>
          <w:iCs/>
          <w:kern w:val="0"/>
          <w:sz w:val="22"/>
          <w:szCs w:val="24"/>
        </w:rPr>
        <w:t>John D. Rockefeller | Biography, Facts, &amp;amp; Death</w:t>
      </w:r>
      <w:r>
        <w:rPr>
          <w:rFonts w:ascii="Times New Roman" w:hAnsi="Times New Roman" w:cs="Times New Roman"/>
          <w:kern w:val="0"/>
          <w:sz w:val="22"/>
          <w:szCs w:val="24"/>
        </w:rPr>
        <w:t>. Available at: https://www.britannica.com/biography/John-D-Rockefeller (Accessed: 15 April 2019).</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Filatotchev, I. and Nakajima, C. (2010) ‘Internal and external corporate governance: An interface between an organization and its environment’, </w:t>
      </w:r>
      <w:r>
        <w:rPr>
          <w:rFonts w:ascii="Times New Roman" w:hAnsi="Times New Roman" w:cs="Times New Roman"/>
          <w:i/>
          <w:iCs/>
          <w:kern w:val="0"/>
          <w:sz w:val="22"/>
          <w:szCs w:val="24"/>
        </w:rPr>
        <w:t>British Journal of Management</w:t>
      </w:r>
      <w:r>
        <w:rPr>
          <w:rFonts w:ascii="Times New Roman" w:hAnsi="Times New Roman" w:cs="Times New Roman"/>
          <w:kern w:val="0"/>
          <w:sz w:val="22"/>
          <w:szCs w:val="24"/>
        </w:rPr>
        <w:t>, 21(3), pp. 591–606. doi: 10.1111/j.1467-8551.2010.00712.x.</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Freeman, R. E.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(2010) </w:t>
      </w:r>
      <w:r>
        <w:rPr>
          <w:rFonts w:ascii="Times New Roman" w:hAnsi="Times New Roman" w:cs="Times New Roman"/>
          <w:i/>
          <w:iCs/>
          <w:kern w:val="0"/>
          <w:sz w:val="22"/>
          <w:szCs w:val="24"/>
        </w:rPr>
        <w:t>Stakeholder theory</w:t>
      </w:r>
      <w:r>
        <w:rPr>
          <w:rFonts w:ascii="Times New Roman" w:hAnsi="Times New Roman" w:cs="Times New Roman"/>
          <w:kern w:val="0"/>
          <w:sz w:val="22"/>
          <w:szCs w:val="24"/>
        </w:rPr>
        <w:t>. Cambridge University Press Cambridge.</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Gautier, A. and Pache, A. C. (2013) ‘Research on Corporate Philanthropy: A Review and Assessment’, </w:t>
      </w:r>
      <w:r>
        <w:rPr>
          <w:rFonts w:ascii="Times New Roman" w:hAnsi="Times New Roman" w:cs="Times New Roman"/>
          <w:i/>
          <w:iCs/>
          <w:kern w:val="0"/>
          <w:sz w:val="22"/>
          <w:szCs w:val="24"/>
        </w:rPr>
        <w:t>Journal of Business Ethics</w:t>
      </w:r>
      <w:r>
        <w:rPr>
          <w:rFonts w:ascii="Times New Roman" w:hAnsi="Times New Roman" w:cs="Times New Roman"/>
          <w:kern w:val="0"/>
          <w:sz w:val="22"/>
          <w:szCs w:val="24"/>
        </w:rPr>
        <w:t>, 126(3), pp. 343–369. doi: 10.1007/s10551-013-1969-7.</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Gerry, H. (2003) ‘The evolution of corporate governance and its impact on modern corporate America’, </w:t>
      </w:r>
      <w:r>
        <w:rPr>
          <w:rFonts w:ascii="Times New Roman" w:hAnsi="Times New Roman" w:cs="Times New Roman"/>
          <w:i/>
          <w:iCs/>
          <w:kern w:val="0"/>
          <w:sz w:val="22"/>
          <w:szCs w:val="24"/>
        </w:rPr>
        <w:t>Management Decision</w:t>
      </w:r>
      <w:r>
        <w:rPr>
          <w:rFonts w:ascii="Times New Roman" w:hAnsi="Times New Roman" w:cs="Times New Roman"/>
          <w:kern w:val="0"/>
          <w:sz w:val="22"/>
          <w:szCs w:val="24"/>
        </w:rPr>
        <w:t>, 41(9), pp. 923–934.</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Harrison, J. S. and Wicks, A. C. (2013) ‘Stakeholder theory, value, and firm performance’, </w:t>
      </w:r>
      <w:r>
        <w:rPr>
          <w:rFonts w:ascii="Times New Roman" w:hAnsi="Times New Roman" w:cs="Times New Roman"/>
          <w:i/>
          <w:iCs/>
          <w:kern w:val="0"/>
          <w:sz w:val="22"/>
          <w:szCs w:val="24"/>
        </w:rPr>
        <w:t>Business ethics quarterly</w:t>
      </w:r>
      <w:r>
        <w:rPr>
          <w:rFonts w:ascii="Times New Roman" w:hAnsi="Times New Roman" w:cs="Times New Roman"/>
          <w:kern w:val="0"/>
          <w:sz w:val="22"/>
          <w:szCs w:val="24"/>
        </w:rPr>
        <w:t>. Cambridge University Press, 23(1), pp. 97–124.</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Heath, J. and Norman, W. (2004) ‘Stakeholder theory, corporate governance and public management: What can the history of state-run enterprises teach us in the post-Enron era?’, </w:t>
      </w:r>
      <w:r>
        <w:rPr>
          <w:rFonts w:ascii="Times New Roman" w:hAnsi="Times New Roman" w:cs="Times New Roman"/>
          <w:i/>
          <w:iCs/>
          <w:kern w:val="0"/>
          <w:sz w:val="22"/>
          <w:szCs w:val="24"/>
        </w:rPr>
        <w:t>Journal of Business Ethics</w:t>
      </w:r>
      <w:r>
        <w:rPr>
          <w:rFonts w:ascii="Times New Roman" w:hAnsi="Times New Roman" w:cs="Times New Roman"/>
          <w:kern w:val="0"/>
          <w:sz w:val="22"/>
          <w:szCs w:val="24"/>
        </w:rPr>
        <w:t>, 53(3), pp. 247–265. doi: 10.1023/B:BUSI.0000039418.75103.ed.</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Lee, W.-Y., Hur, Y. and Sung, M. (2015) ‘Happy to Support: Emotion as a Mediator in Brand Building Through Philanthropic Corporate Sponsorship’, </w:t>
      </w:r>
      <w:r>
        <w:rPr>
          <w:rFonts w:ascii="Times New Roman" w:hAnsi="Times New Roman" w:cs="Times New Roman"/>
          <w:i/>
          <w:iCs/>
          <w:kern w:val="0"/>
          <w:sz w:val="22"/>
          <w:szCs w:val="24"/>
        </w:rPr>
        <w:t>Social Behavior and Personality: an international journal</w:t>
      </w:r>
      <w:r>
        <w:rPr>
          <w:rFonts w:ascii="Times New Roman" w:hAnsi="Times New Roman" w:cs="Times New Roman"/>
          <w:kern w:val="0"/>
          <w:sz w:val="22"/>
          <w:szCs w:val="24"/>
        </w:rPr>
        <w:t>, 43(6), pp. 977–991. doi: 10.2224/sbp.2015.43.6.977.</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Mallin, C. (2013) </w:t>
      </w:r>
      <w:r>
        <w:rPr>
          <w:rFonts w:ascii="Times New Roman" w:hAnsi="Times New Roman" w:cs="Times New Roman"/>
          <w:i/>
          <w:iCs/>
          <w:kern w:val="0"/>
          <w:sz w:val="22"/>
          <w:szCs w:val="24"/>
        </w:rPr>
        <w:t>Handbook on International Corporate Governance</w:t>
      </w:r>
      <w:r>
        <w:rPr>
          <w:rFonts w:ascii="Times New Roman" w:hAnsi="Times New Roman" w:cs="Times New Roman"/>
          <w:kern w:val="0"/>
          <w:sz w:val="22"/>
          <w:szCs w:val="24"/>
        </w:rPr>
        <w:t xml:space="preserve">, </w:t>
      </w:r>
      <w:r>
        <w:rPr>
          <w:rFonts w:ascii="Times New Roman" w:hAnsi="Times New Roman" w:cs="Times New Roman"/>
          <w:i/>
          <w:iCs/>
          <w:kern w:val="0"/>
          <w:sz w:val="22"/>
          <w:szCs w:val="24"/>
        </w:rPr>
        <w:t>Handbook on International Corporate Governance</w:t>
      </w:r>
      <w:r>
        <w:rPr>
          <w:rFonts w:ascii="Times New Roman" w:hAnsi="Times New Roman" w:cs="Times New Roman"/>
          <w:kern w:val="0"/>
          <w:sz w:val="22"/>
          <w:szCs w:val="24"/>
        </w:rPr>
        <w:t>. doi: 10.4337/9781847201744.</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McCahery, J. A., Sautner, Z. and Starks, L. T. (2016) ‘Behind the Scenes: The Corporate Governance Preferences of Institutional Investors’, </w:t>
      </w:r>
      <w:r>
        <w:rPr>
          <w:rFonts w:ascii="Times New Roman" w:hAnsi="Times New Roman" w:cs="Times New Roman"/>
          <w:i/>
          <w:iCs/>
          <w:kern w:val="0"/>
          <w:sz w:val="22"/>
          <w:szCs w:val="24"/>
        </w:rPr>
        <w:t>Journal of Finance</w:t>
      </w:r>
      <w:r>
        <w:rPr>
          <w:rFonts w:ascii="Times New Roman" w:hAnsi="Times New Roman" w:cs="Times New Roman"/>
          <w:kern w:val="0"/>
          <w:sz w:val="22"/>
          <w:szCs w:val="24"/>
        </w:rPr>
        <w:t>, 71(6), pp. 2905–2932. doi: 10.1111/jofi.12393.</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Oxfam International (2018) </w:t>
      </w:r>
      <w:r>
        <w:rPr>
          <w:rFonts w:ascii="Times New Roman" w:hAnsi="Times New Roman" w:cs="Times New Roman"/>
          <w:i/>
          <w:iCs/>
          <w:kern w:val="0"/>
          <w:sz w:val="22"/>
          <w:szCs w:val="24"/>
        </w:rPr>
        <w:t>Oxfam release of 2011 Haiti internal report</w:t>
      </w:r>
      <w:r>
        <w:rPr>
          <w:rFonts w:ascii="Times New Roman" w:hAnsi="Times New Roman" w:cs="Times New Roman"/>
          <w:kern w:val="0"/>
          <w:sz w:val="22"/>
          <w:szCs w:val="24"/>
        </w:rPr>
        <w:t>. Available at: https://www.oxfam.org/en/oxfam-release-2011-haiti-internal-report (Accessed: 15 April 2019).</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Personnel Today (2018) </w:t>
      </w:r>
      <w:r>
        <w:rPr>
          <w:rFonts w:ascii="Times New Roman" w:hAnsi="Times New Roman" w:cs="Times New Roman"/>
          <w:i/>
          <w:iCs/>
          <w:kern w:val="0"/>
          <w:sz w:val="22"/>
          <w:szCs w:val="24"/>
        </w:rPr>
        <w:t>What the Oxfam scandal can teach us about background checking - Personnel Today</w:t>
      </w:r>
      <w:r>
        <w:rPr>
          <w:rFonts w:ascii="Times New Roman" w:hAnsi="Times New Roman" w:cs="Times New Roman"/>
          <w:kern w:val="0"/>
          <w:sz w:val="22"/>
          <w:szCs w:val="24"/>
        </w:rPr>
        <w:t>. Available at: https://www.personneltoday.com/hr/oxfam-scandal-can-teach-us-background-checking/ (Accessed: 15 April 2019).</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Qian, C., Gao, X. and Tsang, A. (2015) ‘Corporate Philanthropy, Ownership Type, and Financial Transparency’, </w:t>
      </w:r>
      <w:r>
        <w:rPr>
          <w:rFonts w:ascii="Times New Roman" w:hAnsi="Times New Roman" w:cs="Times New Roman"/>
          <w:i/>
          <w:iCs/>
          <w:kern w:val="0"/>
          <w:sz w:val="22"/>
          <w:szCs w:val="24"/>
        </w:rPr>
        <w:t>Journal of Business Ethics</w:t>
      </w:r>
      <w:r>
        <w:rPr>
          <w:rFonts w:ascii="Times New Roman" w:hAnsi="Times New Roman" w:cs="Times New Roman"/>
          <w:kern w:val="0"/>
          <w:sz w:val="22"/>
          <w:szCs w:val="24"/>
        </w:rPr>
        <w:t>, 130(4), pp. 851–867. doi: 10.1007/s10551-014-2109-8.</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Stijn Claessens (2006) ‘Corporate Governance and Development’, </w:t>
      </w:r>
      <w:r>
        <w:rPr>
          <w:rFonts w:ascii="Times New Roman" w:hAnsi="Times New Roman" w:cs="Times New Roman"/>
          <w:i/>
          <w:iCs/>
          <w:kern w:val="0"/>
          <w:sz w:val="22"/>
          <w:szCs w:val="24"/>
        </w:rPr>
        <w:t>World Bank Research Observer</w:t>
      </w:r>
      <w:r>
        <w:rPr>
          <w:rFonts w:ascii="Times New Roman" w:hAnsi="Times New Roman" w:cs="Times New Roman"/>
          <w:kern w:val="0"/>
          <w:sz w:val="22"/>
          <w:szCs w:val="24"/>
        </w:rPr>
        <w:t>, 21(1), pp. 91–122.</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STMU History Media Project (2018) </w:t>
      </w:r>
      <w:r>
        <w:rPr>
          <w:rFonts w:ascii="Times New Roman" w:hAnsi="Times New Roman" w:cs="Times New Roman"/>
          <w:i/>
          <w:iCs/>
          <w:kern w:val="0"/>
          <w:sz w:val="22"/>
          <w:szCs w:val="24"/>
        </w:rPr>
        <w:t>John D. Rockefeller: Industrialist &amp;amp; Philanthropist – StMU History Media</w:t>
      </w:r>
      <w:r>
        <w:rPr>
          <w:rFonts w:ascii="Times New Roman" w:hAnsi="Times New Roman" w:cs="Times New Roman"/>
          <w:kern w:val="0"/>
          <w:sz w:val="22"/>
          <w:szCs w:val="24"/>
        </w:rPr>
        <w:t>. Available at: https://www.stmuhistorymedia.org/john-d-rockefeller-industrialist-philanthropist/ (Accessed: 15 April 2019).</w:t>
      </w:r>
    </w:p>
    <w:p>
      <w:pPr>
        <w:autoSpaceDE w:val="0"/>
        <w:autoSpaceDN w:val="0"/>
        <w:adjustRightInd w:val="0"/>
        <w:spacing w:before="100" w:beforeAutospacing="1" w:after="100" w:afterAutospacing="1" w:line="360" w:lineRule="auto"/>
        <w:jc w:val="left"/>
        <w:rPr>
          <w:rFonts w:ascii="Times New Roman" w:hAnsi="Times New Roman" w:cs="Times New Roman"/>
          <w:kern w:val="0"/>
          <w:sz w:val="22"/>
          <w:szCs w:val="24"/>
        </w:rPr>
      </w:pPr>
      <w:r>
        <w:rPr>
          <w:rFonts w:ascii="Times New Roman" w:hAnsi="Times New Roman" w:cs="Times New Roman"/>
          <w:kern w:val="0"/>
          <w:sz w:val="22"/>
          <w:szCs w:val="24"/>
        </w:rPr>
        <w:t xml:space="preserve">Tricker, R. I. (2015) </w:t>
      </w:r>
      <w:r>
        <w:rPr>
          <w:rFonts w:ascii="Times New Roman" w:hAnsi="Times New Roman" w:cs="Times New Roman"/>
          <w:i/>
          <w:iCs/>
          <w:kern w:val="0"/>
          <w:sz w:val="22"/>
          <w:szCs w:val="24"/>
        </w:rPr>
        <w:t>Corporate governance : principles, policies, and practices</w:t>
      </w:r>
      <w:r>
        <w:rPr>
          <w:rFonts w:ascii="Times New Roman" w:hAnsi="Times New Roman" w:cs="Times New Roman"/>
          <w:kern w:val="0"/>
          <w:sz w:val="22"/>
          <w:szCs w:val="24"/>
        </w:rPr>
        <w:t>. doi: May 5, 2015.</w:t>
      </w:r>
    </w:p>
    <w:p>
      <w:pPr>
        <w:autoSpaceDE w:val="0"/>
        <w:autoSpaceDN w:val="0"/>
        <w:adjustRightInd w:val="0"/>
        <w:spacing w:before="100" w:beforeAutospacing="1" w:after="100" w:afterAutospacing="1" w:line="360" w:lineRule="auto"/>
        <w:jc w:val="left"/>
        <w:rPr>
          <w:rFonts w:ascii="Times New Roman" w:hAnsi="Times New Roman" w:cs="Times New Roman"/>
          <w:sz w:val="22"/>
        </w:rPr>
      </w:pPr>
      <w:r>
        <w:rPr>
          <w:rFonts w:ascii="Times New Roman" w:hAnsi="Times New Roman" w:cs="Times New Roman"/>
          <w:kern w:val="0"/>
          <w:sz w:val="22"/>
          <w:szCs w:val="24"/>
        </w:rPr>
        <w:t xml:space="preserve">United States History (2018) </w:t>
      </w:r>
      <w:r>
        <w:rPr>
          <w:rFonts w:ascii="Times New Roman" w:hAnsi="Times New Roman" w:cs="Times New Roman"/>
          <w:i/>
          <w:iCs/>
          <w:kern w:val="0"/>
          <w:sz w:val="22"/>
          <w:szCs w:val="24"/>
        </w:rPr>
        <w:t>John D. Rockefeller: The Ultimate Oil Man</w:t>
      </w:r>
      <w:r>
        <w:rPr>
          <w:rFonts w:ascii="Times New Roman" w:hAnsi="Times New Roman" w:cs="Times New Roman"/>
          <w:kern w:val="0"/>
          <w:sz w:val="22"/>
          <w:szCs w:val="24"/>
        </w:rPr>
        <w:t>. Available at: https://www.u-s-history.com/pages/h957.html (Accessed: 15 April 2019).</w:t>
      </w:r>
    </w:p>
    <w:p>
      <w:pPr>
        <w:spacing w:before="100" w:beforeAutospacing="1" w:after="100" w:afterAutospacing="1" w:line="360" w:lineRule="auto"/>
        <w:rPr>
          <w:rFonts w:ascii="Times New Roman" w:hAnsi="Times New Roman" w:cs="Times New Roman" w:eastAsiaTheme="minorHAnsi"/>
          <w:b/>
          <w:sz w:val="22"/>
          <w:szCs w:val="28"/>
        </w:rPr>
      </w:pPr>
      <w:r>
        <w:rPr>
          <w:rFonts w:ascii="Times New Roman" w:hAnsi="Times New Roman" w:cs="Times New Roman" w:eastAsiaTheme="minorHAnsi"/>
          <w:b/>
          <w:sz w:val="22"/>
          <w:szCs w:val="28"/>
        </w:rPr>
        <w:fldChar w:fldCharType="end"/>
      </w:r>
    </w:p>
    <w:p>
      <w:pPr>
        <w:spacing w:before="100" w:beforeAutospacing="1" w:after="100" w:afterAutospacing="1" w:line="360" w:lineRule="auto"/>
        <w:rPr>
          <w:rFonts w:ascii="Times New Roman" w:hAnsi="Times New Roman" w:cs="Times New Roman" w:eastAsiaTheme="minorHAnsi"/>
          <w:b/>
          <w:sz w:val="22"/>
          <w:szCs w:val="28"/>
        </w:rPr>
      </w:pPr>
    </w:p>
    <w:p>
      <w:pPr>
        <w:spacing w:before="100" w:beforeAutospacing="1" w:after="100" w:afterAutospacing="1" w:line="360" w:lineRule="auto"/>
        <w:rPr>
          <w:rFonts w:ascii="Times New Roman" w:hAnsi="Times New Roman" w:cs="Times New Roman"/>
          <w:sz w:val="28"/>
        </w:rPr>
      </w:pPr>
    </w:p>
    <w:sectPr>
      <w:footerReference r:id="rId4" w:type="default"/>
      <w:pgSz w:w="11906" w:h="16838"/>
      <w:pgMar w:top="1440" w:right="1080" w:bottom="1440" w:left="108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Rounded MT Bold">
    <w:altName w:val="Arial"/>
    <w:panose1 w:val="020F0704030504030204"/>
    <w:charset w:val="00"/>
    <w:family w:val="swiss"/>
    <w:pitch w:val="default"/>
    <w:sig w:usb0="00000000" w:usb1="00000000" w:usb2="00000000" w:usb3="00000000" w:csb0="00000001"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pPr>
  </w:p>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98000155"/>
      <w:docPartObj>
        <w:docPartGallery w:val="AutoText"/>
      </w:docPartObj>
    </w:sdtPr>
    <w:sdtContent>
      <w:p>
        <w:pPr>
          <w:pStyle w:val="5"/>
          <w:jc w:val="center"/>
        </w:pPr>
        <w:r>
          <w:fldChar w:fldCharType="begin"/>
        </w:r>
        <w:r>
          <w:instrText xml:space="preserve">PAGE   \* MERGEFORMAT</w:instrText>
        </w:r>
        <w:r>
          <w:fldChar w:fldCharType="separate"/>
        </w:r>
        <w:r>
          <w:rPr>
            <w:lang w:val="zh-CN"/>
          </w:rPr>
          <w:t>2</w:t>
        </w:r>
        <w:r>
          <w:fldChar w:fldCharType="end"/>
        </w:r>
      </w:p>
    </w:sdtContent>
  </w:sdt>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C96C75"/>
    <w:multiLevelType w:val="multilevel"/>
    <w:tmpl w:val="0AC96C75"/>
    <w:lvl w:ilvl="0" w:tentative="0">
      <w:start w:val="0"/>
      <w:numFmt w:val="bullet"/>
      <w:lvlText w:val="-"/>
      <w:lvlJc w:val="left"/>
      <w:pPr>
        <w:ind w:left="360" w:hanging="360"/>
      </w:pPr>
      <w:rPr>
        <w:rFonts w:hint="eastAsia" w:ascii="等线" w:hAnsi="等线" w:eastAsia="等线" w:cstheme="minorBidi"/>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LQwMDQ3NTAwMzM2MjFQ0lEKTi0uzszPAykwrAUA2t5ObSwAAAA="/>
  </w:docVars>
  <w:rsids>
    <w:rsidRoot w:val="007E269A"/>
    <w:rsid w:val="00061CF7"/>
    <w:rsid w:val="000A09AB"/>
    <w:rsid w:val="000C47D8"/>
    <w:rsid w:val="001056AA"/>
    <w:rsid w:val="0013723D"/>
    <w:rsid w:val="00157EDD"/>
    <w:rsid w:val="001E7C6D"/>
    <w:rsid w:val="00294E6E"/>
    <w:rsid w:val="002957E3"/>
    <w:rsid w:val="002C7C0E"/>
    <w:rsid w:val="003329E2"/>
    <w:rsid w:val="003D624D"/>
    <w:rsid w:val="0040016D"/>
    <w:rsid w:val="004010FC"/>
    <w:rsid w:val="00486DAC"/>
    <w:rsid w:val="004E3EB3"/>
    <w:rsid w:val="00566D4B"/>
    <w:rsid w:val="005D33B7"/>
    <w:rsid w:val="0060007E"/>
    <w:rsid w:val="00601C4C"/>
    <w:rsid w:val="006E2341"/>
    <w:rsid w:val="00790CFD"/>
    <w:rsid w:val="007A341A"/>
    <w:rsid w:val="007B6B38"/>
    <w:rsid w:val="007E269A"/>
    <w:rsid w:val="008B4E84"/>
    <w:rsid w:val="009772F1"/>
    <w:rsid w:val="00992493"/>
    <w:rsid w:val="00A875DE"/>
    <w:rsid w:val="00AE58A5"/>
    <w:rsid w:val="00B37333"/>
    <w:rsid w:val="00B84130"/>
    <w:rsid w:val="00BC309A"/>
    <w:rsid w:val="00BF61B5"/>
    <w:rsid w:val="00C01325"/>
    <w:rsid w:val="00C479F7"/>
    <w:rsid w:val="00CB41D9"/>
    <w:rsid w:val="00CD0154"/>
    <w:rsid w:val="00D42DD7"/>
    <w:rsid w:val="00D93568"/>
    <w:rsid w:val="00DC0524"/>
    <w:rsid w:val="00DC44CB"/>
    <w:rsid w:val="00E7355E"/>
    <w:rsid w:val="00E769A5"/>
    <w:rsid w:val="00E96FDB"/>
    <w:rsid w:val="00EA34EA"/>
    <w:rsid w:val="00EC354A"/>
    <w:rsid w:val="00F77B8D"/>
    <w:rsid w:val="00FB0C9B"/>
    <w:rsid w:val="00FB5738"/>
    <w:rsid w:val="00FE7FB8"/>
    <w:rsid w:val="545F67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7"/>
    <w:qFormat/>
    <w:uiPriority w:val="9"/>
    <w:pPr>
      <w:keepNext/>
      <w:keepLines/>
      <w:spacing w:before="340" w:after="330" w:line="578" w:lineRule="auto"/>
      <w:outlineLvl w:val="0"/>
    </w:pPr>
    <w:rPr>
      <w:b/>
      <w:bCs/>
      <w:kern w:val="44"/>
      <w:sz w:val="44"/>
      <w:szCs w:val="44"/>
    </w:rPr>
  </w:style>
  <w:style w:type="character" w:default="1" w:styleId="10">
    <w:name w:val="Default Paragraph Font"/>
    <w:semiHidden/>
    <w:unhideWhenUsed/>
    <w:uiPriority w:val="1"/>
  </w:style>
  <w:style w:type="table" w:default="1" w:styleId="9">
    <w:name w:val="Normal Table"/>
    <w:semiHidden/>
    <w:unhideWhenUsed/>
    <w:uiPriority w:val="99"/>
    <w:tblPr>
      <w:tblLayout w:type="fixed"/>
      <w:tblCellMar>
        <w:top w:w="0" w:type="dxa"/>
        <w:left w:w="108" w:type="dxa"/>
        <w:bottom w:w="0" w:type="dxa"/>
        <w:right w:w="108" w:type="dxa"/>
      </w:tblCellMar>
    </w:tblPr>
  </w:style>
  <w:style w:type="paragraph" w:styleId="3">
    <w:name w:val="annotation text"/>
    <w:basedOn w:val="1"/>
    <w:link w:val="15"/>
    <w:semiHidden/>
    <w:unhideWhenUsed/>
    <w:uiPriority w:val="99"/>
    <w:pPr>
      <w:jc w:val="left"/>
    </w:pPr>
  </w:style>
  <w:style w:type="paragraph" w:styleId="4">
    <w:name w:val="Balloon Text"/>
    <w:basedOn w:val="1"/>
    <w:link w:val="14"/>
    <w:semiHidden/>
    <w:unhideWhenUsed/>
    <w:uiPriority w:val="99"/>
    <w:rPr>
      <w:sz w:val="18"/>
      <w:szCs w:val="18"/>
    </w:rPr>
  </w:style>
  <w:style w:type="paragraph" w:styleId="5">
    <w:name w:val="footer"/>
    <w:basedOn w:val="1"/>
    <w:link w:val="20"/>
    <w:unhideWhenUsed/>
    <w:uiPriority w:val="99"/>
    <w:pPr>
      <w:tabs>
        <w:tab w:val="center" w:pos="4153"/>
        <w:tab w:val="right" w:pos="8306"/>
      </w:tabs>
      <w:snapToGrid w:val="0"/>
      <w:jc w:val="left"/>
    </w:pPr>
    <w:rPr>
      <w:sz w:val="18"/>
      <w:szCs w:val="18"/>
    </w:rPr>
  </w:style>
  <w:style w:type="paragraph" w:styleId="6">
    <w:name w:val="header"/>
    <w:basedOn w:val="1"/>
    <w:link w:val="19"/>
    <w:unhideWhenUsed/>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unhideWhenUsed/>
    <w:uiPriority w:val="39"/>
  </w:style>
  <w:style w:type="paragraph" w:styleId="8">
    <w:name w:val="annotation subject"/>
    <w:basedOn w:val="3"/>
    <w:next w:val="3"/>
    <w:link w:val="16"/>
    <w:semiHidden/>
    <w:unhideWhenUsed/>
    <w:uiPriority w:val="99"/>
    <w:rPr>
      <w:b/>
      <w:bCs/>
    </w:rPr>
  </w:style>
  <w:style w:type="character" w:styleId="11">
    <w:name w:val="Hyperlink"/>
    <w:basedOn w:val="10"/>
    <w:unhideWhenUsed/>
    <w:uiPriority w:val="99"/>
    <w:rPr>
      <w:color w:val="0563C1" w:themeColor="hyperlink"/>
      <w:u w:val="single"/>
      <w14:textFill>
        <w14:solidFill>
          <w14:schemeClr w14:val="hlink"/>
        </w14:solidFill>
      </w14:textFill>
    </w:rPr>
  </w:style>
  <w:style w:type="character" w:styleId="12">
    <w:name w:val="annotation reference"/>
    <w:basedOn w:val="10"/>
    <w:semiHidden/>
    <w:unhideWhenUsed/>
    <w:uiPriority w:val="99"/>
    <w:rPr>
      <w:sz w:val="21"/>
      <w:szCs w:val="21"/>
    </w:rPr>
  </w:style>
  <w:style w:type="paragraph" w:styleId="13">
    <w:name w:val="List Paragraph"/>
    <w:basedOn w:val="1"/>
    <w:qFormat/>
    <w:uiPriority w:val="34"/>
    <w:pPr>
      <w:ind w:firstLine="420" w:firstLineChars="200"/>
    </w:pPr>
  </w:style>
  <w:style w:type="character" w:customStyle="1" w:styleId="14">
    <w:name w:val="批注框文本 字符"/>
    <w:basedOn w:val="10"/>
    <w:link w:val="4"/>
    <w:semiHidden/>
    <w:uiPriority w:val="99"/>
    <w:rPr>
      <w:sz w:val="18"/>
      <w:szCs w:val="18"/>
      <w:lang w:val="en-GB"/>
    </w:rPr>
  </w:style>
  <w:style w:type="character" w:customStyle="1" w:styleId="15">
    <w:name w:val="批注文字 字符"/>
    <w:basedOn w:val="10"/>
    <w:link w:val="3"/>
    <w:semiHidden/>
    <w:uiPriority w:val="99"/>
    <w:rPr>
      <w:lang w:val="en-GB"/>
    </w:rPr>
  </w:style>
  <w:style w:type="character" w:customStyle="1" w:styleId="16">
    <w:name w:val="批注主题 字符"/>
    <w:basedOn w:val="15"/>
    <w:link w:val="8"/>
    <w:semiHidden/>
    <w:uiPriority w:val="99"/>
    <w:rPr>
      <w:b/>
      <w:bCs/>
      <w:lang w:val="en-GB"/>
    </w:rPr>
  </w:style>
  <w:style w:type="character" w:customStyle="1" w:styleId="17">
    <w:name w:val="标题 1 字符"/>
    <w:basedOn w:val="10"/>
    <w:link w:val="2"/>
    <w:uiPriority w:val="9"/>
    <w:rPr>
      <w:b/>
      <w:bCs/>
      <w:kern w:val="44"/>
      <w:sz w:val="44"/>
      <w:szCs w:val="44"/>
      <w:lang w:val="en-GB"/>
    </w:rPr>
  </w:style>
  <w:style w:type="paragraph" w:customStyle="1" w:styleId="18">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 w:type="character" w:customStyle="1" w:styleId="19">
    <w:name w:val="页眉 字符"/>
    <w:basedOn w:val="10"/>
    <w:link w:val="6"/>
    <w:uiPriority w:val="99"/>
    <w:rPr>
      <w:sz w:val="18"/>
      <w:szCs w:val="18"/>
      <w:lang w:val="en-GB"/>
    </w:rPr>
  </w:style>
  <w:style w:type="character" w:customStyle="1" w:styleId="20">
    <w:name w:val="页脚 字符"/>
    <w:basedOn w:val="10"/>
    <w:link w:val="5"/>
    <w:uiPriority w:val="99"/>
    <w:rPr>
      <w:sz w:val="18"/>
      <w:szCs w:val="18"/>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991613-4516-4D18-9FD3-958DF37F69E1}">
  <ds:schemaRefs/>
</ds:datastoreItem>
</file>

<file path=docProps/app.xml><?xml version="1.0" encoding="utf-8"?>
<Properties xmlns="http://schemas.openxmlformats.org/officeDocument/2006/extended-properties" xmlns:vt="http://schemas.openxmlformats.org/officeDocument/2006/docPropsVTypes">
  <Template>Normal</Template>
  <Pages>12</Pages>
  <Words>7963</Words>
  <Characters>45392</Characters>
  <Lines>378</Lines>
  <Paragraphs>106</Paragraphs>
  <TotalTime>527</TotalTime>
  <ScaleCrop>false</ScaleCrop>
  <LinksUpToDate>false</LinksUpToDate>
  <CharactersWithSpaces>53249</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2019-04-15T11:35:00Z</dcterms:created>
  <dc:creator>Wei Shanshan</dc:creator>
  <cp:lastModifiedBy>10173</cp:lastModifiedBy>
  <dcterms:modified xsi:type="dcterms:W3CDTF">2019-04-28T21:29:42Z</dcterms:modified>
  <cp:revision>18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http://www.zotero.org/styles/harvard1</vt:lpwstr>
  </property>
  <property fmtid="{D5CDD505-2E9C-101B-9397-08002B2CF9AE}" pid="25" name="KSOProductBuildVer">
    <vt:lpwstr>2052-11.1.0.8597</vt:lpwstr>
  </property>
</Properties>
</file>