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9F8AA" w14:textId="32875D4F" w:rsidR="00765D99" w:rsidRDefault="00292394" w:rsidP="00292394">
      <w:pPr>
        <w:jc w:val="center"/>
        <w:rPr>
          <w:rFonts w:ascii="Arial Black" w:hAnsi="Arial Black"/>
          <w:sz w:val="32"/>
          <w:szCs w:val="32"/>
        </w:rPr>
      </w:pPr>
      <w:r w:rsidRPr="00292394">
        <w:rPr>
          <w:rFonts w:ascii="Arial Black" w:hAnsi="Arial Black"/>
          <w:sz w:val="32"/>
          <w:szCs w:val="32"/>
        </w:rPr>
        <w:t>Developing Relationships and Workplace Achievement</w:t>
      </w:r>
    </w:p>
    <w:p w14:paraId="0E136396" w14:textId="77777777" w:rsidR="00292394" w:rsidRPr="00292394" w:rsidRDefault="00292394" w:rsidP="00292394">
      <w:pPr>
        <w:jc w:val="center"/>
        <w:rPr>
          <w:rFonts w:ascii="Arial Black" w:hAnsi="Arial Black"/>
          <w:sz w:val="32"/>
          <w:szCs w:val="32"/>
        </w:rPr>
      </w:pPr>
    </w:p>
    <w:p w14:paraId="22CF9C6E" w14:textId="77978936" w:rsidR="00292394" w:rsidRDefault="00292394" w:rsidP="00292394">
      <w:pPr>
        <w:jc w:val="center"/>
        <w:rPr>
          <w:rFonts w:ascii="Arial Black" w:hAnsi="Arial Black"/>
          <w:sz w:val="32"/>
          <w:szCs w:val="32"/>
        </w:rPr>
      </w:pPr>
    </w:p>
    <w:p w14:paraId="0B77D016" w14:textId="0E768C06" w:rsidR="00292394" w:rsidRDefault="00292394" w:rsidP="00292394">
      <w:pPr>
        <w:jc w:val="center"/>
        <w:rPr>
          <w:rFonts w:ascii="Arial Black" w:hAnsi="Arial Black"/>
          <w:sz w:val="32"/>
          <w:szCs w:val="32"/>
        </w:rPr>
      </w:pPr>
    </w:p>
    <w:p w14:paraId="74E68636" w14:textId="57816CBD" w:rsidR="00292394" w:rsidRDefault="00292394" w:rsidP="00292394">
      <w:pPr>
        <w:jc w:val="center"/>
        <w:rPr>
          <w:rFonts w:ascii="Arial Black" w:hAnsi="Arial Black"/>
          <w:sz w:val="32"/>
          <w:szCs w:val="32"/>
        </w:rPr>
      </w:pPr>
      <w:r>
        <w:rPr>
          <w:rFonts w:ascii="Arial Black" w:hAnsi="Arial Black"/>
          <w:sz w:val="32"/>
          <w:szCs w:val="32"/>
        </w:rPr>
        <w:t>Module Number: BMSW5102_BIRM</w:t>
      </w:r>
    </w:p>
    <w:p w14:paraId="1B35695D" w14:textId="6B17D6B8" w:rsidR="00292394" w:rsidRDefault="00292394" w:rsidP="00292394">
      <w:pPr>
        <w:jc w:val="center"/>
        <w:rPr>
          <w:rFonts w:ascii="Arial Black" w:hAnsi="Arial Black"/>
          <w:sz w:val="32"/>
          <w:szCs w:val="32"/>
        </w:rPr>
      </w:pPr>
    </w:p>
    <w:p w14:paraId="0C954B0E" w14:textId="77777777" w:rsidR="00292394" w:rsidRDefault="00292394" w:rsidP="00292394">
      <w:pPr>
        <w:jc w:val="center"/>
        <w:rPr>
          <w:rFonts w:ascii="Arial Black" w:hAnsi="Arial Black"/>
          <w:sz w:val="32"/>
          <w:szCs w:val="32"/>
        </w:rPr>
      </w:pPr>
    </w:p>
    <w:p w14:paraId="53D99791" w14:textId="77777777" w:rsidR="00292394" w:rsidRPr="00292394" w:rsidRDefault="00292394" w:rsidP="00292394">
      <w:pPr>
        <w:jc w:val="center"/>
        <w:rPr>
          <w:rFonts w:ascii="Arial Black" w:hAnsi="Arial Black"/>
          <w:sz w:val="32"/>
          <w:szCs w:val="32"/>
        </w:rPr>
      </w:pPr>
    </w:p>
    <w:p w14:paraId="4CCAB8BC" w14:textId="181DCFE7" w:rsidR="00292394" w:rsidRPr="00292394" w:rsidRDefault="00292394" w:rsidP="00292394">
      <w:pPr>
        <w:jc w:val="center"/>
        <w:rPr>
          <w:rFonts w:ascii="Arial Black" w:hAnsi="Arial Black"/>
          <w:sz w:val="32"/>
          <w:szCs w:val="32"/>
        </w:rPr>
      </w:pPr>
    </w:p>
    <w:p w14:paraId="197E4EC6" w14:textId="250274BC" w:rsidR="00292394" w:rsidRDefault="00292394" w:rsidP="00292394">
      <w:pPr>
        <w:jc w:val="center"/>
        <w:rPr>
          <w:rFonts w:ascii="Arial Black" w:hAnsi="Arial Black"/>
          <w:sz w:val="32"/>
          <w:szCs w:val="32"/>
        </w:rPr>
      </w:pPr>
      <w:r w:rsidRPr="00292394">
        <w:rPr>
          <w:rFonts w:ascii="Arial Black" w:hAnsi="Arial Black"/>
          <w:sz w:val="32"/>
          <w:szCs w:val="32"/>
        </w:rPr>
        <w:t>University of Wales Trinity Saint David</w:t>
      </w:r>
    </w:p>
    <w:p w14:paraId="6A451514" w14:textId="774696B9" w:rsidR="00292394" w:rsidRDefault="00292394" w:rsidP="00292394">
      <w:pPr>
        <w:jc w:val="center"/>
        <w:rPr>
          <w:rFonts w:ascii="Arial Black" w:hAnsi="Arial Black"/>
          <w:sz w:val="32"/>
          <w:szCs w:val="32"/>
        </w:rPr>
      </w:pPr>
    </w:p>
    <w:p w14:paraId="6A113E13" w14:textId="77777777" w:rsidR="00292394" w:rsidRDefault="00292394" w:rsidP="00292394">
      <w:pPr>
        <w:jc w:val="center"/>
        <w:rPr>
          <w:rFonts w:ascii="Arial Black" w:hAnsi="Arial Black"/>
          <w:sz w:val="32"/>
          <w:szCs w:val="32"/>
        </w:rPr>
      </w:pPr>
    </w:p>
    <w:p w14:paraId="3B70F2D5" w14:textId="7720B4C2" w:rsidR="00292394" w:rsidRDefault="00292394" w:rsidP="00292394">
      <w:pPr>
        <w:jc w:val="center"/>
        <w:rPr>
          <w:rFonts w:ascii="Arial Black" w:hAnsi="Arial Black"/>
          <w:sz w:val="32"/>
          <w:szCs w:val="32"/>
        </w:rPr>
      </w:pPr>
    </w:p>
    <w:p w14:paraId="3CC37F72" w14:textId="7E4B6072" w:rsidR="00292394" w:rsidRDefault="00292394" w:rsidP="00292394">
      <w:pPr>
        <w:jc w:val="center"/>
        <w:rPr>
          <w:rFonts w:ascii="Arial Black" w:hAnsi="Arial Black"/>
          <w:sz w:val="32"/>
          <w:szCs w:val="32"/>
        </w:rPr>
      </w:pPr>
      <w:r>
        <w:rPr>
          <w:rFonts w:ascii="Arial Black" w:hAnsi="Arial Black"/>
          <w:sz w:val="32"/>
          <w:szCs w:val="32"/>
        </w:rPr>
        <w:t>Student Name: Adrian Pop</w:t>
      </w:r>
    </w:p>
    <w:p w14:paraId="2CC00042" w14:textId="31DCD3EA" w:rsidR="00292394" w:rsidRDefault="00292394" w:rsidP="00292394">
      <w:pPr>
        <w:jc w:val="center"/>
        <w:rPr>
          <w:rFonts w:ascii="Arial Black" w:hAnsi="Arial Black"/>
          <w:sz w:val="32"/>
          <w:szCs w:val="32"/>
        </w:rPr>
      </w:pPr>
      <w:r>
        <w:rPr>
          <w:rFonts w:ascii="Arial Black" w:hAnsi="Arial Black"/>
          <w:sz w:val="32"/>
          <w:szCs w:val="32"/>
        </w:rPr>
        <w:t>Student Number: 2109183</w:t>
      </w:r>
    </w:p>
    <w:p w14:paraId="3073D5A5" w14:textId="77777777" w:rsidR="004944CC" w:rsidRDefault="004944CC" w:rsidP="00292394">
      <w:pPr>
        <w:jc w:val="center"/>
        <w:rPr>
          <w:rFonts w:ascii="Arial Black" w:hAnsi="Arial Black"/>
          <w:sz w:val="32"/>
          <w:szCs w:val="32"/>
        </w:rPr>
      </w:pPr>
    </w:p>
    <w:p w14:paraId="063829EF" w14:textId="77777777" w:rsidR="004944CC" w:rsidRDefault="004944CC" w:rsidP="00292394">
      <w:pPr>
        <w:jc w:val="center"/>
        <w:rPr>
          <w:rFonts w:ascii="Arial Black" w:hAnsi="Arial Black"/>
          <w:sz w:val="32"/>
          <w:szCs w:val="32"/>
        </w:rPr>
      </w:pPr>
    </w:p>
    <w:p w14:paraId="209BEA67" w14:textId="58587E46" w:rsidR="004944CC" w:rsidRDefault="004944CC" w:rsidP="00292394">
      <w:pPr>
        <w:jc w:val="center"/>
        <w:rPr>
          <w:rFonts w:ascii="Arial Black" w:hAnsi="Arial Black"/>
          <w:sz w:val="32"/>
          <w:szCs w:val="32"/>
        </w:rPr>
      </w:pPr>
      <w:r>
        <w:rPr>
          <w:rFonts w:ascii="Arial Black" w:hAnsi="Arial Black"/>
          <w:sz w:val="32"/>
          <w:szCs w:val="32"/>
        </w:rPr>
        <w:t xml:space="preserve">Lecturer </w:t>
      </w:r>
      <w:r w:rsidR="002C3FE6">
        <w:rPr>
          <w:rFonts w:ascii="Arial Black" w:hAnsi="Arial Black"/>
          <w:sz w:val="32"/>
          <w:szCs w:val="32"/>
        </w:rPr>
        <w:t>Name:</w:t>
      </w:r>
      <w:r w:rsidR="00A91100">
        <w:rPr>
          <w:rFonts w:ascii="Arial Black" w:hAnsi="Arial Black"/>
          <w:sz w:val="32"/>
          <w:szCs w:val="32"/>
        </w:rPr>
        <w:t xml:space="preserve"> Zahra M</w:t>
      </w:r>
      <w:r w:rsidR="008B3023">
        <w:rPr>
          <w:rFonts w:ascii="Arial Black" w:hAnsi="Arial Black"/>
          <w:sz w:val="32"/>
          <w:szCs w:val="32"/>
        </w:rPr>
        <w:t>ohammadnazari</w:t>
      </w:r>
    </w:p>
    <w:p w14:paraId="7FBA8A80" w14:textId="3260502E" w:rsidR="00292394" w:rsidRDefault="00292394" w:rsidP="00292394">
      <w:pPr>
        <w:jc w:val="center"/>
        <w:rPr>
          <w:rFonts w:ascii="Arial Black" w:hAnsi="Arial Black"/>
          <w:sz w:val="32"/>
          <w:szCs w:val="32"/>
        </w:rPr>
      </w:pPr>
    </w:p>
    <w:p w14:paraId="33F0BBF8" w14:textId="3CBE9B95" w:rsidR="00292394" w:rsidRDefault="00292394" w:rsidP="00292394">
      <w:pPr>
        <w:jc w:val="center"/>
        <w:rPr>
          <w:rFonts w:ascii="Arial Black" w:hAnsi="Arial Black"/>
          <w:sz w:val="32"/>
          <w:szCs w:val="32"/>
        </w:rPr>
      </w:pPr>
    </w:p>
    <w:sdt>
      <w:sdtPr>
        <w:rPr>
          <w:rFonts w:asciiTheme="minorHAnsi" w:eastAsiaTheme="minorHAnsi" w:hAnsiTheme="minorHAnsi" w:cstheme="minorBidi"/>
          <w:color w:val="auto"/>
          <w:sz w:val="22"/>
          <w:szCs w:val="22"/>
          <w:lang w:val="en-GB"/>
        </w:rPr>
        <w:id w:val="1937867711"/>
        <w:docPartObj>
          <w:docPartGallery w:val="Table of Contents"/>
          <w:docPartUnique/>
        </w:docPartObj>
      </w:sdtPr>
      <w:sdtEndPr>
        <w:rPr>
          <w:b/>
          <w:bCs/>
          <w:noProof/>
        </w:rPr>
      </w:sdtEndPr>
      <w:sdtContent>
        <w:p w14:paraId="4E4C4F41" w14:textId="77777777" w:rsidR="008B76D0" w:rsidRPr="008B76D0" w:rsidRDefault="008B76D0" w:rsidP="008B76D0">
          <w:pPr>
            <w:pStyle w:val="TOCHeading"/>
            <w:spacing w:line="360" w:lineRule="auto"/>
            <w:rPr>
              <w:rFonts w:ascii="Arial" w:hAnsi="Arial" w:cs="Arial"/>
              <w:sz w:val="24"/>
              <w:szCs w:val="24"/>
            </w:rPr>
          </w:pPr>
          <w:r w:rsidRPr="008B76D0">
            <w:rPr>
              <w:rFonts w:ascii="Arial" w:hAnsi="Arial" w:cs="Arial"/>
              <w:sz w:val="24"/>
              <w:szCs w:val="24"/>
            </w:rPr>
            <w:t>Contents</w:t>
          </w:r>
        </w:p>
        <w:p w14:paraId="07418722" w14:textId="5624B3A3" w:rsidR="00796F53" w:rsidRDefault="008B76D0">
          <w:pPr>
            <w:pStyle w:val="TOC1"/>
            <w:tabs>
              <w:tab w:val="right" w:leader="dot" w:pos="9016"/>
            </w:tabs>
            <w:rPr>
              <w:rFonts w:eastAsiaTheme="minorEastAsia"/>
              <w:noProof/>
              <w:lang w:eastAsia="en-GB"/>
            </w:rPr>
          </w:pPr>
          <w:r w:rsidRPr="008B76D0">
            <w:rPr>
              <w:rFonts w:ascii="Arial" w:hAnsi="Arial" w:cs="Arial"/>
              <w:sz w:val="24"/>
              <w:szCs w:val="24"/>
            </w:rPr>
            <w:fldChar w:fldCharType="begin"/>
          </w:r>
          <w:r w:rsidRPr="008B76D0">
            <w:rPr>
              <w:rFonts w:ascii="Arial" w:hAnsi="Arial" w:cs="Arial"/>
              <w:sz w:val="24"/>
              <w:szCs w:val="24"/>
            </w:rPr>
            <w:instrText xml:space="preserve"> TOC \o "1-3" \h \z \u </w:instrText>
          </w:r>
          <w:r w:rsidRPr="008B76D0">
            <w:rPr>
              <w:rFonts w:ascii="Arial" w:hAnsi="Arial" w:cs="Arial"/>
              <w:sz w:val="24"/>
              <w:szCs w:val="24"/>
            </w:rPr>
            <w:fldChar w:fldCharType="separate"/>
          </w:r>
          <w:hyperlink w:anchor="_Toc129193017" w:history="1">
            <w:r w:rsidR="00796F53" w:rsidRPr="001651DD">
              <w:rPr>
                <w:rStyle w:val="Hyperlink"/>
                <w:rFonts w:ascii="Arial" w:hAnsi="Arial" w:cs="Arial"/>
                <w:noProof/>
              </w:rPr>
              <w:t>1.0 INTRODUCTION</w:t>
            </w:r>
            <w:r w:rsidR="00796F53">
              <w:rPr>
                <w:noProof/>
                <w:webHidden/>
              </w:rPr>
              <w:tab/>
            </w:r>
            <w:r w:rsidR="00796F53">
              <w:rPr>
                <w:noProof/>
                <w:webHidden/>
              </w:rPr>
              <w:fldChar w:fldCharType="begin"/>
            </w:r>
            <w:r w:rsidR="00796F53">
              <w:rPr>
                <w:noProof/>
                <w:webHidden/>
              </w:rPr>
              <w:instrText xml:space="preserve"> PAGEREF _Toc129193017 \h </w:instrText>
            </w:r>
            <w:r w:rsidR="00796F53">
              <w:rPr>
                <w:noProof/>
                <w:webHidden/>
              </w:rPr>
            </w:r>
            <w:r w:rsidR="00796F53">
              <w:rPr>
                <w:noProof/>
                <w:webHidden/>
              </w:rPr>
              <w:fldChar w:fldCharType="separate"/>
            </w:r>
            <w:r w:rsidR="005B1D87">
              <w:rPr>
                <w:noProof/>
                <w:webHidden/>
              </w:rPr>
              <w:t>3</w:t>
            </w:r>
            <w:r w:rsidR="00796F53">
              <w:rPr>
                <w:noProof/>
                <w:webHidden/>
              </w:rPr>
              <w:fldChar w:fldCharType="end"/>
            </w:r>
          </w:hyperlink>
        </w:p>
        <w:p w14:paraId="77E9E24A" w14:textId="4A826515" w:rsidR="00796F53" w:rsidRDefault="00796F53">
          <w:pPr>
            <w:pStyle w:val="TOC1"/>
            <w:tabs>
              <w:tab w:val="right" w:leader="dot" w:pos="9016"/>
            </w:tabs>
            <w:rPr>
              <w:rFonts w:eastAsiaTheme="minorEastAsia"/>
              <w:noProof/>
              <w:lang w:eastAsia="en-GB"/>
            </w:rPr>
          </w:pPr>
          <w:hyperlink w:anchor="_Toc129193018" w:history="1">
            <w:r w:rsidRPr="001651DD">
              <w:rPr>
                <w:rStyle w:val="Hyperlink"/>
                <w:rFonts w:ascii="Arial" w:hAnsi="Arial" w:cs="Arial"/>
                <w:noProof/>
              </w:rPr>
              <w:t>2.0 SECTION1: PART1 CULTURAL ANALYSIS OF COUNTRYES FRANCE AND RUSSIA</w:t>
            </w:r>
            <w:r>
              <w:rPr>
                <w:noProof/>
                <w:webHidden/>
              </w:rPr>
              <w:tab/>
            </w:r>
            <w:r>
              <w:rPr>
                <w:noProof/>
                <w:webHidden/>
              </w:rPr>
              <w:fldChar w:fldCharType="begin"/>
            </w:r>
            <w:r>
              <w:rPr>
                <w:noProof/>
                <w:webHidden/>
              </w:rPr>
              <w:instrText xml:space="preserve"> PAGEREF _Toc129193018 \h </w:instrText>
            </w:r>
            <w:r>
              <w:rPr>
                <w:noProof/>
                <w:webHidden/>
              </w:rPr>
            </w:r>
            <w:r>
              <w:rPr>
                <w:noProof/>
                <w:webHidden/>
              </w:rPr>
              <w:fldChar w:fldCharType="separate"/>
            </w:r>
            <w:r w:rsidR="005B1D87">
              <w:rPr>
                <w:noProof/>
                <w:webHidden/>
              </w:rPr>
              <w:t>4</w:t>
            </w:r>
            <w:r>
              <w:rPr>
                <w:noProof/>
                <w:webHidden/>
              </w:rPr>
              <w:fldChar w:fldCharType="end"/>
            </w:r>
          </w:hyperlink>
        </w:p>
        <w:p w14:paraId="629B20E6" w14:textId="6FBABD43" w:rsidR="00796F53" w:rsidRDefault="00796F53">
          <w:pPr>
            <w:pStyle w:val="TOC1"/>
            <w:tabs>
              <w:tab w:val="right" w:leader="dot" w:pos="9016"/>
            </w:tabs>
            <w:rPr>
              <w:rFonts w:eastAsiaTheme="minorEastAsia"/>
              <w:noProof/>
              <w:lang w:eastAsia="en-GB"/>
            </w:rPr>
          </w:pPr>
          <w:hyperlink w:anchor="_Toc129193019" w:history="1">
            <w:r w:rsidRPr="001651DD">
              <w:rPr>
                <w:rStyle w:val="Hyperlink"/>
                <w:rFonts w:ascii="Arial" w:hAnsi="Arial" w:cs="Arial"/>
                <w:noProof/>
              </w:rPr>
              <w:t>3.0  SECTION1: PART2 INSTITUTIONAL ANALISYS OF COUNTRYES FRANCE AND RUSSIA</w:t>
            </w:r>
            <w:r>
              <w:rPr>
                <w:noProof/>
                <w:webHidden/>
              </w:rPr>
              <w:tab/>
            </w:r>
            <w:r>
              <w:rPr>
                <w:noProof/>
                <w:webHidden/>
              </w:rPr>
              <w:fldChar w:fldCharType="begin"/>
            </w:r>
            <w:r>
              <w:rPr>
                <w:noProof/>
                <w:webHidden/>
              </w:rPr>
              <w:instrText xml:space="preserve"> PAGEREF _Toc129193019 \h </w:instrText>
            </w:r>
            <w:r>
              <w:rPr>
                <w:noProof/>
                <w:webHidden/>
              </w:rPr>
            </w:r>
            <w:r>
              <w:rPr>
                <w:noProof/>
                <w:webHidden/>
              </w:rPr>
              <w:fldChar w:fldCharType="separate"/>
            </w:r>
            <w:r w:rsidR="005B1D87">
              <w:rPr>
                <w:noProof/>
                <w:webHidden/>
              </w:rPr>
              <w:t>6</w:t>
            </w:r>
            <w:r>
              <w:rPr>
                <w:noProof/>
                <w:webHidden/>
              </w:rPr>
              <w:fldChar w:fldCharType="end"/>
            </w:r>
          </w:hyperlink>
        </w:p>
        <w:p w14:paraId="744A06AC" w14:textId="78126E04" w:rsidR="00796F53" w:rsidRDefault="00796F53">
          <w:pPr>
            <w:pStyle w:val="TOC1"/>
            <w:tabs>
              <w:tab w:val="right" w:leader="dot" w:pos="9016"/>
            </w:tabs>
            <w:rPr>
              <w:rFonts w:eastAsiaTheme="minorEastAsia"/>
              <w:noProof/>
              <w:lang w:eastAsia="en-GB"/>
            </w:rPr>
          </w:pPr>
          <w:hyperlink w:anchor="_Toc129193020" w:history="1">
            <w:r w:rsidRPr="001651DD">
              <w:rPr>
                <w:rStyle w:val="Hyperlink"/>
                <w:rFonts w:ascii="Arial" w:hAnsi="Arial" w:cs="Arial"/>
                <w:noProof/>
              </w:rPr>
              <w:t>4.0 SECTION 2:PART 1 - M&amp;A RATIONALE AND INTEGRATION STRATEGY</w:t>
            </w:r>
            <w:r>
              <w:rPr>
                <w:noProof/>
                <w:webHidden/>
              </w:rPr>
              <w:tab/>
            </w:r>
            <w:r>
              <w:rPr>
                <w:noProof/>
                <w:webHidden/>
              </w:rPr>
              <w:fldChar w:fldCharType="begin"/>
            </w:r>
            <w:r>
              <w:rPr>
                <w:noProof/>
                <w:webHidden/>
              </w:rPr>
              <w:instrText xml:space="preserve"> PAGEREF _Toc129193020 \h </w:instrText>
            </w:r>
            <w:r>
              <w:rPr>
                <w:noProof/>
                <w:webHidden/>
              </w:rPr>
            </w:r>
            <w:r>
              <w:rPr>
                <w:noProof/>
                <w:webHidden/>
              </w:rPr>
              <w:fldChar w:fldCharType="separate"/>
            </w:r>
            <w:r w:rsidR="005B1D87">
              <w:rPr>
                <w:noProof/>
                <w:webHidden/>
              </w:rPr>
              <w:t>7</w:t>
            </w:r>
            <w:r>
              <w:rPr>
                <w:noProof/>
                <w:webHidden/>
              </w:rPr>
              <w:fldChar w:fldCharType="end"/>
            </w:r>
          </w:hyperlink>
        </w:p>
        <w:p w14:paraId="56EEDCA2" w14:textId="6669DDFD" w:rsidR="00796F53" w:rsidRDefault="00796F53">
          <w:pPr>
            <w:pStyle w:val="TOC1"/>
            <w:tabs>
              <w:tab w:val="right" w:leader="dot" w:pos="9016"/>
            </w:tabs>
            <w:rPr>
              <w:rFonts w:eastAsiaTheme="minorEastAsia"/>
              <w:noProof/>
              <w:lang w:eastAsia="en-GB"/>
            </w:rPr>
          </w:pPr>
          <w:hyperlink w:anchor="_Toc129193021" w:history="1">
            <w:r w:rsidRPr="001651DD">
              <w:rPr>
                <w:rStyle w:val="Hyperlink"/>
                <w:rFonts w:ascii="Arial" w:hAnsi="Arial" w:cs="Arial"/>
                <w:noProof/>
              </w:rPr>
              <w:t>5.0 SECTION2: PART2 – ROLE OF IHRM IN IMPLEMENTING EFFECTIVE M&amp;A</w:t>
            </w:r>
            <w:r>
              <w:rPr>
                <w:noProof/>
                <w:webHidden/>
              </w:rPr>
              <w:tab/>
            </w:r>
            <w:r>
              <w:rPr>
                <w:noProof/>
                <w:webHidden/>
              </w:rPr>
              <w:fldChar w:fldCharType="begin"/>
            </w:r>
            <w:r>
              <w:rPr>
                <w:noProof/>
                <w:webHidden/>
              </w:rPr>
              <w:instrText xml:space="preserve"> PAGEREF _Toc129193021 \h </w:instrText>
            </w:r>
            <w:r>
              <w:rPr>
                <w:noProof/>
                <w:webHidden/>
              </w:rPr>
            </w:r>
            <w:r>
              <w:rPr>
                <w:noProof/>
                <w:webHidden/>
              </w:rPr>
              <w:fldChar w:fldCharType="separate"/>
            </w:r>
            <w:r w:rsidR="005B1D87">
              <w:rPr>
                <w:noProof/>
                <w:webHidden/>
              </w:rPr>
              <w:t>7</w:t>
            </w:r>
            <w:r>
              <w:rPr>
                <w:noProof/>
                <w:webHidden/>
              </w:rPr>
              <w:fldChar w:fldCharType="end"/>
            </w:r>
          </w:hyperlink>
        </w:p>
        <w:p w14:paraId="24931F46" w14:textId="7AF3667C" w:rsidR="00796F53" w:rsidRDefault="00796F53">
          <w:pPr>
            <w:pStyle w:val="TOC1"/>
            <w:tabs>
              <w:tab w:val="right" w:leader="dot" w:pos="9016"/>
            </w:tabs>
            <w:rPr>
              <w:rFonts w:eastAsiaTheme="minorEastAsia"/>
              <w:noProof/>
              <w:lang w:eastAsia="en-GB"/>
            </w:rPr>
          </w:pPr>
          <w:hyperlink w:anchor="_Toc129193022" w:history="1">
            <w:r w:rsidRPr="001651DD">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_Toc129193022 \h </w:instrText>
            </w:r>
            <w:r>
              <w:rPr>
                <w:noProof/>
                <w:webHidden/>
              </w:rPr>
            </w:r>
            <w:r>
              <w:rPr>
                <w:noProof/>
                <w:webHidden/>
              </w:rPr>
              <w:fldChar w:fldCharType="separate"/>
            </w:r>
            <w:r w:rsidR="005B1D87">
              <w:rPr>
                <w:noProof/>
                <w:webHidden/>
              </w:rPr>
              <w:t>8</w:t>
            </w:r>
            <w:r>
              <w:rPr>
                <w:noProof/>
                <w:webHidden/>
              </w:rPr>
              <w:fldChar w:fldCharType="end"/>
            </w:r>
          </w:hyperlink>
        </w:p>
        <w:p w14:paraId="3B2393E7" w14:textId="7C80CFB3" w:rsidR="00796F53" w:rsidRDefault="00796F53">
          <w:pPr>
            <w:pStyle w:val="TOC1"/>
            <w:tabs>
              <w:tab w:val="right" w:leader="dot" w:pos="9016"/>
            </w:tabs>
            <w:rPr>
              <w:rFonts w:eastAsiaTheme="minorEastAsia"/>
              <w:noProof/>
              <w:lang w:eastAsia="en-GB"/>
            </w:rPr>
          </w:pPr>
          <w:hyperlink w:anchor="_Toc129193023" w:history="1">
            <w:r w:rsidRPr="001651DD">
              <w:rPr>
                <w:rStyle w:val="Hyperlink"/>
                <w:rFonts w:ascii="Arial" w:hAnsi="Arial" w:cs="Arial"/>
                <w:noProof/>
              </w:rPr>
              <w:t>7.0 REFERENCE</w:t>
            </w:r>
            <w:r>
              <w:rPr>
                <w:noProof/>
                <w:webHidden/>
              </w:rPr>
              <w:tab/>
            </w:r>
            <w:r>
              <w:rPr>
                <w:noProof/>
                <w:webHidden/>
              </w:rPr>
              <w:fldChar w:fldCharType="begin"/>
            </w:r>
            <w:r>
              <w:rPr>
                <w:noProof/>
                <w:webHidden/>
              </w:rPr>
              <w:instrText xml:space="preserve"> PAGEREF _Toc129193023 \h </w:instrText>
            </w:r>
            <w:r>
              <w:rPr>
                <w:noProof/>
                <w:webHidden/>
              </w:rPr>
            </w:r>
            <w:r>
              <w:rPr>
                <w:noProof/>
                <w:webHidden/>
              </w:rPr>
              <w:fldChar w:fldCharType="separate"/>
            </w:r>
            <w:r w:rsidR="005B1D87">
              <w:rPr>
                <w:noProof/>
                <w:webHidden/>
              </w:rPr>
              <w:t>10</w:t>
            </w:r>
            <w:r>
              <w:rPr>
                <w:noProof/>
                <w:webHidden/>
              </w:rPr>
              <w:fldChar w:fldCharType="end"/>
            </w:r>
          </w:hyperlink>
        </w:p>
        <w:p w14:paraId="23A07EC7" w14:textId="5EEDC5BB" w:rsidR="008B76D0" w:rsidRDefault="008B76D0" w:rsidP="008B76D0">
          <w:pPr>
            <w:spacing w:line="360" w:lineRule="auto"/>
            <w:rPr>
              <w:b/>
              <w:bCs/>
              <w:noProof/>
            </w:rPr>
          </w:pPr>
          <w:r w:rsidRPr="008B76D0">
            <w:rPr>
              <w:rFonts w:ascii="Arial" w:hAnsi="Arial" w:cs="Arial"/>
              <w:b/>
              <w:bCs/>
              <w:noProof/>
              <w:sz w:val="24"/>
              <w:szCs w:val="24"/>
            </w:rPr>
            <w:fldChar w:fldCharType="end"/>
          </w:r>
        </w:p>
      </w:sdtContent>
    </w:sdt>
    <w:p w14:paraId="6E613DB2" w14:textId="0709B7C0" w:rsidR="008B76D0" w:rsidRDefault="008B76D0" w:rsidP="00292394">
      <w:pPr>
        <w:jc w:val="center"/>
        <w:rPr>
          <w:rFonts w:ascii="Arial Black" w:hAnsi="Arial Black"/>
          <w:sz w:val="32"/>
          <w:szCs w:val="32"/>
        </w:rPr>
      </w:pPr>
    </w:p>
    <w:p w14:paraId="55509DB5" w14:textId="370E122B" w:rsidR="00292394" w:rsidRPr="008B76D0" w:rsidRDefault="008B76D0" w:rsidP="008B76D0">
      <w:pPr>
        <w:pStyle w:val="TOCHeading"/>
        <w:rPr>
          <w:rFonts w:ascii="Arial Black" w:hAnsi="Arial Black"/>
        </w:rPr>
      </w:pPr>
      <w:r>
        <w:rPr>
          <w:rFonts w:ascii="Arial Black" w:hAnsi="Arial Black"/>
        </w:rPr>
        <w:br w:type="page"/>
      </w:r>
    </w:p>
    <w:p w14:paraId="0ECA053E" w14:textId="7737D19E" w:rsidR="00292394" w:rsidRDefault="00292394" w:rsidP="00292394">
      <w:pPr>
        <w:jc w:val="center"/>
        <w:rPr>
          <w:rFonts w:ascii="Arial Black" w:hAnsi="Arial Black"/>
          <w:sz w:val="32"/>
          <w:szCs w:val="32"/>
        </w:rPr>
      </w:pPr>
    </w:p>
    <w:p w14:paraId="0F990BCA" w14:textId="75FE9801" w:rsidR="00D4046F" w:rsidRPr="00A159A6" w:rsidRDefault="007F3A12" w:rsidP="007F3A12">
      <w:pPr>
        <w:pStyle w:val="Heading1"/>
        <w:rPr>
          <w:rFonts w:ascii="Arial" w:hAnsi="Arial" w:cs="Arial"/>
          <w:sz w:val="24"/>
          <w:szCs w:val="24"/>
        </w:rPr>
      </w:pPr>
      <w:bookmarkStart w:id="0" w:name="_Toc129193017"/>
      <w:r w:rsidRPr="00A159A6">
        <w:rPr>
          <w:rFonts w:ascii="Arial" w:hAnsi="Arial" w:cs="Arial"/>
          <w:sz w:val="24"/>
          <w:szCs w:val="24"/>
        </w:rPr>
        <w:t xml:space="preserve">1.0 </w:t>
      </w:r>
      <w:r w:rsidR="00D4046F" w:rsidRPr="00A159A6">
        <w:rPr>
          <w:rFonts w:ascii="Arial" w:hAnsi="Arial" w:cs="Arial"/>
          <w:sz w:val="24"/>
          <w:szCs w:val="24"/>
        </w:rPr>
        <w:t>INTRODUCTION</w:t>
      </w:r>
      <w:bookmarkEnd w:id="0"/>
    </w:p>
    <w:p w14:paraId="4A9047AE" w14:textId="77777777" w:rsidR="007F3A12" w:rsidRPr="007F3A12" w:rsidRDefault="007F3A12" w:rsidP="007F3A12"/>
    <w:p w14:paraId="705A9CD7" w14:textId="01F47D08" w:rsidR="00790F01" w:rsidRPr="007F3A12" w:rsidRDefault="00D4046F" w:rsidP="00292394">
      <w:pPr>
        <w:spacing w:line="360" w:lineRule="auto"/>
        <w:rPr>
          <w:rFonts w:ascii="Arial" w:hAnsi="Arial" w:cs="Arial"/>
        </w:rPr>
      </w:pPr>
      <w:r>
        <w:rPr>
          <w:rFonts w:ascii="Arial" w:hAnsi="Arial" w:cs="Arial"/>
        </w:rPr>
        <w:t xml:space="preserve">     </w:t>
      </w:r>
      <w:r w:rsidR="00292394" w:rsidRPr="007F3A12">
        <w:rPr>
          <w:rFonts w:ascii="Arial" w:hAnsi="Arial" w:cs="Arial"/>
        </w:rPr>
        <w:t>Total Energies was founded in 1924 with the goal of enabling France to play a significant role in the big oil and gas adventure, and it has always been motivated by a true pioneering spirit. Some of the world's most fruitful fields have been found by it. Its refineries have produced ever-more complex goods, and its large distribution network has offered a wide variety of services.</w:t>
      </w:r>
      <w:r w:rsidR="008F0F0B" w:rsidRPr="007F3A12">
        <w:rPr>
          <w:rFonts w:ascii="Arial" w:hAnsi="Arial" w:cs="Arial"/>
        </w:rPr>
        <w:t xml:space="preserve"> The firm is solidifying its competitive edge and continuing to enhance output while maintaining an unshakable commitment to the safety of people and property in order to face the major challenges in the oil and gas sector as well as the demands of our partners and stakeholders.</w:t>
      </w:r>
    </w:p>
    <w:p w14:paraId="0D31E5FB" w14:textId="2B046E90" w:rsidR="00790F01" w:rsidRPr="007F3A12" w:rsidRDefault="00790F01" w:rsidP="00790F01">
      <w:pPr>
        <w:spacing w:line="360" w:lineRule="auto"/>
        <w:rPr>
          <w:rFonts w:ascii="Arial" w:hAnsi="Arial" w:cs="Arial"/>
        </w:rPr>
      </w:pPr>
      <w:r w:rsidRPr="007F3A12">
        <w:rPr>
          <w:rFonts w:ascii="Arial" w:hAnsi="Arial" w:cs="Arial"/>
        </w:rPr>
        <w:t xml:space="preserve">     In order to create the oil industry group LangepasUrayKogalym (LUKOIL), the Russian Soviet Federal Socialist Republic issued Regulation No. 18 on November 25, 1991. This regulation consolidated the three oil production enterprises Kogalym, Langepas, and Uray as well as a number of refineries, including those in Perm and Volgograd.The first initials of the names of the cities of Langepas, Urai, and Kogalym, which are the locations of the Company's principal oil-producing subsidiaries, were combined to form the name LUKOIL. Ravil Maganov, who was Langepasneftegaz's director general at the time, suggested the name.</w:t>
      </w:r>
      <w:r w:rsidR="00AC16B0" w:rsidRPr="007F3A12">
        <w:rPr>
          <w:rFonts w:ascii="Arial" w:hAnsi="Arial" w:cs="Arial"/>
        </w:rPr>
        <w:t xml:space="preserve"> </w:t>
      </w:r>
    </w:p>
    <w:p w14:paraId="70829CEB" w14:textId="5E0A675C" w:rsidR="007F051F" w:rsidRPr="007F3A12" w:rsidRDefault="007F051F" w:rsidP="00790F01">
      <w:pPr>
        <w:spacing w:line="360" w:lineRule="auto"/>
        <w:rPr>
          <w:rFonts w:ascii="Arial" w:hAnsi="Arial" w:cs="Arial"/>
        </w:rPr>
      </w:pPr>
      <w:r w:rsidRPr="007F3A12">
        <w:rPr>
          <w:rFonts w:ascii="Arial" w:hAnsi="Arial" w:cs="Arial"/>
        </w:rPr>
        <w:t xml:space="preserve">     TotaleEnergies </w:t>
      </w:r>
      <w:r w:rsidR="009A44E8" w:rsidRPr="007F3A12">
        <w:rPr>
          <w:rFonts w:ascii="Arial" w:hAnsi="Arial" w:cs="Arial"/>
        </w:rPr>
        <w:t>C</w:t>
      </w:r>
      <w:r w:rsidRPr="007F3A12">
        <w:rPr>
          <w:rFonts w:ascii="Arial" w:hAnsi="Arial" w:cs="Arial"/>
        </w:rPr>
        <w:t xml:space="preserve">urrently employing over 10,000 people throughout France, the business is renowned for its aggressive pricing, first-rate customer support, and </w:t>
      </w:r>
      <w:r w:rsidR="00D4046F" w:rsidRPr="007F3A12">
        <w:rPr>
          <w:rFonts w:ascii="Arial" w:hAnsi="Arial" w:cs="Arial"/>
        </w:rPr>
        <w:t>innovative</w:t>
      </w:r>
      <w:r w:rsidRPr="007F3A12">
        <w:rPr>
          <w:rFonts w:ascii="Arial" w:hAnsi="Arial" w:cs="Arial"/>
        </w:rPr>
        <w:t xml:space="preserve"> products. EDF, Engie, Eni, and Direct Energie are the major rivals of TotaleEnergies. Residential and business clients make up the company's clientele, and it places a strong emphasis on offering </w:t>
      </w:r>
      <w:r w:rsidR="00D4046F" w:rsidRPr="007F3A12">
        <w:rPr>
          <w:rFonts w:ascii="Arial" w:hAnsi="Arial" w:cs="Arial"/>
        </w:rPr>
        <w:t>innovative</w:t>
      </w:r>
      <w:r w:rsidRPr="007F3A12">
        <w:rPr>
          <w:rFonts w:ascii="Arial" w:hAnsi="Arial" w:cs="Arial"/>
        </w:rPr>
        <w:t xml:space="preserve"> energy solutions that are tailored to each market segment's requirements. Although they have operations in other nations including Spain, Italy, Germany, the UK, and the US, its clientele are predominantly in </w:t>
      </w:r>
      <w:r w:rsidR="003B5C74" w:rsidRPr="007F3A12">
        <w:rPr>
          <w:rFonts w:ascii="Arial" w:hAnsi="Arial" w:cs="Arial"/>
        </w:rPr>
        <w:t>France.</w:t>
      </w:r>
    </w:p>
    <w:p w14:paraId="054F0087" w14:textId="4A0B79E2" w:rsidR="00B727C3" w:rsidRPr="007F3A12" w:rsidRDefault="00B727C3" w:rsidP="00B727C3">
      <w:pPr>
        <w:spacing w:line="360" w:lineRule="auto"/>
        <w:rPr>
          <w:rFonts w:ascii="Arial" w:hAnsi="Arial" w:cs="Arial"/>
        </w:rPr>
      </w:pPr>
      <w:r w:rsidRPr="007F3A12">
        <w:rPr>
          <w:rFonts w:ascii="Arial" w:hAnsi="Arial" w:cs="Arial"/>
        </w:rPr>
        <w:t xml:space="preserve">     Russian transnational energy company Lukoil was established in 1991. With a market share of 11.9%, it is the </w:t>
      </w:r>
      <w:r w:rsidR="003B5C74" w:rsidRPr="007F3A12">
        <w:rPr>
          <w:rFonts w:ascii="Arial" w:hAnsi="Arial" w:cs="Arial"/>
        </w:rPr>
        <w:t>second largest</w:t>
      </w:r>
      <w:r w:rsidRPr="007F3A12">
        <w:rPr>
          <w:rFonts w:ascii="Arial" w:hAnsi="Arial" w:cs="Arial"/>
        </w:rPr>
        <w:t xml:space="preserve"> publicly traded oil and gas corporation in the world and the biggest business in Russia. With over 100,000 people and a presence in more than 40 nations, Lukoil competes primarily with ExxonMobil, Royal Dutch Shell, BP, and Chevron.</w:t>
      </w:r>
    </w:p>
    <w:p w14:paraId="4FEC119D" w14:textId="59870AAD" w:rsidR="00B727C3" w:rsidRPr="007F3A12" w:rsidRDefault="00B727C3" w:rsidP="00B727C3">
      <w:pPr>
        <w:spacing w:line="360" w:lineRule="auto"/>
        <w:rPr>
          <w:rFonts w:ascii="Arial" w:hAnsi="Arial" w:cs="Arial"/>
        </w:rPr>
      </w:pPr>
      <w:r w:rsidRPr="007F3A12">
        <w:rPr>
          <w:rFonts w:ascii="Arial" w:hAnsi="Arial" w:cs="Arial"/>
        </w:rPr>
        <w:t xml:space="preserve">Lukoil has operations in several nations across the world, with a particular emphasis on the Russian and Central Asian markets. With a market share of 24.8% in Russia, Lukoil is the biggest oil and gas business there. It is also the second-largest oil and gas producer in Central Asia. Additionally, Lukoil has sizable activities in North America, Europe, Africa, and </w:t>
      </w:r>
      <w:r w:rsidRPr="007F3A12">
        <w:rPr>
          <w:rFonts w:ascii="Arial" w:hAnsi="Arial" w:cs="Arial"/>
        </w:rPr>
        <w:lastRenderedPageBreak/>
        <w:t>the Middle East. Customers of Lukoil include both businesses and private individuals, with a concentration on providing oil, gas, and other energy supplies to a variety of industries. Oil and gas exploration and production, refining, petrochemicals, marketing, and retail are all included in the company's range of goods and services. Overall, Lukoil is a significant participant in the global oil and gas sector and is well-positioned to profit from its clients' future energy demands.</w:t>
      </w:r>
    </w:p>
    <w:p w14:paraId="266625C7" w14:textId="0D8675B0" w:rsidR="00AD6AF0" w:rsidRPr="00A159A6" w:rsidRDefault="00B727C3" w:rsidP="00A159A6">
      <w:pPr>
        <w:pStyle w:val="Heading1"/>
        <w:rPr>
          <w:rFonts w:ascii="Arial" w:hAnsi="Arial" w:cs="Arial"/>
          <w:sz w:val="24"/>
          <w:szCs w:val="24"/>
        </w:rPr>
      </w:pPr>
      <w:r w:rsidRPr="007F3A12">
        <w:t xml:space="preserve">   </w:t>
      </w:r>
      <w:r w:rsidRPr="00A159A6">
        <w:rPr>
          <w:rFonts w:ascii="Arial" w:hAnsi="Arial" w:cs="Arial"/>
        </w:rPr>
        <w:t xml:space="preserve"> </w:t>
      </w:r>
      <w:bookmarkStart w:id="1" w:name="_Toc129193018"/>
      <w:r w:rsidR="00A159A6" w:rsidRPr="00A159A6">
        <w:rPr>
          <w:rFonts w:ascii="Arial" w:hAnsi="Arial" w:cs="Arial"/>
          <w:sz w:val="24"/>
          <w:szCs w:val="24"/>
        </w:rPr>
        <w:t>2.0</w:t>
      </w:r>
      <w:r w:rsidRPr="00A159A6">
        <w:rPr>
          <w:rFonts w:ascii="Arial" w:hAnsi="Arial" w:cs="Arial"/>
          <w:sz w:val="24"/>
          <w:szCs w:val="24"/>
        </w:rPr>
        <w:t xml:space="preserve"> SECTION1: PART1 CULTURAL ANALYSIS OF COUNTRYES FRANCE AND RUSSIA</w:t>
      </w:r>
      <w:bookmarkEnd w:id="1"/>
    </w:p>
    <w:p w14:paraId="4865B6E5" w14:textId="1CDDA8BD" w:rsidR="00A159A6" w:rsidRDefault="004566F9" w:rsidP="00A159A6">
      <w:r>
        <w:rPr>
          <w:noProof/>
        </w:rPr>
        <w:drawing>
          <wp:inline distT="0" distB="0" distL="0" distR="0" wp14:anchorId="7E9F1DDE" wp14:editId="64DBA060">
            <wp:extent cx="5731510" cy="2127250"/>
            <wp:effectExtent l="0" t="0" r="2540" b="635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127250"/>
                    </a:xfrm>
                    <a:prstGeom prst="rect">
                      <a:avLst/>
                    </a:prstGeom>
                  </pic:spPr>
                </pic:pic>
              </a:graphicData>
            </a:graphic>
          </wp:inline>
        </w:drawing>
      </w:r>
    </w:p>
    <w:p w14:paraId="35602053" w14:textId="77777777" w:rsidR="004566F9" w:rsidRDefault="004566F9" w:rsidP="00A159A6"/>
    <w:p w14:paraId="734ED295" w14:textId="41B39FD3" w:rsidR="004566F9" w:rsidRDefault="004566F9" w:rsidP="00AA5DFB">
      <w:pPr>
        <w:spacing w:line="360" w:lineRule="auto"/>
        <w:rPr>
          <w:rFonts w:ascii="Arial" w:hAnsi="Arial" w:cs="Arial"/>
          <w:color w:val="353740"/>
        </w:rPr>
      </w:pPr>
      <w:r>
        <w:t xml:space="preserve">   </w:t>
      </w:r>
      <w:r w:rsidR="00391618">
        <w:t xml:space="preserve"> </w:t>
      </w:r>
      <w:r w:rsidR="00AE16A2" w:rsidRPr="00AE16A2">
        <w:rPr>
          <w:rFonts w:ascii="Arial" w:hAnsi="Arial" w:cs="Arial"/>
          <w:color w:val="353740"/>
        </w:rPr>
        <w:t>According to Hofstede (1980), “Culture is the collective programming of the mind which distinguishes the members of one human group from another.”</w:t>
      </w:r>
      <w:r w:rsidR="00503309">
        <w:rPr>
          <w:rFonts w:ascii="Arial" w:hAnsi="Arial" w:cs="Arial"/>
          <w:color w:val="353740"/>
        </w:rPr>
        <w:t xml:space="preserve"> Using </w:t>
      </w:r>
      <w:r w:rsidR="004F2C6A">
        <w:rPr>
          <w:rFonts w:ascii="Arial" w:hAnsi="Arial" w:cs="Arial"/>
          <w:color w:val="353740"/>
        </w:rPr>
        <w:t xml:space="preserve">Hofstede </w:t>
      </w:r>
      <w:r w:rsidR="003B5C74">
        <w:rPr>
          <w:rFonts w:ascii="Arial" w:hAnsi="Arial" w:cs="Arial"/>
          <w:color w:val="353740"/>
        </w:rPr>
        <w:t>insight,</w:t>
      </w:r>
      <w:r w:rsidR="004F2C6A">
        <w:rPr>
          <w:rFonts w:ascii="Arial" w:hAnsi="Arial" w:cs="Arial"/>
          <w:color w:val="353740"/>
        </w:rPr>
        <w:t xml:space="preserve"> </w:t>
      </w:r>
      <w:r w:rsidR="00464260">
        <w:rPr>
          <w:rFonts w:ascii="Arial" w:hAnsi="Arial" w:cs="Arial"/>
          <w:color w:val="353740"/>
        </w:rPr>
        <w:t xml:space="preserve">it will show the next analysis about our </w:t>
      </w:r>
      <w:r w:rsidR="003B5C74">
        <w:rPr>
          <w:rFonts w:ascii="Arial" w:hAnsi="Arial" w:cs="Arial"/>
          <w:color w:val="353740"/>
        </w:rPr>
        <w:t>2-home</w:t>
      </w:r>
      <w:r w:rsidR="00464260">
        <w:rPr>
          <w:rFonts w:ascii="Arial" w:hAnsi="Arial" w:cs="Arial"/>
          <w:color w:val="353740"/>
        </w:rPr>
        <w:t xml:space="preserve"> co</w:t>
      </w:r>
      <w:r w:rsidR="00964429">
        <w:rPr>
          <w:rFonts w:ascii="Arial" w:hAnsi="Arial" w:cs="Arial"/>
          <w:color w:val="353740"/>
        </w:rPr>
        <w:t xml:space="preserve">untry: </w:t>
      </w:r>
    </w:p>
    <w:p w14:paraId="663CE4E4" w14:textId="4C53A361" w:rsidR="00E94CDA" w:rsidRDefault="00E94CDA" w:rsidP="00AA5DFB">
      <w:pPr>
        <w:spacing w:line="360" w:lineRule="auto"/>
        <w:rPr>
          <w:rFonts w:ascii="Arial" w:hAnsi="Arial" w:cs="Arial"/>
          <w:color w:val="353740"/>
        </w:rPr>
      </w:pPr>
      <w:r>
        <w:rPr>
          <w:rFonts w:ascii="Arial" w:hAnsi="Arial" w:cs="Arial"/>
          <w:color w:val="353740"/>
        </w:rPr>
        <w:t xml:space="preserve">   </w:t>
      </w:r>
      <w:r w:rsidR="00376805">
        <w:rPr>
          <w:rFonts w:ascii="Arial" w:hAnsi="Arial" w:cs="Arial"/>
          <w:color w:val="353740"/>
        </w:rPr>
        <w:t>1.</w:t>
      </w:r>
      <w:r>
        <w:rPr>
          <w:rFonts w:ascii="Arial" w:hAnsi="Arial" w:cs="Arial"/>
          <w:color w:val="353740"/>
        </w:rPr>
        <w:t xml:space="preserve"> </w:t>
      </w:r>
      <w:r w:rsidR="00AA5DFB" w:rsidRPr="00AA5DFB">
        <w:rPr>
          <w:rFonts w:ascii="Arial" w:hAnsi="Arial" w:cs="Arial"/>
          <w:color w:val="353740"/>
        </w:rPr>
        <w:t xml:space="preserve">France does admirably in Power Distance, scoring 68. In some ways, parents nurture their kids to be emotionally reliant on them. This dependence will eventually be extended to superiors and teachers. So, it is a society where a certain amount of inequality is tolerated. </w:t>
      </w:r>
      <w:r w:rsidR="000520B5" w:rsidRPr="000520B5">
        <w:rPr>
          <w:rFonts w:ascii="Arial" w:hAnsi="Arial" w:cs="Arial"/>
          <w:color w:val="353740"/>
        </w:rPr>
        <w:t xml:space="preserve">Power brokers in Russia, which had a score of 93, are quite far apart from society. The fact that the world's greatest nation is highly centralized—80% of all financial potential is concentrated in Moscow, where two-thirds of all foreign investments are made—underscores this. Status symbols are very important because of the enormous gap between the powerful and the less powerful. </w:t>
      </w:r>
    </w:p>
    <w:p w14:paraId="3DC82AF1" w14:textId="110EE1B3" w:rsidR="00F32802" w:rsidRDefault="00F32802" w:rsidP="00AA5DFB">
      <w:pPr>
        <w:spacing w:line="360" w:lineRule="auto"/>
        <w:rPr>
          <w:rFonts w:ascii="Arial" w:hAnsi="Arial" w:cs="Arial"/>
          <w:color w:val="353740"/>
        </w:rPr>
      </w:pPr>
      <w:r>
        <w:rPr>
          <w:rFonts w:ascii="Arial" w:hAnsi="Arial" w:cs="Arial"/>
          <w:color w:val="353740"/>
        </w:rPr>
        <w:t xml:space="preserve">    2. </w:t>
      </w:r>
      <w:r w:rsidRPr="00F32802">
        <w:rPr>
          <w:rFonts w:ascii="Arial" w:hAnsi="Arial" w:cs="Arial"/>
          <w:color w:val="353740"/>
        </w:rPr>
        <w:t>With a score of 71, France is demonstrated to be an individualist society. Parents help their kids develop emotional independence in relation to the social groups to which they belong. This implies that one should solely focus on taking care of themselves and their families.</w:t>
      </w:r>
      <w:r w:rsidR="005914C7">
        <w:rPr>
          <w:rFonts w:ascii="Arial" w:hAnsi="Arial" w:cs="Arial"/>
          <w:color w:val="353740"/>
        </w:rPr>
        <w:t xml:space="preserve"> </w:t>
      </w:r>
      <w:r w:rsidR="005914C7" w:rsidRPr="005914C7">
        <w:rPr>
          <w:rFonts w:ascii="Arial" w:hAnsi="Arial" w:cs="Arial"/>
          <w:color w:val="353740"/>
        </w:rPr>
        <w:t xml:space="preserve">The primary concern this dimension attempts to address is the level of interdependence a society maintains among its constituents. For example, Russians would literally say "We with friends" instead of "I and my friends" when discussing plans to go out, </w:t>
      </w:r>
      <w:r w:rsidR="005914C7" w:rsidRPr="005914C7">
        <w:rPr>
          <w:rFonts w:ascii="Arial" w:hAnsi="Arial" w:cs="Arial"/>
          <w:color w:val="353740"/>
        </w:rPr>
        <w:lastRenderedPageBreak/>
        <w:t>and they may refer to their brothers and sisters as cousins. As a result, a lower score of 39 even manifests itself in the language.</w:t>
      </w:r>
    </w:p>
    <w:p w14:paraId="258B9A60" w14:textId="4D4DD80B" w:rsidR="005914C7" w:rsidRDefault="005914C7" w:rsidP="00AA5DFB">
      <w:pPr>
        <w:spacing w:line="360" w:lineRule="auto"/>
        <w:rPr>
          <w:rFonts w:ascii="Arial" w:hAnsi="Arial" w:cs="Arial"/>
          <w:color w:val="353740"/>
        </w:rPr>
      </w:pPr>
      <w:r>
        <w:rPr>
          <w:rFonts w:ascii="Arial" w:hAnsi="Arial" w:cs="Arial"/>
          <w:color w:val="353740"/>
        </w:rPr>
        <w:t xml:space="preserve">    3. </w:t>
      </w:r>
      <w:r w:rsidR="0072388C" w:rsidRPr="0072388C">
        <w:rPr>
          <w:rFonts w:ascii="Arial" w:hAnsi="Arial" w:cs="Arial"/>
          <w:color w:val="353740"/>
        </w:rPr>
        <w:t>France has a somewhat feminine culture, scoring 43. This may be implied by its well-known social security system (</w:t>
      </w:r>
      <w:r w:rsidR="00490DBA" w:rsidRPr="0072388C">
        <w:rPr>
          <w:rFonts w:ascii="Arial" w:hAnsi="Arial" w:cs="Arial"/>
          <w:color w:val="353740"/>
        </w:rPr>
        <w:t>security</w:t>
      </w:r>
      <w:r w:rsidR="0072388C" w:rsidRPr="0072388C">
        <w:rPr>
          <w:rFonts w:ascii="Arial" w:hAnsi="Arial" w:cs="Arial"/>
          <w:color w:val="353740"/>
        </w:rPr>
        <w:t xml:space="preserve"> sociale), 35-hour workweek, five weeks of annual vacation, and emphasis on quality of life. But, French culture as a model has another distinctive quality. Working class members score Masculine, whereas higher class members score Feminine.</w:t>
      </w:r>
      <w:r w:rsidR="00B82F5E">
        <w:rPr>
          <w:rFonts w:ascii="Arial" w:hAnsi="Arial" w:cs="Arial"/>
          <w:color w:val="353740"/>
        </w:rPr>
        <w:t xml:space="preserve"> </w:t>
      </w:r>
      <w:r w:rsidR="00B82F5E" w:rsidRPr="00B82F5E">
        <w:rPr>
          <w:rFonts w:ascii="Arial" w:hAnsi="Arial" w:cs="Arial"/>
          <w:color w:val="353740"/>
        </w:rPr>
        <w:t>Regarding its predilection for status symbols, Russia's comparatively low score of 36 may come as a surprise, but they are tied to the country's high Power Distance. On closer inspection, one may discover that Russians tend to downplay their own accomplishments, contributions, and talents both at work and while interacting with others.</w:t>
      </w:r>
    </w:p>
    <w:p w14:paraId="7ADF9CE4" w14:textId="0F185D43" w:rsidR="00D156C7" w:rsidRDefault="00D156C7" w:rsidP="00E27CBD">
      <w:pPr>
        <w:spacing w:line="360" w:lineRule="auto"/>
        <w:rPr>
          <w:rFonts w:ascii="Arial" w:hAnsi="Arial" w:cs="Arial"/>
          <w:color w:val="353740"/>
        </w:rPr>
      </w:pPr>
      <w:r>
        <w:rPr>
          <w:rFonts w:ascii="Arial" w:hAnsi="Arial" w:cs="Arial"/>
          <w:color w:val="353740"/>
        </w:rPr>
        <w:t xml:space="preserve">    4. </w:t>
      </w:r>
      <w:r w:rsidR="00E27CBD" w:rsidRPr="00E27CBD">
        <w:rPr>
          <w:rFonts w:ascii="Arial" w:hAnsi="Arial" w:cs="Arial"/>
          <w:color w:val="353740"/>
        </w:rPr>
        <w:t>French culture ranks well on uncertainty avoidance with a score of 86. These examples show this to be the case:</w:t>
      </w:r>
      <w:r w:rsidR="007F3371">
        <w:rPr>
          <w:rFonts w:ascii="Arial" w:hAnsi="Arial" w:cs="Arial"/>
          <w:color w:val="353740"/>
        </w:rPr>
        <w:t xml:space="preserve"> </w:t>
      </w:r>
      <w:r w:rsidR="00E27CBD" w:rsidRPr="00E27CBD">
        <w:rPr>
          <w:rFonts w:ascii="Arial" w:hAnsi="Arial" w:cs="Arial"/>
          <w:color w:val="353740"/>
        </w:rPr>
        <w:t xml:space="preserve">Surprises don't appeal to the French. Planning and structure are necessary. They prefer to have all relevant information before meetings and discussions. </w:t>
      </w:r>
      <w:r w:rsidR="0068120D" w:rsidRPr="0068120D">
        <w:rPr>
          <w:rFonts w:ascii="Arial" w:hAnsi="Arial" w:cs="Arial"/>
          <w:color w:val="353740"/>
        </w:rPr>
        <w:t>Getting 95 Russians have one of the most intricate bureaucracies in the world and feel particularly intimidated by uncertain circumstances. Presentations are either poorly planned or completely unprepared, as is the case when negotiations are just getting underway and the emphasis is on developing relationships. Moreover, thorough preparation and briefing are fairly typical. Russians like to know the context and history.</w:t>
      </w:r>
    </w:p>
    <w:p w14:paraId="169081F0" w14:textId="51D57E6F" w:rsidR="0068120D" w:rsidRDefault="0068120D" w:rsidP="00E27CBD">
      <w:pPr>
        <w:spacing w:line="360" w:lineRule="auto"/>
        <w:rPr>
          <w:rFonts w:ascii="Arial" w:hAnsi="Arial" w:cs="Arial"/>
          <w:color w:val="353740"/>
        </w:rPr>
      </w:pPr>
      <w:r>
        <w:rPr>
          <w:rFonts w:ascii="Arial" w:hAnsi="Arial" w:cs="Arial"/>
          <w:color w:val="353740"/>
        </w:rPr>
        <w:t xml:space="preserve">    5.</w:t>
      </w:r>
      <w:r w:rsidR="00E41162">
        <w:rPr>
          <w:rFonts w:ascii="Arial" w:hAnsi="Arial" w:cs="Arial"/>
          <w:color w:val="353740"/>
        </w:rPr>
        <w:t xml:space="preserve"> </w:t>
      </w:r>
      <w:r w:rsidR="00E41162" w:rsidRPr="00E41162">
        <w:rPr>
          <w:rFonts w:ascii="Arial" w:hAnsi="Arial" w:cs="Arial"/>
          <w:color w:val="353740"/>
        </w:rPr>
        <w:t>France has a high score (63), making it pragmatist. People in pragmatic civilizations hold the view that situation, context, and time all play a significant role in determining what is true. They demonstrate a capacity to readily adjust traditions to new circumstances, a high predisposition to save and invest, thriftiness, and persistence in getting things done.</w:t>
      </w:r>
      <w:r w:rsidR="00E41162">
        <w:rPr>
          <w:rFonts w:ascii="Arial" w:hAnsi="Arial" w:cs="Arial"/>
          <w:color w:val="353740"/>
        </w:rPr>
        <w:t xml:space="preserve"> </w:t>
      </w:r>
      <w:r w:rsidR="00514F02" w:rsidRPr="00514F02">
        <w:rPr>
          <w:rFonts w:ascii="Arial" w:hAnsi="Arial" w:cs="Arial"/>
          <w:color w:val="353740"/>
        </w:rPr>
        <w:t>Russia has a very high pragmatic attitude score of 81, making it clear that nation. People in pragmatic civilizations hold the view that situation, context, and time all play a significant role in determining what is true. They exhibit a high desire to save money and invest it, and they can readily adjust their customs to changing circumstances.</w:t>
      </w:r>
    </w:p>
    <w:p w14:paraId="132E2831" w14:textId="24C14A22" w:rsidR="00514F02" w:rsidRPr="00AE16A2" w:rsidRDefault="00514F02" w:rsidP="00E27CBD">
      <w:pPr>
        <w:spacing w:line="360" w:lineRule="auto"/>
        <w:rPr>
          <w:rFonts w:ascii="Arial" w:hAnsi="Arial" w:cs="Arial"/>
        </w:rPr>
      </w:pPr>
      <w:r>
        <w:rPr>
          <w:rFonts w:ascii="Arial" w:hAnsi="Arial" w:cs="Arial"/>
          <w:color w:val="353740"/>
        </w:rPr>
        <w:t xml:space="preserve">    6.</w:t>
      </w:r>
      <w:r w:rsidR="007C22AE">
        <w:rPr>
          <w:rFonts w:ascii="Arial" w:hAnsi="Arial" w:cs="Arial"/>
          <w:color w:val="353740"/>
        </w:rPr>
        <w:t xml:space="preserve"> </w:t>
      </w:r>
      <w:r w:rsidR="00F34E64" w:rsidRPr="00F34E64">
        <w:rPr>
          <w:rFonts w:ascii="Arial" w:hAnsi="Arial" w:cs="Arial"/>
          <w:color w:val="353740"/>
        </w:rPr>
        <w:t>When it comes to the balance between indulgence and restraint, France comes in somewhere in the centre (48). This suggests that the French are less laid back and enjoy life less frequently than is generally believed, especially in light of their high Uncertainty Avoidance score.</w:t>
      </w:r>
      <w:r w:rsidR="00F34E64">
        <w:rPr>
          <w:rFonts w:ascii="Arial" w:hAnsi="Arial" w:cs="Arial"/>
          <w:color w:val="353740"/>
        </w:rPr>
        <w:t xml:space="preserve"> </w:t>
      </w:r>
      <w:r w:rsidR="002E00CE" w:rsidRPr="002E00CE">
        <w:rPr>
          <w:rFonts w:ascii="Arial" w:hAnsi="Arial" w:cs="Arial"/>
          <w:color w:val="353740"/>
        </w:rPr>
        <w:t>With a very poor score of 20, Russian culture readily demonstrates its Restrained character. Cultures that score poorly on this dimension tend to be cynical and pessimistic. Restrained cultures also place less value on leisure time and restrict the satisfaction of their wishes than Indulgent societies do.</w:t>
      </w:r>
      <w:r w:rsidR="002E00CE">
        <w:rPr>
          <w:rFonts w:ascii="Arial" w:hAnsi="Arial" w:cs="Arial"/>
          <w:color w:val="353740"/>
        </w:rPr>
        <w:t xml:space="preserve"> </w:t>
      </w:r>
    </w:p>
    <w:p w14:paraId="5EFCFFFC" w14:textId="32BD558A" w:rsidR="00CD743D" w:rsidRPr="00A159A6" w:rsidRDefault="00CD743D" w:rsidP="00A159A6">
      <w:pPr>
        <w:pStyle w:val="Heading1"/>
        <w:rPr>
          <w:rFonts w:ascii="Arial" w:hAnsi="Arial" w:cs="Arial"/>
          <w:sz w:val="24"/>
          <w:szCs w:val="24"/>
        </w:rPr>
      </w:pPr>
      <w:r w:rsidRPr="007F3A12">
        <w:lastRenderedPageBreak/>
        <w:t xml:space="preserve">  </w:t>
      </w:r>
      <w:bookmarkStart w:id="2" w:name="_Toc129193019"/>
      <w:r w:rsidR="003B5C74" w:rsidRPr="00A159A6">
        <w:rPr>
          <w:rFonts w:ascii="Arial" w:hAnsi="Arial" w:cs="Arial"/>
          <w:sz w:val="24"/>
          <w:szCs w:val="24"/>
        </w:rPr>
        <w:t>3.0 SECTION</w:t>
      </w:r>
      <w:r w:rsidRPr="00A159A6">
        <w:rPr>
          <w:rFonts w:ascii="Arial" w:hAnsi="Arial" w:cs="Arial"/>
          <w:sz w:val="24"/>
          <w:szCs w:val="24"/>
        </w:rPr>
        <w:t>1: PART2 INSTITUTIONAL ANALISYS OF COUNTRYES FRANCE AND RUSSIA</w:t>
      </w:r>
      <w:bookmarkEnd w:id="2"/>
    </w:p>
    <w:p w14:paraId="63647A58" w14:textId="77777777" w:rsidR="00A159A6" w:rsidRPr="00A159A6" w:rsidRDefault="00A159A6" w:rsidP="00A159A6"/>
    <w:p w14:paraId="072B213A" w14:textId="2A9412DC" w:rsidR="00DF0AFA" w:rsidRPr="007F3A12" w:rsidRDefault="00DF0AFA" w:rsidP="00790F01">
      <w:pPr>
        <w:spacing w:line="360" w:lineRule="auto"/>
        <w:rPr>
          <w:rFonts w:ascii="Arial" w:hAnsi="Arial" w:cs="Arial"/>
        </w:rPr>
      </w:pPr>
      <w:r w:rsidRPr="007F3A12">
        <w:rPr>
          <w:rFonts w:ascii="Arial" w:hAnsi="Arial" w:cs="Arial"/>
        </w:rPr>
        <w:t xml:space="preserve">     The fundamental components of a political economy framework are outlined by Scott (1995), who describes how the interaction of the state, economy, and social institutions </w:t>
      </w:r>
      <w:r w:rsidR="00D4046F" w:rsidRPr="007F3A12">
        <w:rPr>
          <w:rFonts w:ascii="Arial" w:hAnsi="Arial" w:cs="Arial"/>
        </w:rPr>
        <w:t>influence</w:t>
      </w:r>
      <w:r w:rsidRPr="007F3A12">
        <w:rPr>
          <w:rFonts w:ascii="Arial" w:hAnsi="Arial" w:cs="Arial"/>
        </w:rPr>
        <w:t xml:space="preserve"> the growth of international human resource management (IHRM) practises. The government, French corporate culture, and the French labour market are the three primary political, economic, and social institutions influencing IHRM practises in France. Due to its authority over employment legislation and regulations, the French government has a substantial impact on IHRM practises. This entails establishing minimum pay and benefits as well as passing legislation to safeguard workers from unfair practises and discrimination. The limits for the terms and conditions of employment are established by this, and as a result, the manner in which companies can build up their HR policies and practises are also determined. This directly affects IHRM practises. IHRM procedures are significantly impacted by the French corporate culture. The French have a propensity for a more hierarchical management style as well as a dislike of risk-taking and change. Employers often choose a more conventional approach to HR management and are less inclined to adopt creative or current HR methods, which has an influence on IHRM practises. Last but not least, the French labour market also has a significant impact on IHRM procedures. The French labour market is heavily controlled, extensively unionised, and leans toward long-term agreements. Employers are more likely to provide more stable and secure employment terms and conditions, which are often more generous and protective in nature, which has an influence on IHRM practises.</w:t>
      </w:r>
    </w:p>
    <w:p w14:paraId="35FE6185" w14:textId="2417EF52" w:rsidR="00DF0AFA" w:rsidRPr="007F3A12" w:rsidRDefault="00DF0AFA" w:rsidP="00DB67FD">
      <w:pPr>
        <w:spacing w:line="360" w:lineRule="auto"/>
        <w:rPr>
          <w:rFonts w:ascii="Arial" w:hAnsi="Arial" w:cs="Arial"/>
        </w:rPr>
      </w:pPr>
      <w:r w:rsidRPr="007F3A12">
        <w:rPr>
          <w:rFonts w:ascii="Arial" w:hAnsi="Arial" w:cs="Arial"/>
        </w:rPr>
        <w:t xml:space="preserve">     </w:t>
      </w:r>
      <w:r w:rsidR="00DB67FD" w:rsidRPr="007F3A12">
        <w:rPr>
          <w:rFonts w:ascii="Arial" w:hAnsi="Arial" w:cs="Arial"/>
        </w:rPr>
        <w:t xml:space="preserve">According to DiMaggio and Powell's (1991) argument, a country's institutional environment has a significant impact on how organisations behave. In the case of Russia, IHRM practises are significantly influenced by political, economic, and social institutions. In terms of politics, Russia is a federation with a powerful centralised administration. The government establishes laws and rules that regulate how organisations, including those involved in IHRM, operate. For instance, the government has the authority to set minimum wage requirements and labour legislation. Russia has a market economy in terms of economics. This has given businesses the chance to adopt </w:t>
      </w:r>
      <w:r w:rsidR="00B91094" w:rsidRPr="007F3A12">
        <w:rPr>
          <w:rFonts w:ascii="Arial" w:hAnsi="Arial" w:cs="Arial"/>
        </w:rPr>
        <w:t>innovative</w:t>
      </w:r>
      <w:r w:rsidR="00DB67FD" w:rsidRPr="007F3A12">
        <w:rPr>
          <w:rFonts w:ascii="Arial" w:hAnsi="Arial" w:cs="Arial"/>
        </w:rPr>
        <w:t xml:space="preserve"> IHRM techniques like performance-based pay and flexible work schedules. Organizations must remember, though, that they must follow government laws, some of which can be burdensome. Russia has a very diversified and lengthy history. This affects how businesses approach IHRM. When hiring or training new personnel, for instance, firms may need to take cultural norms and expectations into account. Furthermore, the presence of bribery and corruption can have an </w:t>
      </w:r>
      <w:r w:rsidR="00DB67FD" w:rsidRPr="007F3A12">
        <w:rPr>
          <w:rFonts w:ascii="Arial" w:hAnsi="Arial" w:cs="Arial"/>
        </w:rPr>
        <w:lastRenderedPageBreak/>
        <w:t>effect on how businesses implement IHRM. Overall, Russia's political, economic, and social institutions have a significant impact on IHR.</w:t>
      </w:r>
    </w:p>
    <w:p w14:paraId="51856796" w14:textId="007FC0A5" w:rsidR="00366257" w:rsidRDefault="00DB67FD" w:rsidP="00A3725D">
      <w:pPr>
        <w:spacing w:line="360" w:lineRule="auto"/>
        <w:rPr>
          <w:rStyle w:val="Heading1Char"/>
          <w:rFonts w:ascii="Arial" w:hAnsi="Arial" w:cs="Arial"/>
          <w:sz w:val="24"/>
          <w:szCs w:val="24"/>
        </w:rPr>
      </w:pPr>
      <w:r w:rsidRPr="00A159A6">
        <w:rPr>
          <w:rFonts w:ascii="Arial" w:hAnsi="Arial" w:cs="Arial"/>
          <w:sz w:val="24"/>
          <w:szCs w:val="24"/>
        </w:rPr>
        <w:t xml:space="preserve">  </w:t>
      </w:r>
      <w:bookmarkStart w:id="3" w:name="_Toc129193020"/>
      <w:r w:rsidR="00366257">
        <w:rPr>
          <w:rStyle w:val="Heading1Char"/>
          <w:rFonts w:ascii="Arial" w:hAnsi="Arial" w:cs="Arial"/>
          <w:sz w:val="24"/>
          <w:szCs w:val="24"/>
        </w:rPr>
        <w:t>4.0 S</w:t>
      </w:r>
      <w:r w:rsidRPr="00A159A6">
        <w:rPr>
          <w:rStyle w:val="Heading1Char"/>
          <w:rFonts w:ascii="Arial" w:hAnsi="Arial" w:cs="Arial"/>
          <w:sz w:val="24"/>
          <w:szCs w:val="24"/>
        </w:rPr>
        <w:t>ECTION 2:</w:t>
      </w:r>
      <w:r w:rsidR="00C02F92">
        <w:rPr>
          <w:rStyle w:val="Heading1Char"/>
          <w:rFonts w:ascii="Arial" w:hAnsi="Arial" w:cs="Arial"/>
          <w:sz w:val="24"/>
          <w:szCs w:val="24"/>
        </w:rPr>
        <w:t xml:space="preserve">PART 1 - </w:t>
      </w:r>
      <w:r w:rsidRPr="00A159A6">
        <w:rPr>
          <w:rStyle w:val="Heading1Char"/>
          <w:rFonts w:ascii="Arial" w:hAnsi="Arial" w:cs="Arial"/>
          <w:sz w:val="24"/>
          <w:szCs w:val="24"/>
        </w:rPr>
        <w:t>M&amp;A RATIONALE AND INTEGRATION STRATEGY</w:t>
      </w:r>
      <w:bookmarkEnd w:id="3"/>
    </w:p>
    <w:p w14:paraId="1C6A3F9D" w14:textId="058AD4B6" w:rsidR="00DD5B39" w:rsidRPr="007F3A12" w:rsidRDefault="00DB67FD" w:rsidP="00A3725D">
      <w:pPr>
        <w:spacing w:line="360" w:lineRule="auto"/>
        <w:rPr>
          <w:rFonts w:ascii="Arial" w:hAnsi="Arial" w:cs="Arial"/>
        </w:rPr>
      </w:pPr>
      <w:r w:rsidRPr="00A159A6">
        <w:rPr>
          <w:rStyle w:val="Heading1Char"/>
          <w:rFonts w:ascii="Arial" w:hAnsi="Arial" w:cs="Arial"/>
        </w:rPr>
        <w:t xml:space="preserve"> </w:t>
      </w:r>
      <w:r w:rsidR="00C67191">
        <w:rPr>
          <w:rFonts w:ascii="Arial" w:hAnsi="Arial" w:cs="Arial"/>
        </w:rPr>
        <w:t xml:space="preserve">    </w:t>
      </w:r>
      <w:r w:rsidR="00C67191">
        <w:rPr>
          <w:rFonts w:ascii="Helvetica" w:hAnsi="Helvetica" w:cs="Helvetica"/>
          <w:color w:val="353740"/>
        </w:rPr>
        <w:t xml:space="preserve">Totalenergie and Lukoil will embark on an acquisition, with Totalenergie being the target company. The two companies have complementary business portfolios and the acquisition will be a way for Lukoil to expand its operations into the energy sector. The proposed integration typology for this acquisition is a horizontal integration. Horizontal integration is a type of acquisition in which the acquirer purchases a company in the same industry, or a related industry, in order to increase the acquirer's market share and gain competitive advantages (Johansson, 2017). This type of integration is beneficial in terms of cost savings, market share and competitive advantages, as it gives the acquirer access to the target company's customer base and resources. This type of integration also allows for economies of scale, as the combined company can benefit from the combined resources and knowledge of both companies (Konstantinou, 2020). The proposed integration strategy is supported by the resource-based view theory, which states that a firm's competitive advantage is based on its ability to create and use resources that cannot be easily replicated or imitated by competitors (Barney, 1991). By acquiring Totalenergie, Lukoil will gain access to </w:t>
      </w:r>
      <w:r w:rsidR="003B5C74">
        <w:rPr>
          <w:rFonts w:ascii="Helvetica" w:hAnsi="Helvetica" w:cs="Helvetica"/>
          <w:color w:val="353740"/>
        </w:rPr>
        <w:t>Totalenergie</w:t>
      </w:r>
      <w:r w:rsidR="00C67191">
        <w:rPr>
          <w:rFonts w:ascii="Helvetica" w:hAnsi="Helvetica" w:cs="Helvetica"/>
          <w:color w:val="353740"/>
        </w:rPr>
        <w:t xml:space="preserve"> resources and knowledge, which will enable the combined company to create a competitive advantage over its competitors.</w:t>
      </w:r>
    </w:p>
    <w:p w14:paraId="3AFD88A1" w14:textId="629EC749" w:rsidR="00A3725D" w:rsidRDefault="00C02F92" w:rsidP="008A4AE6">
      <w:pPr>
        <w:pStyle w:val="Heading1"/>
        <w:rPr>
          <w:rFonts w:ascii="Arial" w:hAnsi="Arial" w:cs="Arial"/>
          <w:sz w:val="24"/>
          <w:szCs w:val="24"/>
        </w:rPr>
      </w:pPr>
      <w:bookmarkStart w:id="4" w:name="_Toc129193021"/>
      <w:r>
        <w:rPr>
          <w:rFonts w:ascii="Arial" w:hAnsi="Arial" w:cs="Arial"/>
          <w:sz w:val="24"/>
          <w:szCs w:val="24"/>
        </w:rPr>
        <w:t>5.0 S</w:t>
      </w:r>
      <w:r w:rsidR="00CA02A7" w:rsidRPr="008A4AE6">
        <w:rPr>
          <w:rFonts w:ascii="Arial" w:hAnsi="Arial" w:cs="Arial"/>
          <w:sz w:val="24"/>
          <w:szCs w:val="24"/>
        </w:rPr>
        <w:t>ECTION2: PART2 – ROLE OF IHRM IN IMPLEMENTING EFFECTIVE M&amp;A</w:t>
      </w:r>
      <w:bookmarkEnd w:id="4"/>
    </w:p>
    <w:p w14:paraId="7C892BC7" w14:textId="77777777" w:rsidR="00B91094" w:rsidRPr="00B91094" w:rsidRDefault="00B91094" w:rsidP="00B91094"/>
    <w:p w14:paraId="78D35B66" w14:textId="39D6C3E8" w:rsidR="00CA02A7" w:rsidRPr="007F3A12" w:rsidRDefault="00CA02A7" w:rsidP="00CA02A7">
      <w:pPr>
        <w:spacing w:line="360" w:lineRule="auto"/>
        <w:rPr>
          <w:rFonts w:ascii="Arial" w:hAnsi="Arial" w:cs="Arial"/>
        </w:rPr>
      </w:pPr>
      <w:r w:rsidRPr="007F3A12">
        <w:rPr>
          <w:rFonts w:ascii="Arial" w:hAnsi="Arial" w:cs="Arial"/>
        </w:rPr>
        <w:t xml:space="preserve">     The HR issues that surface before and after stage in France may be explained by Hall</w:t>
      </w:r>
      <w:r w:rsidR="00D6331C">
        <w:rPr>
          <w:rFonts w:ascii="Arial" w:hAnsi="Arial" w:cs="Arial"/>
        </w:rPr>
        <w:t xml:space="preserve"> (1976)</w:t>
      </w:r>
      <w:r w:rsidRPr="007F3A12">
        <w:rPr>
          <w:rFonts w:ascii="Arial" w:hAnsi="Arial" w:cs="Arial"/>
        </w:rPr>
        <w:t xml:space="preserve"> idea of high- and low-context cultures. Low-context cultures depend more on explicit communication and verbal clues, whereas high-context cultures, like those found in France, rely more on implicit communication and nonverbal cues. Due to the recruiting process's potential increased reliance on implicit communication, which can be challenging for individuals from low-context cultures to grasp, this might present difficulties in the pre-stage of HR. The post-stage of HR can also be challenging since there might not be enough specific feedback for staff members to appreciate their performance and the demands of their roles</w:t>
      </w:r>
      <w:r w:rsidR="00605D55">
        <w:rPr>
          <w:rFonts w:ascii="Arial" w:hAnsi="Arial" w:cs="Arial"/>
        </w:rPr>
        <w:t xml:space="preserve"> Kira (2017). </w:t>
      </w:r>
    </w:p>
    <w:p w14:paraId="36A7B58C" w14:textId="2AFA2F32" w:rsidR="00F13298" w:rsidRPr="007F3A12" w:rsidRDefault="00F13298" w:rsidP="00CA02A7">
      <w:pPr>
        <w:spacing w:line="360" w:lineRule="auto"/>
        <w:rPr>
          <w:rFonts w:ascii="Arial" w:hAnsi="Arial" w:cs="Arial"/>
        </w:rPr>
      </w:pPr>
      <w:r w:rsidRPr="007F3A12">
        <w:rPr>
          <w:rFonts w:ascii="Arial" w:hAnsi="Arial" w:cs="Arial"/>
        </w:rPr>
        <w:t xml:space="preserve">     According to the</w:t>
      </w:r>
      <w:r w:rsidR="0076151C">
        <w:rPr>
          <w:rFonts w:ascii="Arial" w:hAnsi="Arial" w:cs="Arial"/>
        </w:rPr>
        <w:t xml:space="preserve"> Adler and Ghad</w:t>
      </w:r>
      <w:r w:rsidR="00B870E0">
        <w:rPr>
          <w:rFonts w:ascii="Arial" w:hAnsi="Arial" w:cs="Arial"/>
        </w:rPr>
        <w:t>ar (1987)</w:t>
      </w:r>
      <w:r w:rsidRPr="00DD5B39">
        <w:rPr>
          <w:rFonts w:ascii="Arial" w:hAnsi="Arial" w:cs="Arial"/>
          <w:color w:val="FF0000"/>
        </w:rPr>
        <w:t xml:space="preserve"> </w:t>
      </w:r>
      <w:r w:rsidRPr="007F3A12">
        <w:rPr>
          <w:rFonts w:ascii="Arial" w:hAnsi="Arial" w:cs="Arial"/>
        </w:rPr>
        <w:t xml:space="preserve">model, four major HR issues—cultural fit, language, lack of transparency, and legal uncertainty—occur at the preliminary stage of the hiring process in Russia. Due to the disparities between Russian culture and the culture of the company, cultural fit might be difficult. The linguistic barrier that exists between the company and the potential employee makes language a hurdle. Because there is little </w:t>
      </w:r>
      <w:r w:rsidRPr="007F3A12">
        <w:rPr>
          <w:rFonts w:ascii="Arial" w:hAnsi="Arial" w:cs="Arial"/>
        </w:rPr>
        <w:lastRenderedPageBreak/>
        <w:t>information accessible on pay, working conditions, and job descriptions, there is a difficulty with lack of openness. Finally, the absence of a defined legal framework in Russia presents a barrier in terms of legal ambiguity. In the post-stage, Russia has HR difficulties such as a lack of career advancement, poor wages, inadequate training, and a high employee turnover rate. Lack of professional development is a problem since there are few opportunities for employees to advance inside the company</w:t>
      </w:r>
      <w:r w:rsidR="00782F13">
        <w:rPr>
          <w:rFonts w:ascii="Arial" w:hAnsi="Arial" w:cs="Arial"/>
        </w:rPr>
        <w:t>, (Heller</w:t>
      </w:r>
      <w:r w:rsidR="00A833E1">
        <w:rPr>
          <w:rFonts w:ascii="Arial" w:hAnsi="Arial" w:cs="Arial"/>
        </w:rPr>
        <w:t xml:space="preserve">, </w:t>
      </w:r>
      <w:r w:rsidR="00782F13">
        <w:rPr>
          <w:rFonts w:ascii="Arial" w:hAnsi="Arial" w:cs="Arial"/>
        </w:rPr>
        <w:t>2018)</w:t>
      </w:r>
      <w:r w:rsidRPr="007F3A12">
        <w:rPr>
          <w:rFonts w:ascii="Arial" w:hAnsi="Arial" w:cs="Arial"/>
        </w:rPr>
        <w:t xml:space="preserve"> Because they are lower than in other nations, low salaries provide a hurdle. Due to the minimal investment in staff training, there is a problem with lack of training</w:t>
      </w:r>
      <w:r w:rsidR="00A833E1">
        <w:rPr>
          <w:rFonts w:ascii="Arial" w:hAnsi="Arial" w:cs="Arial"/>
        </w:rPr>
        <w:t xml:space="preserve"> </w:t>
      </w:r>
      <w:r w:rsidR="00A833E1">
        <w:rPr>
          <w:rFonts w:ascii="Helvetica" w:hAnsi="Helvetica" w:cs="Helvetica"/>
          <w:color w:val="353740"/>
        </w:rPr>
        <w:t>(Borodovsky, 2019).</w:t>
      </w:r>
    </w:p>
    <w:p w14:paraId="62956FF5" w14:textId="1D99CB57" w:rsidR="00F13298" w:rsidRPr="007F3A12" w:rsidRDefault="00F13298" w:rsidP="00CA02A7">
      <w:pPr>
        <w:spacing w:line="360" w:lineRule="auto"/>
        <w:rPr>
          <w:rFonts w:ascii="Arial" w:hAnsi="Arial" w:cs="Arial"/>
        </w:rPr>
      </w:pPr>
      <w:r w:rsidRPr="007F3A12">
        <w:rPr>
          <w:rFonts w:ascii="Arial" w:hAnsi="Arial" w:cs="Arial"/>
        </w:rPr>
        <w:t xml:space="preserve">     </w:t>
      </w:r>
      <w:r w:rsidRPr="00816C08">
        <w:rPr>
          <w:rFonts w:ascii="Arial" w:hAnsi="Arial" w:cs="Arial"/>
        </w:rPr>
        <w:t>A acquisitions (M&amp;A) process's effectiveness depends heavily on human resources (HR). HR offers the knowledge and tools required to assist the merger of two or more businesses. The formulation and implementation of plans for a seamless employee transition, the blending of corporate cultures, and the creation of efficient management systems are all the responsibility of HR in making sure the two firms are successfully integrated. Additionally, HR is in charge of collaborating with both organisations to make sure that the new structure supports both firms' missions and core values and creates a productive, energetic workplace. Because it helps to guarantee that the appropriate human capital is in place to support the transition, HRM is crucial to the success of an M&amp;A transaction. The right rules and procedures can be developed and implemented, the required resources can be identified and managed, and the effective integration of the two companies can be ensured. This entails the formulation of policies and procedures to support the new organisational structure, the execution of effective communication and training efforts, and the development and implementation of strategies to guarantee that.</w:t>
      </w:r>
    </w:p>
    <w:p w14:paraId="630FA06C" w14:textId="07421CE1" w:rsidR="00D4046F" w:rsidRDefault="004D5CFA" w:rsidP="004D5CFA">
      <w:pPr>
        <w:pStyle w:val="Heading1"/>
        <w:rPr>
          <w:rFonts w:ascii="Arial" w:hAnsi="Arial" w:cs="Arial"/>
          <w:sz w:val="24"/>
          <w:szCs w:val="24"/>
        </w:rPr>
      </w:pPr>
      <w:bookmarkStart w:id="5" w:name="_Toc129193022"/>
      <w:r>
        <w:rPr>
          <w:rFonts w:ascii="Arial" w:hAnsi="Arial" w:cs="Arial"/>
          <w:sz w:val="24"/>
          <w:szCs w:val="24"/>
        </w:rPr>
        <w:t xml:space="preserve">6.0 </w:t>
      </w:r>
      <w:r w:rsidR="00D4046F" w:rsidRPr="004D5CFA">
        <w:rPr>
          <w:rFonts w:ascii="Arial" w:hAnsi="Arial" w:cs="Arial"/>
          <w:sz w:val="24"/>
          <w:szCs w:val="24"/>
        </w:rPr>
        <w:t>CONCLUSION</w:t>
      </w:r>
      <w:bookmarkEnd w:id="5"/>
    </w:p>
    <w:p w14:paraId="4BFA23AB" w14:textId="77777777" w:rsidR="004D5CFA" w:rsidRPr="004D5CFA" w:rsidRDefault="004D5CFA" w:rsidP="004D5CFA"/>
    <w:p w14:paraId="34517941" w14:textId="434E0B9B" w:rsidR="00D4046F" w:rsidRPr="007F3A12" w:rsidRDefault="00D4046F" w:rsidP="00D4046F">
      <w:pPr>
        <w:spacing w:line="360" w:lineRule="auto"/>
        <w:rPr>
          <w:rFonts w:ascii="Arial" w:hAnsi="Arial" w:cs="Arial"/>
        </w:rPr>
      </w:pPr>
      <w:r w:rsidRPr="007F3A12">
        <w:rPr>
          <w:rFonts w:ascii="Arial" w:hAnsi="Arial" w:cs="Arial"/>
        </w:rPr>
        <w:t xml:space="preserve">     To maintain equity and uniformity in their policies and procedures, merging companies must use the same HRM best practises internationally. To guarantee adherence to local rules and regulations, there can be a few exceptions that need to be considered. For instance, the minimum wage may be greater in</w:t>
      </w:r>
      <w:r w:rsidR="00345C66">
        <w:rPr>
          <w:rFonts w:ascii="Arial" w:hAnsi="Arial" w:cs="Arial"/>
        </w:rPr>
        <w:t xml:space="preserve"> Russia</w:t>
      </w:r>
      <w:r w:rsidRPr="00345C66">
        <w:rPr>
          <w:rFonts w:ascii="Arial" w:hAnsi="Arial" w:cs="Arial"/>
          <w:color w:val="FFFFFF" w:themeColor="background1"/>
        </w:rPr>
        <w:t xml:space="preserve"> </w:t>
      </w:r>
      <w:r w:rsidRPr="007F3A12">
        <w:rPr>
          <w:rFonts w:ascii="Arial" w:hAnsi="Arial" w:cs="Arial"/>
        </w:rPr>
        <w:t>than in others, therefore HRM processes should be modified to guarantee adherence to local laws. Furthermore, it is important to consider the various cultural and religious customs that may exist in</w:t>
      </w:r>
      <w:r w:rsidR="004D2957">
        <w:rPr>
          <w:rFonts w:ascii="Arial" w:hAnsi="Arial" w:cs="Arial"/>
        </w:rPr>
        <w:t xml:space="preserve"> France. </w:t>
      </w:r>
      <w:r w:rsidRPr="007F3A12">
        <w:rPr>
          <w:rFonts w:ascii="Arial" w:hAnsi="Arial" w:cs="Arial"/>
        </w:rPr>
        <w:t>When this occurs, the HRM procedures should be changed to ensure that they follow not just the local laws and regulations but also the cultural and religious beliefs of the people as well</w:t>
      </w:r>
      <w:r w:rsidR="00D77100">
        <w:rPr>
          <w:rFonts w:ascii="Arial" w:hAnsi="Arial" w:cs="Arial"/>
        </w:rPr>
        <w:t xml:space="preserve"> like: </w:t>
      </w:r>
    </w:p>
    <w:p w14:paraId="5F326B3F" w14:textId="77777777" w:rsidR="000076BB" w:rsidRDefault="00D4046F" w:rsidP="00D4046F">
      <w:pPr>
        <w:spacing w:line="360" w:lineRule="auto"/>
        <w:rPr>
          <w:rFonts w:ascii="Arial" w:hAnsi="Arial" w:cs="Arial"/>
        </w:rPr>
      </w:pPr>
      <w:r w:rsidRPr="007F3A12">
        <w:rPr>
          <w:rFonts w:ascii="Arial" w:hAnsi="Arial" w:cs="Arial"/>
        </w:rPr>
        <w:t xml:space="preserve">    </w:t>
      </w:r>
      <w:r w:rsidR="00F053A1">
        <w:rPr>
          <w:rFonts w:ascii="Arial" w:hAnsi="Arial" w:cs="Arial"/>
        </w:rPr>
        <w:t xml:space="preserve">1. </w:t>
      </w:r>
      <w:r w:rsidRPr="007F3A12">
        <w:rPr>
          <w:rFonts w:ascii="Arial" w:hAnsi="Arial" w:cs="Arial"/>
        </w:rPr>
        <w:t xml:space="preserve"> Establish effective channels of communication between the IHRM division and the M&amp;A team</w:t>
      </w:r>
    </w:p>
    <w:p w14:paraId="27215C67" w14:textId="77777777" w:rsidR="005721B8" w:rsidRDefault="005721B8" w:rsidP="00D4046F">
      <w:pPr>
        <w:spacing w:line="360" w:lineRule="auto"/>
        <w:rPr>
          <w:rFonts w:ascii="Arial" w:hAnsi="Arial" w:cs="Arial"/>
        </w:rPr>
      </w:pPr>
      <w:r>
        <w:rPr>
          <w:rFonts w:ascii="Arial" w:hAnsi="Arial" w:cs="Arial"/>
        </w:rPr>
        <w:lastRenderedPageBreak/>
        <w:t xml:space="preserve">    2. </w:t>
      </w:r>
      <w:r w:rsidR="00D4046F" w:rsidRPr="007F3A12">
        <w:rPr>
          <w:rFonts w:ascii="Arial" w:hAnsi="Arial" w:cs="Arial"/>
        </w:rPr>
        <w:t>Create an M&amp;A strategy that is suited to the organization's unique requirements.</w:t>
      </w:r>
    </w:p>
    <w:p w14:paraId="07EEEC15" w14:textId="77777777" w:rsidR="005721B8" w:rsidRDefault="005721B8" w:rsidP="00D4046F">
      <w:pPr>
        <w:spacing w:line="360" w:lineRule="auto"/>
        <w:rPr>
          <w:rFonts w:ascii="Arial" w:hAnsi="Arial" w:cs="Arial"/>
        </w:rPr>
      </w:pPr>
      <w:r>
        <w:rPr>
          <w:rFonts w:ascii="Arial" w:hAnsi="Arial" w:cs="Arial"/>
        </w:rPr>
        <w:t xml:space="preserve">    3.</w:t>
      </w:r>
      <w:r w:rsidR="00D4046F" w:rsidRPr="007F3A12">
        <w:rPr>
          <w:rFonts w:ascii="Arial" w:hAnsi="Arial" w:cs="Arial"/>
        </w:rPr>
        <w:t xml:space="preserve"> Determine and evaluate any potential effects the proposed M&amp;A transaction may have on human resources. </w:t>
      </w:r>
    </w:p>
    <w:p w14:paraId="68939A5C" w14:textId="6DC4C323" w:rsidR="00D4046F" w:rsidRDefault="005721B8" w:rsidP="00D4046F">
      <w:pPr>
        <w:spacing w:line="360" w:lineRule="auto"/>
        <w:rPr>
          <w:rFonts w:ascii="Arial" w:hAnsi="Arial" w:cs="Arial"/>
        </w:rPr>
      </w:pPr>
      <w:r>
        <w:rPr>
          <w:rFonts w:ascii="Arial" w:hAnsi="Arial" w:cs="Arial"/>
        </w:rPr>
        <w:t xml:space="preserve">    4.</w:t>
      </w:r>
      <w:r w:rsidR="00D4046F" w:rsidRPr="007F3A12">
        <w:rPr>
          <w:rFonts w:ascii="Arial" w:hAnsi="Arial" w:cs="Arial"/>
        </w:rPr>
        <w:t xml:space="preserve">Create a transition management strategy that identifies important stakeholders, discusses communication tactics, and establishes timetables for the process. </w:t>
      </w:r>
    </w:p>
    <w:p w14:paraId="79B87640" w14:textId="77777777" w:rsidR="004D5CFA" w:rsidRDefault="004D5CFA" w:rsidP="00D4046F">
      <w:pPr>
        <w:spacing w:line="360" w:lineRule="auto"/>
        <w:rPr>
          <w:rFonts w:ascii="Arial" w:hAnsi="Arial" w:cs="Arial"/>
        </w:rPr>
      </w:pPr>
    </w:p>
    <w:p w14:paraId="15068A8B" w14:textId="77777777" w:rsidR="004D5CFA" w:rsidRDefault="004D5CFA" w:rsidP="00D4046F">
      <w:pPr>
        <w:spacing w:line="360" w:lineRule="auto"/>
        <w:rPr>
          <w:rFonts w:ascii="Arial" w:hAnsi="Arial" w:cs="Arial"/>
        </w:rPr>
      </w:pPr>
    </w:p>
    <w:p w14:paraId="3EB04D23" w14:textId="77777777" w:rsidR="004D5CFA" w:rsidRDefault="004D5CFA" w:rsidP="00D4046F">
      <w:pPr>
        <w:spacing w:line="360" w:lineRule="auto"/>
        <w:rPr>
          <w:rFonts w:ascii="Arial" w:hAnsi="Arial" w:cs="Arial"/>
        </w:rPr>
      </w:pPr>
    </w:p>
    <w:p w14:paraId="71120E38" w14:textId="77777777" w:rsidR="004D5CFA" w:rsidRDefault="004D5CFA" w:rsidP="00D4046F">
      <w:pPr>
        <w:spacing w:line="360" w:lineRule="auto"/>
        <w:rPr>
          <w:rFonts w:ascii="Arial" w:hAnsi="Arial" w:cs="Arial"/>
        </w:rPr>
      </w:pPr>
    </w:p>
    <w:p w14:paraId="278DB4B8" w14:textId="77777777" w:rsidR="004D5CFA" w:rsidRDefault="004D5CFA" w:rsidP="00D4046F">
      <w:pPr>
        <w:spacing w:line="360" w:lineRule="auto"/>
        <w:rPr>
          <w:rFonts w:ascii="Arial" w:hAnsi="Arial" w:cs="Arial"/>
        </w:rPr>
      </w:pPr>
    </w:p>
    <w:p w14:paraId="7101BB5F" w14:textId="77777777" w:rsidR="004D5CFA" w:rsidRDefault="004D5CFA" w:rsidP="00D4046F">
      <w:pPr>
        <w:spacing w:line="360" w:lineRule="auto"/>
        <w:rPr>
          <w:rFonts w:ascii="Arial" w:hAnsi="Arial" w:cs="Arial"/>
        </w:rPr>
      </w:pPr>
    </w:p>
    <w:p w14:paraId="05ECCDE6" w14:textId="77777777" w:rsidR="004D5CFA" w:rsidRDefault="004D5CFA" w:rsidP="00D4046F">
      <w:pPr>
        <w:spacing w:line="360" w:lineRule="auto"/>
        <w:rPr>
          <w:rFonts w:ascii="Arial" w:hAnsi="Arial" w:cs="Arial"/>
        </w:rPr>
      </w:pPr>
    </w:p>
    <w:p w14:paraId="66F2CE6F" w14:textId="77777777" w:rsidR="004D5CFA" w:rsidRDefault="004D5CFA" w:rsidP="00D4046F">
      <w:pPr>
        <w:spacing w:line="360" w:lineRule="auto"/>
        <w:rPr>
          <w:rFonts w:ascii="Arial" w:hAnsi="Arial" w:cs="Arial"/>
        </w:rPr>
      </w:pPr>
    </w:p>
    <w:p w14:paraId="1EBCBD7E" w14:textId="77777777" w:rsidR="004D5CFA" w:rsidRDefault="004D5CFA" w:rsidP="00D4046F">
      <w:pPr>
        <w:spacing w:line="360" w:lineRule="auto"/>
        <w:rPr>
          <w:rFonts w:ascii="Arial" w:hAnsi="Arial" w:cs="Arial"/>
        </w:rPr>
      </w:pPr>
    </w:p>
    <w:p w14:paraId="233E8539" w14:textId="77777777" w:rsidR="004D5CFA" w:rsidRDefault="004D5CFA" w:rsidP="00D4046F">
      <w:pPr>
        <w:spacing w:line="360" w:lineRule="auto"/>
        <w:rPr>
          <w:rFonts w:ascii="Arial" w:hAnsi="Arial" w:cs="Arial"/>
        </w:rPr>
      </w:pPr>
    </w:p>
    <w:p w14:paraId="2DA1F20F" w14:textId="77777777" w:rsidR="004D5CFA" w:rsidRDefault="004D5CFA" w:rsidP="00D4046F">
      <w:pPr>
        <w:spacing w:line="360" w:lineRule="auto"/>
        <w:rPr>
          <w:rFonts w:ascii="Arial" w:hAnsi="Arial" w:cs="Arial"/>
        </w:rPr>
      </w:pPr>
    </w:p>
    <w:p w14:paraId="1DA8303D" w14:textId="77777777" w:rsidR="004D5CFA" w:rsidRDefault="004D5CFA" w:rsidP="00D4046F">
      <w:pPr>
        <w:spacing w:line="360" w:lineRule="auto"/>
        <w:rPr>
          <w:rFonts w:ascii="Arial" w:hAnsi="Arial" w:cs="Arial"/>
        </w:rPr>
      </w:pPr>
    </w:p>
    <w:p w14:paraId="7958B1E3" w14:textId="77777777" w:rsidR="004D5CFA" w:rsidRDefault="004D5CFA" w:rsidP="00D4046F">
      <w:pPr>
        <w:spacing w:line="360" w:lineRule="auto"/>
        <w:rPr>
          <w:rFonts w:ascii="Arial" w:hAnsi="Arial" w:cs="Arial"/>
        </w:rPr>
      </w:pPr>
    </w:p>
    <w:p w14:paraId="431DA1BB" w14:textId="77777777" w:rsidR="004D5CFA" w:rsidRDefault="004D5CFA" w:rsidP="00D4046F">
      <w:pPr>
        <w:spacing w:line="360" w:lineRule="auto"/>
        <w:rPr>
          <w:rFonts w:ascii="Arial" w:hAnsi="Arial" w:cs="Arial"/>
        </w:rPr>
      </w:pPr>
    </w:p>
    <w:p w14:paraId="3CAAF92D" w14:textId="77777777" w:rsidR="004D5CFA" w:rsidRDefault="004D5CFA" w:rsidP="00D4046F">
      <w:pPr>
        <w:spacing w:line="360" w:lineRule="auto"/>
        <w:rPr>
          <w:rFonts w:ascii="Arial" w:hAnsi="Arial" w:cs="Arial"/>
        </w:rPr>
      </w:pPr>
    </w:p>
    <w:p w14:paraId="7ED18537" w14:textId="77777777" w:rsidR="004D5CFA" w:rsidRDefault="004D5CFA" w:rsidP="00D4046F">
      <w:pPr>
        <w:spacing w:line="360" w:lineRule="auto"/>
        <w:rPr>
          <w:rFonts w:ascii="Arial" w:hAnsi="Arial" w:cs="Arial"/>
        </w:rPr>
      </w:pPr>
    </w:p>
    <w:p w14:paraId="158C7194" w14:textId="714E820F" w:rsidR="004D5CFA" w:rsidRDefault="004D5CFA" w:rsidP="00D4046F">
      <w:pPr>
        <w:spacing w:line="360" w:lineRule="auto"/>
        <w:rPr>
          <w:rFonts w:ascii="Arial" w:hAnsi="Arial" w:cs="Arial"/>
        </w:rPr>
      </w:pPr>
    </w:p>
    <w:p w14:paraId="6BE0777A" w14:textId="77777777" w:rsidR="00610D43" w:rsidRDefault="00610D43" w:rsidP="00D4046F">
      <w:pPr>
        <w:spacing w:line="360" w:lineRule="auto"/>
        <w:rPr>
          <w:rFonts w:ascii="Arial" w:hAnsi="Arial" w:cs="Arial"/>
        </w:rPr>
      </w:pPr>
    </w:p>
    <w:p w14:paraId="122680AB" w14:textId="77777777" w:rsidR="004D5CFA" w:rsidRDefault="004D5CFA" w:rsidP="00D4046F">
      <w:pPr>
        <w:spacing w:line="360" w:lineRule="auto"/>
        <w:rPr>
          <w:rFonts w:ascii="Arial" w:hAnsi="Arial" w:cs="Arial"/>
        </w:rPr>
      </w:pPr>
    </w:p>
    <w:p w14:paraId="1E9029F2" w14:textId="77777777" w:rsidR="00D13F3F" w:rsidRDefault="00D13F3F" w:rsidP="00D4046F">
      <w:pPr>
        <w:spacing w:line="360" w:lineRule="auto"/>
        <w:rPr>
          <w:rFonts w:ascii="Arial" w:hAnsi="Arial" w:cs="Arial"/>
        </w:rPr>
      </w:pPr>
    </w:p>
    <w:p w14:paraId="4640EBC6" w14:textId="77777777" w:rsidR="00D13F3F" w:rsidRDefault="00D13F3F" w:rsidP="00D4046F">
      <w:pPr>
        <w:spacing w:line="360" w:lineRule="auto"/>
        <w:rPr>
          <w:rFonts w:ascii="Arial" w:hAnsi="Arial" w:cs="Arial"/>
        </w:rPr>
      </w:pPr>
    </w:p>
    <w:p w14:paraId="2CB92592" w14:textId="77777777" w:rsidR="004D5CFA" w:rsidRPr="007F3A12" w:rsidRDefault="004D5CFA" w:rsidP="00D4046F">
      <w:pPr>
        <w:spacing w:line="360" w:lineRule="auto"/>
        <w:rPr>
          <w:rFonts w:ascii="Arial" w:hAnsi="Arial" w:cs="Arial"/>
        </w:rPr>
      </w:pPr>
    </w:p>
    <w:p w14:paraId="4ABD8EF5" w14:textId="5CD56AF9" w:rsidR="00292394" w:rsidRPr="00D84599" w:rsidRDefault="004D5CFA" w:rsidP="004D5CFA">
      <w:pPr>
        <w:pStyle w:val="Heading1"/>
        <w:rPr>
          <w:rFonts w:ascii="Arial" w:hAnsi="Arial" w:cs="Arial"/>
          <w:sz w:val="24"/>
          <w:szCs w:val="24"/>
        </w:rPr>
      </w:pPr>
      <w:bookmarkStart w:id="6" w:name="_Toc129193023"/>
      <w:r w:rsidRPr="00D84599">
        <w:rPr>
          <w:rFonts w:ascii="Arial" w:hAnsi="Arial" w:cs="Arial"/>
          <w:sz w:val="24"/>
          <w:szCs w:val="24"/>
        </w:rPr>
        <w:t xml:space="preserve">7.0 </w:t>
      </w:r>
      <w:r w:rsidR="003F0EB5" w:rsidRPr="00D84599">
        <w:rPr>
          <w:rFonts w:ascii="Arial" w:hAnsi="Arial" w:cs="Arial"/>
          <w:sz w:val="24"/>
          <w:szCs w:val="24"/>
        </w:rPr>
        <w:t>REF</w:t>
      </w:r>
      <w:r w:rsidR="00663E6E" w:rsidRPr="00D84599">
        <w:rPr>
          <w:rFonts w:ascii="Arial" w:hAnsi="Arial" w:cs="Arial"/>
          <w:sz w:val="24"/>
          <w:szCs w:val="24"/>
        </w:rPr>
        <w:t>ERENCE</w:t>
      </w:r>
      <w:bookmarkEnd w:id="6"/>
    </w:p>
    <w:p w14:paraId="669E7C98" w14:textId="7E050579" w:rsidR="008053A2" w:rsidRDefault="008053A2"/>
    <w:p w14:paraId="6D1EFFA2" w14:textId="77777777" w:rsidR="004D5CFA" w:rsidRPr="004D5CFA" w:rsidRDefault="004D5CFA" w:rsidP="004D5CFA"/>
    <w:p w14:paraId="275D99DD" w14:textId="608C48F9" w:rsidR="00663E6E" w:rsidRPr="007F3A12" w:rsidRDefault="00EA35EE" w:rsidP="00663E6E">
      <w:pPr>
        <w:rPr>
          <w:rFonts w:ascii="Arial" w:hAnsi="Arial" w:cs="Arial"/>
        </w:rPr>
      </w:pPr>
      <w:r w:rsidRPr="00385CDB">
        <w:rPr>
          <w:rFonts w:ascii="Arial" w:hAnsi="Arial" w:cs="Arial"/>
        </w:rPr>
        <w:t xml:space="preserve">1. De Cieri, H., &amp; Kramar, R. (2013). </w:t>
      </w:r>
      <w:r w:rsidRPr="007F3A12">
        <w:rPr>
          <w:rFonts w:ascii="Arial" w:hAnsi="Arial" w:cs="Arial"/>
        </w:rPr>
        <w:t>International Human Resource Management. Cengage Learning Australia.</w:t>
      </w:r>
    </w:p>
    <w:p w14:paraId="105C20E0" w14:textId="14235156" w:rsidR="00EA35EE" w:rsidRPr="007F3A12" w:rsidRDefault="00EA35EE" w:rsidP="00663E6E">
      <w:pPr>
        <w:rPr>
          <w:rFonts w:ascii="Arial" w:hAnsi="Arial" w:cs="Arial"/>
        </w:rPr>
      </w:pPr>
      <w:r w:rsidRPr="007F3A12">
        <w:rPr>
          <w:rFonts w:ascii="Arial" w:hAnsi="Arial" w:cs="Arial"/>
        </w:rPr>
        <w:t>2.</w:t>
      </w:r>
      <w:r w:rsidR="00AF2C0B" w:rsidRPr="007F3A12">
        <w:rPr>
          <w:rFonts w:ascii="Arial" w:hAnsi="Arial" w:cs="Arial"/>
          <w:color w:val="353740"/>
        </w:rPr>
        <w:t xml:space="preserve"> </w:t>
      </w:r>
      <w:r w:rsidR="00AF2C0B" w:rsidRPr="007F3A12">
        <w:rPr>
          <w:rFonts w:ascii="Arial" w:hAnsi="Arial" w:cs="Arial"/>
        </w:rPr>
        <w:t>Brewster, C., and Larsen, H. H. (2008). International Human Resource Management: Policies and Practices for Multinational Enterprises. Routledge.</w:t>
      </w:r>
    </w:p>
    <w:p w14:paraId="4FB1A109" w14:textId="3F0E9E4D" w:rsidR="00CD494B" w:rsidRPr="00850E85" w:rsidRDefault="00CD494B" w:rsidP="00663E6E">
      <w:pPr>
        <w:rPr>
          <w:rFonts w:ascii="Arial" w:hAnsi="Arial" w:cs="Arial"/>
        </w:rPr>
      </w:pPr>
      <w:r w:rsidRPr="007F3A12">
        <w:rPr>
          <w:rFonts w:ascii="Arial" w:hAnsi="Arial" w:cs="Arial"/>
        </w:rPr>
        <w:t>3</w:t>
      </w:r>
      <w:r w:rsidR="00F4292B" w:rsidRPr="007F3A12">
        <w:rPr>
          <w:rFonts w:ascii="Arial" w:hAnsi="Arial" w:cs="Arial"/>
        </w:rPr>
        <w:t>.</w:t>
      </w:r>
      <w:r w:rsidR="00662408">
        <w:rPr>
          <w:rFonts w:ascii="Arial" w:hAnsi="Arial" w:cs="Arial"/>
        </w:rPr>
        <w:t xml:space="preserve"> </w:t>
      </w:r>
      <w:r w:rsidR="00850E85" w:rsidRPr="00850E85">
        <w:rPr>
          <w:rFonts w:ascii="Arial" w:hAnsi="Arial" w:cs="Arial"/>
          <w:color w:val="353740"/>
        </w:rPr>
        <w:t>Barney, J. (1991). Firm resources and sustained competitive advantage. Journal of Management, 17(1), 99-120.</w:t>
      </w:r>
    </w:p>
    <w:p w14:paraId="71FE351B" w14:textId="7958E0EF" w:rsidR="00F4292B" w:rsidRPr="007F3A12" w:rsidRDefault="00F4292B" w:rsidP="00663E6E">
      <w:pPr>
        <w:rPr>
          <w:rFonts w:ascii="Arial" w:hAnsi="Arial" w:cs="Arial"/>
          <w:color w:val="353740"/>
        </w:rPr>
      </w:pPr>
      <w:r w:rsidRPr="007F3A12">
        <w:rPr>
          <w:rFonts w:ascii="Arial" w:hAnsi="Arial" w:cs="Arial"/>
        </w:rPr>
        <w:t>4.</w:t>
      </w:r>
      <w:r w:rsidR="004E101B" w:rsidRPr="007F3A12">
        <w:rPr>
          <w:rFonts w:ascii="Arial" w:hAnsi="Arial" w:cs="Arial"/>
        </w:rPr>
        <w:t xml:space="preserve"> </w:t>
      </w:r>
      <w:r w:rsidR="004E101B" w:rsidRPr="007F3A12">
        <w:rPr>
          <w:rFonts w:ascii="Arial" w:hAnsi="Arial" w:cs="Arial"/>
          <w:color w:val="353740"/>
        </w:rPr>
        <w:t>Hofstede, G. (1980). Culture's Consequences: International Differences in Work-related Values. Beverly Hills, CA: Sage Publications.</w:t>
      </w:r>
    </w:p>
    <w:p w14:paraId="59BDE9FC" w14:textId="4FAEB819" w:rsidR="00615DAB" w:rsidRPr="007F3A12" w:rsidRDefault="00615DAB" w:rsidP="00663E6E">
      <w:pPr>
        <w:rPr>
          <w:rFonts w:ascii="Arial" w:hAnsi="Arial" w:cs="Arial"/>
          <w:color w:val="353740"/>
        </w:rPr>
      </w:pPr>
      <w:r w:rsidRPr="007F3A12">
        <w:rPr>
          <w:rFonts w:ascii="Arial" w:hAnsi="Arial" w:cs="Arial"/>
          <w:color w:val="353740"/>
        </w:rPr>
        <w:t>5.</w:t>
      </w:r>
      <w:r w:rsidR="00BB1C30" w:rsidRPr="007F3A12">
        <w:rPr>
          <w:rFonts w:ascii="Arial" w:hAnsi="Arial" w:cs="Arial"/>
          <w:color w:val="353740"/>
        </w:rPr>
        <w:t xml:space="preserve"> Hofstede, G. (2001). Culture's Consequences: Comparing Values, Behaviors, Institutions, and Organizations Across Nations. Thousand Oaks, CA: Sage Publications.</w:t>
      </w:r>
    </w:p>
    <w:p w14:paraId="7F08CA58" w14:textId="7CF58F3F" w:rsidR="00BB1C30" w:rsidRPr="005003D7" w:rsidRDefault="00BB1C30" w:rsidP="00663E6E">
      <w:pPr>
        <w:rPr>
          <w:rFonts w:ascii="Arial" w:hAnsi="Arial" w:cs="Arial"/>
          <w:color w:val="353740"/>
        </w:rPr>
      </w:pPr>
      <w:r w:rsidRPr="007F3A12">
        <w:rPr>
          <w:rFonts w:ascii="Arial" w:hAnsi="Arial" w:cs="Arial"/>
          <w:color w:val="353740"/>
        </w:rPr>
        <w:t>6.</w:t>
      </w:r>
      <w:r w:rsidR="00154A80" w:rsidRPr="007F3A12">
        <w:rPr>
          <w:rFonts w:ascii="Arial" w:hAnsi="Arial" w:cs="Arial"/>
          <w:color w:val="353740"/>
        </w:rPr>
        <w:t xml:space="preserve"> </w:t>
      </w:r>
      <w:r w:rsidR="005003D7" w:rsidRPr="005003D7">
        <w:rPr>
          <w:rFonts w:ascii="Arial" w:hAnsi="Arial" w:cs="Arial"/>
          <w:color w:val="353740"/>
        </w:rPr>
        <w:t xml:space="preserve">Konstantinou, A. (2020). Horizontal Integration: Definition, Advantages &amp; Disadvantages. UK Business Support. Retrieved from: </w:t>
      </w:r>
      <w:r w:rsidR="003B5C74" w:rsidRPr="005003D7">
        <w:rPr>
          <w:rFonts w:ascii="Arial" w:hAnsi="Arial" w:cs="Arial"/>
          <w:color w:val="353740"/>
        </w:rPr>
        <w:t>https://www.ukbusinesssupport.net/horizontal-integration/.</w:t>
      </w:r>
    </w:p>
    <w:p w14:paraId="56FF3092" w14:textId="7D844683" w:rsidR="00154A80" w:rsidRPr="007F3A12" w:rsidRDefault="00154A80" w:rsidP="00663E6E">
      <w:pPr>
        <w:rPr>
          <w:rFonts w:ascii="Arial" w:hAnsi="Arial" w:cs="Arial"/>
          <w:color w:val="353740"/>
        </w:rPr>
      </w:pPr>
      <w:r w:rsidRPr="007F3A12">
        <w:rPr>
          <w:rFonts w:ascii="Arial" w:hAnsi="Arial" w:cs="Arial"/>
          <w:color w:val="353740"/>
        </w:rPr>
        <w:t>7.</w:t>
      </w:r>
      <w:r w:rsidR="000F0074" w:rsidRPr="007F3A12">
        <w:rPr>
          <w:rFonts w:ascii="Arial" w:hAnsi="Arial" w:cs="Arial"/>
          <w:color w:val="353740"/>
        </w:rPr>
        <w:t xml:space="preserve"> </w:t>
      </w:r>
      <w:r w:rsidR="00771511" w:rsidRPr="007F3A12">
        <w:rPr>
          <w:rFonts w:ascii="Arial" w:hAnsi="Arial" w:cs="Arial"/>
          <w:color w:val="353740"/>
        </w:rPr>
        <w:t>Ariss, A. and Harzing, A. (2018). Institutional approaches in international human resource management research: Current state and future opportunities. Human Resource Management Review, 28(3), 282-295.</w:t>
      </w:r>
    </w:p>
    <w:p w14:paraId="3C62BDC9" w14:textId="6640A076" w:rsidR="00771511" w:rsidRPr="007F3A12" w:rsidRDefault="00771511" w:rsidP="00663E6E">
      <w:pPr>
        <w:rPr>
          <w:rFonts w:ascii="Arial" w:hAnsi="Arial" w:cs="Arial"/>
          <w:color w:val="353740"/>
        </w:rPr>
      </w:pPr>
      <w:r w:rsidRPr="00385CDB">
        <w:rPr>
          <w:rFonts w:ascii="Arial" w:hAnsi="Arial" w:cs="Arial"/>
          <w:color w:val="353740"/>
        </w:rPr>
        <w:t xml:space="preserve">8. </w:t>
      </w:r>
      <w:r w:rsidR="000C6CE2" w:rsidRPr="00385CDB">
        <w:rPr>
          <w:rFonts w:ascii="Arial" w:hAnsi="Arial" w:cs="Arial"/>
          <w:color w:val="353740"/>
        </w:rPr>
        <w:t xml:space="preserve">Ng, E. S. W., &amp; Feldman, D. C. (2015). </w:t>
      </w:r>
      <w:r w:rsidR="000C6CE2" w:rsidRPr="007F3A12">
        <w:rPr>
          <w:rFonts w:ascii="Arial" w:hAnsi="Arial" w:cs="Arial"/>
          <w:color w:val="353740"/>
        </w:rPr>
        <w:t>The impact of institutional forces on international human resource management practices. Journal of International Business Studies, 46(9), 1054-1073.</w:t>
      </w:r>
    </w:p>
    <w:p w14:paraId="6080090E" w14:textId="47C27A34" w:rsidR="000C6CE2" w:rsidRPr="007F3A12" w:rsidRDefault="000C6CE2" w:rsidP="00663E6E">
      <w:pPr>
        <w:rPr>
          <w:rFonts w:ascii="Arial" w:hAnsi="Arial" w:cs="Arial"/>
          <w:color w:val="353740"/>
        </w:rPr>
      </w:pPr>
      <w:r w:rsidRPr="007F3A12">
        <w:rPr>
          <w:rFonts w:ascii="Arial" w:hAnsi="Arial" w:cs="Arial"/>
          <w:color w:val="353740"/>
        </w:rPr>
        <w:t xml:space="preserve">9. </w:t>
      </w:r>
      <w:r w:rsidR="00AB75C9" w:rsidRPr="007F3A12">
        <w:rPr>
          <w:rFonts w:ascii="Arial" w:hAnsi="Arial" w:cs="Arial"/>
          <w:color w:val="353740"/>
        </w:rPr>
        <w:t>Scott, W. R. (1995). Institutions and organizations. Thousand Oaks, CA: Sage Publications.</w:t>
      </w:r>
    </w:p>
    <w:p w14:paraId="394B0FAB" w14:textId="68B4F8AB" w:rsidR="00292726" w:rsidRPr="007F3A12" w:rsidRDefault="00292726" w:rsidP="00663E6E">
      <w:pPr>
        <w:rPr>
          <w:rFonts w:ascii="Arial" w:hAnsi="Arial" w:cs="Arial"/>
          <w:color w:val="353740"/>
        </w:rPr>
      </w:pPr>
      <w:r w:rsidRPr="007F3A12">
        <w:rPr>
          <w:rFonts w:ascii="Arial" w:hAnsi="Arial" w:cs="Arial"/>
          <w:color w:val="353740"/>
        </w:rPr>
        <w:t xml:space="preserve">10. </w:t>
      </w:r>
      <w:r w:rsidR="004F23ED" w:rsidRPr="007F3A12">
        <w:rPr>
          <w:rFonts w:ascii="Arial" w:hAnsi="Arial" w:cs="Arial"/>
          <w:color w:val="353740"/>
        </w:rPr>
        <w:t>DiMaggio, P. J. and Powell, W. W. (1991). The Iron Cage Revisited: Institutional Isomorphism and Collective Rationality in Organizational Fields. American Sociological Review, 48(2), 147-160.</w:t>
      </w:r>
    </w:p>
    <w:p w14:paraId="110426B9" w14:textId="0381C5FE" w:rsidR="004F23ED" w:rsidRPr="007F3A12" w:rsidRDefault="004801E3" w:rsidP="00663E6E">
      <w:pPr>
        <w:rPr>
          <w:rFonts w:ascii="Arial" w:hAnsi="Arial" w:cs="Arial"/>
          <w:color w:val="353740"/>
        </w:rPr>
      </w:pPr>
      <w:r w:rsidRPr="007F3A12">
        <w:rPr>
          <w:rFonts w:ascii="Arial" w:hAnsi="Arial" w:cs="Arial"/>
          <w:color w:val="353740"/>
        </w:rPr>
        <w:t xml:space="preserve">11. </w:t>
      </w:r>
      <w:r w:rsidR="005947F2" w:rsidRPr="007F3A12">
        <w:rPr>
          <w:rFonts w:ascii="Arial" w:hAnsi="Arial" w:cs="Arial"/>
          <w:color w:val="353740"/>
        </w:rPr>
        <w:t xml:space="preserve">Bilić, I. (2018). Foreign direct investments in Russia: Numbers, </w:t>
      </w:r>
      <w:r w:rsidR="00B91094" w:rsidRPr="007F3A12">
        <w:rPr>
          <w:rFonts w:ascii="Arial" w:hAnsi="Arial" w:cs="Arial"/>
          <w:color w:val="353740"/>
        </w:rPr>
        <w:t>origins,</w:t>
      </w:r>
      <w:r w:rsidR="005947F2" w:rsidRPr="007F3A12">
        <w:rPr>
          <w:rFonts w:ascii="Arial" w:hAnsi="Arial" w:cs="Arial"/>
          <w:color w:val="353740"/>
        </w:rPr>
        <w:t xml:space="preserve"> and trends. Journal of Eurasian Studies, 9(2), 190-204.</w:t>
      </w:r>
    </w:p>
    <w:p w14:paraId="502674BC" w14:textId="1F0CF7F8" w:rsidR="005947F2" w:rsidRPr="007F3A12" w:rsidRDefault="005947F2" w:rsidP="00663E6E">
      <w:pPr>
        <w:rPr>
          <w:rFonts w:ascii="Arial" w:hAnsi="Arial" w:cs="Arial"/>
          <w:color w:val="353740"/>
        </w:rPr>
      </w:pPr>
      <w:r w:rsidRPr="007F3A12">
        <w:rPr>
          <w:rFonts w:ascii="Arial" w:hAnsi="Arial" w:cs="Arial"/>
          <w:color w:val="353740"/>
        </w:rPr>
        <w:t xml:space="preserve">12. </w:t>
      </w:r>
      <w:r w:rsidR="00013166" w:rsidRPr="007F3A12">
        <w:rPr>
          <w:rFonts w:ascii="Arial" w:hAnsi="Arial" w:cs="Arial"/>
          <w:color w:val="353740"/>
        </w:rPr>
        <w:t>DiMaggio, P. J. and Powell, W. W. (1991) The New Institutionalism in Organizational Analysis. University of Chicago Press.</w:t>
      </w:r>
    </w:p>
    <w:p w14:paraId="10C20B52" w14:textId="0C872EF7" w:rsidR="00013166" w:rsidRPr="007F3A12" w:rsidRDefault="00013166" w:rsidP="00663E6E">
      <w:pPr>
        <w:rPr>
          <w:rFonts w:ascii="Arial" w:hAnsi="Arial" w:cs="Arial"/>
          <w:color w:val="353740"/>
        </w:rPr>
      </w:pPr>
      <w:r w:rsidRPr="007F3A12">
        <w:rPr>
          <w:rFonts w:ascii="Arial" w:hAnsi="Arial" w:cs="Arial"/>
          <w:color w:val="353740"/>
        </w:rPr>
        <w:t xml:space="preserve">13. </w:t>
      </w:r>
      <w:r w:rsidR="005301C4" w:rsidRPr="007F3A12">
        <w:rPr>
          <w:rFonts w:ascii="Arial" w:hAnsi="Arial" w:cs="Arial"/>
          <w:color w:val="353740"/>
        </w:rPr>
        <w:t>Hofstede, G. (2001). Culture’s consequences: Comparing values, behaviors, institutions, and organizations across nations. Thousand Oaks, CA: Sage.</w:t>
      </w:r>
    </w:p>
    <w:p w14:paraId="05B198B6" w14:textId="02E3D4CC" w:rsidR="005301C4" w:rsidRPr="007F3A12" w:rsidRDefault="005301C4" w:rsidP="00663E6E">
      <w:pPr>
        <w:rPr>
          <w:rFonts w:ascii="Arial" w:hAnsi="Arial" w:cs="Arial"/>
          <w:color w:val="353740"/>
        </w:rPr>
      </w:pPr>
      <w:r w:rsidRPr="007F3A12">
        <w:rPr>
          <w:rFonts w:ascii="Arial" w:hAnsi="Arial" w:cs="Arial"/>
          <w:color w:val="353740"/>
        </w:rPr>
        <w:t>14.</w:t>
      </w:r>
      <w:r w:rsidR="00DF63A5" w:rsidRPr="007F3A12">
        <w:rPr>
          <w:rFonts w:ascii="Arial" w:hAnsi="Arial" w:cs="Arial"/>
          <w:color w:val="353740"/>
        </w:rPr>
        <w:t xml:space="preserve"> Merkle, J. (Ed.) (2017). International Human Resource Management: A European Perspective. London, UK: Kogan Page.</w:t>
      </w:r>
    </w:p>
    <w:p w14:paraId="0143B90A" w14:textId="1BEC1EE6" w:rsidR="00DF63A5" w:rsidRPr="007F3A12" w:rsidRDefault="00DF63A5" w:rsidP="00663E6E">
      <w:pPr>
        <w:rPr>
          <w:rFonts w:ascii="Arial" w:hAnsi="Arial" w:cs="Arial"/>
          <w:color w:val="353740"/>
        </w:rPr>
      </w:pPr>
      <w:r w:rsidRPr="007F3A12">
        <w:rPr>
          <w:rFonts w:ascii="Arial" w:hAnsi="Arial" w:cs="Arial"/>
          <w:color w:val="353740"/>
        </w:rPr>
        <w:t xml:space="preserve">15. </w:t>
      </w:r>
      <w:r w:rsidR="00C43496" w:rsidRPr="007F3A12">
        <w:rPr>
          <w:rFonts w:ascii="Arial" w:hAnsi="Arial" w:cs="Arial"/>
          <w:color w:val="353740"/>
        </w:rPr>
        <w:t>Schuler, R. S. &amp; Jackson, S. E. (Eds.) (1987). Strategic Human Resource Management. Oxford, UK: Blackwell.</w:t>
      </w:r>
    </w:p>
    <w:p w14:paraId="040F9F57" w14:textId="56A89B78" w:rsidR="00C43496" w:rsidRPr="007F3A12" w:rsidRDefault="00C43496" w:rsidP="00663E6E">
      <w:pPr>
        <w:rPr>
          <w:rFonts w:ascii="Arial" w:hAnsi="Arial" w:cs="Arial"/>
          <w:color w:val="353740"/>
        </w:rPr>
      </w:pPr>
      <w:r w:rsidRPr="007F3A12">
        <w:rPr>
          <w:rFonts w:ascii="Arial" w:hAnsi="Arial" w:cs="Arial"/>
          <w:color w:val="353740"/>
        </w:rPr>
        <w:lastRenderedPageBreak/>
        <w:t>16</w:t>
      </w:r>
      <w:r w:rsidR="00FC0EC0" w:rsidRPr="007F3A12">
        <w:rPr>
          <w:rFonts w:ascii="Arial" w:hAnsi="Arial" w:cs="Arial"/>
          <w:color w:val="353740"/>
        </w:rPr>
        <w:t xml:space="preserve">. </w:t>
      </w:r>
      <w:r w:rsidR="00BE5C6D" w:rsidRPr="007F3A12">
        <w:rPr>
          <w:rFonts w:ascii="Arial" w:hAnsi="Arial" w:cs="Arial"/>
          <w:color w:val="353740"/>
        </w:rPr>
        <w:t>Adler, N.J. and Ghadar, F. (1996). 'International Mergers and Acquisitions: A Model for Successful Cross-Border Integration'. Academy of Management Executive, 10(1), pp.55-68.</w:t>
      </w:r>
    </w:p>
    <w:p w14:paraId="598D68DF" w14:textId="1C1C8A74" w:rsidR="00206E21" w:rsidRPr="007F3A12" w:rsidRDefault="00206E21" w:rsidP="00663E6E">
      <w:pPr>
        <w:rPr>
          <w:rFonts w:ascii="Arial" w:hAnsi="Arial" w:cs="Arial"/>
        </w:rPr>
      </w:pPr>
      <w:r w:rsidRPr="007F3A12">
        <w:rPr>
          <w:rFonts w:ascii="Arial" w:hAnsi="Arial" w:cs="Arial"/>
          <w:color w:val="353740"/>
        </w:rPr>
        <w:t xml:space="preserve">17. </w:t>
      </w:r>
      <w:r w:rsidR="00621775" w:rsidRPr="007F3A12">
        <w:rPr>
          <w:rFonts w:ascii="Arial" w:hAnsi="Arial" w:cs="Arial"/>
          <w:color w:val="353740"/>
        </w:rPr>
        <w:t>Laroche, M., McDougall, P. P., &amp; Bergeron, J. (2001). International human resource management: An integrative perspective. International Journal of Human Resource Management, 12(7), 1091-1112.</w:t>
      </w:r>
    </w:p>
    <w:p w14:paraId="2C814DEF" w14:textId="77777777" w:rsidR="00292394" w:rsidRPr="00CD743D" w:rsidRDefault="00292394" w:rsidP="00292394">
      <w:pPr>
        <w:jc w:val="center"/>
        <w:rPr>
          <w:rFonts w:ascii="Arial Black" w:hAnsi="Arial Black"/>
          <w:sz w:val="32"/>
          <w:szCs w:val="32"/>
        </w:rPr>
      </w:pPr>
    </w:p>
    <w:sectPr w:rsidR="00292394" w:rsidRPr="00CD74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065C6" w14:textId="77777777" w:rsidR="00FD056D" w:rsidRDefault="00FD056D" w:rsidP="00EA1127">
      <w:pPr>
        <w:spacing w:after="0" w:line="240" w:lineRule="auto"/>
      </w:pPr>
      <w:r>
        <w:separator/>
      </w:r>
    </w:p>
  </w:endnote>
  <w:endnote w:type="continuationSeparator" w:id="0">
    <w:p w14:paraId="3B22A67F" w14:textId="77777777" w:rsidR="00FD056D" w:rsidRDefault="00FD056D" w:rsidP="00EA1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371333"/>
      <w:docPartObj>
        <w:docPartGallery w:val="Page Numbers (Bottom of Page)"/>
        <w:docPartUnique/>
      </w:docPartObj>
    </w:sdtPr>
    <w:sdtEndPr>
      <w:rPr>
        <w:noProof/>
      </w:rPr>
    </w:sdtEndPr>
    <w:sdtContent>
      <w:p w14:paraId="759455F9" w14:textId="31546B49" w:rsidR="00EA1127" w:rsidRDefault="00EA11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21C3BC" w14:textId="77777777" w:rsidR="00EA1127" w:rsidRDefault="00EA1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DDD8D" w14:textId="77777777" w:rsidR="00FD056D" w:rsidRDefault="00FD056D" w:rsidP="00EA1127">
      <w:pPr>
        <w:spacing w:after="0" w:line="240" w:lineRule="auto"/>
      </w:pPr>
      <w:r>
        <w:separator/>
      </w:r>
    </w:p>
  </w:footnote>
  <w:footnote w:type="continuationSeparator" w:id="0">
    <w:p w14:paraId="354531F4" w14:textId="77777777" w:rsidR="00FD056D" w:rsidRDefault="00FD056D" w:rsidP="00EA11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394"/>
    <w:rsid w:val="000076BB"/>
    <w:rsid w:val="00013166"/>
    <w:rsid w:val="000474A3"/>
    <w:rsid w:val="000520B5"/>
    <w:rsid w:val="000C2B00"/>
    <w:rsid w:val="000C6CE2"/>
    <w:rsid w:val="000F0074"/>
    <w:rsid w:val="00123F08"/>
    <w:rsid w:val="00152C1D"/>
    <w:rsid w:val="00154A80"/>
    <w:rsid w:val="00206E21"/>
    <w:rsid w:val="00273C9D"/>
    <w:rsid w:val="00292394"/>
    <w:rsid w:val="00292726"/>
    <w:rsid w:val="002C3FE6"/>
    <w:rsid w:val="002E00CE"/>
    <w:rsid w:val="003278AD"/>
    <w:rsid w:val="00345C66"/>
    <w:rsid w:val="00366257"/>
    <w:rsid w:val="00376805"/>
    <w:rsid w:val="00385CDB"/>
    <w:rsid w:val="00391618"/>
    <w:rsid w:val="003B5C74"/>
    <w:rsid w:val="003E11BE"/>
    <w:rsid w:val="003F0EB5"/>
    <w:rsid w:val="00426F7E"/>
    <w:rsid w:val="004566F9"/>
    <w:rsid w:val="00464260"/>
    <w:rsid w:val="004801E3"/>
    <w:rsid w:val="00480AE5"/>
    <w:rsid w:val="00483AA9"/>
    <w:rsid w:val="00490DBA"/>
    <w:rsid w:val="004944CC"/>
    <w:rsid w:val="004D2957"/>
    <w:rsid w:val="004D5CFA"/>
    <w:rsid w:val="004E101B"/>
    <w:rsid w:val="004F23ED"/>
    <w:rsid w:val="004F2C6A"/>
    <w:rsid w:val="005003D7"/>
    <w:rsid w:val="00502521"/>
    <w:rsid w:val="00503309"/>
    <w:rsid w:val="005109ED"/>
    <w:rsid w:val="00514F02"/>
    <w:rsid w:val="00522613"/>
    <w:rsid w:val="005301C4"/>
    <w:rsid w:val="005721B8"/>
    <w:rsid w:val="0058596C"/>
    <w:rsid w:val="005914C7"/>
    <w:rsid w:val="005947F2"/>
    <w:rsid w:val="005B1D87"/>
    <w:rsid w:val="005E7449"/>
    <w:rsid w:val="00605D55"/>
    <w:rsid w:val="00610D43"/>
    <w:rsid w:val="00615DAB"/>
    <w:rsid w:val="00621775"/>
    <w:rsid w:val="00662408"/>
    <w:rsid w:val="00663E6E"/>
    <w:rsid w:val="0068120D"/>
    <w:rsid w:val="0072388C"/>
    <w:rsid w:val="00735BBC"/>
    <w:rsid w:val="0076151C"/>
    <w:rsid w:val="00771511"/>
    <w:rsid w:val="00782F13"/>
    <w:rsid w:val="0078519D"/>
    <w:rsid w:val="00790F01"/>
    <w:rsid w:val="00796F53"/>
    <w:rsid w:val="007A3187"/>
    <w:rsid w:val="007C22AE"/>
    <w:rsid w:val="007F051F"/>
    <w:rsid w:val="007F3371"/>
    <w:rsid w:val="007F3A12"/>
    <w:rsid w:val="007F7B24"/>
    <w:rsid w:val="008053A2"/>
    <w:rsid w:val="00807E09"/>
    <w:rsid w:val="00816C08"/>
    <w:rsid w:val="00832713"/>
    <w:rsid w:val="00832B80"/>
    <w:rsid w:val="00850E85"/>
    <w:rsid w:val="00852FA4"/>
    <w:rsid w:val="00887D70"/>
    <w:rsid w:val="008A4AE6"/>
    <w:rsid w:val="008B3023"/>
    <w:rsid w:val="008B76D0"/>
    <w:rsid w:val="008E469F"/>
    <w:rsid w:val="008F0F0B"/>
    <w:rsid w:val="00964429"/>
    <w:rsid w:val="009A44E8"/>
    <w:rsid w:val="00A159A6"/>
    <w:rsid w:val="00A3725D"/>
    <w:rsid w:val="00A377DC"/>
    <w:rsid w:val="00A503ED"/>
    <w:rsid w:val="00A529A4"/>
    <w:rsid w:val="00A833E1"/>
    <w:rsid w:val="00A91100"/>
    <w:rsid w:val="00AA5DFB"/>
    <w:rsid w:val="00AB75C9"/>
    <w:rsid w:val="00AC16B0"/>
    <w:rsid w:val="00AD5CDA"/>
    <w:rsid w:val="00AD6AF0"/>
    <w:rsid w:val="00AE16A2"/>
    <w:rsid w:val="00AF10C9"/>
    <w:rsid w:val="00AF2C0B"/>
    <w:rsid w:val="00B727C3"/>
    <w:rsid w:val="00B751F4"/>
    <w:rsid w:val="00B82F5E"/>
    <w:rsid w:val="00B870E0"/>
    <w:rsid w:val="00B91094"/>
    <w:rsid w:val="00BB1C30"/>
    <w:rsid w:val="00BC067D"/>
    <w:rsid w:val="00BC71B0"/>
    <w:rsid w:val="00BD3BD8"/>
    <w:rsid w:val="00BE5C6D"/>
    <w:rsid w:val="00C02F92"/>
    <w:rsid w:val="00C43496"/>
    <w:rsid w:val="00C67191"/>
    <w:rsid w:val="00C832F7"/>
    <w:rsid w:val="00CA02A7"/>
    <w:rsid w:val="00CD494B"/>
    <w:rsid w:val="00CD743D"/>
    <w:rsid w:val="00D13F3F"/>
    <w:rsid w:val="00D156C7"/>
    <w:rsid w:val="00D4046F"/>
    <w:rsid w:val="00D6331C"/>
    <w:rsid w:val="00D75EC3"/>
    <w:rsid w:val="00D77100"/>
    <w:rsid w:val="00D84599"/>
    <w:rsid w:val="00DB57A3"/>
    <w:rsid w:val="00DB67FD"/>
    <w:rsid w:val="00DD5B39"/>
    <w:rsid w:val="00DF0AFA"/>
    <w:rsid w:val="00DF63A5"/>
    <w:rsid w:val="00E27CBD"/>
    <w:rsid w:val="00E41162"/>
    <w:rsid w:val="00E94CDA"/>
    <w:rsid w:val="00EA1127"/>
    <w:rsid w:val="00EA35EE"/>
    <w:rsid w:val="00EE304D"/>
    <w:rsid w:val="00F013C5"/>
    <w:rsid w:val="00F053A1"/>
    <w:rsid w:val="00F13298"/>
    <w:rsid w:val="00F32802"/>
    <w:rsid w:val="00F34E64"/>
    <w:rsid w:val="00F4292B"/>
    <w:rsid w:val="00FC0EC0"/>
    <w:rsid w:val="00FD0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66961"/>
  <w15:chartTrackingRefBased/>
  <w15:docId w15:val="{43F9B8FC-7A05-4031-B47B-82AAD589D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A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A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53A2"/>
    <w:pPr>
      <w:outlineLvl w:val="9"/>
    </w:pPr>
    <w:rPr>
      <w:lang w:val="en-US"/>
    </w:rPr>
  </w:style>
  <w:style w:type="paragraph" w:styleId="TOC1">
    <w:name w:val="toc 1"/>
    <w:basedOn w:val="Normal"/>
    <w:next w:val="Normal"/>
    <w:autoRedefine/>
    <w:uiPriority w:val="39"/>
    <w:unhideWhenUsed/>
    <w:rsid w:val="008053A2"/>
    <w:pPr>
      <w:spacing w:after="100"/>
    </w:pPr>
  </w:style>
  <w:style w:type="character" w:styleId="Hyperlink">
    <w:name w:val="Hyperlink"/>
    <w:basedOn w:val="DefaultParagraphFont"/>
    <w:uiPriority w:val="99"/>
    <w:unhideWhenUsed/>
    <w:rsid w:val="008053A2"/>
    <w:rPr>
      <w:color w:val="0563C1" w:themeColor="hyperlink"/>
      <w:u w:val="single"/>
    </w:rPr>
  </w:style>
  <w:style w:type="paragraph" w:styleId="Header">
    <w:name w:val="header"/>
    <w:basedOn w:val="Normal"/>
    <w:link w:val="HeaderChar"/>
    <w:uiPriority w:val="99"/>
    <w:unhideWhenUsed/>
    <w:rsid w:val="00EA1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127"/>
  </w:style>
  <w:style w:type="paragraph" w:styleId="Footer">
    <w:name w:val="footer"/>
    <w:basedOn w:val="Normal"/>
    <w:link w:val="FooterChar"/>
    <w:uiPriority w:val="99"/>
    <w:unhideWhenUsed/>
    <w:rsid w:val="00EA1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1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36830">
      <w:bodyDiv w:val="1"/>
      <w:marLeft w:val="0"/>
      <w:marRight w:val="0"/>
      <w:marTop w:val="0"/>
      <w:marBottom w:val="0"/>
      <w:divBdr>
        <w:top w:val="none" w:sz="0" w:space="0" w:color="auto"/>
        <w:left w:val="none" w:sz="0" w:space="0" w:color="auto"/>
        <w:bottom w:val="none" w:sz="0" w:space="0" w:color="auto"/>
        <w:right w:val="none" w:sz="0" w:space="0" w:color="auto"/>
      </w:divBdr>
      <w:divsChild>
        <w:div w:id="1954088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41426-AD9E-4875-96B2-FAB5308CE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2987</Words>
  <Characters>17030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 (2109183)</cp:lastModifiedBy>
  <cp:revision>2</cp:revision>
  <dcterms:created xsi:type="dcterms:W3CDTF">2023-03-11T09:09:00Z</dcterms:created>
  <dcterms:modified xsi:type="dcterms:W3CDTF">2023-03-11T09:09:00Z</dcterms:modified>
</cp:coreProperties>
</file>