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4D2AD0" w14:textId="77777777" w:rsidR="00242588" w:rsidRDefault="00000000">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A2A4C0E" wp14:editId="63B462CA">
            <wp:extent cx="2181225" cy="7334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181225" cy="733425"/>
                    </a:xfrm>
                    <a:prstGeom prst="rect">
                      <a:avLst/>
                    </a:prstGeom>
                    <a:ln/>
                  </pic:spPr>
                </pic:pic>
              </a:graphicData>
            </a:graphic>
          </wp:inline>
        </w:drawing>
      </w:r>
    </w:p>
    <w:p w14:paraId="097056D7" w14:textId="77777777" w:rsidR="00242588" w:rsidRDefault="00242588">
      <w:pPr>
        <w:rPr>
          <w:rFonts w:ascii="Times New Roman" w:eastAsia="Times New Roman" w:hAnsi="Times New Roman" w:cs="Times New Roman"/>
          <w:sz w:val="24"/>
          <w:szCs w:val="24"/>
        </w:rPr>
      </w:pPr>
    </w:p>
    <w:p w14:paraId="35C03186" w14:textId="77777777" w:rsidR="00242588" w:rsidRDefault="00242588">
      <w:pPr>
        <w:rPr>
          <w:rFonts w:ascii="Times New Roman" w:eastAsia="Times New Roman" w:hAnsi="Times New Roman" w:cs="Times New Roman"/>
          <w:sz w:val="24"/>
          <w:szCs w:val="24"/>
        </w:rPr>
      </w:pPr>
    </w:p>
    <w:p w14:paraId="2938BD18" w14:textId="77777777" w:rsidR="00242588" w:rsidRDefault="00242588">
      <w:pPr>
        <w:rPr>
          <w:rFonts w:ascii="Times New Roman" w:eastAsia="Times New Roman" w:hAnsi="Times New Roman" w:cs="Times New Roman"/>
          <w:sz w:val="24"/>
          <w:szCs w:val="24"/>
        </w:rPr>
      </w:pPr>
    </w:p>
    <w:p w14:paraId="00BB0C47" w14:textId="77777777" w:rsidR="00242588" w:rsidRDefault="00242588">
      <w:pPr>
        <w:jc w:val="center"/>
        <w:rPr>
          <w:rFonts w:ascii="Times New Roman" w:eastAsia="Times New Roman" w:hAnsi="Times New Roman" w:cs="Times New Roman"/>
          <w:sz w:val="32"/>
          <w:szCs w:val="32"/>
        </w:rPr>
      </w:pPr>
    </w:p>
    <w:p w14:paraId="22D2A901" w14:textId="77777777" w:rsidR="00242588" w:rsidRDefault="00242588">
      <w:pPr>
        <w:jc w:val="center"/>
        <w:rPr>
          <w:rFonts w:ascii="Times New Roman" w:eastAsia="Times New Roman" w:hAnsi="Times New Roman" w:cs="Times New Roman"/>
          <w:sz w:val="32"/>
          <w:szCs w:val="32"/>
        </w:rPr>
      </w:pPr>
    </w:p>
    <w:p w14:paraId="06AA6176" w14:textId="77777777" w:rsidR="00242588" w:rsidRDefault="00242588">
      <w:pPr>
        <w:jc w:val="center"/>
        <w:rPr>
          <w:rFonts w:ascii="Times New Roman" w:eastAsia="Times New Roman" w:hAnsi="Times New Roman" w:cs="Times New Roman"/>
          <w:sz w:val="32"/>
          <w:szCs w:val="32"/>
        </w:rPr>
      </w:pPr>
    </w:p>
    <w:p w14:paraId="51699F88" w14:textId="77777777" w:rsidR="00242588" w:rsidRDefault="00242588">
      <w:pPr>
        <w:jc w:val="center"/>
        <w:rPr>
          <w:rFonts w:ascii="Times New Roman" w:eastAsia="Times New Roman" w:hAnsi="Times New Roman" w:cs="Times New Roman"/>
          <w:sz w:val="32"/>
          <w:szCs w:val="32"/>
        </w:rPr>
      </w:pPr>
    </w:p>
    <w:p w14:paraId="5C19F451" w14:textId="77777777" w:rsidR="00242588" w:rsidRDefault="00242588">
      <w:pPr>
        <w:jc w:val="center"/>
        <w:rPr>
          <w:rFonts w:ascii="Times New Roman" w:eastAsia="Times New Roman" w:hAnsi="Times New Roman" w:cs="Times New Roman"/>
          <w:sz w:val="32"/>
          <w:szCs w:val="32"/>
        </w:rPr>
      </w:pPr>
    </w:p>
    <w:p w14:paraId="6ABEA9BB" w14:textId="77777777" w:rsidR="00242588" w:rsidRDefault="00242588">
      <w:pPr>
        <w:jc w:val="center"/>
        <w:rPr>
          <w:rFonts w:ascii="Times New Roman" w:eastAsia="Times New Roman" w:hAnsi="Times New Roman" w:cs="Times New Roman"/>
          <w:sz w:val="32"/>
          <w:szCs w:val="32"/>
        </w:rPr>
      </w:pPr>
    </w:p>
    <w:p w14:paraId="2F8250C3" w14:textId="77777777" w:rsidR="00242588" w:rsidRDefault="00242588">
      <w:pPr>
        <w:jc w:val="center"/>
        <w:rPr>
          <w:rFonts w:ascii="Times New Roman" w:eastAsia="Times New Roman" w:hAnsi="Times New Roman" w:cs="Times New Roman"/>
          <w:sz w:val="32"/>
          <w:szCs w:val="32"/>
        </w:rPr>
      </w:pPr>
    </w:p>
    <w:p w14:paraId="35611CE9" w14:textId="77777777" w:rsidR="00242588" w:rsidRPr="00EB0F55" w:rsidRDefault="00000000">
      <w:pPr>
        <w:spacing w:line="360" w:lineRule="auto"/>
        <w:jc w:val="center"/>
        <w:rPr>
          <w:rFonts w:ascii="Times New Roman" w:eastAsia="Times New Roman" w:hAnsi="Times New Roman" w:cs="Times New Roman"/>
          <w:b/>
          <w:bCs/>
          <w:sz w:val="36"/>
          <w:szCs w:val="36"/>
        </w:rPr>
      </w:pPr>
      <w:r w:rsidRPr="00EB0F55">
        <w:rPr>
          <w:rFonts w:ascii="Times New Roman" w:eastAsia="Times New Roman" w:hAnsi="Times New Roman" w:cs="Times New Roman"/>
          <w:b/>
          <w:bCs/>
          <w:sz w:val="36"/>
          <w:szCs w:val="36"/>
        </w:rPr>
        <w:t>Module: International Financial Management</w:t>
      </w:r>
    </w:p>
    <w:p w14:paraId="699EE8D7" w14:textId="77777777" w:rsidR="00242588" w:rsidRPr="00EB0F55" w:rsidRDefault="00000000">
      <w:pPr>
        <w:spacing w:line="360" w:lineRule="auto"/>
        <w:jc w:val="center"/>
        <w:rPr>
          <w:rFonts w:ascii="Times New Roman" w:eastAsia="Times New Roman" w:hAnsi="Times New Roman" w:cs="Times New Roman"/>
          <w:b/>
          <w:bCs/>
          <w:sz w:val="36"/>
          <w:szCs w:val="36"/>
        </w:rPr>
      </w:pPr>
      <w:r w:rsidRPr="00EB0F55">
        <w:rPr>
          <w:rFonts w:ascii="Times New Roman" w:eastAsia="Times New Roman" w:hAnsi="Times New Roman" w:cs="Times New Roman"/>
          <w:b/>
          <w:bCs/>
          <w:sz w:val="36"/>
          <w:szCs w:val="36"/>
        </w:rPr>
        <w:t>Programme: BA (Hons) Business Management</w:t>
      </w:r>
    </w:p>
    <w:p w14:paraId="5FD60668" w14:textId="77777777" w:rsidR="00EB0F55" w:rsidRPr="00EB0F55" w:rsidRDefault="00000000">
      <w:pPr>
        <w:spacing w:line="360" w:lineRule="auto"/>
        <w:jc w:val="center"/>
        <w:rPr>
          <w:rFonts w:ascii="Times New Roman" w:eastAsia="Times New Roman" w:hAnsi="Times New Roman" w:cs="Times New Roman"/>
          <w:sz w:val="36"/>
          <w:szCs w:val="36"/>
        </w:rPr>
      </w:pPr>
      <w:r w:rsidRPr="00EB0F55">
        <w:rPr>
          <w:rFonts w:ascii="Times New Roman" w:eastAsia="Times New Roman" w:hAnsi="Times New Roman" w:cs="Times New Roman"/>
          <w:b/>
          <w:bCs/>
          <w:sz w:val="36"/>
          <w:szCs w:val="36"/>
        </w:rPr>
        <w:t>Module code: LCBB6002</w:t>
      </w:r>
    </w:p>
    <w:p w14:paraId="3CC600C9" w14:textId="77777777" w:rsidR="00EB0F55" w:rsidRPr="00EB0F55" w:rsidRDefault="00EB0F55" w:rsidP="00EB0F55">
      <w:pPr>
        <w:spacing w:line="360" w:lineRule="auto"/>
        <w:jc w:val="center"/>
        <w:rPr>
          <w:rFonts w:ascii="Times New Roman" w:eastAsia="Times New Roman" w:hAnsi="Times New Roman" w:cs="Times New Roman"/>
          <w:b/>
          <w:sz w:val="36"/>
          <w:szCs w:val="36"/>
          <w:lang w:val="en" w:eastAsia="en-US"/>
        </w:rPr>
      </w:pPr>
      <w:r w:rsidRPr="00EB0F55">
        <w:rPr>
          <w:rFonts w:ascii="Times New Roman" w:eastAsia="Times New Roman" w:hAnsi="Times New Roman" w:cs="Times New Roman"/>
          <w:b/>
          <w:sz w:val="36"/>
          <w:szCs w:val="36"/>
          <w:lang w:val="en" w:eastAsia="en-US"/>
        </w:rPr>
        <w:t xml:space="preserve">Student name : Marian Giani Jianu </w:t>
      </w:r>
    </w:p>
    <w:p w14:paraId="1318F604" w14:textId="77777777" w:rsidR="00EB0F55" w:rsidRPr="00EB0F55" w:rsidRDefault="00EB0F55" w:rsidP="00EB0F55">
      <w:pPr>
        <w:spacing w:line="360" w:lineRule="auto"/>
        <w:jc w:val="center"/>
        <w:rPr>
          <w:rFonts w:ascii="Times New Roman" w:eastAsia="Times New Roman" w:hAnsi="Times New Roman" w:cs="Times New Roman"/>
          <w:b/>
          <w:sz w:val="36"/>
          <w:szCs w:val="36"/>
          <w:lang w:val="en" w:eastAsia="en-US"/>
        </w:rPr>
      </w:pPr>
      <w:r w:rsidRPr="00EB0F55">
        <w:rPr>
          <w:rFonts w:ascii="Times New Roman" w:eastAsia="Times New Roman" w:hAnsi="Times New Roman" w:cs="Times New Roman"/>
          <w:b/>
          <w:sz w:val="36"/>
          <w:szCs w:val="36"/>
          <w:lang w:val="en" w:eastAsia="en-US"/>
        </w:rPr>
        <w:t>Student  Id : 2231436</w:t>
      </w:r>
    </w:p>
    <w:p w14:paraId="3FA2A682" w14:textId="77777777" w:rsidR="00EB0F55" w:rsidRDefault="00EB0F55" w:rsidP="00EB0F55">
      <w:pPr>
        <w:spacing w:line="360" w:lineRule="auto"/>
        <w:jc w:val="center"/>
        <w:rPr>
          <w:rFonts w:ascii="Times New Roman" w:eastAsia="Times New Roman" w:hAnsi="Times New Roman" w:cs="Times New Roman"/>
          <w:b/>
          <w:sz w:val="36"/>
          <w:szCs w:val="36"/>
          <w:lang w:val="en" w:eastAsia="en-US"/>
        </w:rPr>
      </w:pPr>
      <w:r w:rsidRPr="00EB0F55">
        <w:rPr>
          <w:rFonts w:ascii="Times New Roman" w:eastAsia="Times New Roman" w:hAnsi="Times New Roman" w:cs="Times New Roman"/>
          <w:b/>
          <w:sz w:val="36"/>
          <w:szCs w:val="36"/>
          <w:lang w:val="en" w:eastAsia="en-US"/>
        </w:rPr>
        <w:t xml:space="preserve">Assignment  title : Component 1 </w:t>
      </w:r>
    </w:p>
    <w:p w14:paraId="7515CD17" w14:textId="4BAE3150" w:rsidR="00EB0F55" w:rsidRPr="00EB0F55" w:rsidRDefault="00EB0F55" w:rsidP="00EB0F55">
      <w:pPr>
        <w:spacing w:line="360" w:lineRule="auto"/>
        <w:jc w:val="center"/>
        <w:rPr>
          <w:rFonts w:ascii="Times New Roman" w:eastAsia="Times New Roman" w:hAnsi="Times New Roman" w:cs="Times New Roman"/>
          <w:b/>
          <w:sz w:val="36"/>
          <w:szCs w:val="36"/>
          <w:lang w:val="en" w:eastAsia="en-US"/>
        </w:rPr>
      </w:pPr>
      <w:r>
        <w:rPr>
          <w:rFonts w:ascii="Times New Roman" w:eastAsia="Times New Roman" w:hAnsi="Times New Roman" w:cs="Times New Roman"/>
          <w:b/>
          <w:sz w:val="36"/>
          <w:szCs w:val="36"/>
          <w:lang w:val="en" w:eastAsia="en-US"/>
        </w:rPr>
        <w:t>Module Lecturer : Dr. Mudassar Hasan</w:t>
      </w:r>
    </w:p>
    <w:p w14:paraId="105763EA" w14:textId="78A7FE5C" w:rsidR="00242588" w:rsidRDefault="00000000">
      <w:pPr>
        <w:spacing w:line="360" w:lineRule="auto"/>
        <w:jc w:val="center"/>
        <w:rPr>
          <w:rFonts w:ascii="Times New Roman" w:eastAsia="Times New Roman" w:hAnsi="Times New Roman" w:cs="Times New Roman"/>
          <w:sz w:val="32"/>
          <w:szCs w:val="32"/>
        </w:rPr>
      </w:pPr>
      <w:r>
        <w:br w:type="page"/>
      </w:r>
    </w:p>
    <w:p w14:paraId="03A0B964" w14:textId="77777777" w:rsidR="00242588" w:rsidRDefault="0000000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                                                  Executive Summary </w:t>
      </w:r>
    </w:p>
    <w:p w14:paraId="47F4D957" w14:textId="3406AAC9" w:rsidR="0024258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case study critically </w:t>
      </w:r>
      <w:r w:rsidR="00110416">
        <w:rPr>
          <w:rFonts w:ascii="Times New Roman" w:eastAsia="Times New Roman" w:hAnsi="Times New Roman" w:cs="Times New Roman"/>
          <w:sz w:val="24"/>
          <w:szCs w:val="24"/>
        </w:rPr>
        <w:t>analyses</w:t>
      </w:r>
      <w:r>
        <w:rPr>
          <w:rFonts w:ascii="Times New Roman" w:eastAsia="Times New Roman" w:hAnsi="Times New Roman" w:cs="Times New Roman"/>
          <w:sz w:val="24"/>
          <w:szCs w:val="24"/>
        </w:rPr>
        <w:t xml:space="preserve"> the major governance facts for Maestro UK Ltd that fulfil the need of AIM for the relist. This company transitioned to public Ltd from family-owned firms that raised the necessity to align the AIM corporate governance protocol. The major governance issues incorporate agency disputes, reduced family ownership by 30%, and requirement for organised board formation as well as shareholder agreements. Maestro UK Ltd should use the various strategies that help to retain control including dual class share strategy, board appoints, and shareholder agreement. Providing a fair and transparent remuneration process increases the investor's confidence. Alternative listing areas like Shanghai and Dutch nations were effectively evaluated. </w:t>
      </w:r>
      <w:r>
        <w:br w:type="page"/>
      </w:r>
    </w:p>
    <w:p w14:paraId="1742B84C" w14:textId="77777777" w:rsidR="00242588"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Table of Contents</w:t>
      </w:r>
    </w:p>
    <w:sdt>
      <w:sdtPr>
        <w:id w:val="842284834"/>
        <w:docPartObj>
          <w:docPartGallery w:val="Table of Contents"/>
          <w:docPartUnique/>
        </w:docPartObj>
      </w:sdtPr>
      <w:sdtContent>
        <w:p w14:paraId="75A4FF57" w14:textId="77777777" w:rsidR="00242588" w:rsidRDefault="00000000">
          <w:pPr>
            <w:widowControl w:val="0"/>
            <w:tabs>
              <w:tab w:val="right" w:leader="dot" w:pos="9025"/>
            </w:tabs>
            <w:spacing w:before="6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orzjrtxd0wtt">
            <w:r w:rsidR="00242588">
              <w:rPr>
                <w:rFonts w:ascii="Times New Roman" w:eastAsia="Times New Roman" w:hAnsi="Times New Roman" w:cs="Times New Roman"/>
                <w:color w:val="000000"/>
                <w:sz w:val="24"/>
                <w:szCs w:val="24"/>
              </w:rPr>
              <w:t>1. Introduction</w:t>
            </w:r>
            <w:r w:rsidR="00242588">
              <w:rPr>
                <w:rFonts w:ascii="Times New Roman" w:eastAsia="Times New Roman" w:hAnsi="Times New Roman" w:cs="Times New Roman"/>
                <w:color w:val="000000"/>
                <w:sz w:val="24"/>
                <w:szCs w:val="24"/>
              </w:rPr>
              <w:tab/>
            </w:r>
          </w:hyperlink>
          <w:r>
            <w:fldChar w:fldCharType="begin"/>
          </w:r>
          <w:r>
            <w:instrText xml:space="preserve"> PAGEREF _orzjrtxd0wtt \h </w:instrText>
          </w:r>
          <w:r>
            <w:fldChar w:fldCharType="separate"/>
          </w:r>
          <w:r>
            <w:rPr>
              <w:rFonts w:ascii="Times New Roman" w:eastAsia="Times New Roman" w:hAnsi="Times New Roman" w:cs="Times New Roman"/>
              <w:sz w:val="24"/>
              <w:szCs w:val="24"/>
            </w:rPr>
            <w:t>4</w:t>
          </w:r>
          <w:r>
            <w:fldChar w:fldCharType="end"/>
          </w:r>
        </w:p>
        <w:p w14:paraId="55E4B499" w14:textId="77777777" w:rsidR="00242588" w:rsidRDefault="00242588">
          <w:pPr>
            <w:widowControl w:val="0"/>
            <w:tabs>
              <w:tab w:val="right" w:leader="dot" w:pos="9025"/>
            </w:tabs>
            <w:spacing w:before="60" w:line="360" w:lineRule="auto"/>
            <w:jc w:val="both"/>
            <w:rPr>
              <w:rFonts w:ascii="Times New Roman" w:eastAsia="Times New Roman" w:hAnsi="Times New Roman" w:cs="Times New Roman"/>
              <w:color w:val="000000"/>
              <w:sz w:val="24"/>
              <w:szCs w:val="24"/>
            </w:rPr>
          </w:pPr>
          <w:hyperlink w:anchor="_7m82ag1mf1ol">
            <w:r>
              <w:rPr>
                <w:rFonts w:ascii="Times New Roman" w:eastAsia="Times New Roman" w:hAnsi="Times New Roman" w:cs="Times New Roman"/>
                <w:color w:val="000000"/>
                <w:sz w:val="24"/>
                <w:szCs w:val="24"/>
              </w:rPr>
              <w:t>2. Discussion of findings</w:t>
            </w:r>
            <w:r>
              <w:rPr>
                <w:rFonts w:ascii="Times New Roman" w:eastAsia="Times New Roman" w:hAnsi="Times New Roman" w:cs="Times New Roman"/>
                <w:color w:val="000000"/>
                <w:sz w:val="24"/>
                <w:szCs w:val="24"/>
              </w:rPr>
              <w:tab/>
            </w:r>
          </w:hyperlink>
          <w:r w:rsidR="00000000">
            <w:fldChar w:fldCharType="begin"/>
          </w:r>
          <w:r w:rsidR="00000000">
            <w:instrText xml:space="preserve"> PAGEREF _7m82ag1mf1ol \h </w:instrText>
          </w:r>
          <w:r w:rsidR="00000000">
            <w:fldChar w:fldCharType="separate"/>
          </w:r>
          <w:r w:rsidR="00000000">
            <w:rPr>
              <w:rFonts w:ascii="Times New Roman" w:eastAsia="Times New Roman" w:hAnsi="Times New Roman" w:cs="Times New Roman"/>
              <w:sz w:val="24"/>
              <w:szCs w:val="24"/>
            </w:rPr>
            <w:t>4</w:t>
          </w:r>
          <w:r w:rsidR="00000000">
            <w:fldChar w:fldCharType="end"/>
          </w:r>
        </w:p>
        <w:p w14:paraId="41F1457F" w14:textId="77777777" w:rsidR="00242588" w:rsidRDefault="00242588">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ju9q8wv4c45w">
            <w:r>
              <w:rPr>
                <w:rFonts w:ascii="Times New Roman" w:eastAsia="Times New Roman" w:hAnsi="Times New Roman" w:cs="Times New Roman"/>
                <w:color w:val="000000"/>
                <w:sz w:val="24"/>
                <w:szCs w:val="24"/>
              </w:rPr>
              <w:t>2.1 corporate governance and agency theory</w:t>
            </w:r>
            <w:r>
              <w:rPr>
                <w:rFonts w:ascii="Times New Roman" w:eastAsia="Times New Roman" w:hAnsi="Times New Roman" w:cs="Times New Roman"/>
                <w:color w:val="000000"/>
                <w:sz w:val="24"/>
                <w:szCs w:val="24"/>
              </w:rPr>
              <w:tab/>
            </w:r>
          </w:hyperlink>
          <w:r w:rsidR="00000000">
            <w:fldChar w:fldCharType="begin"/>
          </w:r>
          <w:r w:rsidR="00000000">
            <w:instrText xml:space="preserve"> PAGEREF _ju9q8wv4c45w \h </w:instrText>
          </w:r>
          <w:r w:rsidR="00000000">
            <w:fldChar w:fldCharType="separate"/>
          </w:r>
          <w:r w:rsidR="00000000">
            <w:rPr>
              <w:rFonts w:ascii="Times New Roman" w:eastAsia="Times New Roman" w:hAnsi="Times New Roman" w:cs="Times New Roman"/>
              <w:sz w:val="24"/>
              <w:szCs w:val="24"/>
            </w:rPr>
            <w:t>4</w:t>
          </w:r>
          <w:r w:rsidR="00000000">
            <w:fldChar w:fldCharType="end"/>
          </w:r>
        </w:p>
        <w:p w14:paraId="6003F2E6" w14:textId="77777777" w:rsidR="00242588" w:rsidRDefault="00242588">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b2eacr987f2q">
            <w:r>
              <w:rPr>
                <w:rFonts w:ascii="Times New Roman" w:eastAsia="Times New Roman" w:hAnsi="Times New Roman" w:cs="Times New Roman"/>
                <w:color w:val="000000"/>
                <w:sz w:val="24"/>
                <w:szCs w:val="24"/>
              </w:rPr>
              <w:t>2.2  Retaining  control with 30% shareholding</w:t>
            </w:r>
            <w:r>
              <w:rPr>
                <w:rFonts w:ascii="Times New Roman" w:eastAsia="Times New Roman" w:hAnsi="Times New Roman" w:cs="Times New Roman"/>
                <w:color w:val="000000"/>
                <w:sz w:val="24"/>
                <w:szCs w:val="24"/>
              </w:rPr>
              <w:tab/>
            </w:r>
          </w:hyperlink>
          <w:r w:rsidR="00000000">
            <w:fldChar w:fldCharType="begin"/>
          </w:r>
          <w:r w:rsidR="00000000">
            <w:instrText xml:space="preserve"> PAGEREF _b2eacr987f2q \h </w:instrText>
          </w:r>
          <w:r w:rsidR="00000000">
            <w:fldChar w:fldCharType="separate"/>
          </w:r>
          <w:r w:rsidR="00000000">
            <w:rPr>
              <w:rFonts w:ascii="Times New Roman" w:eastAsia="Times New Roman" w:hAnsi="Times New Roman" w:cs="Times New Roman"/>
              <w:sz w:val="24"/>
              <w:szCs w:val="24"/>
            </w:rPr>
            <w:t>5</w:t>
          </w:r>
          <w:r w:rsidR="00000000">
            <w:fldChar w:fldCharType="end"/>
          </w:r>
        </w:p>
        <w:p w14:paraId="128A52A0" w14:textId="77777777" w:rsidR="00242588" w:rsidRDefault="00242588">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3b2e1gdc4hb4">
            <w:r>
              <w:rPr>
                <w:rFonts w:ascii="Times New Roman" w:eastAsia="Times New Roman" w:hAnsi="Times New Roman" w:cs="Times New Roman"/>
                <w:color w:val="000000"/>
                <w:sz w:val="24"/>
                <w:szCs w:val="24"/>
              </w:rPr>
              <w:t>2.3 Director remuneration and Governance structure</w:t>
            </w:r>
            <w:r>
              <w:rPr>
                <w:rFonts w:ascii="Times New Roman" w:eastAsia="Times New Roman" w:hAnsi="Times New Roman" w:cs="Times New Roman"/>
                <w:color w:val="000000"/>
                <w:sz w:val="24"/>
                <w:szCs w:val="24"/>
              </w:rPr>
              <w:tab/>
            </w:r>
          </w:hyperlink>
          <w:r w:rsidR="00000000">
            <w:fldChar w:fldCharType="begin"/>
          </w:r>
          <w:r w:rsidR="00000000">
            <w:instrText xml:space="preserve"> PAGEREF _3b2e1gdc4hb4 \h </w:instrText>
          </w:r>
          <w:r w:rsidR="00000000">
            <w:fldChar w:fldCharType="separate"/>
          </w:r>
          <w:r w:rsidR="00000000">
            <w:rPr>
              <w:rFonts w:ascii="Times New Roman" w:eastAsia="Times New Roman" w:hAnsi="Times New Roman" w:cs="Times New Roman"/>
              <w:sz w:val="24"/>
              <w:szCs w:val="24"/>
            </w:rPr>
            <w:t>6</w:t>
          </w:r>
          <w:r w:rsidR="00000000">
            <w:fldChar w:fldCharType="end"/>
          </w:r>
        </w:p>
        <w:p w14:paraId="5F907B45" w14:textId="77777777" w:rsidR="00242588" w:rsidRDefault="00242588">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gbmitoko9jjn">
            <w:r>
              <w:rPr>
                <w:rFonts w:ascii="Times New Roman" w:eastAsia="Times New Roman" w:hAnsi="Times New Roman" w:cs="Times New Roman"/>
                <w:color w:val="000000"/>
                <w:sz w:val="24"/>
                <w:szCs w:val="24"/>
              </w:rPr>
              <w:t>2.4 Institutional Difference : United Kingdom vs Netherland vs Shanghai</w:t>
            </w:r>
            <w:r>
              <w:rPr>
                <w:rFonts w:ascii="Times New Roman" w:eastAsia="Times New Roman" w:hAnsi="Times New Roman" w:cs="Times New Roman"/>
                <w:color w:val="000000"/>
                <w:sz w:val="24"/>
                <w:szCs w:val="24"/>
              </w:rPr>
              <w:tab/>
            </w:r>
          </w:hyperlink>
          <w:r w:rsidR="00000000">
            <w:fldChar w:fldCharType="begin"/>
          </w:r>
          <w:r w:rsidR="00000000">
            <w:instrText xml:space="preserve"> PAGEREF _gbmitoko9jjn \h </w:instrText>
          </w:r>
          <w:r w:rsidR="00000000">
            <w:fldChar w:fldCharType="separate"/>
          </w:r>
          <w:r w:rsidR="00000000">
            <w:rPr>
              <w:rFonts w:ascii="Times New Roman" w:eastAsia="Times New Roman" w:hAnsi="Times New Roman" w:cs="Times New Roman"/>
              <w:sz w:val="24"/>
              <w:szCs w:val="24"/>
            </w:rPr>
            <w:t>6</w:t>
          </w:r>
          <w:r w:rsidR="00000000">
            <w:fldChar w:fldCharType="end"/>
          </w:r>
        </w:p>
        <w:p w14:paraId="44D5FA48" w14:textId="77777777" w:rsidR="00242588" w:rsidRDefault="00242588">
          <w:pPr>
            <w:widowControl w:val="0"/>
            <w:tabs>
              <w:tab w:val="right" w:leader="dot" w:pos="9025"/>
            </w:tabs>
            <w:spacing w:before="60" w:line="360" w:lineRule="auto"/>
            <w:jc w:val="both"/>
            <w:rPr>
              <w:rFonts w:ascii="Times New Roman" w:eastAsia="Times New Roman" w:hAnsi="Times New Roman" w:cs="Times New Roman"/>
              <w:color w:val="000000"/>
              <w:sz w:val="24"/>
              <w:szCs w:val="24"/>
            </w:rPr>
          </w:pPr>
          <w:hyperlink w:anchor="_jfgtohumglyp">
            <w:r>
              <w:rPr>
                <w:rFonts w:ascii="Times New Roman" w:eastAsia="Times New Roman" w:hAnsi="Times New Roman" w:cs="Times New Roman"/>
                <w:color w:val="000000"/>
                <w:sz w:val="24"/>
                <w:szCs w:val="24"/>
              </w:rPr>
              <w:t>3. Conclusions</w:t>
            </w:r>
            <w:r>
              <w:rPr>
                <w:rFonts w:ascii="Times New Roman" w:eastAsia="Times New Roman" w:hAnsi="Times New Roman" w:cs="Times New Roman"/>
                <w:color w:val="000000"/>
                <w:sz w:val="24"/>
                <w:szCs w:val="24"/>
              </w:rPr>
              <w:tab/>
            </w:r>
          </w:hyperlink>
          <w:r w:rsidR="00000000">
            <w:fldChar w:fldCharType="begin"/>
          </w:r>
          <w:r w:rsidR="00000000">
            <w:instrText xml:space="preserve"> PAGEREF _jfgtohumglyp \h </w:instrText>
          </w:r>
          <w:r w:rsidR="00000000">
            <w:fldChar w:fldCharType="separate"/>
          </w:r>
          <w:r w:rsidR="00000000">
            <w:rPr>
              <w:rFonts w:ascii="Times New Roman" w:eastAsia="Times New Roman" w:hAnsi="Times New Roman" w:cs="Times New Roman"/>
              <w:sz w:val="24"/>
              <w:szCs w:val="24"/>
            </w:rPr>
            <w:t>7</w:t>
          </w:r>
          <w:r w:rsidR="00000000">
            <w:fldChar w:fldCharType="end"/>
          </w:r>
        </w:p>
        <w:p w14:paraId="5FEF6B6E" w14:textId="77777777" w:rsidR="00242588" w:rsidRDefault="00242588">
          <w:pPr>
            <w:widowControl w:val="0"/>
            <w:tabs>
              <w:tab w:val="right" w:leader="dot" w:pos="9025"/>
            </w:tabs>
            <w:spacing w:before="60" w:line="360" w:lineRule="auto"/>
            <w:jc w:val="both"/>
            <w:rPr>
              <w:rFonts w:ascii="Times New Roman" w:eastAsia="Times New Roman" w:hAnsi="Times New Roman" w:cs="Times New Roman"/>
              <w:color w:val="000000"/>
              <w:sz w:val="24"/>
              <w:szCs w:val="24"/>
            </w:rPr>
          </w:pPr>
          <w:hyperlink w:anchor="_elpru995wmyb">
            <w:r>
              <w:rPr>
                <w:rFonts w:ascii="Times New Roman" w:eastAsia="Times New Roman" w:hAnsi="Times New Roman" w:cs="Times New Roman"/>
                <w:color w:val="000000"/>
                <w:sz w:val="24"/>
                <w:szCs w:val="24"/>
              </w:rPr>
              <w:t>4. Recommendations</w:t>
            </w:r>
            <w:r>
              <w:rPr>
                <w:rFonts w:ascii="Times New Roman" w:eastAsia="Times New Roman" w:hAnsi="Times New Roman" w:cs="Times New Roman"/>
                <w:color w:val="000000"/>
                <w:sz w:val="24"/>
                <w:szCs w:val="24"/>
              </w:rPr>
              <w:tab/>
            </w:r>
          </w:hyperlink>
          <w:r w:rsidR="00000000">
            <w:fldChar w:fldCharType="begin"/>
          </w:r>
          <w:r w:rsidR="00000000">
            <w:instrText xml:space="preserve"> PAGEREF _elpru995wmyb \h </w:instrText>
          </w:r>
          <w:r w:rsidR="00000000">
            <w:fldChar w:fldCharType="separate"/>
          </w:r>
          <w:r w:rsidR="00000000">
            <w:rPr>
              <w:rFonts w:ascii="Times New Roman" w:eastAsia="Times New Roman" w:hAnsi="Times New Roman" w:cs="Times New Roman"/>
              <w:sz w:val="24"/>
              <w:szCs w:val="24"/>
            </w:rPr>
            <w:t>8</w:t>
          </w:r>
          <w:r w:rsidR="00000000">
            <w:fldChar w:fldCharType="end"/>
          </w:r>
        </w:p>
        <w:p w14:paraId="7EF93B8A" w14:textId="77777777" w:rsidR="00242588" w:rsidRDefault="00242588">
          <w:pPr>
            <w:widowControl w:val="0"/>
            <w:tabs>
              <w:tab w:val="right" w:leader="dot" w:pos="9025"/>
            </w:tabs>
            <w:spacing w:before="60" w:line="360" w:lineRule="auto"/>
            <w:jc w:val="both"/>
            <w:rPr>
              <w:rFonts w:ascii="Times New Roman" w:eastAsia="Times New Roman" w:hAnsi="Times New Roman" w:cs="Times New Roman"/>
              <w:color w:val="000000"/>
              <w:sz w:val="24"/>
              <w:szCs w:val="24"/>
            </w:rPr>
          </w:pPr>
          <w:hyperlink w:anchor="_opsgngawpybj">
            <w:r>
              <w:rPr>
                <w:rFonts w:ascii="Times New Roman" w:eastAsia="Times New Roman" w:hAnsi="Times New Roman" w:cs="Times New Roman"/>
                <w:color w:val="000000"/>
                <w:sz w:val="24"/>
                <w:szCs w:val="24"/>
              </w:rPr>
              <w:t>5. Reference</w:t>
            </w:r>
            <w:r>
              <w:rPr>
                <w:rFonts w:ascii="Times New Roman" w:eastAsia="Times New Roman" w:hAnsi="Times New Roman" w:cs="Times New Roman"/>
                <w:color w:val="000000"/>
                <w:sz w:val="24"/>
                <w:szCs w:val="24"/>
              </w:rPr>
              <w:tab/>
            </w:r>
          </w:hyperlink>
          <w:r w:rsidR="00000000">
            <w:fldChar w:fldCharType="begin"/>
          </w:r>
          <w:r w:rsidR="00000000">
            <w:instrText xml:space="preserve"> PAGEREF _opsgngawpybj \h </w:instrText>
          </w:r>
          <w:r w:rsidR="00000000">
            <w:fldChar w:fldCharType="separate"/>
          </w:r>
          <w:r w:rsidR="00000000">
            <w:rPr>
              <w:rFonts w:ascii="Times New Roman" w:eastAsia="Times New Roman" w:hAnsi="Times New Roman" w:cs="Times New Roman"/>
              <w:sz w:val="24"/>
              <w:szCs w:val="24"/>
            </w:rPr>
            <w:t>9</w:t>
          </w:r>
          <w:r w:rsidR="00000000">
            <w:fldChar w:fldCharType="end"/>
          </w:r>
          <w:r w:rsidR="00000000">
            <w:fldChar w:fldCharType="end"/>
          </w:r>
        </w:p>
      </w:sdtContent>
    </w:sdt>
    <w:p w14:paraId="3A6E2281" w14:textId="77777777" w:rsidR="00242588" w:rsidRDefault="00000000">
      <w:pPr>
        <w:spacing w:line="360" w:lineRule="auto"/>
        <w:jc w:val="both"/>
        <w:rPr>
          <w:rFonts w:ascii="Times New Roman" w:eastAsia="Times New Roman" w:hAnsi="Times New Roman" w:cs="Times New Roman"/>
          <w:sz w:val="24"/>
          <w:szCs w:val="24"/>
        </w:rPr>
      </w:pPr>
      <w:r>
        <w:br w:type="page"/>
      </w:r>
    </w:p>
    <w:p w14:paraId="2E2E94FE" w14:textId="77777777" w:rsidR="00242588" w:rsidRDefault="00000000">
      <w:pPr>
        <w:pStyle w:val="Heading1"/>
        <w:spacing w:line="360" w:lineRule="auto"/>
        <w:jc w:val="both"/>
        <w:rPr>
          <w:rFonts w:ascii="Times New Roman" w:eastAsia="Times New Roman" w:hAnsi="Times New Roman" w:cs="Times New Roman"/>
          <w:b/>
          <w:sz w:val="24"/>
          <w:szCs w:val="24"/>
        </w:rPr>
      </w:pPr>
      <w:bookmarkStart w:id="0" w:name="_orzjrtxd0wtt" w:colFirst="0" w:colLast="0"/>
      <w:bookmarkEnd w:id="0"/>
      <w:r>
        <w:rPr>
          <w:rFonts w:ascii="Times New Roman" w:eastAsia="Times New Roman" w:hAnsi="Times New Roman" w:cs="Times New Roman"/>
          <w:b/>
          <w:sz w:val="24"/>
          <w:szCs w:val="24"/>
        </w:rPr>
        <w:lastRenderedPageBreak/>
        <w:t xml:space="preserve">1. Introduction </w:t>
      </w:r>
    </w:p>
    <w:p w14:paraId="4C169DDA" w14:textId="50C4D954" w:rsidR="00242588" w:rsidRDefault="00000000">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This case study's major aim is to </w:t>
      </w:r>
      <w:r w:rsidR="00110416">
        <w:rPr>
          <w:rFonts w:ascii="Times New Roman" w:eastAsia="Times New Roman" w:hAnsi="Times New Roman" w:cs="Times New Roman"/>
          <w:color w:val="0E101A"/>
          <w:sz w:val="24"/>
          <w:szCs w:val="24"/>
          <w:highlight w:val="white"/>
        </w:rPr>
        <w:t>guide Maistro</w:t>
      </w:r>
      <w:r>
        <w:rPr>
          <w:rFonts w:ascii="Times New Roman" w:eastAsia="Times New Roman" w:hAnsi="Times New Roman" w:cs="Times New Roman"/>
          <w:color w:val="0E101A"/>
          <w:sz w:val="24"/>
          <w:szCs w:val="24"/>
          <w:highlight w:val="white"/>
        </w:rPr>
        <w:t xml:space="preserve"> UK </w:t>
      </w:r>
      <w:r w:rsidR="00110416">
        <w:rPr>
          <w:rFonts w:ascii="Times New Roman" w:eastAsia="Times New Roman" w:hAnsi="Times New Roman" w:cs="Times New Roman"/>
          <w:color w:val="0E101A"/>
          <w:sz w:val="24"/>
          <w:szCs w:val="24"/>
          <w:highlight w:val="white"/>
        </w:rPr>
        <w:t>Limited’s</w:t>
      </w:r>
      <w:r>
        <w:rPr>
          <w:rFonts w:ascii="Times New Roman" w:eastAsia="Times New Roman" w:hAnsi="Times New Roman" w:cs="Times New Roman"/>
          <w:color w:val="0E101A"/>
          <w:sz w:val="24"/>
          <w:szCs w:val="24"/>
          <w:highlight w:val="white"/>
        </w:rPr>
        <w:t xml:space="preserve"> board of directors to recognise major governance issues, especially compelling to AIM corporate administration needs, 30% shareholding control retina to family, making the fair </w:t>
      </w:r>
      <w:r w:rsidR="00110416">
        <w:rPr>
          <w:rFonts w:ascii="Times New Roman" w:eastAsia="Times New Roman" w:hAnsi="Times New Roman" w:cs="Times New Roman"/>
          <w:color w:val="0E101A"/>
          <w:sz w:val="24"/>
          <w:szCs w:val="24"/>
          <w:highlight w:val="white"/>
        </w:rPr>
        <w:t>directors’</w:t>
      </w:r>
      <w:r>
        <w:rPr>
          <w:rFonts w:ascii="Times New Roman" w:eastAsia="Times New Roman" w:hAnsi="Times New Roman" w:cs="Times New Roman"/>
          <w:color w:val="0E101A"/>
          <w:sz w:val="24"/>
          <w:szCs w:val="24"/>
          <w:highlight w:val="white"/>
        </w:rPr>
        <w:t xml:space="preserve"> remunerations, and asses suitable alternative listing places like Netherland and Shanghai as well. This assignment was a critical analysis application of agency theory, regulatory obligations, and government policies, </w:t>
      </w:r>
      <w:r w:rsidR="00110416">
        <w:rPr>
          <w:rFonts w:ascii="Times New Roman" w:eastAsia="Times New Roman" w:hAnsi="Times New Roman" w:cs="Times New Roman"/>
          <w:color w:val="0E101A"/>
          <w:sz w:val="24"/>
          <w:szCs w:val="24"/>
          <w:highlight w:val="white"/>
        </w:rPr>
        <w:t>and</w:t>
      </w:r>
      <w:r>
        <w:rPr>
          <w:rFonts w:ascii="Times New Roman" w:eastAsia="Times New Roman" w:hAnsi="Times New Roman" w:cs="Times New Roman"/>
          <w:color w:val="0E101A"/>
          <w:sz w:val="24"/>
          <w:szCs w:val="24"/>
          <w:highlight w:val="white"/>
        </w:rPr>
        <w:t xml:space="preserve"> proposing authentic recommendations to Maistro UK Ltd for ensuring supportive strategic benefits as well. </w:t>
      </w:r>
    </w:p>
    <w:p w14:paraId="1AB29C46" w14:textId="06CF0635" w:rsidR="00242588" w:rsidRDefault="00000000">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Maistro is a UK-based tech company that was incorporated in 2007 and primarily listed on AIM (Alternative Investing Market) in 2012 (GOV.UK, 2025).  In the later time, this company was delisted from the AIM in 2019 because of strategic repositioning as well as financial restructuring. At the current time, Maistro organisations are trying to be listed again on Alternative Investing </w:t>
      </w:r>
      <w:r w:rsidR="00110416">
        <w:rPr>
          <w:rFonts w:ascii="Times New Roman" w:eastAsia="Times New Roman" w:hAnsi="Times New Roman" w:cs="Times New Roman"/>
          <w:color w:val="0E101A"/>
          <w:sz w:val="24"/>
          <w:szCs w:val="24"/>
          <w:highlight w:val="white"/>
        </w:rPr>
        <w:t>Markets (</w:t>
      </w:r>
      <w:r>
        <w:rPr>
          <w:rFonts w:ascii="Times New Roman" w:eastAsia="Times New Roman" w:hAnsi="Times New Roman" w:cs="Times New Roman"/>
          <w:color w:val="0E101A"/>
          <w:sz w:val="24"/>
          <w:szCs w:val="24"/>
          <w:highlight w:val="white"/>
        </w:rPr>
        <w:t xml:space="preserve">AIM) to increase corporate trustability, expand niche audiences, and access external financing. </w:t>
      </w:r>
    </w:p>
    <w:p w14:paraId="5121E85E" w14:textId="77777777" w:rsidR="00242588" w:rsidRDefault="00000000">
      <w:pPr>
        <w:pStyle w:val="Heading1"/>
        <w:spacing w:line="360" w:lineRule="auto"/>
        <w:jc w:val="both"/>
        <w:rPr>
          <w:rFonts w:ascii="Times New Roman" w:eastAsia="Times New Roman" w:hAnsi="Times New Roman" w:cs="Times New Roman"/>
          <w:b/>
          <w:sz w:val="24"/>
          <w:szCs w:val="24"/>
        </w:rPr>
      </w:pPr>
      <w:bookmarkStart w:id="1" w:name="_7m82ag1mf1ol" w:colFirst="0" w:colLast="0"/>
      <w:bookmarkEnd w:id="1"/>
      <w:r>
        <w:rPr>
          <w:rFonts w:ascii="Times New Roman" w:eastAsia="Times New Roman" w:hAnsi="Times New Roman" w:cs="Times New Roman"/>
          <w:b/>
          <w:sz w:val="24"/>
          <w:szCs w:val="24"/>
        </w:rPr>
        <w:t xml:space="preserve">2. Discussion of findings </w:t>
      </w:r>
    </w:p>
    <w:p w14:paraId="1CDC4E2B" w14:textId="77777777" w:rsidR="00242588" w:rsidRDefault="00000000">
      <w:pPr>
        <w:pStyle w:val="Heading2"/>
        <w:spacing w:line="360" w:lineRule="auto"/>
        <w:jc w:val="both"/>
        <w:rPr>
          <w:rFonts w:ascii="Times New Roman" w:eastAsia="Times New Roman" w:hAnsi="Times New Roman" w:cs="Times New Roman"/>
          <w:b/>
          <w:sz w:val="24"/>
          <w:szCs w:val="24"/>
        </w:rPr>
      </w:pPr>
      <w:bookmarkStart w:id="2" w:name="_ju9q8wv4c45w" w:colFirst="0" w:colLast="0"/>
      <w:bookmarkEnd w:id="2"/>
      <w:r>
        <w:rPr>
          <w:rFonts w:ascii="Times New Roman" w:eastAsia="Times New Roman" w:hAnsi="Times New Roman" w:cs="Times New Roman"/>
          <w:b/>
          <w:sz w:val="24"/>
          <w:szCs w:val="24"/>
        </w:rPr>
        <w:t xml:space="preserve">2.1 corporate governance and agency theory </w:t>
      </w:r>
    </w:p>
    <w:p w14:paraId="4AAF904D" w14:textId="77777777" w:rsidR="00242588" w:rsidRDefault="00000000">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Corporate governance is specified as an organisational structure of the regulations, accountability structure, and systems that help to run a company more effectively as well as efficiently as well (Conmy, 2024). Effective corporate governance makes sure transparency, responsibility, and investors' confidence are very important for public firms. For the Alternative Investment Markets organisations, corporate governance is less stringent than the major markets. But it's very important for financial trust as well as regulatory compliance as well. </w:t>
      </w:r>
    </w:p>
    <w:p w14:paraId="4C3FBB27" w14:textId="77777777" w:rsidR="00242588" w:rsidRDefault="00000000">
      <w:pPr>
        <w:spacing w:line="360" w:lineRule="auto"/>
        <w:jc w:val="both"/>
        <w:rPr>
          <w:rFonts w:ascii="Times New Roman" w:eastAsia="Times New Roman" w:hAnsi="Times New Roman" w:cs="Times New Roman"/>
          <w:b/>
          <w:color w:val="0E101A"/>
          <w:sz w:val="24"/>
          <w:szCs w:val="24"/>
          <w:highlight w:val="white"/>
        </w:rPr>
      </w:pPr>
      <w:r>
        <w:rPr>
          <w:rFonts w:ascii="Times New Roman" w:eastAsia="Times New Roman" w:hAnsi="Times New Roman" w:cs="Times New Roman"/>
          <w:b/>
          <w:color w:val="0E101A"/>
          <w:sz w:val="24"/>
          <w:szCs w:val="24"/>
          <w:highlight w:val="white"/>
        </w:rPr>
        <w:t xml:space="preserve">United Kingdom Corporate Governance Need for AIM </w:t>
      </w:r>
    </w:p>
    <w:p w14:paraId="43FBB78F" w14:textId="49C8FBC7" w:rsidR="00242588" w:rsidRDefault="00000000">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There are various essential aspects that must follow the Quoted Companies Alliance (</w:t>
      </w:r>
      <w:r w:rsidR="00110416">
        <w:rPr>
          <w:rFonts w:ascii="Times New Roman" w:eastAsia="Times New Roman" w:hAnsi="Times New Roman" w:cs="Times New Roman"/>
          <w:color w:val="0E101A"/>
          <w:sz w:val="24"/>
          <w:szCs w:val="24"/>
          <w:highlight w:val="white"/>
        </w:rPr>
        <w:t>QCA) Corporate</w:t>
      </w:r>
      <w:r>
        <w:rPr>
          <w:rFonts w:ascii="Times New Roman" w:eastAsia="Times New Roman" w:hAnsi="Times New Roman" w:cs="Times New Roman"/>
          <w:color w:val="0E101A"/>
          <w:sz w:val="24"/>
          <w:szCs w:val="24"/>
          <w:highlight w:val="white"/>
        </w:rPr>
        <w:t xml:space="preserve"> Governance Code to the AIM-listed firms. A well-designed board structure that consists of at least two independent non-managing directors, needs to ensure fair executive remuneration as well as monetary integration. Companies must publish their financial reporting with high transparency briefly (FRC, 2025). </w:t>
      </w:r>
    </w:p>
    <w:p w14:paraId="2ABDD479" w14:textId="77777777" w:rsidR="00242588" w:rsidRDefault="00242588">
      <w:pPr>
        <w:spacing w:line="360" w:lineRule="auto"/>
        <w:jc w:val="both"/>
        <w:rPr>
          <w:rFonts w:ascii="Times New Roman" w:eastAsia="Times New Roman" w:hAnsi="Times New Roman" w:cs="Times New Roman"/>
          <w:b/>
          <w:color w:val="0E101A"/>
          <w:sz w:val="24"/>
          <w:szCs w:val="24"/>
          <w:highlight w:val="white"/>
        </w:rPr>
      </w:pPr>
    </w:p>
    <w:p w14:paraId="4F8CF288" w14:textId="77777777" w:rsidR="00242588" w:rsidRDefault="00242588">
      <w:pPr>
        <w:spacing w:line="360" w:lineRule="auto"/>
        <w:jc w:val="both"/>
        <w:rPr>
          <w:rFonts w:ascii="Times New Roman" w:eastAsia="Times New Roman" w:hAnsi="Times New Roman" w:cs="Times New Roman"/>
          <w:b/>
          <w:color w:val="0E101A"/>
          <w:sz w:val="24"/>
          <w:szCs w:val="24"/>
          <w:highlight w:val="white"/>
        </w:rPr>
      </w:pPr>
    </w:p>
    <w:p w14:paraId="6292EED2" w14:textId="77777777" w:rsidR="00110416" w:rsidRDefault="00110416">
      <w:pPr>
        <w:spacing w:line="360" w:lineRule="auto"/>
        <w:jc w:val="both"/>
        <w:rPr>
          <w:rFonts w:ascii="Times New Roman" w:eastAsia="Times New Roman" w:hAnsi="Times New Roman" w:cs="Times New Roman"/>
          <w:b/>
          <w:color w:val="0E101A"/>
          <w:sz w:val="24"/>
          <w:szCs w:val="24"/>
          <w:highlight w:val="white"/>
        </w:rPr>
      </w:pPr>
    </w:p>
    <w:p w14:paraId="6D413DAB" w14:textId="267B4857" w:rsidR="00242588" w:rsidRDefault="00000000">
      <w:pPr>
        <w:spacing w:line="360" w:lineRule="auto"/>
        <w:jc w:val="both"/>
        <w:rPr>
          <w:rFonts w:ascii="Times New Roman" w:eastAsia="Times New Roman" w:hAnsi="Times New Roman" w:cs="Times New Roman"/>
          <w:b/>
          <w:color w:val="0E101A"/>
          <w:sz w:val="24"/>
          <w:szCs w:val="24"/>
          <w:highlight w:val="white"/>
        </w:rPr>
      </w:pPr>
      <w:r>
        <w:rPr>
          <w:rFonts w:ascii="Times New Roman" w:eastAsia="Times New Roman" w:hAnsi="Times New Roman" w:cs="Times New Roman"/>
          <w:b/>
          <w:color w:val="0E101A"/>
          <w:sz w:val="24"/>
          <w:szCs w:val="24"/>
          <w:highlight w:val="white"/>
        </w:rPr>
        <w:lastRenderedPageBreak/>
        <w:t xml:space="preserve">Outlining </w:t>
      </w:r>
      <w:r w:rsidR="00110416">
        <w:rPr>
          <w:rFonts w:ascii="Times New Roman" w:eastAsia="Times New Roman" w:hAnsi="Times New Roman" w:cs="Times New Roman"/>
          <w:b/>
          <w:color w:val="0E101A"/>
          <w:sz w:val="24"/>
          <w:szCs w:val="24"/>
          <w:highlight w:val="white"/>
        </w:rPr>
        <w:t>of Agency</w:t>
      </w:r>
      <w:r>
        <w:rPr>
          <w:rFonts w:ascii="Times New Roman" w:eastAsia="Times New Roman" w:hAnsi="Times New Roman" w:cs="Times New Roman"/>
          <w:b/>
          <w:color w:val="0E101A"/>
          <w:sz w:val="24"/>
          <w:szCs w:val="24"/>
          <w:highlight w:val="white"/>
        </w:rPr>
        <w:t xml:space="preserve"> theory</w:t>
      </w:r>
    </w:p>
    <w:p w14:paraId="7AE7C965" w14:textId="77777777" w:rsidR="00242588" w:rsidRDefault="00000000">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Agency theory was introduced by Jensen and Mackling in 1976. This theory emphasises the conflict between executive and principles. Where a company manager works for self-interest rather than giving preference for shareholder values (Jamal </w:t>
      </w:r>
      <w:r>
        <w:rPr>
          <w:rFonts w:ascii="Times New Roman" w:eastAsia="Times New Roman" w:hAnsi="Times New Roman" w:cs="Times New Roman"/>
          <w:i/>
          <w:color w:val="0E101A"/>
          <w:sz w:val="24"/>
          <w:szCs w:val="24"/>
          <w:highlight w:val="white"/>
        </w:rPr>
        <w:t>et al.,</w:t>
      </w:r>
      <w:r>
        <w:rPr>
          <w:rFonts w:ascii="Times New Roman" w:eastAsia="Times New Roman" w:hAnsi="Times New Roman" w:cs="Times New Roman"/>
          <w:color w:val="0E101A"/>
          <w:sz w:val="24"/>
          <w:szCs w:val="24"/>
          <w:highlight w:val="white"/>
        </w:rPr>
        <w:t xml:space="preserve"> 2024).  Agency conflict started in the Maistro UK Ltd from various key reasons like major conflict between family control and external shareholders. Additionally, family directors may protest external oversight and board restructuring.  </w:t>
      </w:r>
    </w:p>
    <w:p w14:paraId="292626B2" w14:textId="77777777" w:rsidR="00242588" w:rsidRDefault="00000000">
      <w:pPr>
        <w:spacing w:line="360" w:lineRule="auto"/>
        <w:jc w:val="both"/>
        <w:rPr>
          <w:rFonts w:ascii="Times New Roman" w:eastAsia="Times New Roman" w:hAnsi="Times New Roman" w:cs="Times New Roman"/>
          <w:b/>
          <w:color w:val="0E101A"/>
          <w:sz w:val="24"/>
          <w:szCs w:val="24"/>
          <w:highlight w:val="white"/>
        </w:rPr>
      </w:pPr>
      <w:r>
        <w:rPr>
          <w:rFonts w:ascii="Times New Roman" w:eastAsia="Times New Roman" w:hAnsi="Times New Roman" w:cs="Times New Roman"/>
          <w:b/>
          <w:color w:val="0E101A"/>
          <w:sz w:val="24"/>
          <w:szCs w:val="24"/>
          <w:highlight w:val="white"/>
        </w:rPr>
        <w:t xml:space="preserve">The consequence for Maistro UK Ltd </w:t>
      </w:r>
    </w:p>
    <w:p w14:paraId="37A75002" w14:textId="01B7B127" w:rsidR="00242588" w:rsidRDefault="00000000">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Maistro UK Ltd faced governance issues for conversion to a public ownership company from a family-ownership organisation. Firstly, Maistro UK Ltd keeps balancing the family impact with financier priorities to minimise governance disputes. Secondly, increasing transparency as well as independent oversight to make sure to follow AIM guidelines. </w:t>
      </w:r>
      <w:r w:rsidR="00110416">
        <w:rPr>
          <w:rFonts w:ascii="Times New Roman" w:eastAsia="Times New Roman" w:hAnsi="Times New Roman" w:cs="Times New Roman"/>
          <w:color w:val="0E101A"/>
          <w:sz w:val="24"/>
          <w:szCs w:val="24"/>
          <w:highlight w:val="white"/>
        </w:rPr>
        <w:t>Thirdly, reduce</w:t>
      </w:r>
      <w:r>
        <w:rPr>
          <w:rFonts w:ascii="Times New Roman" w:eastAsia="Times New Roman" w:hAnsi="Times New Roman" w:cs="Times New Roman"/>
          <w:color w:val="0E101A"/>
          <w:sz w:val="24"/>
          <w:szCs w:val="24"/>
          <w:highlight w:val="white"/>
        </w:rPr>
        <w:t xml:space="preserve"> agency expenses with the help of performance-based executive remunerations as well (Ferrarini and Ungureanu, 2024).</w:t>
      </w:r>
    </w:p>
    <w:p w14:paraId="28B5324C" w14:textId="77777777" w:rsidR="00242588" w:rsidRDefault="00000000">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To be successfully listed in the AIM, this company must accept transparent financial regulations, strong governance frameworks, and strategic stakeholder agreements to properly manage investor confidence as well as control retention as well.  </w:t>
      </w:r>
    </w:p>
    <w:p w14:paraId="4A5751B8" w14:textId="7C839E86" w:rsidR="00242588" w:rsidRDefault="00110416">
      <w:pPr>
        <w:pStyle w:val="Heading2"/>
        <w:spacing w:line="360" w:lineRule="auto"/>
        <w:jc w:val="both"/>
        <w:rPr>
          <w:rFonts w:ascii="Times New Roman" w:eastAsia="Times New Roman" w:hAnsi="Times New Roman" w:cs="Times New Roman"/>
          <w:b/>
          <w:sz w:val="24"/>
          <w:szCs w:val="24"/>
        </w:rPr>
      </w:pPr>
      <w:bookmarkStart w:id="3" w:name="_b2eacr987f2q" w:colFirst="0" w:colLast="0"/>
      <w:bookmarkEnd w:id="3"/>
      <w:r>
        <w:rPr>
          <w:rFonts w:ascii="Times New Roman" w:eastAsia="Times New Roman" w:hAnsi="Times New Roman" w:cs="Times New Roman"/>
          <w:b/>
          <w:sz w:val="24"/>
          <w:szCs w:val="24"/>
        </w:rPr>
        <w:t xml:space="preserve">2.2 Retaining control with 30% shareholding </w:t>
      </w:r>
    </w:p>
    <w:p w14:paraId="12E6DDF5" w14:textId="7EA2A595" w:rsidR="00242588" w:rsidRDefault="00000000">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Maistro UK </w:t>
      </w:r>
      <w:r w:rsidR="00110416">
        <w:rPr>
          <w:rFonts w:ascii="Times New Roman" w:eastAsia="Times New Roman" w:hAnsi="Times New Roman" w:cs="Times New Roman"/>
          <w:color w:val="0E101A"/>
          <w:sz w:val="24"/>
          <w:szCs w:val="24"/>
          <w:highlight w:val="white"/>
        </w:rPr>
        <w:t>Ltd.’s</w:t>
      </w:r>
      <w:r>
        <w:rPr>
          <w:rFonts w:ascii="Times New Roman" w:eastAsia="Times New Roman" w:hAnsi="Times New Roman" w:cs="Times New Roman"/>
          <w:color w:val="0E101A"/>
          <w:sz w:val="24"/>
          <w:szCs w:val="24"/>
          <w:highlight w:val="white"/>
        </w:rPr>
        <w:t xml:space="preserve"> ownership frameworks will shift significantly for the listing on AIM.  By decreasing family ownership from 100% to 30% while external shareholders will take 70%. This changes the various key issues associated with governance risk including minimising the family impacts, potential involvement from institutional financiers, and issues in managing strategic decision-making processes without adequate control structure (GOV.UK,2025). </w:t>
      </w:r>
      <w:r w:rsidR="00110416">
        <w:rPr>
          <w:rFonts w:ascii="Times New Roman" w:eastAsia="Times New Roman" w:hAnsi="Times New Roman" w:cs="Times New Roman"/>
          <w:color w:val="0E101A"/>
          <w:sz w:val="24"/>
          <w:szCs w:val="24"/>
          <w:highlight w:val="white"/>
        </w:rPr>
        <w:t>So,</w:t>
      </w:r>
      <w:r>
        <w:rPr>
          <w:rFonts w:ascii="Times New Roman" w:eastAsia="Times New Roman" w:hAnsi="Times New Roman" w:cs="Times New Roman"/>
          <w:color w:val="0E101A"/>
          <w:sz w:val="24"/>
          <w:szCs w:val="24"/>
          <w:highlight w:val="white"/>
        </w:rPr>
        <w:t xml:space="preserve"> this raises the pressure on the Maistro family board in terms of dividing regulations, and altering company policy, and leadership frameworks according to the external stakeholder demands. This organisation must accept the effective governance frameworks for managing control despite majority ownership as well. For example, in </w:t>
      </w:r>
      <w:r w:rsidR="00110416">
        <w:rPr>
          <w:rFonts w:ascii="Times New Roman" w:eastAsia="Times New Roman" w:hAnsi="Times New Roman" w:cs="Times New Roman"/>
          <w:color w:val="0E101A"/>
          <w:sz w:val="24"/>
          <w:szCs w:val="24"/>
          <w:highlight w:val="white"/>
        </w:rPr>
        <w:t>Dual class</w:t>
      </w:r>
      <w:r>
        <w:rPr>
          <w:rFonts w:ascii="Times New Roman" w:eastAsia="Times New Roman" w:hAnsi="Times New Roman" w:cs="Times New Roman"/>
          <w:color w:val="0E101A"/>
          <w:sz w:val="24"/>
          <w:szCs w:val="24"/>
          <w:highlight w:val="white"/>
        </w:rPr>
        <w:t xml:space="preserve"> share frameworks, where Class A shares hold limited voting power while Class B shares hold more voting rights in their firms (Lü, 2024). This regulatory structure is implemented by various organisations as well.  Another major strategy is modifying the board framework by appointing CEO or chairman roles from the family members as well. These strategic decisions are ensured to provide the sense to company broad controls in their hands. With the making of strong </w:t>
      </w:r>
      <w:r>
        <w:rPr>
          <w:rFonts w:ascii="Times New Roman" w:eastAsia="Times New Roman" w:hAnsi="Times New Roman" w:cs="Times New Roman"/>
          <w:color w:val="0E101A"/>
          <w:sz w:val="24"/>
          <w:szCs w:val="24"/>
          <w:highlight w:val="white"/>
        </w:rPr>
        <w:lastRenderedPageBreak/>
        <w:t xml:space="preserve">collaborations with sustainable company investors who streamline Maistros’ common purpose as well as company strategy. These efforts significantly reduce the risk possessed by current investors. This is also helpful to companies for balancing the stability in the decision-making process as well as governance in their post-listing phases. </w:t>
      </w:r>
    </w:p>
    <w:p w14:paraId="3DDDB8E0" w14:textId="77777777" w:rsidR="00242588" w:rsidRDefault="00000000">
      <w:pPr>
        <w:pStyle w:val="Heading2"/>
        <w:spacing w:line="360" w:lineRule="auto"/>
        <w:jc w:val="both"/>
        <w:rPr>
          <w:rFonts w:ascii="Times New Roman" w:eastAsia="Times New Roman" w:hAnsi="Times New Roman" w:cs="Times New Roman"/>
          <w:b/>
          <w:sz w:val="24"/>
          <w:szCs w:val="24"/>
        </w:rPr>
      </w:pPr>
      <w:bookmarkStart w:id="4" w:name="_3b2e1gdc4hb4" w:colFirst="0" w:colLast="0"/>
      <w:bookmarkEnd w:id="4"/>
      <w:r>
        <w:rPr>
          <w:rFonts w:ascii="Times New Roman" w:eastAsia="Times New Roman" w:hAnsi="Times New Roman" w:cs="Times New Roman"/>
          <w:b/>
          <w:sz w:val="24"/>
          <w:szCs w:val="24"/>
        </w:rPr>
        <w:t xml:space="preserve">2.3 Director remuneration and Governance structure </w:t>
      </w:r>
    </w:p>
    <w:p w14:paraId="7E0A3E0A" w14:textId="0928A1E2" w:rsidR="00242588"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color w:val="0E101A"/>
          <w:sz w:val="24"/>
          <w:szCs w:val="24"/>
          <w:highlight w:val="white"/>
        </w:rPr>
        <w:t xml:space="preserve">Aper the requirement of the AIM listed company must provide a well-organized as well as clear remuneration strategy to attract shareholders while providing fair performance base remunerations for directors (Londonstockexchange, 2025). </w:t>
      </w:r>
      <w:r w:rsidR="00110416">
        <w:rPr>
          <w:rFonts w:ascii="Times New Roman" w:eastAsia="Times New Roman" w:hAnsi="Times New Roman" w:cs="Times New Roman"/>
          <w:color w:val="0E101A"/>
          <w:sz w:val="24"/>
          <w:szCs w:val="24"/>
          <w:highlight w:val="white"/>
        </w:rPr>
        <w:t>So,</w:t>
      </w:r>
      <w:r>
        <w:rPr>
          <w:rFonts w:ascii="Times New Roman" w:eastAsia="Times New Roman" w:hAnsi="Times New Roman" w:cs="Times New Roman"/>
          <w:color w:val="0E101A"/>
          <w:sz w:val="24"/>
          <w:szCs w:val="24"/>
          <w:highlight w:val="white"/>
        </w:rPr>
        <w:t xml:space="preserve"> the major conflict may arise due to poorly organised investors paying external shareholders as well and also rise to dissatisfaction as well as governance issues. To unify the directors' compensations with investors' interest, this company must execute effective compensation methods as per company benchmarks, performance, and governance best measures as well. One major strategy is the making of a remuneration committee consisting of independent NED’s (Non-executive directors) (Ferrarini and Ungureanu, 2024). This strategy makes sure purpose decision-making recognizes pay frameworks, stock options, and bonuses. Maestro UK Ltd can display its fairness and transparency in its internal directors' remunerations with the help of independent oversights. This organisation should implement outer compensations benchmarking to make sure that executive salaries are competitive with the current time while decreasing over payout systems. For the following the AIM regulatory need is very important for the organisations. UK corporate regulation highly highlights transparency in the executive payment in their financial reports.  According to this code, salary structure, incentives, bonuses, and other payments are publicly disclosed as needed. This clear reporting helps to form strong relations with the investors of the company </w:t>
      </w:r>
      <w:r w:rsidR="00110416">
        <w:rPr>
          <w:rFonts w:ascii="Times New Roman" w:eastAsia="Times New Roman" w:hAnsi="Times New Roman" w:cs="Times New Roman"/>
          <w:color w:val="0E101A"/>
          <w:sz w:val="24"/>
          <w:szCs w:val="24"/>
          <w:highlight w:val="white"/>
        </w:rPr>
        <w:t>and</w:t>
      </w:r>
      <w:r>
        <w:rPr>
          <w:rFonts w:ascii="Times New Roman" w:eastAsia="Times New Roman" w:hAnsi="Times New Roman" w:cs="Times New Roman"/>
          <w:color w:val="0E101A"/>
          <w:sz w:val="24"/>
          <w:szCs w:val="24"/>
          <w:highlight w:val="white"/>
        </w:rPr>
        <w:t xml:space="preserve"> unifies the compensation strategy with sustainable company efficiency rather than shirt time benefits as well. With the use of this governance framework, Maistro UK Ltd makes the treatment, fair, and performance-based compensation process. With the managing of the family ownerships, interest of directors, and outer financiers. </w:t>
      </w:r>
    </w:p>
    <w:p w14:paraId="69FB0F93" w14:textId="3556BE6B" w:rsidR="00242588" w:rsidRDefault="00000000">
      <w:pPr>
        <w:pStyle w:val="Heading2"/>
        <w:spacing w:line="360" w:lineRule="auto"/>
        <w:jc w:val="both"/>
        <w:rPr>
          <w:rFonts w:ascii="Times New Roman" w:eastAsia="Times New Roman" w:hAnsi="Times New Roman" w:cs="Times New Roman"/>
          <w:b/>
          <w:sz w:val="24"/>
          <w:szCs w:val="24"/>
        </w:rPr>
      </w:pPr>
      <w:bookmarkStart w:id="5" w:name="_gbmitoko9jjn" w:colFirst="0" w:colLast="0"/>
      <w:bookmarkEnd w:id="5"/>
      <w:r>
        <w:rPr>
          <w:rFonts w:ascii="Times New Roman" w:eastAsia="Times New Roman" w:hAnsi="Times New Roman" w:cs="Times New Roman"/>
          <w:b/>
          <w:sz w:val="24"/>
          <w:szCs w:val="24"/>
        </w:rPr>
        <w:t xml:space="preserve">2.4 Institutional </w:t>
      </w:r>
      <w:r w:rsidR="00110416">
        <w:rPr>
          <w:rFonts w:ascii="Times New Roman" w:eastAsia="Times New Roman" w:hAnsi="Times New Roman" w:cs="Times New Roman"/>
          <w:b/>
          <w:sz w:val="24"/>
          <w:szCs w:val="24"/>
        </w:rPr>
        <w:t>Difference:</w:t>
      </w:r>
      <w:r>
        <w:rPr>
          <w:rFonts w:ascii="Times New Roman" w:eastAsia="Times New Roman" w:hAnsi="Times New Roman" w:cs="Times New Roman"/>
          <w:b/>
          <w:sz w:val="24"/>
          <w:szCs w:val="24"/>
        </w:rPr>
        <w:t xml:space="preserve"> United Kingdom vs Netherland vs Shanghai </w:t>
      </w:r>
    </w:p>
    <w:p w14:paraId="5F9163AD" w14:textId="77777777" w:rsidR="00242588"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As a regulatory need, shareholder expectations, and corporate governance structure, for the Maistro UK Ltd choosing a suitable listing area is very important between the UK, the Netherlands, and Shanghai. These locations are district benefits as well as issues that are affected by investor rights, governance framework, and other factors. Alternative Investing </w:t>
      </w:r>
      <w:r>
        <w:rPr>
          <w:rFonts w:ascii="Times New Roman" w:eastAsia="Times New Roman" w:hAnsi="Times New Roman" w:cs="Times New Roman"/>
          <w:color w:val="0E101A"/>
          <w:sz w:val="24"/>
          <w:szCs w:val="24"/>
        </w:rPr>
        <w:lastRenderedPageBreak/>
        <w:t xml:space="preserve">Market (AIM) in Britain permits a flexible regulatory circumstance with corporate monitoring under QCA corporate Governance regulations. This code permits smaller organisations to be listed with lower monetary restrictions. However, the firms must provide the transparency of their eternal business process (The QCA, 2025). This provides the benefits to Maistro’s UK Ltd for the accomplished large number of shareholder bases. However, shareholder demand for monetary transparency and broad independence will rise post listings. </w:t>
      </w:r>
    </w:p>
    <w:p w14:paraId="67A9C58D" w14:textId="451A8135" w:rsidR="00242588"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Listing on the SSE (Shanghai Stock Exchange) is comparatively very challenging, for the various key factors such as limited investors' rights, strict administration oversight, and complex foreign ownership protocols (SSE, 2025). The Chinese corporate rules significantly impact the company's decision-making process. </w:t>
      </w:r>
      <w:r w:rsidR="00110416">
        <w:rPr>
          <w:rFonts w:ascii="Times New Roman" w:eastAsia="Times New Roman" w:hAnsi="Times New Roman" w:cs="Times New Roman"/>
          <w:color w:val="0E101A"/>
          <w:sz w:val="24"/>
          <w:szCs w:val="24"/>
        </w:rPr>
        <w:t>So,</w:t>
      </w:r>
      <w:r>
        <w:rPr>
          <w:rFonts w:ascii="Times New Roman" w:eastAsia="Times New Roman" w:hAnsi="Times New Roman" w:cs="Times New Roman"/>
          <w:color w:val="0E101A"/>
          <w:sz w:val="24"/>
          <w:szCs w:val="24"/>
        </w:rPr>
        <w:t xml:space="preserve"> this is potentially a restriction to Maistros strategic operations. Financial reporting needs are very highly rigid, which raises the expensive requirement to follow the regulatory need.    </w:t>
      </w:r>
    </w:p>
    <w:p w14:paraId="770CAD07" w14:textId="77777777" w:rsidR="00242588"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Euronext Amsterdam of Netherlands provides supportive shareholder governance frameworks. Additionally, two-tier board processes ensure supportive corporate oversights (Euronext, 2025). The Dutch government allows tax incentives as well as flexibility in regulatory systems. But for the listing process needed to relocate head offices which significantly influenced the compliance as well as operational expenditure. </w:t>
      </w:r>
    </w:p>
    <w:p w14:paraId="3C56DA95" w14:textId="77777777" w:rsidR="00242588" w:rsidRDefault="00000000">
      <w:pPr>
        <w:pStyle w:val="Heading1"/>
        <w:spacing w:line="360" w:lineRule="auto"/>
        <w:jc w:val="both"/>
        <w:rPr>
          <w:rFonts w:ascii="Times New Roman" w:eastAsia="Times New Roman" w:hAnsi="Times New Roman" w:cs="Times New Roman"/>
          <w:b/>
          <w:sz w:val="24"/>
          <w:szCs w:val="24"/>
        </w:rPr>
      </w:pPr>
      <w:bookmarkStart w:id="6" w:name="_jfgtohumglyp" w:colFirst="0" w:colLast="0"/>
      <w:bookmarkEnd w:id="6"/>
      <w:r>
        <w:rPr>
          <w:rFonts w:ascii="Times New Roman" w:eastAsia="Times New Roman" w:hAnsi="Times New Roman" w:cs="Times New Roman"/>
          <w:b/>
          <w:sz w:val="24"/>
          <w:szCs w:val="24"/>
        </w:rPr>
        <w:t xml:space="preserve">3. Conclusions </w:t>
      </w:r>
    </w:p>
    <w:p w14:paraId="6B0C557A" w14:textId="1A003011" w:rsidR="00242588"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This report provided the key facts about the significance of the role of corporate governance in UK-based tech company Maistro transition from a family ownership company to an AIM-listed firm. The rising investor confidence by providing transparency in financial transactions, board independence, and following the AIM rules was discussed here. To minimise the risk of control from the family ownership to 30% at the time of post listing essential strategic governance frameworks were discussed briefly. Additionally, </w:t>
      </w:r>
      <w:r w:rsidR="00110416">
        <w:rPr>
          <w:rFonts w:ascii="Times New Roman" w:eastAsia="Times New Roman" w:hAnsi="Times New Roman" w:cs="Times New Roman"/>
          <w:color w:val="0E101A"/>
          <w:sz w:val="24"/>
          <w:szCs w:val="24"/>
        </w:rPr>
        <w:t>this</w:t>
      </w:r>
      <w:r>
        <w:rPr>
          <w:rFonts w:ascii="Times New Roman" w:eastAsia="Times New Roman" w:hAnsi="Times New Roman" w:cs="Times New Roman"/>
          <w:color w:val="0E101A"/>
          <w:sz w:val="24"/>
          <w:szCs w:val="24"/>
        </w:rPr>
        <w:t xml:space="preserve"> topic was also discussed about the director remuneration that also complies with the AIM regulatory need. This analysis also provided the listing area for the listed company briefly. Lastly, with the help of the effective recommendations regarding corporate governance improvement that help to effectively minimise the obstacles that help to firm for the listed AIM in the UK. </w:t>
      </w:r>
    </w:p>
    <w:p w14:paraId="533810DF" w14:textId="77777777" w:rsidR="00242588" w:rsidRDefault="00000000">
      <w:pPr>
        <w:pStyle w:val="Heading1"/>
        <w:spacing w:line="360" w:lineRule="auto"/>
        <w:jc w:val="both"/>
        <w:rPr>
          <w:rFonts w:ascii="Times New Roman" w:eastAsia="Times New Roman" w:hAnsi="Times New Roman" w:cs="Times New Roman"/>
          <w:b/>
          <w:sz w:val="24"/>
          <w:szCs w:val="24"/>
        </w:rPr>
      </w:pPr>
      <w:bookmarkStart w:id="7" w:name="_elpru995wmyb" w:colFirst="0" w:colLast="0"/>
      <w:bookmarkEnd w:id="7"/>
      <w:r>
        <w:rPr>
          <w:rFonts w:ascii="Times New Roman" w:eastAsia="Times New Roman" w:hAnsi="Times New Roman" w:cs="Times New Roman"/>
          <w:b/>
          <w:sz w:val="24"/>
          <w:szCs w:val="24"/>
        </w:rPr>
        <w:t xml:space="preserve">4. Recommendations </w:t>
      </w:r>
    </w:p>
    <w:p w14:paraId="28EC160D" w14:textId="3BA8E78A" w:rsidR="00242588"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Maistro UK Ltd must create a strong </w:t>
      </w:r>
      <w:r>
        <w:rPr>
          <w:rFonts w:ascii="Times New Roman" w:eastAsia="Times New Roman" w:hAnsi="Times New Roman" w:cs="Times New Roman"/>
          <w:b/>
          <w:color w:val="0E101A"/>
          <w:sz w:val="24"/>
          <w:szCs w:val="24"/>
        </w:rPr>
        <w:t>corporate governance structure</w:t>
      </w:r>
      <w:r>
        <w:rPr>
          <w:rFonts w:ascii="Times New Roman" w:eastAsia="Times New Roman" w:hAnsi="Times New Roman" w:cs="Times New Roman"/>
          <w:color w:val="0E101A"/>
          <w:sz w:val="24"/>
          <w:szCs w:val="24"/>
        </w:rPr>
        <w:t xml:space="preserve"> to unify the AIM governance appropriate measures. This organisation should make an independent audit as well </w:t>
      </w:r>
      <w:r>
        <w:rPr>
          <w:rFonts w:ascii="Times New Roman" w:eastAsia="Times New Roman" w:hAnsi="Times New Roman" w:cs="Times New Roman"/>
          <w:color w:val="0E101A"/>
          <w:sz w:val="24"/>
          <w:szCs w:val="24"/>
        </w:rPr>
        <w:lastRenderedPageBreak/>
        <w:t xml:space="preserve">as remunerations bodies that are making sure of transparency in the board and financial structure. Implementing </w:t>
      </w:r>
      <w:r>
        <w:rPr>
          <w:rFonts w:ascii="Times New Roman" w:eastAsia="Times New Roman" w:hAnsi="Times New Roman" w:cs="Times New Roman"/>
          <w:b/>
          <w:color w:val="0E101A"/>
          <w:sz w:val="24"/>
          <w:szCs w:val="24"/>
        </w:rPr>
        <w:t>AIM rule 26</w:t>
      </w:r>
      <w:r>
        <w:rPr>
          <w:rFonts w:ascii="Times New Roman" w:eastAsia="Times New Roman" w:hAnsi="Times New Roman" w:cs="Times New Roman"/>
          <w:color w:val="0E101A"/>
          <w:sz w:val="24"/>
          <w:szCs w:val="24"/>
        </w:rPr>
        <w:t xml:space="preserve"> compliance practices will help the company to raise the confidence of shareholders by organising regulatory adherence as well as transparency in the monetary process (Londonstockexchange, 2025). This company should use the </w:t>
      </w:r>
      <w:r w:rsidR="00110416">
        <w:rPr>
          <w:rFonts w:ascii="Times New Roman" w:eastAsia="Times New Roman" w:hAnsi="Times New Roman" w:cs="Times New Roman"/>
          <w:b/>
          <w:color w:val="0E101A"/>
          <w:sz w:val="24"/>
          <w:szCs w:val="24"/>
        </w:rPr>
        <w:t>dual class</w:t>
      </w:r>
      <w:r>
        <w:rPr>
          <w:rFonts w:ascii="Times New Roman" w:eastAsia="Times New Roman" w:hAnsi="Times New Roman" w:cs="Times New Roman"/>
          <w:b/>
          <w:color w:val="0E101A"/>
          <w:sz w:val="24"/>
          <w:szCs w:val="24"/>
        </w:rPr>
        <w:t xml:space="preserve"> share</w:t>
      </w:r>
      <w:r>
        <w:rPr>
          <w:rFonts w:ascii="Times New Roman" w:eastAsia="Times New Roman" w:hAnsi="Times New Roman" w:cs="Times New Roman"/>
          <w:color w:val="0E101A"/>
          <w:sz w:val="24"/>
          <w:szCs w:val="24"/>
        </w:rPr>
        <w:t xml:space="preserve"> frameworks for retaining control despite minimising shareholding. This company should implement </w:t>
      </w:r>
      <w:r>
        <w:rPr>
          <w:rFonts w:ascii="Times New Roman" w:eastAsia="Times New Roman" w:hAnsi="Times New Roman" w:cs="Times New Roman"/>
          <w:b/>
          <w:color w:val="0E101A"/>
          <w:sz w:val="24"/>
          <w:szCs w:val="24"/>
        </w:rPr>
        <w:t xml:space="preserve">shareholder agreements </w:t>
      </w:r>
      <w:r>
        <w:rPr>
          <w:rFonts w:ascii="Times New Roman" w:eastAsia="Times New Roman" w:hAnsi="Times New Roman" w:cs="Times New Roman"/>
          <w:color w:val="0E101A"/>
          <w:sz w:val="24"/>
          <w:szCs w:val="24"/>
        </w:rPr>
        <w:t xml:space="preserve">that define voting rights </w:t>
      </w:r>
      <w:r w:rsidR="00110416">
        <w:rPr>
          <w:rFonts w:ascii="Times New Roman" w:eastAsia="Times New Roman" w:hAnsi="Times New Roman" w:cs="Times New Roman"/>
          <w:color w:val="0E101A"/>
          <w:sz w:val="24"/>
          <w:szCs w:val="24"/>
        </w:rPr>
        <w:t>and</w:t>
      </w:r>
      <w:r>
        <w:rPr>
          <w:rFonts w:ascii="Times New Roman" w:eastAsia="Times New Roman" w:hAnsi="Times New Roman" w:cs="Times New Roman"/>
          <w:color w:val="0E101A"/>
          <w:sz w:val="24"/>
          <w:szCs w:val="24"/>
        </w:rPr>
        <w:t xml:space="preserve"> strategic decisions security as well. This company director resolutions process must be transparent, performance-based, and mostly follow the AIM protocol as well. Forming a</w:t>
      </w:r>
      <w:r>
        <w:rPr>
          <w:rFonts w:ascii="Times New Roman" w:eastAsia="Times New Roman" w:hAnsi="Times New Roman" w:cs="Times New Roman"/>
          <w:b/>
          <w:color w:val="0E101A"/>
          <w:sz w:val="24"/>
          <w:szCs w:val="24"/>
        </w:rPr>
        <w:t xml:space="preserve"> remuneration committee </w:t>
      </w:r>
      <w:r>
        <w:rPr>
          <w:rFonts w:ascii="Times New Roman" w:eastAsia="Times New Roman" w:hAnsi="Times New Roman" w:cs="Times New Roman"/>
          <w:color w:val="0E101A"/>
          <w:sz w:val="24"/>
          <w:szCs w:val="24"/>
        </w:rPr>
        <w:t xml:space="preserve">will provide benefits for the company to ensure justifiable companions, and comparative and fair solutions that help to reduce the conflicts with investors as well (Naibaho and Shahab, 2025).  </w:t>
      </w:r>
    </w:p>
    <w:p w14:paraId="0416BECD" w14:textId="77777777" w:rsidR="0024258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77A27C49" w14:textId="77777777" w:rsidR="00242588" w:rsidRDefault="00000000">
      <w:pPr>
        <w:spacing w:line="360" w:lineRule="auto"/>
        <w:jc w:val="both"/>
        <w:rPr>
          <w:rFonts w:ascii="Times New Roman" w:eastAsia="Times New Roman" w:hAnsi="Times New Roman" w:cs="Times New Roman"/>
          <w:sz w:val="24"/>
          <w:szCs w:val="24"/>
        </w:rPr>
      </w:pPr>
      <w:r>
        <w:br w:type="page"/>
      </w:r>
    </w:p>
    <w:p w14:paraId="2F86F71B" w14:textId="77777777" w:rsidR="00242588" w:rsidRDefault="00000000">
      <w:pPr>
        <w:pStyle w:val="Heading1"/>
        <w:rPr>
          <w:rFonts w:ascii="Times New Roman" w:eastAsia="Times New Roman" w:hAnsi="Times New Roman" w:cs="Times New Roman"/>
          <w:b/>
          <w:sz w:val="24"/>
          <w:szCs w:val="24"/>
        </w:rPr>
      </w:pPr>
      <w:bookmarkStart w:id="8" w:name="_opsgngawpybj" w:colFirst="0" w:colLast="0"/>
      <w:bookmarkEnd w:id="8"/>
      <w:r>
        <w:rPr>
          <w:rFonts w:ascii="Times New Roman" w:eastAsia="Times New Roman" w:hAnsi="Times New Roman" w:cs="Times New Roman"/>
          <w:b/>
          <w:sz w:val="24"/>
          <w:szCs w:val="24"/>
        </w:rPr>
        <w:lastRenderedPageBreak/>
        <w:t>5. Reference</w:t>
      </w:r>
    </w:p>
    <w:p w14:paraId="70183B9F" w14:textId="77777777" w:rsidR="00110416" w:rsidRPr="00110416" w:rsidRDefault="00110416">
      <w:pPr>
        <w:spacing w:before="240" w:after="240" w:line="360" w:lineRule="auto"/>
        <w:jc w:val="both"/>
        <w:rPr>
          <w:rFonts w:ascii="Times New Roman" w:eastAsia="Times New Roman" w:hAnsi="Times New Roman" w:cs="Times New Roman"/>
          <w:sz w:val="24"/>
          <w:szCs w:val="24"/>
        </w:rPr>
      </w:pPr>
      <w:r w:rsidRPr="00110416">
        <w:rPr>
          <w:rFonts w:ascii="Times New Roman" w:eastAsia="Times New Roman" w:hAnsi="Times New Roman" w:cs="Times New Roman"/>
          <w:sz w:val="24"/>
          <w:szCs w:val="24"/>
        </w:rPr>
        <w:t xml:space="preserve">Conmy, S. (2024) </w:t>
      </w:r>
      <w:r w:rsidRPr="00110416">
        <w:rPr>
          <w:rFonts w:ascii="Times New Roman" w:eastAsia="Times New Roman" w:hAnsi="Times New Roman" w:cs="Times New Roman"/>
          <w:i/>
          <w:sz w:val="24"/>
          <w:szCs w:val="24"/>
        </w:rPr>
        <w:t>What is corporate governance?</w:t>
      </w:r>
      <w:r w:rsidRPr="00110416">
        <w:rPr>
          <w:rFonts w:ascii="Times New Roman" w:eastAsia="Times New Roman" w:hAnsi="Times New Roman" w:cs="Times New Roman"/>
          <w:sz w:val="24"/>
          <w:szCs w:val="24"/>
        </w:rPr>
        <w:t xml:space="preserve">, </w:t>
      </w:r>
      <w:r w:rsidRPr="00110416">
        <w:rPr>
          <w:rFonts w:ascii="Times New Roman" w:eastAsia="Times New Roman" w:hAnsi="Times New Roman" w:cs="Times New Roman"/>
          <w:i/>
          <w:sz w:val="24"/>
          <w:szCs w:val="24"/>
        </w:rPr>
        <w:t>The Corporate Governance Institute</w:t>
      </w:r>
      <w:r w:rsidRPr="00110416">
        <w:rPr>
          <w:rFonts w:ascii="Times New Roman" w:eastAsia="Times New Roman" w:hAnsi="Times New Roman" w:cs="Times New Roman"/>
          <w:sz w:val="24"/>
          <w:szCs w:val="24"/>
        </w:rPr>
        <w:t xml:space="preserve">. Available at: https://www.thecorporategovernanceinstitute.com/insights/lexicon/what-is-corporate-governance/?srsltid=AfmBOoqNYfrupmifGlHnKN_P2wFj9SEtw1wGaGgcUny7BHDyKyptbIQB (Accessed: 17 February 2025). </w:t>
      </w:r>
    </w:p>
    <w:p w14:paraId="6CB44788" w14:textId="77777777" w:rsidR="00110416" w:rsidRPr="00110416" w:rsidRDefault="00110416">
      <w:pPr>
        <w:spacing w:before="240" w:after="240" w:line="360" w:lineRule="auto"/>
        <w:jc w:val="both"/>
        <w:rPr>
          <w:rFonts w:ascii="Times New Roman" w:eastAsia="Times New Roman" w:hAnsi="Times New Roman" w:cs="Times New Roman"/>
          <w:color w:val="222222"/>
          <w:sz w:val="24"/>
          <w:szCs w:val="24"/>
          <w:highlight w:val="white"/>
        </w:rPr>
      </w:pPr>
      <w:r w:rsidRPr="00110416">
        <w:rPr>
          <w:rFonts w:ascii="Times New Roman" w:eastAsia="Times New Roman" w:hAnsi="Times New Roman" w:cs="Times New Roman"/>
          <w:color w:val="222222"/>
          <w:sz w:val="24"/>
          <w:szCs w:val="24"/>
          <w:highlight w:val="white"/>
        </w:rPr>
        <w:t xml:space="preserve">Euronext (2025) </w:t>
      </w:r>
      <w:r w:rsidRPr="00110416">
        <w:rPr>
          <w:rFonts w:ascii="Times New Roman" w:eastAsia="Times New Roman" w:hAnsi="Times New Roman" w:cs="Times New Roman"/>
          <w:i/>
          <w:color w:val="222222"/>
          <w:sz w:val="24"/>
          <w:szCs w:val="24"/>
          <w:highlight w:val="white"/>
        </w:rPr>
        <w:t>Euronext Amsterdam</w:t>
      </w:r>
      <w:r w:rsidRPr="00110416">
        <w:rPr>
          <w:rFonts w:ascii="Times New Roman" w:eastAsia="Times New Roman" w:hAnsi="Times New Roman" w:cs="Times New Roman"/>
          <w:color w:val="222222"/>
          <w:sz w:val="24"/>
          <w:szCs w:val="24"/>
          <w:highlight w:val="white"/>
        </w:rPr>
        <w:t xml:space="preserve">, </w:t>
      </w:r>
      <w:r w:rsidRPr="00110416">
        <w:rPr>
          <w:rFonts w:ascii="Times New Roman" w:eastAsia="Times New Roman" w:hAnsi="Times New Roman" w:cs="Times New Roman"/>
          <w:i/>
          <w:color w:val="222222"/>
          <w:sz w:val="24"/>
          <w:szCs w:val="24"/>
          <w:highlight w:val="white"/>
        </w:rPr>
        <w:t>Amsterdam</w:t>
      </w:r>
      <w:r w:rsidRPr="00110416">
        <w:rPr>
          <w:rFonts w:ascii="Times New Roman" w:eastAsia="Times New Roman" w:hAnsi="Times New Roman" w:cs="Times New Roman"/>
          <w:color w:val="222222"/>
          <w:sz w:val="24"/>
          <w:szCs w:val="24"/>
          <w:highlight w:val="white"/>
        </w:rPr>
        <w:t xml:space="preserve">. Available at: https://www.euronext.com/en/markets/amsterdam (Accessed: 17 February 2025). </w:t>
      </w:r>
    </w:p>
    <w:p w14:paraId="5B292783" w14:textId="77777777" w:rsidR="00110416" w:rsidRPr="00110416" w:rsidRDefault="00110416">
      <w:pPr>
        <w:spacing w:line="360" w:lineRule="auto"/>
        <w:jc w:val="both"/>
        <w:rPr>
          <w:rFonts w:ascii="Times New Roman" w:eastAsia="Times New Roman" w:hAnsi="Times New Roman" w:cs="Times New Roman"/>
          <w:color w:val="222222"/>
          <w:sz w:val="24"/>
          <w:szCs w:val="24"/>
          <w:highlight w:val="white"/>
        </w:rPr>
      </w:pPr>
      <w:r w:rsidRPr="00110416">
        <w:rPr>
          <w:rFonts w:ascii="Times New Roman" w:eastAsia="Times New Roman" w:hAnsi="Times New Roman" w:cs="Times New Roman"/>
          <w:color w:val="222222"/>
          <w:sz w:val="24"/>
          <w:szCs w:val="24"/>
          <w:highlight w:val="white"/>
        </w:rPr>
        <w:t xml:space="preserve">Ferrarini, G. and Ungureanu, C., (2024). Executive Remuneration: A Comparative Overview II. </w:t>
      </w:r>
      <w:r w:rsidRPr="00110416">
        <w:rPr>
          <w:rFonts w:ascii="Times New Roman" w:eastAsia="Times New Roman" w:hAnsi="Times New Roman" w:cs="Times New Roman"/>
          <w:i/>
          <w:color w:val="222222"/>
          <w:sz w:val="24"/>
          <w:szCs w:val="24"/>
          <w:highlight w:val="white"/>
        </w:rPr>
        <w:t>European Corporate Governance Institute-Law Working Paper</w:t>
      </w:r>
      <w:r w:rsidRPr="00110416">
        <w:rPr>
          <w:rFonts w:ascii="Times New Roman" w:eastAsia="Times New Roman" w:hAnsi="Times New Roman" w:cs="Times New Roman"/>
          <w:color w:val="222222"/>
          <w:sz w:val="24"/>
          <w:szCs w:val="24"/>
          <w:highlight w:val="white"/>
        </w:rPr>
        <w:t xml:space="preserve">, (814). </w:t>
      </w:r>
      <w:hyperlink r:id="rId7">
        <w:r w:rsidRPr="00110416">
          <w:rPr>
            <w:rFonts w:ascii="Times New Roman" w:eastAsia="Times New Roman" w:hAnsi="Times New Roman" w:cs="Times New Roman"/>
            <w:color w:val="1155CC"/>
            <w:sz w:val="24"/>
            <w:szCs w:val="24"/>
            <w:highlight w:val="white"/>
            <w:u w:val="single"/>
          </w:rPr>
          <w:t>https://papers.ssrn.com/sol3/papers.cfm?abstract_id=5040008</w:t>
        </w:r>
      </w:hyperlink>
      <w:r w:rsidRPr="00110416">
        <w:rPr>
          <w:rFonts w:ascii="Times New Roman" w:eastAsia="Times New Roman" w:hAnsi="Times New Roman" w:cs="Times New Roman"/>
          <w:color w:val="222222"/>
          <w:sz w:val="24"/>
          <w:szCs w:val="24"/>
          <w:highlight w:val="white"/>
        </w:rPr>
        <w:t xml:space="preserve"> </w:t>
      </w:r>
    </w:p>
    <w:p w14:paraId="54DDB736" w14:textId="77777777" w:rsidR="00110416" w:rsidRPr="00110416" w:rsidRDefault="00110416">
      <w:pPr>
        <w:spacing w:before="240" w:after="240" w:line="360" w:lineRule="auto"/>
        <w:jc w:val="both"/>
        <w:rPr>
          <w:rFonts w:ascii="Times New Roman" w:eastAsia="Times New Roman" w:hAnsi="Times New Roman" w:cs="Times New Roman"/>
          <w:sz w:val="24"/>
          <w:szCs w:val="24"/>
        </w:rPr>
      </w:pPr>
      <w:r w:rsidRPr="00110416">
        <w:rPr>
          <w:rFonts w:ascii="Times New Roman" w:eastAsia="Times New Roman" w:hAnsi="Times New Roman" w:cs="Times New Roman"/>
          <w:sz w:val="24"/>
          <w:szCs w:val="24"/>
        </w:rPr>
        <w:t xml:space="preserve">FRC, (2025) </w:t>
      </w:r>
      <w:r w:rsidRPr="00110416">
        <w:rPr>
          <w:rFonts w:ascii="Times New Roman" w:eastAsia="Times New Roman" w:hAnsi="Times New Roman" w:cs="Times New Roman"/>
          <w:i/>
          <w:sz w:val="24"/>
          <w:szCs w:val="24"/>
        </w:rPr>
        <w:t>UK corporate governance code</w:t>
      </w:r>
      <w:r w:rsidRPr="00110416">
        <w:rPr>
          <w:rFonts w:ascii="Times New Roman" w:eastAsia="Times New Roman" w:hAnsi="Times New Roman" w:cs="Times New Roman"/>
          <w:sz w:val="24"/>
          <w:szCs w:val="24"/>
        </w:rPr>
        <w:t xml:space="preserve">, </w:t>
      </w:r>
      <w:r w:rsidRPr="00110416">
        <w:rPr>
          <w:rFonts w:ascii="Times New Roman" w:eastAsia="Times New Roman" w:hAnsi="Times New Roman" w:cs="Times New Roman"/>
          <w:i/>
          <w:sz w:val="24"/>
          <w:szCs w:val="24"/>
        </w:rPr>
        <w:t>FRC (Financial Reporting Council)</w:t>
      </w:r>
      <w:r w:rsidRPr="00110416">
        <w:rPr>
          <w:rFonts w:ascii="Times New Roman" w:eastAsia="Times New Roman" w:hAnsi="Times New Roman" w:cs="Times New Roman"/>
          <w:sz w:val="24"/>
          <w:szCs w:val="24"/>
        </w:rPr>
        <w:t xml:space="preserve">. Available at: https://www.frc.org.uk/library/standards-codes-policy/corporate-governance/uk-corporate-governance-code/ (Accessed: 17 February 2025). </w:t>
      </w:r>
    </w:p>
    <w:p w14:paraId="58CA7EAA" w14:textId="77777777" w:rsidR="00110416" w:rsidRPr="00110416" w:rsidRDefault="00110416">
      <w:pPr>
        <w:spacing w:before="240" w:after="240" w:line="360" w:lineRule="auto"/>
        <w:jc w:val="both"/>
        <w:rPr>
          <w:rFonts w:ascii="Times New Roman" w:eastAsia="Times New Roman" w:hAnsi="Times New Roman" w:cs="Times New Roman"/>
          <w:sz w:val="24"/>
          <w:szCs w:val="24"/>
        </w:rPr>
      </w:pPr>
      <w:r w:rsidRPr="00110416">
        <w:rPr>
          <w:rFonts w:ascii="Times New Roman" w:eastAsia="Times New Roman" w:hAnsi="Times New Roman" w:cs="Times New Roman"/>
          <w:sz w:val="24"/>
          <w:szCs w:val="24"/>
        </w:rPr>
        <w:t xml:space="preserve">GOV.UK (2025) </w:t>
      </w:r>
      <w:r w:rsidRPr="00110416">
        <w:rPr>
          <w:rFonts w:ascii="Times New Roman" w:eastAsia="Times New Roman" w:hAnsi="Times New Roman" w:cs="Times New Roman"/>
          <w:i/>
          <w:sz w:val="24"/>
          <w:szCs w:val="24"/>
        </w:rPr>
        <w:t>Maistro UK Limited</w:t>
      </w:r>
      <w:r w:rsidRPr="00110416">
        <w:rPr>
          <w:rFonts w:ascii="Times New Roman" w:eastAsia="Times New Roman" w:hAnsi="Times New Roman" w:cs="Times New Roman"/>
          <w:sz w:val="24"/>
          <w:szCs w:val="24"/>
        </w:rPr>
        <w:t xml:space="preserve">, </w:t>
      </w:r>
      <w:r w:rsidRPr="00110416">
        <w:rPr>
          <w:rFonts w:ascii="Times New Roman" w:eastAsia="Times New Roman" w:hAnsi="Times New Roman" w:cs="Times New Roman"/>
          <w:i/>
          <w:sz w:val="24"/>
          <w:szCs w:val="24"/>
        </w:rPr>
        <w:t>GOV.UK</w:t>
      </w:r>
      <w:r w:rsidRPr="00110416">
        <w:rPr>
          <w:rFonts w:ascii="Times New Roman" w:eastAsia="Times New Roman" w:hAnsi="Times New Roman" w:cs="Times New Roman"/>
          <w:sz w:val="24"/>
          <w:szCs w:val="24"/>
        </w:rPr>
        <w:t xml:space="preserve">. Available at: https://find-and-update.company-information.service.gov.uk/company/06211244 (Accessed: 17 February 2025). </w:t>
      </w:r>
    </w:p>
    <w:p w14:paraId="6B6A16BF" w14:textId="77777777" w:rsidR="00110416" w:rsidRPr="00110416" w:rsidRDefault="00110416">
      <w:pPr>
        <w:spacing w:line="360" w:lineRule="auto"/>
        <w:jc w:val="both"/>
        <w:rPr>
          <w:rFonts w:ascii="Times New Roman" w:eastAsia="Times New Roman" w:hAnsi="Times New Roman" w:cs="Times New Roman"/>
          <w:color w:val="222222"/>
          <w:sz w:val="24"/>
          <w:szCs w:val="24"/>
          <w:highlight w:val="white"/>
        </w:rPr>
      </w:pPr>
      <w:r w:rsidRPr="00110416">
        <w:rPr>
          <w:rFonts w:ascii="Times New Roman" w:eastAsia="Times New Roman" w:hAnsi="Times New Roman" w:cs="Times New Roman"/>
          <w:color w:val="222222"/>
          <w:sz w:val="24"/>
          <w:szCs w:val="24"/>
          <w:highlight w:val="white"/>
        </w:rPr>
        <w:t xml:space="preserve">Jamal, S., Zeb, A., Abid, H. and Alam, F.E., (2024). A Review of the Panel Data to Determine the Influence of Dividend Policy on Firm Performance. </w:t>
      </w:r>
      <w:r w:rsidRPr="00110416">
        <w:rPr>
          <w:rFonts w:ascii="Times New Roman" w:eastAsia="Times New Roman" w:hAnsi="Times New Roman" w:cs="Times New Roman"/>
          <w:i/>
          <w:color w:val="222222"/>
          <w:sz w:val="24"/>
          <w:szCs w:val="24"/>
          <w:highlight w:val="white"/>
        </w:rPr>
        <w:t>The Journal of Research Review</w:t>
      </w:r>
      <w:r w:rsidRPr="00110416">
        <w:rPr>
          <w:rFonts w:ascii="Times New Roman" w:eastAsia="Times New Roman" w:hAnsi="Times New Roman" w:cs="Times New Roman"/>
          <w:color w:val="222222"/>
          <w:sz w:val="24"/>
          <w:szCs w:val="24"/>
          <w:highlight w:val="white"/>
        </w:rPr>
        <w:t xml:space="preserve">, </w:t>
      </w:r>
      <w:r w:rsidRPr="00110416">
        <w:rPr>
          <w:rFonts w:ascii="Times New Roman" w:eastAsia="Times New Roman" w:hAnsi="Times New Roman" w:cs="Times New Roman"/>
          <w:i/>
          <w:color w:val="222222"/>
          <w:sz w:val="24"/>
          <w:szCs w:val="24"/>
          <w:highlight w:val="white"/>
        </w:rPr>
        <w:t>1</w:t>
      </w:r>
      <w:r w:rsidRPr="00110416">
        <w:rPr>
          <w:rFonts w:ascii="Times New Roman" w:eastAsia="Times New Roman" w:hAnsi="Times New Roman" w:cs="Times New Roman"/>
          <w:color w:val="222222"/>
          <w:sz w:val="24"/>
          <w:szCs w:val="24"/>
          <w:highlight w:val="white"/>
        </w:rPr>
        <w:t xml:space="preserve">(04), pp.454-460. </w:t>
      </w:r>
      <w:hyperlink r:id="rId8">
        <w:r w:rsidRPr="00110416">
          <w:rPr>
            <w:rFonts w:ascii="Times New Roman" w:eastAsia="Times New Roman" w:hAnsi="Times New Roman" w:cs="Times New Roman"/>
            <w:color w:val="1155CC"/>
            <w:sz w:val="24"/>
            <w:szCs w:val="24"/>
            <w:highlight w:val="white"/>
            <w:u w:val="single"/>
          </w:rPr>
          <w:t>http://thejrr.com/index.php/39/article/view/67</w:t>
        </w:r>
      </w:hyperlink>
      <w:r w:rsidRPr="00110416">
        <w:rPr>
          <w:rFonts w:ascii="Times New Roman" w:eastAsia="Times New Roman" w:hAnsi="Times New Roman" w:cs="Times New Roman"/>
          <w:color w:val="222222"/>
          <w:sz w:val="24"/>
          <w:szCs w:val="24"/>
          <w:highlight w:val="white"/>
        </w:rPr>
        <w:t xml:space="preserve"> </w:t>
      </w:r>
    </w:p>
    <w:p w14:paraId="5FF7992B" w14:textId="77777777" w:rsidR="00110416" w:rsidRPr="00110416" w:rsidRDefault="00110416">
      <w:pPr>
        <w:spacing w:before="240" w:after="240" w:line="360" w:lineRule="auto"/>
        <w:jc w:val="both"/>
        <w:rPr>
          <w:rFonts w:ascii="Times New Roman" w:eastAsia="Times New Roman" w:hAnsi="Times New Roman" w:cs="Times New Roman"/>
          <w:color w:val="222222"/>
          <w:sz w:val="24"/>
          <w:szCs w:val="24"/>
          <w:highlight w:val="white"/>
        </w:rPr>
      </w:pPr>
      <w:r w:rsidRPr="00110416">
        <w:rPr>
          <w:rFonts w:ascii="Times New Roman" w:eastAsia="Times New Roman" w:hAnsi="Times New Roman" w:cs="Times New Roman"/>
          <w:color w:val="222222"/>
          <w:sz w:val="24"/>
          <w:szCs w:val="24"/>
          <w:highlight w:val="white"/>
        </w:rPr>
        <w:t xml:space="preserve">Londonstockexchange (2025) </w:t>
      </w:r>
      <w:r w:rsidRPr="00110416">
        <w:rPr>
          <w:rFonts w:ascii="Times New Roman" w:eastAsia="Times New Roman" w:hAnsi="Times New Roman" w:cs="Times New Roman"/>
          <w:i/>
          <w:color w:val="222222"/>
          <w:sz w:val="24"/>
          <w:szCs w:val="24"/>
          <w:highlight w:val="white"/>
        </w:rPr>
        <w:t>London Stock Exchange: London Stock Exchange</w:t>
      </w:r>
      <w:r w:rsidRPr="00110416">
        <w:rPr>
          <w:rFonts w:ascii="Times New Roman" w:eastAsia="Times New Roman" w:hAnsi="Times New Roman" w:cs="Times New Roman"/>
          <w:color w:val="222222"/>
          <w:sz w:val="24"/>
          <w:szCs w:val="24"/>
          <w:highlight w:val="white"/>
        </w:rPr>
        <w:t xml:space="preserve">, </w:t>
      </w:r>
      <w:r w:rsidRPr="00110416">
        <w:rPr>
          <w:rFonts w:ascii="Times New Roman" w:eastAsia="Times New Roman" w:hAnsi="Times New Roman" w:cs="Times New Roman"/>
          <w:i/>
          <w:color w:val="222222"/>
          <w:sz w:val="24"/>
          <w:szCs w:val="24"/>
          <w:highlight w:val="white"/>
        </w:rPr>
        <w:t>London Stock Exchange | London Stock Exchange</w:t>
      </w:r>
      <w:r w:rsidRPr="00110416">
        <w:rPr>
          <w:rFonts w:ascii="Times New Roman" w:eastAsia="Times New Roman" w:hAnsi="Times New Roman" w:cs="Times New Roman"/>
          <w:color w:val="222222"/>
          <w:sz w:val="24"/>
          <w:szCs w:val="24"/>
          <w:highlight w:val="white"/>
        </w:rPr>
        <w:t xml:space="preserve">. Available at: https://www.londonstockexchange.com/ (Accessed: 17 February 2025). </w:t>
      </w:r>
    </w:p>
    <w:p w14:paraId="38BBE329" w14:textId="77777777" w:rsidR="00110416" w:rsidRPr="00110416" w:rsidRDefault="00110416">
      <w:pPr>
        <w:spacing w:line="360" w:lineRule="auto"/>
        <w:jc w:val="both"/>
        <w:rPr>
          <w:rFonts w:ascii="Times New Roman" w:eastAsia="Times New Roman" w:hAnsi="Times New Roman" w:cs="Times New Roman"/>
          <w:color w:val="222222"/>
          <w:sz w:val="24"/>
          <w:szCs w:val="24"/>
          <w:highlight w:val="white"/>
        </w:rPr>
      </w:pPr>
      <w:r w:rsidRPr="00110416">
        <w:rPr>
          <w:rFonts w:ascii="Times New Roman" w:eastAsia="Times New Roman" w:hAnsi="Times New Roman" w:cs="Times New Roman"/>
          <w:color w:val="222222"/>
          <w:sz w:val="24"/>
          <w:szCs w:val="24"/>
          <w:highlight w:val="white"/>
        </w:rPr>
        <w:t xml:space="preserve">Lü, D., (2024). Dual Class Share Structures: The Ethics of Control &amp; Ownership. </w:t>
      </w:r>
      <w:r w:rsidRPr="00110416">
        <w:rPr>
          <w:rFonts w:ascii="Times New Roman" w:eastAsia="Times New Roman" w:hAnsi="Times New Roman" w:cs="Times New Roman"/>
          <w:i/>
          <w:color w:val="222222"/>
          <w:sz w:val="24"/>
          <w:szCs w:val="24"/>
          <w:highlight w:val="white"/>
        </w:rPr>
        <w:t>Available at SSRN 4995941</w:t>
      </w:r>
      <w:r w:rsidRPr="00110416">
        <w:rPr>
          <w:rFonts w:ascii="Times New Roman" w:eastAsia="Times New Roman" w:hAnsi="Times New Roman" w:cs="Times New Roman"/>
          <w:color w:val="222222"/>
          <w:sz w:val="24"/>
          <w:szCs w:val="24"/>
          <w:highlight w:val="white"/>
        </w:rPr>
        <w:t xml:space="preserve">. </w:t>
      </w:r>
      <w:hyperlink r:id="rId9">
        <w:r w:rsidRPr="00110416">
          <w:rPr>
            <w:rFonts w:ascii="Times New Roman" w:eastAsia="Times New Roman" w:hAnsi="Times New Roman" w:cs="Times New Roman"/>
            <w:color w:val="1155CC"/>
            <w:sz w:val="24"/>
            <w:szCs w:val="24"/>
            <w:highlight w:val="white"/>
            <w:u w:val="single"/>
          </w:rPr>
          <w:t>https://papers.ssrn.com/sol3/papers.cfm?abstract_id=4995941</w:t>
        </w:r>
      </w:hyperlink>
      <w:r w:rsidRPr="00110416">
        <w:rPr>
          <w:rFonts w:ascii="Times New Roman" w:eastAsia="Times New Roman" w:hAnsi="Times New Roman" w:cs="Times New Roman"/>
          <w:color w:val="222222"/>
          <w:sz w:val="24"/>
          <w:szCs w:val="24"/>
          <w:highlight w:val="white"/>
        </w:rPr>
        <w:t xml:space="preserve"> </w:t>
      </w:r>
    </w:p>
    <w:p w14:paraId="1B065BE3" w14:textId="77777777" w:rsidR="00110416" w:rsidRPr="00110416" w:rsidRDefault="00110416">
      <w:pPr>
        <w:spacing w:before="240" w:after="240" w:line="360" w:lineRule="auto"/>
        <w:jc w:val="both"/>
        <w:rPr>
          <w:rFonts w:ascii="Times New Roman" w:eastAsia="Times New Roman" w:hAnsi="Times New Roman" w:cs="Times New Roman"/>
          <w:color w:val="222222"/>
          <w:sz w:val="24"/>
          <w:szCs w:val="24"/>
          <w:highlight w:val="white"/>
        </w:rPr>
      </w:pPr>
      <w:r w:rsidRPr="00110416">
        <w:rPr>
          <w:rFonts w:ascii="Times New Roman" w:eastAsia="Times New Roman" w:hAnsi="Times New Roman" w:cs="Times New Roman"/>
          <w:color w:val="222222"/>
          <w:sz w:val="24"/>
          <w:szCs w:val="24"/>
          <w:highlight w:val="white"/>
        </w:rPr>
        <w:t xml:space="preserve">Naibaho, E.A.B. and Shahab, A.M., (2025). The Role of Corporate Governance Mechanism and Sustainability Reporting in Firm Performance: Evidence on Resource Based Sectors. </w:t>
      </w:r>
      <w:r w:rsidRPr="00110416">
        <w:rPr>
          <w:rFonts w:ascii="Times New Roman" w:eastAsia="Times New Roman" w:hAnsi="Times New Roman" w:cs="Times New Roman"/>
          <w:i/>
          <w:color w:val="222222"/>
          <w:sz w:val="24"/>
          <w:szCs w:val="24"/>
          <w:highlight w:val="white"/>
        </w:rPr>
        <w:t>Advances in Management and Applied Economics</w:t>
      </w:r>
      <w:r w:rsidRPr="00110416">
        <w:rPr>
          <w:rFonts w:ascii="Times New Roman" w:eastAsia="Times New Roman" w:hAnsi="Times New Roman" w:cs="Times New Roman"/>
          <w:color w:val="222222"/>
          <w:sz w:val="24"/>
          <w:szCs w:val="24"/>
          <w:highlight w:val="white"/>
        </w:rPr>
        <w:t xml:space="preserve">, </w:t>
      </w:r>
      <w:r w:rsidRPr="00110416">
        <w:rPr>
          <w:rFonts w:ascii="Times New Roman" w:eastAsia="Times New Roman" w:hAnsi="Times New Roman" w:cs="Times New Roman"/>
          <w:i/>
          <w:color w:val="222222"/>
          <w:sz w:val="24"/>
          <w:szCs w:val="24"/>
          <w:highlight w:val="white"/>
        </w:rPr>
        <w:t>15</w:t>
      </w:r>
      <w:r w:rsidRPr="00110416">
        <w:rPr>
          <w:rFonts w:ascii="Times New Roman" w:eastAsia="Times New Roman" w:hAnsi="Times New Roman" w:cs="Times New Roman"/>
          <w:color w:val="222222"/>
          <w:sz w:val="24"/>
          <w:szCs w:val="24"/>
          <w:highlight w:val="white"/>
        </w:rPr>
        <w:t xml:space="preserve">(2). </w:t>
      </w:r>
      <w:hyperlink r:id="rId10">
        <w:r w:rsidRPr="00110416">
          <w:rPr>
            <w:rFonts w:ascii="Times New Roman" w:eastAsia="Times New Roman" w:hAnsi="Times New Roman" w:cs="Times New Roman"/>
            <w:color w:val="1155CC"/>
            <w:sz w:val="24"/>
            <w:szCs w:val="24"/>
            <w:highlight w:val="white"/>
            <w:u w:val="single"/>
          </w:rPr>
          <w:t>http://www.scienpress.com/Upload/AMAE/Vol%2015_2_4.pdf</w:t>
        </w:r>
      </w:hyperlink>
      <w:r w:rsidRPr="00110416">
        <w:rPr>
          <w:rFonts w:ascii="Times New Roman" w:eastAsia="Times New Roman" w:hAnsi="Times New Roman" w:cs="Times New Roman"/>
          <w:color w:val="222222"/>
          <w:sz w:val="24"/>
          <w:szCs w:val="24"/>
          <w:highlight w:val="white"/>
        </w:rPr>
        <w:t xml:space="preserve"> </w:t>
      </w:r>
    </w:p>
    <w:p w14:paraId="5DFFCB96" w14:textId="77777777" w:rsidR="00110416" w:rsidRPr="00110416" w:rsidRDefault="00110416">
      <w:pPr>
        <w:spacing w:before="240" w:after="240" w:line="360" w:lineRule="auto"/>
        <w:jc w:val="both"/>
        <w:rPr>
          <w:rFonts w:ascii="Times New Roman" w:eastAsia="Times New Roman" w:hAnsi="Times New Roman" w:cs="Times New Roman"/>
          <w:color w:val="222222"/>
          <w:sz w:val="24"/>
          <w:szCs w:val="24"/>
          <w:highlight w:val="white"/>
        </w:rPr>
      </w:pPr>
      <w:r w:rsidRPr="00110416">
        <w:rPr>
          <w:rFonts w:ascii="Times New Roman" w:eastAsia="Times New Roman" w:hAnsi="Times New Roman" w:cs="Times New Roman"/>
          <w:color w:val="222222"/>
          <w:sz w:val="24"/>
          <w:szCs w:val="24"/>
          <w:highlight w:val="white"/>
        </w:rPr>
        <w:lastRenderedPageBreak/>
        <w:t xml:space="preserve">SSE, (2025) </w:t>
      </w:r>
      <w:r w:rsidRPr="00110416">
        <w:rPr>
          <w:rFonts w:ascii="Times New Roman" w:eastAsia="Times New Roman" w:hAnsi="Times New Roman" w:cs="Times New Roman"/>
          <w:i/>
          <w:color w:val="222222"/>
          <w:sz w:val="24"/>
          <w:szCs w:val="24"/>
          <w:highlight w:val="white"/>
        </w:rPr>
        <w:t>SSE News</w:t>
      </w:r>
      <w:r w:rsidRPr="00110416">
        <w:rPr>
          <w:rFonts w:ascii="Times New Roman" w:eastAsia="Times New Roman" w:hAnsi="Times New Roman" w:cs="Times New Roman"/>
          <w:color w:val="222222"/>
          <w:sz w:val="24"/>
          <w:szCs w:val="24"/>
          <w:highlight w:val="white"/>
        </w:rPr>
        <w:t xml:space="preserve">, </w:t>
      </w:r>
      <w:r w:rsidRPr="00110416">
        <w:rPr>
          <w:rFonts w:ascii="Times New Roman" w:eastAsia="Times New Roman" w:hAnsi="Times New Roman" w:cs="Times New Roman"/>
          <w:i/>
          <w:color w:val="222222"/>
          <w:sz w:val="24"/>
          <w:szCs w:val="24"/>
          <w:highlight w:val="white"/>
        </w:rPr>
        <w:t>SHANGHAI STOCK EXCHANGE</w:t>
      </w:r>
      <w:r w:rsidRPr="00110416">
        <w:rPr>
          <w:rFonts w:ascii="Times New Roman" w:eastAsia="Times New Roman" w:hAnsi="Times New Roman" w:cs="Times New Roman"/>
          <w:color w:val="222222"/>
          <w:sz w:val="24"/>
          <w:szCs w:val="24"/>
          <w:highlight w:val="white"/>
        </w:rPr>
        <w:t xml:space="preserve">. Available at: https://english.sse.com.cn/ (Accessed: 17 February 2025). </w:t>
      </w:r>
    </w:p>
    <w:p w14:paraId="39321535" w14:textId="77777777" w:rsidR="00110416" w:rsidRPr="00110416" w:rsidRDefault="00110416">
      <w:pPr>
        <w:spacing w:before="240" w:after="240" w:line="360" w:lineRule="auto"/>
        <w:jc w:val="both"/>
        <w:rPr>
          <w:rFonts w:ascii="Times New Roman" w:eastAsia="Times New Roman" w:hAnsi="Times New Roman" w:cs="Times New Roman"/>
          <w:color w:val="222222"/>
          <w:sz w:val="24"/>
          <w:szCs w:val="24"/>
          <w:highlight w:val="white"/>
        </w:rPr>
      </w:pPr>
      <w:r w:rsidRPr="00110416">
        <w:rPr>
          <w:rFonts w:ascii="Times New Roman" w:eastAsia="Times New Roman" w:hAnsi="Times New Roman" w:cs="Times New Roman"/>
          <w:color w:val="222222"/>
          <w:sz w:val="24"/>
          <w:szCs w:val="24"/>
          <w:highlight w:val="white"/>
        </w:rPr>
        <w:t xml:space="preserve">The QCA (2025) </w:t>
      </w:r>
      <w:r w:rsidRPr="00110416">
        <w:rPr>
          <w:rFonts w:ascii="Times New Roman" w:eastAsia="Times New Roman" w:hAnsi="Times New Roman" w:cs="Times New Roman"/>
          <w:i/>
          <w:color w:val="222222"/>
          <w:sz w:val="24"/>
          <w:szCs w:val="24"/>
          <w:highlight w:val="white"/>
        </w:rPr>
        <w:t>Qca Corporate</w:t>
      </w:r>
      <w:r w:rsidRPr="00110416">
        <w:rPr>
          <w:rFonts w:ascii="Times New Roman" w:eastAsia="Times New Roman" w:hAnsi="Times New Roman" w:cs="Times New Roman"/>
          <w:color w:val="222222"/>
          <w:sz w:val="24"/>
          <w:szCs w:val="24"/>
          <w:highlight w:val="white"/>
        </w:rPr>
        <w:t xml:space="preserve">, </w:t>
      </w:r>
      <w:r w:rsidRPr="00110416">
        <w:rPr>
          <w:rFonts w:ascii="Times New Roman" w:eastAsia="Times New Roman" w:hAnsi="Times New Roman" w:cs="Times New Roman"/>
          <w:i/>
          <w:color w:val="222222"/>
          <w:sz w:val="24"/>
          <w:szCs w:val="24"/>
          <w:highlight w:val="white"/>
        </w:rPr>
        <w:t>TheQCA</w:t>
      </w:r>
      <w:r w:rsidRPr="00110416">
        <w:rPr>
          <w:rFonts w:ascii="Times New Roman" w:eastAsia="Times New Roman" w:hAnsi="Times New Roman" w:cs="Times New Roman"/>
          <w:color w:val="222222"/>
          <w:sz w:val="24"/>
          <w:szCs w:val="24"/>
          <w:highlight w:val="white"/>
        </w:rPr>
        <w:t xml:space="preserve">. Available at: https://www.theqca.com/qca-corporate-governance-code/ (Accessed: 17 February 2025). </w:t>
      </w:r>
    </w:p>
    <w:sectPr w:rsidR="00110416" w:rsidRPr="00110416" w:rsidSect="00110416">
      <w:footerReference w:type="default" r:id="rId1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F24FB4" w14:textId="77777777" w:rsidR="002D6BC0" w:rsidRDefault="002D6BC0" w:rsidP="00110416">
      <w:pPr>
        <w:spacing w:line="240" w:lineRule="auto"/>
      </w:pPr>
      <w:r>
        <w:separator/>
      </w:r>
    </w:p>
  </w:endnote>
  <w:endnote w:type="continuationSeparator" w:id="0">
    <w:p w14:paraId="43109B81" w14:textId="77777777" w:rsidR="002D6BC0" w:rsidRDefault="002D6BC0" w:rsidP="001104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4700925"/>
      <w:docPartObj>
        <w:docPartGallery w:val="Page Numbers (Bottom of Page)"/>
        <w:docPartUnique/>
      </w:docPartObj>
    </w:sdtPr>
    <w:sdtEndPr>
      <w:rPr>
        <w:noProof/>
      </w:rPr>
    </w:sdtEndPr>
    <w:sdtContent>
      <w:p w14:paraId="6F5A9730" w14:textId="69991E88" w:rsidR="00110416" w:rsidRDefault="0011041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50F64F" w14:textId="77777777" w:rsidR="00110416" w:rsidRDefault="001104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B48A0B" w14:textId="77777777" w:rsidR="002D6BC0" w:rsidRDefault="002D6BC0" w:rsidP="00110416">
      <w:pPr>
        <w:spacing w:line="240" w:lineRule="auto"/>
      </w:pPr>
      <w:r>
        <w:separator/>
      </w:r>
    </w:p>
  </w:footnote>
  <w:footnote w:type="continuationSeparator" w:id="0">
    <w:p w14:paraId="42DED5A0" w14:textId="77777777" w:rsidR="002D6BC0" w:rsidRDefault="002D6BC0" w:rsidP="0011041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2588"/>
    <w:rsid w:val="00110416"/>
    <w:rsid w:val="00242588"/>
    <w:rsid w:val="002D6BC0"/>
    <w:rsid w:val="004C22E6"/>
    <w:rsid w:val="009D64FB"/>
    <w:rsid w:val="00A549EC"/>
    <w:rsid w:val="00EB0F5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FA6CD"/>
  <w15:docId w15:val="{048D7E2C-AC1A-4B77-9A4A-DC8FFA5BDF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110416"/>
    <w:pPr>
      <w:tabs>
        <w:tab w:val="center" w:pos="4513"/>
        <w:tab w:val="right" w:pos="9026"/>
      </w:tabs>
      <w:spacing w:line="240" w:lineRule="auto"/>
    </w:pPr>
  </w:style>
  <w:style w:type="character" w:customStyle="1" w:styleId="HeaderChar">
    <w:name w:val="Header Char"/>
    <w:basedOn w:val="DefaultParagraphFont"/>
    <w:link w:val="Header"/>
    <w:uiPriority w:val="99"/>
    <w:rsid w:val="00110416"/>
  </w:style>
  <w:style w:type="paragraph" w:styleId="Footer">
    <w:name w:val="footer"/>
    <w:basedOn w:val="Normal"/>
    <w:link w:val="FooterChar"/>
    <w:uiPriority w:val="99"/>
    <w:unhideWhenUsed/>
    <w:rsid w:val="00110416"/>
    <w:pPr>
      <w:tabs>
        <w:tab w:val="center" w:pos="4513"/>
        <w:tab w:val="right" w:pos="9026"/>
      </w:tabs>
      <w:spacing w:line="240" w:lineRule="auto"/>
    </w:pPr>
  </w:style>
  <w:style w:type="character" w:customStyle="1" w:styleId="FooterChar">
    <w:name w:val="Footer Char"/>
    <w:basedOn w:val="DefaultParagraphFont"/>
    <w:link w:val="Footer"/>
    <w:uiPriority w:val="99"/>
    <w:rsid w:val="001104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thejrr.com/index.php/39/article/view/67"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papers.ssrn.com/sol3/papers.cfm?abstract_id=5040008"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www.scienpress.com/Upload/AMAE/Vol%2015_2_4.pdf" TargetMode="External"/><Relationship Id="rId4" Type="http://schemas.openxmlformats.org/officeDocument/2006/relationships/footnotes" Target="footnotes.xml"/><Relationship Id="rId9" Type="http://schemas.openxmlformats.org/officeDocument/2006/relationships/hyperlink" Target="https://papers.ssrn.com/sol3/papers.cfm?abstract_id=49959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10</Pages>
  <Words>2322</Words>
  <Characters>13236</Characters>
  <Application>Microsoft Office Word</Application>
  <DocSecurity>0</DocSecurity>
  <Lines>110</Lines>
  <Paragraphs>31</Paragraphs>
  <ScaleCrop>false</ScaleCrop>
  <Company/>
  <LinksUpToDate>false</LinksUpToDate>
  <CharactersWithSpaces>15527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DC Tech Solutions</cp:lastModifiedBy>
  <cp:revision>3</cp:revision>
  <dcterms:created xsi:type="dcterms:W3CDTF">2025-02-17T12:23:00Z</dcterms:created>
  <dcterms:modified xsi:type="dcterms:W3CDTF">2025-02-19T12:27:00Z</dcterms:modified>
</cp:coreProperties>
</file>