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EACF03" w14:textId="614B959C" w:rsidR="00570CDA" w:rsidRDefault="00570CDA" w:rsidP="00570CD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Pr>
          <w:rStyle w:val="Strong"/>
          <w:noProof/>
        </w:rPr>
        <w:drawing>
          <wp:inline distT="0" distB="0" distL="0" distR="0" wp14:anchorId="2BB777AF" wp14:editId="387751A3">
            <wp:extent cx="4215606" cy="14573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20319" cy="1458954"/>
                    </a:xfrm>
                    <a:prstGeom prst="rect">
                      <a:avLst/>
                    </a:prstGeom>
                    <a:noFill/>
                  </pic:spPr>
                </pic:pic>
              </a:graphicData>
            </a:graphic>
          </wp:inline>
        </w:drawing>
      </w:r>
    </w:p>
    <w:p w14:paraId="66A13F4E" w14:textId="77777777" w:rsidR="00570CDA" w:rsidRDefault="00570CDA" w:rsidP="00570CD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0EEF0408" w14:textId="6B9B4A11" w:rsidR="00570CDA" w:rsidRDefault="00570CDA" w:rsidP="00570CDA">
      <w:pPr>
        <w:spacing w:before="100" w:beforeAutospacing="1" w:after="100" w:afterAutospacing="1" w:line="240" w:lineRule="auto"/>
        <w:jc w:val="center"/>
        <w:outlineLvl w:val="2"/>
        <w:rPr>
          <w:rFonts w:ascii="Calibri" w:hAnsi="Calibri" w:cs="Calibri"/>
          <w:b/>
          <w:sz w:val="32"/>
          <w:szCs w:val="32"/>
        </w:rPr>
      </w:pPr>
      <w:r w:rsidRPr="00570CDA">
        <w:rPr>
          <w:rFonts w:ascii="Calibri" w:hAnsi="Calibri" w:cs="Calibri"/>
          <w:b/>
          <w:sz w:val="32"/>
          <w:szCs w:val="32"/>
        </w:rPr>
        <w:t xml:space="preserve">The </w:t>
      </w:r>
      <w:r w:rsidR="00CE21DD">
        <w:rPr>
          <w:rFonts w:ascii="Calibri" w:hAnsi="Calibri" w:cs="Calibri"/>
          <w:b/>
          <w:sz w:val="32"/>
          <w:szCs w:val="32"/>
        </w:rPr>
        <w:t>D</w:t>
      </w:r>
      <w:r w:rsidRPr="00570CDA">
        <w:rPr>
          <w:rFonts w:ascii="Calibri" w:hAnsi="Calibri" w:cs="Calibri"/>
          <w:b/>
          <w:sz w:val="32"/>
          <w:szCs w:val="32"/>
        </w:rPr>
        <w:t xml:space="preserve">evelopment of </w:t>
      </w:r>
      <w:r w:rsidR="00CE21DD">
        <w:rPr>
          <w:rFonts w:ascii="Calibri" w:hAnsi="Calibri" w:cs="Calibri"/>
          <w:b/>
          <w:sz w:val="32"/>
          <w:szCs w:val="32"/>
        </w:rPr>
        <w:t>C</w:t>
      </w:r>
      <w:r w:rsidRPr="00570CDA">
        <w:rPr>
          <w:rFonts w:ascii="Calibri" w:hAnsi="Calibri" w:cs="Calibri"/>
          <w:b/>
          <w:sz w:val="32"/>
          <w:szCs w:val="32"/>
        </w:rPr>
        <w:t xml:space="preserve">ircular </w:t>
      </w:r>
      <w:r w:rsidR="00CE21DD">
        <w:rPr>
          <w:rFonts w:ascii="Calibri" w:hAnsi="Calibri" w:cs="Calibri"/>
          <w:b/>
          <w:sz w:val="32"/>
          <w:szCs w:val="32"/>
        </w:rPr>
        <w:t>E</w:t>
      </w:r>
      <w:r w:rsidRPr="00570CDA">
        <w:rPr>
          <w:rFonts w:ascii="Calibri" w:hAnsi="Calibri" w:cs="Calibri"/>
          <w:b/>
          <w:sz w:val="32"/>
          <w:szCs w:val="32"/>
        </w:rPr>
        <w:t xml:space="preserve">conomy </w:t>
      </w:r>
    </w:p>
    <w:p w14:paraId="3CDB77E0" w14:textId="5072BDE7" w:rsidR="00570CDA" w:rsidRDefault="00570CDA" w:rsidP="00570CDA">
      <w:pPr>
        <w:spacing w:before="100" w:beforeAutospacing="1" w:after="100" w:afterAutospacing="1" w:line="240" w:lineRule="auto"/>
        <w:jc w:val="center"/>
        <w:outlineLvl w:val="2"/>
        <w:rPr>
          <w:rFonts w:ascii="Calibri" w:hAnsi="Calibri" w:cs="Calibri"/>
          <w:b/>
          <w:sz w:val="32"/>
          <w:szCs w:val="32"/>
        </w:rPr>
      </w:pPr>
      <w:r w:rsidRPr="00570CDA">
        <w:rPr>
          <w:rFonts w:ascii="Calibri" w:hAnsi="Calibri" w:cs="Calibri"/>
          <w:b/>
          <w:sz w:val="32"/>
          <w:szCs w:val="32"/>
        </w:rPr>
        <w:t xml:space="preserve">to </w:t>
      </w:r>
      <w:r w:rsidR="00CE21DD">
        <w:rPr>
          <w:rFonts w:ascii="Calibri" w:hAnsi="Calibri" w:cs="Calibri"/>
          <w:b/>
          <w:sz w:val="32"/>
          <w:szCs w:val="32"/>
        </w:rPr>
        <w:t>S</w:t>
      </w:r>
      <w:r w:rsidRPr="00570CDA">
        <w:rPr>
          <w:rFonts w:ascii="Calibri" w:hAnsi="Calibri" w:cs="Calibri"/>
          <w:b/>
          <w:sz w:val="32"/>
          <w:szCs w:val="32"/>
        </w:rPr>
        <w:t xml:space="preserve">upport </w:t>
      </w:r>
      <w:r w:rsidR="00CE21DD">
        <w:rPr>
          <w:rFonts w:ascii="Calibri" w:hAnsi="Calibri" w:cs="Calibri"/>
          <w:b/>
          <w:sz w:val="32"/>
          <w:szCs w:val="32"/>
        </w:rPr>
        <w:t>A</w:t>
      </w:r>
      <w:r w:rsidRPr="00570CDA">
        <w:rPr>
          <w:rFonts w:ascii="Calibri" w:hAnsi="Calibri" w:cs="Calibri"/>
          <w:b/>
          <w:sz w:val="32"/>
          <w:szCs w:val="32"/>
        </w:rPr>
        <w:t>chieving NetZero</w:t>
      </w:r>
    </w:p>
    <w:p w14:paraId="29E1BF2C" w14:textId="51534F66" w:rsidR="00570CDA" w:rsidRPr="00570CDA" w:rsidRDefault="00570CDA" w:rsidP="00570CDA">
      <w:pPr>
        <w:spacing w:before="100" w:beforeAutospacing="1" w:after="100" w:afterAutospacing="1" w:line="240" w:lineRule="auto"/>
        <w:jc w:val="center"/>
        <w:outlineLvl w:val="2"/>
        <w:rPr>
          <w:rFonts w:ascii="Times New Roman" w:eastAsia="Times New Roman" w:hAnsi="Times New Roman" w:cs="Times New Roman"/>
          <w:b/>
          <w:bCs/>
          <w:sz w:val="32"/>
          <w:szCs w:val="32"/>
          <w:lang w:eastAsia="en-GB"/>
        </w:rPr>
      </w:pPr>
      <w:r>
        <w:rPr>
          <w:rFonts w:ascii="Calibri" w:hAnsi="Calibri" w:cs="Calibri"/>
          <w:b/>
          <w:sz w:val="32"/>
          <w:szCs w:val="32"/>
        </w:rPr>
        <w:t>By Carys Wooldridge</w:t>
      </w:r>
    </w:p>
    <w:p w14:paraId="51486D51" w14:textId="77777777" w:rsidR="00570CDA" w:rsidRDefault="00570CDA" w:rsidP="00570CD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46B918BF" w14:textId="77777777" w:rsidR="00570CDA" w:rsidRDefault="00570CDA" w:rsidP="00570CD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3525C6E4" w14:textId="77777777" w:rsidR="00570CDA" w:rsidRDefault="00570CDA" w:rsidP="00570CD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4EE86D70" w14:textId="77777777" w:rsidR="00570CDA" w:rsidRDefault="00570CDA" w:rsidP="00570CD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3B465773" w14:textId="77777777" w:rsidR="00570CDA" w:rsidRDefault="00570CDA" w:rsidP="00570CD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4A7233EE" w14:textId="77777777" w:rsidR="00570CDA" w:rsidRDefault="00570CDA" w:rsidP="00570CD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7D59D4E5" w14:textId="77777777" w:rsidR="00570CDA" w:rsidRDefault="00570CDA" w:rsidP="00570CD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69300317" w14:textId="77777777" w:rsidR="00570CDA" w:rsidRDefault="00570CDA" w:rsidP="00570CD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24D49CF0" w14:textId="77777777" w:rsidR="00570CDA" w:rsidRDefault="00570CDA" w:rsidP="00570CD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7C3E7D03" w14:textId="77777777" w:rsidR="00570CDA" w:rsidRDefault="00570CDA" w:rsidP="00570CD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5E88D076" w14:textId="77777777" w:rsidR="00570CDA" w:rsidRDefault="00570CDA" w:rsidP="00570CD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686D894B" w14:textId="77777777" w:rsidR="00570CDA" w:rsidRDefault="00570CDA" w:rsidP="00570CD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1E706F57" w14:textId="77777777" w:rsidR="00570CDA" w:rsidRDefault="00570CDA" w:rsidP="00570CD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01CE037B" w14:textId="77777777" w:rsidR="00570CDA" w:rsidRDefault="00570CDA" w:rsidP="00570CD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55BBBC2E" w14:textId="77777777" w:rsidR="00570CDA" w:rsidRDefault="00570CDA" w:rsidP="00570CD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6DAAB806" w14:textId="6ECABCE1" w:rsidR="00570CDA" w:rsidRPr="00570CDA" w:rsidRDefault="00570CDA" w:rsidP="00CE21DD">
      <w:pPr>
        <w:spacing w:before="100" w:beforeAutospacing="1" w:after="100" w:afterAutospacing="1" w:line="240" w:lineRule="auto"/>
        <w:jc w:val="both"/>
        <w:outlineLvl w:val="2"/>
        <w:rPr>
          <w:rFonts w:ascii="Times New Roman" w:eastAsia="Times New Roman" w:hAnsi="Times New Roman" w:cs="Times New Roman"/>
          <w:b/>
          <w:bCs/>
          <w:sz w:val="27"/>
          <w:szCs w:val="27"/>
          <w:lang w:eastAsia="en-GB"/>
        </w:rPr>
      </w:pPr>
      <w:r>
        <w:rPr>
          <w:rFonts w:ascii="Times New Roman" w:eastAsia="Times New Roman" w:hAnsi="Times New Roman" w:cs="Times New Roman"/>
          <w:b/>
          <w:bCs/>
          <w:sz w:val="27"/>
          <w:szCs w:val="27"/>
          <w:lang w:eastAsia="en-GB"/>
        </w:rPr>
        <w:lastRenderedPageBreak/>
        <w:t>A</w:t>
      </w:r>
      <w:r w:rsidRPr="00570CDA">
        <w:rPr>
          <w:rFonts w:ascii="Times New Roman" w:eastAsia="Times New Roman" w:hAnsi="Times New Roman" w:cs="Times New Roman"/>
          <w:b/>
          <w:bCs/>
          <w:sz w:val="27"/>
          <w:szCs w:val="27"/>
          <w:lang w:eastAsia="en-GB"/>
        </w:rPr>
        <w:t>bstract</w:t>
      </w:r>
    </w:p>
    <w:p w14:paraId="4962BEAE" w14:textId="7020FDB0" w:rsidR="00570CDA" w:rsidRDefault="00570CDA" w:rsidP="00CE21DD">
      <w:pPr>
        <w:spacing w:before="100" w:beforeAutospacing="1" w:after="100" w:afterAutospacing="1" w:line="240" w:lineRule="auto"/>
        <w:jc w:val="both"/>
        <w:rPr>
          <w:rFonts w:ascii="Times New Roman" w:eastAsia="Times New Roman" w:hAnsi="Times New Roman" w:cs="Times New Roman"/>
          <w:sz w:val="24"/>
          <w:szCs w:val="24"/>
          <w:lang w:eastAsia="en-GB"/>
        </w:rPr>
      </w:pPr>
      <w:r w:rsidRPr="00570CDA">
        <w:rPr>
          <w:rFonts w:ascii="Times New Roman" w:eastAsia="Times New Roman" w:hAnsi="Times New Roman" w:cs="Times New Roman"/>
          <w:sz w:val="24"/>
          <w:szCs w:val="24"/>
          <w:lang w:eastAsia="en-GB"/>
        </w:rPr>
        <w:t xml:space="preserve">This report examines the key requirements for evaluating sustainability in logistics and supply chain management, with a specific focus on the application of circular economy principles. By assessing sustainability metrics, lifecycle assessments, and regulatory standards, the report outlines how </w:t>
      </w:r>
      <w:r>
        <w:rPr>
          <w:rFonts w:ascii="Times New Roman" w:eastAsia="Times New Roman" w:hAnsi="Times New Roman" w:cs="Times New Roman"/>
          <w:sz w:val="24"/>
          <w:szCs w:val="24"/>
          <w:lang w:eastAsia="en-GB"/>
        </w:rPr>
        <w:t>businesses</w:t>
      </w:r>
      <w:r w:rsidRPr="00570CDA">
        <w:rPr>
          <w:rFonts w:ascii="Times New Roman" w:eastAsia="Times New Roman" w:hAnsi="Times New Roman" w:cs="Times New Roman"/>
          <w:sz w:val="24"/>
          <w:szCs w:val="24"/>
          <w:lang w:eastAsia="en-GB"/>
        </w:rPr>
        <w:t xml:space="preserve"> can integrate environmental, social, and economic considerations into their supply chain operations. The report then explores the application of circular economy concepts to Tata Steel</w:t>
      </w:r>
      <w:r>
        <w:rPr>
          <w:rFonts w:ascii="Times New Roman" w:eastAsia="Times New Roman" w:hAnsi="Times New Roman" w:cs="Times New Roman"/>
          <w:sz w:val="24"/>
          <w:szCs w:val="24"/>
          <w:lang w:eastAsia="en-GB"/>
        </w:rPr>
        <w:t xml:space="preserve"> and</w:t>
      </w:r>
      <w:r w:rsidRPr="00570CDA">
        <w:rPr>
          <w:rFonts w:ascii="Times New Roman" w:eastAsia="Times New Roman" w:hAnsi="Times New Roman" w:cs="Times New Roman"/>
          <w:sz w:val="24"/>
          <w:szCs w:val="24"/>
          <w:lang w:eastAsia="en-GB"/>
        </w:rPr>
        <w:t xml:space="preserve"> how circularity can drive resource efficiency, waste reduction, and material reuse in industrial operations. Key strategies include recycling steel, managing byproducts, and establishing closed-loop supply chains. The findings highlight the potential for Tata Steel to enhance its sustainability performance by adopting circular economy practices and reducing its environmental footprint through innovative supply chain management.</w:t>
      </w:r>
      <w:r>
        <w:rPr>
          <w:rFonts w:ascii="Times New Roman" w:eastAsia="Times New Roman" w:hAnsi="Times New Roman" w:cs="Times New Roman"/>
          <w:sz w:val="24"/>
          <w:szCs w:val="24"/>
          <w:lang w:eastAsia="en-GB"/>
        </w:rPr>
        <w:t xml:space="preserve"> It will also look at the current changes TATA Steel has made to </w:t>
      </w:r>
      <w:r w:rsidR="00CE21DD">
        <w:rPr>
          <w:rFonts w:ascii="Times New Roman" w:eastAsia="Times New Roman" w:hAnsi="Times New Roman" w:cs="Times New Roman"/>
          <w:sz w:val="24"/>
          <w:szCs w:val="24"/>
          <w:lang w:eastAsia="en-GB"/>
        </w:rPr>
        <w:t>its</w:t>
      </w:r>
      <w:r>
        <w:rPr>
          <w:rFonts w:ascii="Times New Roman" w:eastAsia="Times New Roman" w:hAnsi="Times New Roman" w:cs="Times New Roman"/>
          <w:sz w:val="24"/>
          <w:szCs w:val="24"/>
          <w:lang w:eastAsia="en-GB"/>
        </w:rPr>
        <w:t xml:space="preserve"> heavy end supply chain and how this has been driven by environmental policies, sustainability and circular economy principles. </w:t>
      </w:r>
    </w:p>
    <w:p w14:paraId="7A0777D7" w14:textId="77777777" w:rsidR="00C90065" w:rsidRDefault="00C90065" w:rsidP="00CE21DD">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4C11EC02"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6F0921BF"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2F0599D1"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3AF527C4"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1F24AB8A"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0AC41805"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12D7EA19"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2BA6743C"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60C190E8"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5F776643"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124BA6B5"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7345B7EF"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3A885E3E"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00268143"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1DE3AADE"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326971AF"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30E74877" w14:textId="77777777" w:rsidR="000900D9" w:rsidRDefault="000900D9" w:rsidP="00570CDA">
      <w:pPr>
        <w:spacing w:before="100" w:beforeAutospacing="1" w:after="100" w:afterAutospacing="1" w:line="240" w:lineRule="auto"/>
        <w:rPr>
          <w:rFonts w:ascii="Times New Roman" w:eastAsia="Times New Roman" w:hAnsi="Times New Roman" w:cs="Times New Roman"/>
          <w:b/>
          <w:bCs/>
          <w:sz w:val="24"/>
          <w:szCs w:val="24"/>
          <w:lang w:eastAsia="en-GB"/>
        </w:rPr>
      </w:pPr>
    </w:p>
    <w:p w14:paraId="7DD39CA8" w14:textId="11EC4A33" w:rsidR="00C90065" w:rsidRDefault="00C90065" w:rsidP="00570CDA">
      <w:pPr>
        <w:spacing w:before="100" w:beforeAutospacing="1" w:after="100" w:afterAutospacing="1" w:line="240" w:lineRule="auto"/>
        <w:rPr>
          <w:rFonts w:ascii="Times New Roman" w:eastAsia="Times New Roman" w:hAnsi="Times New Roman" w:cs="Times New Roman"/>
          <w:b/>
          <w:bCs/>
          <w:sz w:val="24"/>
          <w:szCs w:val="24"/>
          <w:lang w:eastAsia="en-GB"/>
        </w:rPr>
      </w:pPr>
      <w:r w:rsidRPr="00C90065">
        <w:rPr>
          <w:rFonts w:ascii="Times New Roman" w:eastAsia="Times New Roman" w:hAnsi="Times New Roman" w:cs="Times New Roman"/>
          <w:b/>
          <w:bCs/>
          <w:sz w:val="24"/>
          <w:szCs w:val="24"/>
          <w:lang w:eastAsia="en-GB"/>
        </w:rPr>
        <w:lastRenderedPageBreak/>
        <w:t xml:space="preserve">Contents </w:t>
      </w:r>
    </w:p>
    <w:p w14:paraId="77E6E42F" w14:textId="2001DEA4" w:rsidR="004A3964" w:rsidRDefault="004A3964" w:rsidP="004A3964">
      <w:pPr>
        <w:pStyle w:val="ListParagraph"/>
        <w:numPr>
          <w:ilvl w:val="0"/>
          <w:numId w:val="3"/>
        </w:numPr>
        <w:spacing w:before="100" w:beforeAutospacing="1" w:after="100" w:afterAutospacing="1" w:line="240" w:lineRule="auto"/>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Introduction</w:t>
      </w:r>
    </w:p>
    <w:p w14:paraId="64513A35" w14:textId="0A331547" w:rsidR="004A3964" w:rsidRDefault="004A3964" w:rsidP="004A3964">
      <w:pPr>
        <w:pStyle w:val="ListParagraph"/>
        <w:numPr>
          <w:ilvl w:val="0"/>
          <w:numId w:val="3"/>
        </w:numPr>
        <w:spacing w:before="100" w:beforeAutospacing="1" w:after="100" w:afterAutospacing="1" w:line="240" w:lineRule="auto"/>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The Circular Economy Framework</w:t>
      </w:r>
    </w:p>
    <w:p w14:paraId="447C7E8C" w14:textId="521DCAFD" w:rsidR="00F20A15" w:rsidRDefault="008906C1" w:rsidP="00F20A15">
      <w:pPr>
        <w:pStyle w:val="ListParagraph"/>
        <w:numPr>
          <w:ilvl w:val="0"/>
          <w:numId w:val="3"/>
        </w:numPr>
        <w:spacing w:before="100" w:beforeAutospacing="1" w:after="100" w:afterAutospacing="1" w:line="240" w:lineRule="auto"/>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TATA Steel</w:t>
      </w:r>
      <w:r w:rsidR="00F20A15">
        <w:rPr>
          <w:rFonts w:ascii="Times New Roman" w:eastAsia="Times New Roman" w:hAnsi="Times New Roman" w:cs="Times New Roman"/>
          <w:b/>
          <w:bCs/>
          <w:sz w:val="24"/>
          <w:szCs w:val="24"/>
          <w:lang w:eastAsia="en-GB"/>
        </w:rPr>
        <w:t>’s Circular Economy Strategies</w:t>
      </w:r>
    </w:p>
    <w:p w14:paraId="47EA30CE" w14:textId="0A482E42" w:rsidR="00584431" w:rsidRDefault="00584431" w:rsidP="00584431">
      <w:pPr>
        <w:pStyle w:val="ListParagraph"/>
        <w:numPr>
          <w:ilvl w:val="0"/>
          <w:numId w:val="3"/>
        </w:numPr>
        <w:spacing w:before="100" w:beforeAutospacing="1" w:after="100" w:afterAutospacing="1" w:line="240" w:lineRule="auto"/>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Critical Analysis and Challenges</w:t>
      </w:r>
    </w:p>
    <w:p w14:paraId="61124FB3" w14:textId="7167622A" w:rsidR="00802A1E" w:rsidRDefault="00802A1E" w:rsidP="00802A1E">
      <w:pPr>
        <w:pStyle w:val="ListParagraph"/>
        <w:numPr>
          <w:ilvl w:val="0"/>
          <w:numId w:val="3"/>
        </w:numPr>
        <w:spacing w:before="100" w:beforeAutospacing="1" w:after="100" w:afterAutospacing="1" w:line="240" w:lineRule="auto"/>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Policy Opportunities</w:t>
      </w:r>
    </w:p>
    <w:p w14:paraId="50891B43" w14:textId="0094160C" w:rsidR="00802A1E" w:rsidRDefault="00802A1E" w:rsidP="00802A1E">
      <w:pPr>
        <w:pStyle w:val="ListParagraph"/>
        <w:numPr>
          <w:ilvl w:val="0"/>
          <w:numId w:val="3"/>
        </w:numPr>
        <w:spacing w:before="100" w:beforeAutospacing="1" w:after="100" w:afterAutospacing="1" w:line="240" w:lineRule="auto"/>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Conclusion</w:t>
      </w:r>
    </w:p>
    <w:p w14:paraId="46AC24FD" w14:textId="163D600D" w:rsidR="00802A1E" w:rsidRDefault="00802A1E" w:rsidP="00802A1E">
      <w:pPr>
        <w:pStyle w:val="ListParagraph"/>
        <w:numPr>
          <w:ilvl w:val="0"/>
          <w:numId w:val="3"/>
        </w:numPr>
        <w:spacing w:before="100" w:beforeAutospacing="1" w:after="100" w:afterAutospacing="1" w:line="240" w:lineRule="auto"/>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References</w:t>
      </w:r>
    </w:p>
    <w:p w14:paraId="00F31186" w14:textId="20E0C43D" w:rsidR="00802A1E" w:rsidRPr="00584431" w:rsidRDefault="00802A1E" w:rsidP="00802A1E">
      <w:pPr>
        <w:pStyle w:val="ListParagraph"/>
        <w:numPr>
          <w:ilvl w:val="0"/>
          <w:numId w:val="3"/>
        </w:numPr>
        <w:spacing w:before="100" w:beforeAutospacing="1" w:after="100" w:afterAutospacing="1" w:line="240" w:lineRule="auto"/>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Appendix</w:t>
      </w:r>
    </w:p>
    <w:p w14:paraId="09B79E35"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16EB016D"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00A01F2D"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268D17A2"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0FEE5085"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6F650E02"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6A9F45EE"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7951057E"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7C1C4257"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5F763BA2"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419E333C"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0C125974"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59B47C6A"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6B6607FC"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60F619FC" w14:textId="77777777" w:rsidR="00C90065" w:rsidRDefault="00C90065"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3A8AF5CF" w14:textId="77777777" w:rsidR="00CE21DD" w:rsidRDefault="00CE21DD" w:rsidP="00570CD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73D7AAE5" w14:textId="77777777" w:rsidR="003F72F0" w:rsidRDefault="003F72F0" w:rsidP="00570CD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7FE1ACC8" w14:textId="77777777" w:rsidR="003F72F0" w:rsidRDefault="003F72F0" w:rsidP="00570CD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3460FB40" w14:textId="77777777" w:rsidR="003F72F0" w:rsidRDefault="003F72F0" w:rsidP="00570CD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6C3A06D4" w14:textId="0CE7FABE" w:rsidR="00570CDA" w:rsidRDefault="00437DE4" w:rsidP="00570CD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Pr>
          <w:rFonts w:ascii="Times New Roman" w:eastAsia="Times New Roman" w:hAnsi="Times New Roman" w:cs="Times New Roman"/>
          <w:b/>
          <w:bCs/>
          <w:sz w:val="27"/>
          <w:szCs w:val="27"/>
          <w:lang w:eastAsia="en-GB"/>
        </w:rPr>
        <w:lastRenderedPageBreak/>
        <w:t xml:space="preserve">1.0 </w:t>
      </w:r>
      <w:r w:rsidR="00570CDA" w:rsidRPr="00570CDA">
        <w:rPr>
          <w:rFonts w:ascii="Times New Roman" w:eastAsia="Times New Roman" w:hAnsi="Times New Roman" w:cs="Times New Roman"/>
          <w:b/>
          <w:bCs/>
          <w:sz w:val="27"/>
          <w:szCs w:val="27"/>
          <w:lang w:eastAsia="en-GB"/>
        </w:rPr>
        <w:t>Introduction</w:t>
      </w:r>
    </w:p>
    <w:p w14:paraId="0F8E98F6" w14:textId="306EC44B" w:rsidR="00687C51" w:rsidRDefault="00DE0425" w:rsidP="00CE21DD">
      <w:pPr>
        <w:spacing w:before="100" w:beforeAutospacing="1" w:after="100" w:afterAutospacing="1" w:line="240" w:lineRule="auto"/>
        <w:jc w:val="both"/>
        <w:outlineLvl w:val="2"/>
        <w:rPr>
          <w:rFonts w:ascii="Times New Roman" w:eastAsia="Times New Roman" w:hAnsi="Times New Roman" w:cs="Times New Roman"/>
          <w:sz w:val="24"/>
          <w:szCs w:val="24"/>
          <w:lang w:eastAsia="en-GB"/>
        </w:rPr>
      </w:pPr>
      <w:r w:rsidRPr="00DE0425">
        <w:rPr>
          <w:rFonts w:ascii="Times New Roman" w:eastAsia="Times New Roman" w:hAnsi="Times New Roman" w:cs="Times New Roman"/>
          <w:sz w:val="24"/>
          <w:szCs w:val="24"/>
          <w:lang w:eastAsia="en-GB"/>
        </w:rPr>
        <w:t>“</w:t>
      </w:r>
      <w:r w:rsidR="00B517D4" w:rsidRPr="00DE0425">
        <w:rPr>
          <w:rFonts w:ascii="Times New Roman" w:eastAsia="Times New Roman" w:hAnsi="Times New Roman" w:cs="Times New Roman"/>
          <w:sz w:val="24"/>
          <w:szCs w:val="24"/>
          <w:lang w:eastAsia="en-GB"/>
        </w:rPr>
        <w:t xml:space="preserve">When looking at today’s economy </w:t>
      </w:r>
      <w:r w:rsidR="00AA04E2" w:rsidRPr="00DE0425">
        <w:rPr>
          <w:rFonts w:ascii="Times New Roman" w:eastAsia="Times New Roman" w:hAnsi="Times New Roman" w:cs="Times New Roman"/>
          <w:sz w:val="24"/>
          <w:szCs w:val="24"/>
          <w:lang w:eastAsia="en-GB"/>
        </w:rPr>
        <w:t xml:space="preserve">the consumption of </w:t>
      </w:r>
      <w:r w:rsidR="008065F1" w:rsidRPr="00DE0425">
        <w:rPr>
          <w:rFonts w:ascii="Times New Roman" w:eastAsia="Times New Roman" w:hAnsi="Times New Roman" w:cs="Times New Roman"/>
          <w:sz w:val="24"/>
          <w:szCs w:val="24"/>
          <w:lang w:eastAsia="en-GB"/>
        </w:rPr>
        <w:t>materials</w:t>
      </w:r>
      <w:r w:rsidR="00AA04E2" w:rsidRPr="00DE0425">
        <w:rPr>
          <w:rFonts w:ascii="Times New Roman" w:eastAsia="Times New Roman" w:hAnsi="Times New Roman" w:cs="Times New Roman"/>
          <w:sz w:val="24"/>
          <w:szCs w:val="24"/>
          <w:lang w:eastAsia="en-GB"/>
        </w:rPr>
        <w:t xml:space="preserve"> and the potential harm this is doing from the waste production. </w:t>
      </w:r>
      <w:r w:rsidR="00687C51" w:rsidRPr="00DE0425">
        <w:rPr>
          <w:rFonts w:ascii="Times New Roman" w:eastAsia="Times New Roman" w:hAnsi="Times New Roman" w:cs="Times New Roman"/>
          <w:sz w:val="24"/>
          <w:szCs w:val="24"/>
          <w:lang w:eastAsia="en-GB"/>
        </w:rPr>
        <w:t xml:space="preserve">Today’s </w:t>
      </w:r>
      <w:r w:rsidR="00B517D4" w:rsidRPr="00DE0425">
        <w:rPr>
          <w:rFonts w:ascii="Times New Roman" w:eastAsia="Times New Roman" w:hAnsi="Times New Roman" w:cs="Times New Roman"/>
          <w:sz w:val="24"/>
          <w:szCs w:val="24"/>
          <w:lang w:eastAsia="en-GB"/>
        </w:rPr>
        <w:t>global</w:t>
      </w:r>
      <w:r w:rsidR="00687C51" w:rsidRPr="00DE0425">
        <w:rPr>
          <w:rFonts w:ascii="Times New Roman" w:eastAsia="Times New Roman" w:hAnsi="Times New Roman" w:cs="Times New Roman"/>
          <w:sz w:val="24"/>
          <w:szCs w:val="24"/>
          <w:lang w:eastAsia="en-GB"/>
        </w:rPr>
        <w:t xml:space="preserve"> economy consumes 100 billion tons of materials, of which 7.2billion tons come from secondary materials. </w:t>
      </w:r>
      <w:r w:rsidR="00813810" w:rsidRPr="00DE0425">
        <w:rPr>
          <w:rFonts w:ascii="Times New Roman" w:eastAsia="Times New Roman" w:hAnsi="Times New Roman" w:cs="Times New Roman"/>
          <w:sz w:val="24"/>
          <w:szCs w:val="24"/>
          <w:lang w:eastAsia="en-GB"/>
        </w:rPr>
        <w:t xml:space="preserve">According to some scientists, the use of physical materials is creating harmful </w:t>
      </w:r>
      <w:r w:rsidR="00B517D4" w:rsidRPr="00DE0425">
        <w:rPr>
          <w:rFonts w:ascii="Times New Roman" w:eastAsia="Times New Roman" w:hAnsi="Times New Roman" w:cs="Times New Roman"/>
          <w:sz w:val="24"/>
          <w:szCs w:val="24"/>
          <w:lang w:eastAsia="en-GB"/>
        </w:rPr>
        <w:t xml:space="preserve">health outcomes, economic losses and untenable levels of greenhouse emissions. </w:t>
      </w:r>
      <w:r w:rsidRPr="00DE0425">
        <w:rPr>
          <w:rFonts w:ascii="Times New Roman" w:eastAsia="Times New Roman" w:hAnsi="Times New Roman" w:cs="Times New Roman"/>
          <w:sz w:val="24"/>
          <w:szCs w:val="24"/>
          <w:lang w:eastAsia="en-GB"/>
        </w:rPr>
        <w:t>“</w:t>
      </w:r>
      <w:sdt>
        <w:sdtPr>
          <w:rPr>
            <w:rFonts w:ascii="Times New Roman" w:eastAsia="Times New Roman" w:hAnsi="Times New Roman" w:cs="Times New Roman"/>
            <w:sz w:val="24"/>
            <w:szCs w:val="24"/>
            <w:lang w:eastAsia="en-GB"/>
          </w:rPr>
          <w:id w:val="1554498040"/>
          <w:citation/>
        </w:sdtPr>
        <w:sdtEndPr/>
        <w:sdtContent>
          <w:r w:rsidRPr="00DE0425">
            <w:rPr>
              <w:rFonts w:ascii="Times New Roman" w:eastAsia="Times New Roman" w:hAnsi="Times New Roman" w:cs="Times New Roman"/>
              <w:sz w:val="24"/>
              <w:szCs w:val="24"/>
              <w:lang w:eastAsia="en-GB"/>
            </w:rPr>
            <w:fldChar w:fldCharType="begin"/>
          </w:r>
          <w:r w:rsidRPr="00DE0425">
            <w:rPr>
              <w:rFonts w:ascii="Times New Roman" w:eastAsia="Times New Roman" w:hAnsi="Times New Roman" w:cs="Times New Roman"/>
              <w:sz w:val="24"/>
              <w:szCs w:val="24"/>
              <w:lang w:eastAsia="en-GB"/>
            </w:rPr>
            <w:instrText xml:space="preserve"> CITATION EDF2024 \l 2057 </w:instrText>
          </w:r>
          <w:r w:rsidRPr="00DE0425">
            <w:rPr>
              <w:rFonts w:ascii="Times New Roman" w:eastAsia="Times New Roman" w:hAnsi="Times New Roman" w:cs="Times New Roman"/>
              <w:sz w:val="24"/>
              <w:szCs w:val="24"/>
              <w:lang w:eastAsia="en-GB"/>
            </w:rPr>
            <w:fldChar w:fldCharType="separate"/>
          </w:r>
          <w:r w:rsidRPr="00DE0425">
            <w:rPr>
              <w:rFonts w:ascii="Times New Roman" w:eastAsia="Times New Roman" w:hAnsi="Times New Roman" w:cs="Times New Roman"/>
              <w:noProof/>
              <w:sz w:val="24"/>
              <w:szCs w:val="24"/>
              <w:lang w:eastAsia="en-GB"/>
            </w:rPr>
            <w:t>(Enviornment Defense Fund, 2024)</w:t>
          </w:r>
          <w:r w:rsidRPr="00DE0425">
            <w:rPr>
              <w:rFonts w:ascii="Times New Roman" w:eastAsia="Times New Roman" w:hAnsi="Times New Roman" w:cs="Times New Roman"/>
              <w:sz w:val="24"/>
              <w:szCs w:val="24"/>
              <w:lang w:eastAsia="en-GB"/>
            </w:rPr>
            <w:fldChar w:fldCharType="end"/>
          </w:r>
        </w:sdtContent>
      </w:sdt>
    </w:p>
    <w:p w14:paraId="0924E942" w14:textId="08BA6F65" w:rsidR="00570CDA" w:rsidRPr="00570CDA" w:rsidRDefault="00570CDA" w:rsidP="00CE21DD">
      <w:pPr>
        <w:spacing w:before="100" w:beforeAutospacing="1" w:after="100" w:afterAutospacing="1" w:line="240" w:lineRule="auto"/>
        <w:jc w:val="both"/>
        <w:rPr>
          <w:rFonts w:ascii="Times New Roman" w:eastAsia="Times New Roman" w:hAnsi="Times New Roman" w:cs="Times New Roman"/>
          <w:sz w:val="24"/>
          <w:szCs w:val="24"/>
          <w:lang w:eastAsia="en-GB"/>
        </w:rPr>
      </w:pPr>
      <w:r w:rsidRPr="00570CDA">
        <w:rPr>
          <w:rFonts w:ascii="Times New Roman" w:eastAsia="Times New Roman" w:hAnsi="Times New Roman" w:cs="Times New Roman"/>
          <w:sz w:val="24"/>
          <w:szCs w:val="24"/>
          <w:lang w:eastAsia="en-GB"/>
        </w:rPr>
        <w:t>Sustainability in logistics and supply chain management has become increasingly important in light of growing environmental concerns, regulatory pressures, and stakeholder expectations. The ability to evaluate and implement sustainable practices is critical for businesses seeking to reduce their carbon footprint, optimi</w:t>
      </w:r>
      <w:r w:rsidR="00666949">
        <w:rPr>
          <w:rFonts w:ascii="Times New Roman" w:eastAsia="Times New Roman" w:hAnsi="Times New Roman" w:cs="Times New Roman"/>
          <w:sz w:val="24"/>
          <w:szCs w:val="24"/>
          <w:lang w:eastAsia="en-GB"/>
        </w:rPr>
        <w:t>s</w:t>
      </w:r>
      <w:r w:rsidRPr="00570CDA">
        <w:rPr>
          <w:rFonts w:ascii="Times New Roman" w:eastAsia="Times New Roman" w:hAnsi="Times New Roman" w:cs="Times New Roman"/>
          <w:sz w:val="24"/>
          <w:szCs w:val="24"/>
          <w:lang w:eastAsia="en-GB"/>
        </w:rPr>
        <w:t>e resource usage, and enhance operational efficiency. This report aims to provide an understanding of the key requirements for evaluating sustainability in logistics and supply chain management, focusing on metrics such as carbon emissions, waste management, and lifecycle assessments.</w:t>
      </w:r>
    </w:p>
    <w:p w14:paraId="68152E5D" w14:textId="314BF087" w:rsidR="00570CDA" w:rsidRDefault="00570CDA" w:rsidP="00CE21DD">
      <w:pPr>
        <w:spacing w:before="100" w:beforeAutospacing="1" w:after="100" w:afterAutospacing="1" w:line="240" w:lineRule="auto"/>
        <w:jc w:val="both"/>
        <w:rPr>
          <w:rFonts w:ascii="Times New Roman" w:eastAsia="Times New Roman" w:hAnsi="Times New Roman" w:cs="Times New Roman"/>
          <w:sz w:val="24"/>
          <w:szCs w:val="24"/>
          <w:lang w:eastAsia="en-GB"/>
        </w:rPr>
      </w:pPr>
      <w:r w:rsidRPr="00570CDA">
        <w:rPr>
          <w:rFonts w:ascii="Times New Roman" w:eastAsia="Times New Roman" w:hAnsi="Times New Roman" w:cs="Times New Roman"/>
          <w:sz w:val="24"/>
          <w:szCs w:val="24"/>
          <w:lang w:eastAsia="en-GB"/>
        </w:rPr>
        <w:t xml:space="preserve">A crucial component of modern sustainability strategies is the adoption of circular economy principles, which seek to design out waste and extend the life cycle of materials through processes like recycling, remanufacturing, and reusing. The report applies these principles to Tata Steel, </w:t>
      </w:r>
      <w:r>
        <w:rPr>
          <w:rFonts w:ascii="Times New Roman" w:eastAsia="Times New Roman" w:hAnsi="Times New Roman" w:cs="Times New Roman"/>
          <w:sz w:val="24"/>
          <w:szCs w:val="24"/>
          <w:lang w:eastAsia="en-GB"/>
        </w:rPr>
        <w:t xml:space="preserve">the current plans for an electric arc furnace and </w:t>
      </w:r>
      <w:r w:rsidRPr="00570CDA">
        <w:rPr>
          <w:rFonts w:ascii="Times New Roman" w:eastAsia="Times New Roman" w:hAnsi="Times New Roman" w:cs="Times New Roman"/>
          <w:sz w:val="24"/>
          <w:szCs w:val="24"/>
          <w:lang w:eastAsia="en-GB"/>
        </w:rPr>
        <w:t>exploring how the company can transform its operations by embracing circularity. As a major global player in steel production, Tata Steel presents a valuable case study in how industrial firms can transition to a more sustainable, resource-efficient model.</w:t>
      </w:r>
    </w:p>
    <w:p w14:paraId="0905D7C4" w14:textId="23B911BF" w:rsidR="00AE302B" w:rsidRPr="00DE0425" w:rsidRDefault="00AE302B" w:rsidP="00CE21DD">
      <w:pPr>
        <w:spacing w:before="100" w:beforeAutospacing="1" w:after="100" w:afterAutospacing="1" w:line="240" w:lineRule="auto"/>
        <w:jc w:val="both"/>
        <w:outlineLvl w:val="2"/>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There are many studies on the perfect module of a circular economy. As show</w:t>
      </w:r>
      <w:r w:rsidR="00DF2899">
        <w:rPr>
          <w:rFonts w:ascii="Times New Roman" w:eastAsia="Times New Roman" w:hAnsi="Times New Roman" w:cs="Times New Roman"/>
          <w:sz w:val="24"/>
          <w:szCs w:val="24"/>
          <w:lang w:eastAsia="en-GB"/>
        </w:rPr>
        <w:t>n</w:t>
      </w:r>
      <w:r>
        <w:rPr>
          <w:rFonts w:ascii="Times New Roman" w:eastAsia="Times New Roman" w:hAnsi="Times New Roman" w:cs="Times New Roman"/>
          <w:sz w:val="24"/>
          <w:szCs w:val="24"/>
          <w:lang w:eastAsia="en-GB"/>
        </w:rPr>
        <w:t xml:space="preserve"> in Figure 1 in appendix. </w:t>
      </w:r>
    </w:p>
    <w:p w14:paraId="0FA09821" w14:textId="6E4FB5B4" w:rsidR="00570CDA" w:rsidRDefault="00570CDA" w:rsidP="00CE21DD">
      <w:pPr>
        <w:spacing w:before="100" w:beforeAutospacing="1" w:after="100" w:afterAutospacing="1" w:line="240" w:lineRule="auto"/>
        <w:jc w:val="both"/>
        <w:rPr>
          <w:rFonts w:ascii="Times New Roman" w:eastAsia="Times New Roman" w:hAnsi="Times New Roman" w:cs="Times New Roman"/>
          <w:sz w:val="24"/>
          <w:szCs w:val="24"/>
          <w:lang w:eastAsia="en-GB"/>
        </w:rPr>
      </w:pPr>
      <w:r w:rsidRPr="00570CDA">
        <w:rPr>
          <w:rFonts w:ascii="Times New Roman" w:eastAsia="Times New Roman" w:hAnsi="Times New Roman" w:cs="Times New Roman"/>
          <w:sz w:val="24"/>
          <w:szCs w:val="24"/>
          <w:lang w:eastAsia="en-GB"/>
        </w:rPr>
        <w:t>The following sections will delve into the detailed requirements for sustainability evaluation and outline practical applications of circular economy concepts within Tata Steel’s supply chain and production processes, offering insights into how the company can achieve its sustainability goals.</w:t>
      </w:r>
      <w:sdt>
        <w:sdtPr>
          <w:rPr>
            <w:rFonts w:ascii="Times New Roman" w:eastAsia="Times New Roman" w:hAnsi="Times New Roman" w:cs="Times New Roman"/>
            <w:sz w:val="24"/>
            <w:szCs w:val="24"/>
            <w:lang w:eastAsia="en-GB"/>
          </w:rPr>
          <w:id w:val="1566141614"/>
          <w:citation/>
        </w:sdtPr>
        <w:sdtEndPr/>
        <w:sdtContent>
          <w:r w:rsidR="0031011C">
            <w:rPr>
              <w:rFonts w:ascii="Times New Roman" w:eastAsia="Times New Roman" w:hAnsi="Times New Roman" w:cs="Times New Roman"/>
              <w:sz w:val="24"/>
              <w:szCs w:val="24"/>
              <w:lang w:eastAsia="en-GB"/>
            </w:rPr>
            <w:fldChar w:fldCharType="begin"/>
          </w:r>
          <w:r w:rsidR="0031011C">
            <w:rPr>
              <w:rFonts w:ascii="Times New Roman" w:eastAsia="Times New Roman" w:hAnsi="Times New Roman" w:cs="Times New Roman"/>
              <w:sz w:val="24"/>
              <w:szCs w:val="24"/>
              <w:lang w:eastAsia="en-GB"/>
            </w:rPr>
            <w:instrText xml:space="preserve"> CITATION JAS23 \l 2057 </w:instrText>
          </w:r>
          <w:r w:rsidR="0031011C">
            <w:rPr>
              <w:rFonts w:ascii="Times New Roman" w:eastAsia="Times New Roman" w:hAnsi="Times New Roman" w:cs="Times New Roman"/>
              <w:sz w:val="24"/>
              <w:szCs w:val="24"/>
              <w:lang w:eastAsia="en-GB"/>
            </w:rPr>
            <w:fldChar w:fldCharType="separate"/>
          </w:r>
          <w:r w:rsidR="0031011C">
            <w:rPr>
              <w:rFonts w:ascii="Times New Roman" w:eastAsia="Times New Roman" w:hAnsi="Times New Roman" w:cs="Times New Roman"/>
              <w:noProof/>
              <w:sz w:val="24"/>
              <w:szCs w:val="24"/>
              <w:lang w:eastAsia="en-GB"/>
            </w:rPr>
            <w:t xml:space="preserve"> </w:t>
          </w:r>
          <w:r w:rsidR="0031011C" w:rsidRPr="0031011C">
            <w:rPr>
              <w:rFonts w:ascii="Times New Roman" w:eastAsia="Times New Roman" w:hAnsi="Times New Roman" w:cs="Times New Roman"/>
              <w:noProof/>
              <w:sz w:val="24"/>
              <w:szCs w:val="24"/>
              <w:lang w:eastAsia="en-GB"/>
            </w:rPr>
            <w:t>(Ewijk, 2023)</w:t>
          </w:r>
          <w:r w:rsidR="0031011C">
            <w:rPr>
              <w:rFonts w:ascii="Times New Roman" w:eastAsia="Times New Roman" w:hAnsi="Times New Roman" w:cs="Times New Roman"/>
              <w:sz w:val="24"/>
              <w:szCs w:val="24"/>
              <w:lang w:eastAsia="en-GB"/>
            </w:rPr>
            <w:fldChar w:fldCharType="end"/>
          </w:r>
        </w:sdtContent>
      </w:sdt>
    </w:p>
    <w:p w14:paraId="217282D6" w14:textId="77777777" w:rsidR="00437DE4" w:rsidRDefault="00437DE4" w:rsidP="00570CDA">
      <w:pPr>
        <w:spacing w:before="100" w:beforeAutospacing="1" w:after="100" w:afterAutospacing="1" w:line="240" w:lineRule="auto"/>
        <w:rPr>
          <w:rFonts w:ascii="Times New Roman" w:eastAsia="Times New Roman" w:hAnsi="Times New Roman" w:cs="Times New Roman"/>
          <w:sz w:val="24"/>
          <w:szCs w:val="24"/>
          <w:lang w:eastAsia="en-GB"/>
        </w:rPr>
      </w:pPr>
    </w:p>
    <w:p w14:paraId="47EBD126" w14:textId="306E05C8" w:rsidR="009021F7" w:rsidRPr="00CE21DD" w:rsidRDefault="00437DE4" w:rsidP="00570CDA">
      <w:pPr>
        <w:spacing w:before="100" w:beforeAutospacing="1" w:after="100" w:afterAutospacing="1" w:line="240" w:lineRule="auto"/>
        <w:rPr>
          <w:rFonts w:ascii="Times New Roman" w:eastAsia="Times New Roman" w:hAnsi="Times New Roman" w:cs="Times New Roman"/>
          <w:b/>
          <w:bCs/>
          <w:sz w:val="24"/>
          <w:szCs w:val="24"/>
          <w:lang w:eastAsia="en-GB"/>
        </w:rPr>
      </w:pPr>
      <w:r w:rsidRPr="00CE21DD">
        <w:rPr>
          <w:rFonts w:ascii="Times New Roman" w:eastAsia="Times New Roman" w:hAnsi="Times New Roman" w:cs="Times New Roman"/>
          <w:b/>
          <w:bCs/>
          <w:sz w:val="24"/>
          <w:szCs w:val="24"/>
          <w:lang w:eastAsia="en-GB"/>
        </w:rPr>
        <w:t xml:space="preserve">2.0 The Circular Economy </w:t>
      </w:r>
      <w:r w:rsidR="009021F7" w:rsidRPr="00CE21DD">
        <w:rPr>
          <w:rFonts w:ascii="Times New Roman" w:eastAsia="Times New Roman" w:hAnsi="Times New Roman" w:cs="Times New Roman"/>
          <w:b/>
          <w:bCs/>
          <w:sz w:val="24"/>
          <w:szCs w:val="24"/>
          <w:lang w:eastAsia="en-GB"/>
        </w:rPr>
        <w:t>Framework</w:t>
      </w:r>
    </w:p>
    <w:p w14:paraId="725B88C7" w14:textId="778BF8D5" w:rsidR="001C1C20" w:rsidRDefault="001C1C20" w:rsidP="00570CDA">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Circular Economy Principles</w:t>
      </w:r>
    </w:p>
    <w:p w14:paraId="5037CD72" w14:textId="176DDC95" w:rsidR="009021F7" w:rsidRDefault="002355BC" w:rsidP="00570CDA">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circular economy is currently one of the most discussed terms among </w:t>
      </w:r>
      <w:r w:rsidR="00677133">
        <w:rPr>
          <w:rFonts w:ascii="Times New Roman" w:eastAsia="Times New Roman" w:hAnsi="Times New Roman" w:cs="Times New Roman"/>
          <w:sz w:val="24"/>
          <w:szCs w:val="24"/>
          <w:lang w:eastAsia="en-GB"/>
        </w:rPr>
        <w:t xml:space="preserve">environmental economic scientists and a focus of the European Union Horizon 2020. Its core defining </w:t>
      </w:r>
      <w:r w:rsidR="00682BB2">
        <w:rPr>
          <w:rFonts w:ascii="Times New Roman" w:eastAsia="Times New Roman" w:hAnsi="Times New Roman" w:cs="Times New Roman"/>
          <w:sz w:val="24"/>
          <w:szCs w:val="24"/>
          <w:lang w:eastAsia="en-GB"/>
        </w:rPr>
        <w:t>elements</w:t>
      </w:r>
      <w:r w:rsidR="00677133">
        <w:rPr>
          <w:rFonts w:ascii="Times New Roman" w:eastAsia="Times New Roman" w:hAnsi="Times New Roman" w:cs="Times New Roman"/>
          <w:sz w:val="24"/>
          <w:szCs w:val="24"/>
          <w:lang w:eastAsia="en-GB"/>
        </w:rPr>
        <w:t xml:space="preserve"> is the res</w:t>
      </w:r>
      <w:r w:rsidR="00682BB2">
        <w:rPr>
          <w:rFonts w:ascii="Times New Roman" w:eastAsia="Times New Roman" w:hAnsi="Times New Roman" w:cs="Times New Roman"/>
          <w:sz w:val="24"/>
          <w:szCs w:val="24"/>
          <w:lang w:eastAsia="en-GB"/>
        </w:rPr>
        <w:t>torative use of resources”</w:t>
      </w:r>
      <w:r>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446519372"/>
          <w:citation/>
        </w:sdtPr>
        <w:sdtEndPr/>
        <w:sdtContent>
          <w:r w:rsidR="00682BB2">
            <w:rPr>
              <w:rFonts w:ascii="Times New Roman" w:eastAsia="Times New Roman" w:hAnsi="Times New Roman" w:cs="Times New Roman"/>
              <w:sz w:val="24"/>
              <w:szCs w:val="24"/>
              <w:lang w:eastAsia="en-GB"/>
            </w:rPr>
            <w:fldChar w:fldCharType="begin"/>
          </w:r>
          <w:r w:rsidR="00682BB2">
            <w:rPr>
              <w:rFonts w:ascii="Times New Roman" w:eastAsia="Times New Roman" w:hAnsi="Times New Roman" w:cs="Times New Roman"/>
              <w:sz w:val="24"/>
              <w:szCs w:val="24"/>
              <w:lang w:eastAsia="en-GB"/>
            </w:rPr>
            <w:instrText xml:space="preserve"> CITATION Syl22 \l 2057 </w:instrText>
          </w:r>
          <w:r w:rsidR="00682BB2">
            <w:rPr>
              <w:rFonts w:ascii="Times New Roman" w:eastAsia="Times New Roman" w:hAnsi="Times New Roman" w:cs="Times New Roman"/>
              <w:sz w:val="24"/>
              <w:szCs w:val="24"/>
              <w:lang w:eastAsia="en-GB"/>
            </w:rPr>
            <w:fldChar w:fldCharType="separate"/>
          </w:r>
          <w:r w:rsidR="00682BB2" w:rsidRPr="00682BB2">
            <w:rPr>
              <w:rFonts w:ascii="Times New Roman" w:eastAsia="Times New Roman" w:hAnsi="Times New Roman" w:cs="Times New Roman"/>
              <w:noProof/>
              <w:sz w:val="24"/>
              <w:szCs w:val="24"/>
              <w:lang w:eastAsia="en-GB"/>
            </w:rPr>
            <w:t>(Pietrulla, 2022)</w:t>
          </w:r>
          <w:r w:rsidR="00682BB2">
            <w:rPr>
              <w:rFonts w:ascii="Times New Roman" w:eastAsia="Times New Roman" w:hAnsi="Times New Roman" w:cs="Times New Roman"/>
              <w:sz w:val="24"/>
              <w:szCs w:val="24"/>
              <w:lang w:eastAsia="en-GB"/>
            </w:rPr>
            <w:fldChar w:fldCharType="end"/>
          </w:r>
        </w:sdtContent>
      </w:sdt>
      <w:r w:rsidR="00FA459F">
        <w:rPr>
          <w:rFonts w:ascii="Times New Roman" w:eastAsia="Times New Roman" w:hAnsi="Times New Roman" w:cs="Times New Roman"/>
          <w:sz w:val="24"/>
          <w:szCs w:val="24"/>
          <w:lang w:eastAsia="en-GB"/>
        </w:rPr>
        <w:t xml:space="preserve"> In general terms a circular economy </w:t>
      </w:r>
      <w:r w:rsidR="002248D8">
        <w:rPr>
          <w:rFonts w:ascii="Times New Roman" w:eastAsia="Times New Roman" w:hAnsi="Times New Roman" w:cs="Times New Roman"/>
          <w:sz w:val="24"/>
          <w:szCs w:val="24"/>
          <w:lang w:eastAsia="en-GB"/>
        </w:rPr>
        <w:t xml:space="preserve">promotes resource minimisation and the adoption of cleaner technologies. </w:t>
      </w:r>
      <w:sdt>
        <w:sdtPr>
          <w:rPr>
            <w:rFonts w:ascii="Times New Roman" w:eastAsia="Times New Roman" w:hAnsi="Times New Roman" w:cs="Times New Roman"/>
            <w:sz w:val="24"/>
            <w:szCs w:val="24"/>
            <w:lang w:eastAsia="en-GB"/>
          </w:rPr>
          <w:id w:val="-53779071"/>
          <w:citation/>
        </w:sdtPr>
        <w:sdtEndPr/>
        <w:sdtContent>
          <w:r w:rsidR="002248D8">
            <w:rPr>
              <w:rFonts w:ascii="Times New Roman" w:eastAsia="Times New Roman" w:hAnsi="Times New Roman" w:cs="Times New Roman"/>
              <w:sz w:val="24"/>
              <w:szCs w:val="24"/>
              <w:lang w:eastAsia="en-GB"/>
            </w:rPr>
            <w:fldChar w:fldCharType="begin"/>
          </w:r>
          <w:r w:rsidR="002248D8">
            <w:rPr>
              <w:rFonts w:ascii="Times New Roman" w:eastAsia="Times New Roman" w:hAnsi="Times New Roman" w:cs="Times New Roman"/>
              <w:sz w:val="24"/>
              <w:szCs w:val="24"/>
              <w:lang w:eastAsia="en-GB"/>
            </w:rPr>
            <w:instrText xml:space="preserve"> CITATION And07 \l 2057 </w:instrText>
          </w:r>
          <w:r w:rsidR="002248D8">
            <w:rPr>
              <w:rFonts w:ascii="Times New Roman" w:eastAsia="Times New Roman" w:hAnsi="Times New Roman" w:cs="Times New Roman"/>
              <w:sz w:val="24"/>
              <w:szCs w:val="24"/>
              <w:lang w:eastAsia="en-GB"/>
            </w:rPr>
            <w:fldChar w:fldCharType="separate"/>
          </w:r>
          <w:r w:rsidR="002248D8" w:rsidRPr="002248D8">
            <w:rPr>
              <w:rFonts w:ascii="Times New Roman" w:eastAsia="Times New Roman" w:hAnsi="Times New Roman" w:cs="Times New Roman"/>
              <w:noProof/>
              <w:sz w:val="24"/>
              <w:szCs w:val="24"/>
              <w:lang w:eastAsia="en-GB"/>
            </w:rPr>
            <w:t>(Anderson, 2007)</w:t>
          </w:r>
          <w:r w:rsidR="002248D8">
            <w:rPr>
              <w:rFonts w:ascii="Times New Roman" w:eastAsia="Times New Roman" w:hAnsi="Times New Roman" w:cs="Times New Roman"/>
              <w:sz w:val="24"/>
              <w:szCs w:val="24"/>
              <w:lang w:eastAsia="en-GB"/>
            </w:rPr>
            <w:fldChar w:fldCharType="end"/>
          </w:r>
        </w:sdtContent>
      </w:sdt>
      <w:r w:rsidR="001360A9">
        <w:rPr>
          <w:rFonts w:ascii="Times New Roman" w:eastAsia="Times New Roman" w:hAnsi="Times New Roman" w:cs="Times New Roman"/>
          <w:sz w:val="24"/>
          <w:szCs w:val="24"/>
          <w:lang w:eastAsia="en-GB"/>
        </w:rPr>
        <w:t xml:space="preserve"> The </w:t>
      </w:r>
      <w:r w:rsidR="00802066">
        <w:rPr>
          <w:rFonts w:ascii="Times New Roman" w:eastAsia="Times New Roman" w:hAnsi="Times New Roman" w:cs="Times New Roman"/>
          <w:sz w:val="24"/>
          <w:szCs w:val="24"/>
          <w:lang w:eastAsia="en-GB"/>
        </w:rPr>
        <w:t xml:space="preserve">ideology of a circular economic framework is materials used within </w:t>
      </w:r>
      <w:r w:rsidR="00C17ADE">
        <w:rPr>
          <w:rFonts w:ascii="Times New Roman" w:eastAsia="Times New Roman" w:hAnsi="Times New Roman" w:cs="Times New Roman"/>
          <w:sz w:val="24"/>
          <w:szCs w:val="24"/>
          <w:lang w:eastAsia="en-GB"/>
        </w:rPr>
        <w:t>the framework</w:t>
      </w:r>
      <w:r w:rsidR="00802066">
        <w:rPr>
          <w:rFonts w:ascii="Times New Roman" w:eastAsia="Times New Roman" w:hAnsi="Times New Roman" w:cs="Times New Roman"/>
          <w:sz w:val="24"/>
          <w:szCs w:val="24"/>
          <w:lang w:eastAsia="en-GB"/>
        </w:rPr>
        <w:t xml:space="preserve"> never become waste and </w:t>
      </w:r>
      <w:r w:rsidR="00C17ADE">
        <w:rPr>
          <w:rFonts w:ascii="Times New Roman" w:eastAsia="Times New Roman" w:hAnsi="Times New Roman" w:cs="Times New Roman"/>
          <w:sz w:val="24"/>
          <w:szCs w:val="24"/>
          <w:lang w:eastAsia="en-GB"/>
        </w:rPr>
        <w:t xml:space="preserve">nature is regenerated. </w:t>
      </w:r>
      <w:r w:rsidR="00165A39">
        <w:rPr>
          <w:rFonts w:ascii="Times New Roman" w:eastAsia="Times New Roman" w:hAnsi="Times New Roman" w:cs="Times New Roman"/>
          <w:sz w:val="24"/>
          <w:szCs w:val="24"/>
          <w:lang w:eastAsia="en-GB"/>
        </w:rPr>
        <w:t xml:space="preserve">It’s relevance within the steel industry </w:t>
      </w:r>
      <w:r w:rsidR="00E97016">
        <w:rPr>
          <w:rFonts w:ascii="Times New Roman" w:eastAsia="Times New Roman" w:hAnsi="Times New Roman" w:cs="Times New Roman"/>
          <w:sz w:val="24"/>
          <w:szCs w:val="24"/>
          <w:lang w:eastAsia="en-GB"/>
        </w:rPr>
        <w:t xml:space="preserve">is due to the reliance on resources and the significant carbon footprint these produce. The steel industry accounts for 7% </w:t>
      </w:r>
      <w:r w:rsidR="006D1900">
        <w:rPr>
          <w:rFonts w:ascii="Times New Roman" w:eastAsia="Times New Roman" w:hAnsi="Times New Roman" w:cs="Times New Roman"/>
          <w:sz w:val="24"/>
          <w:szCs w:val="24"/>
          <w:lang w:eastAsia="en-GB"/>
        </w:rPr>
        <w:t>of global greenhouse emissions.</w:t>
      </w:r>
      <w:sdt>
        <w:sdtPr>
          <w:rPr>
            <w:rFonts w:ascii="Times New Roman" w:eastAsia="Times New Roman" w:hAnsi="Times New Roman" w:cs="Times New Roman"/>
            <w:sz w:val="24"/>
            <w:szCs w:val="24"/>
            <w:lang w:eastAsia="en-GB"/>
          </w:rPr>
          <w:id w:val="1815980048"/>
          <w:citation/>
        </w:sdtPr>
        <w:sdtEndPr/>
        <w:sdtContent>
          <w:r w:rsidR="00756D31">
            <w:rPr>
              <w:rFonts w:ascii="Times New Roman" w:eastAsia="Times New Roman" w:hAnsi="Times New Roman" w:cs="Times New Roman"/>
              <w:sz w:val="24"/>
              <w:szCs w:val="24"/>
              <w:lang w:eastAsia="en-GB"/>
            </w:rPr>
            <w:fldChar w:fldCharType="begin"/>
          </w:r>
          <w:r w:rsidR="00756D31">
            <w:rPr>
              <w:rFonts w:ascii="Times New Roman" w:eastAsia="Times New Roman" w:hAnsi="Times New Roman" w:cs="Times New Roman"/>
              <w:sz w:val="24"/>
              <w:szCs w:val="24"/>
              <w:lang w:eastAsia="en-GB"/>
            </w:rPr>
            <w:instrText xml:space="preserve"> CITATION Wor21 \l 2057 </w:instrText>
          </w:r>
          <w:r w:rsidR="00756D31">
            <w:rPr>
              <w:rFonts w:ascii="Times New Roman" w:eastAsia="Times New Roman" w:hAnsi="Times New Roman" w:cs="Times New Roman"/>
              <w:sz w:val="24"/>
              <w:szCs w:val="24"/>
              <w:lang w:eastAsia="en-GB"/>
            </w:rPr>
            <w:fldChar w:fldCharType="separate"/>
          </w:r>
          <w:r w:rsidR="00756D31">
            <w:rPr>
              <w:rFonts w:ascii="Times New Roman" w:eastAsia="Times New Roman" w:hAnsi="Times New Roman" w:cs="Times New Roman"/>
              <w:noProof/>
              <w:sz w:val="24"/>
              <w:szCs w:val="24"/>
              <w:lang w:eastAsia="en-GB"/>
            </w:rPr>
            <w:t xml:space="preserve"> </w:t>
          </w:r>
          <w:r w:rsidR="00756D31" w:rsidRPr="00756D31">
            <w:rPr>
              <w:rFonts w:ascii="Times New Roman" w:eastAsia="Times New Roman" w:hAnsi="Times New Roman" w:cs="Times New Roman"/>
              <w:noProof/>
              <w:sz w:val="24"/>
              <w:szCs w:val="24"/>
              <w:lang w:eastAsia="en-GB"/>
            </w:rPr>
            <w:t>(World Steel Association, 2021)</w:t>
          </w:r>
          <w:r w:rsidR="00756D31">
            <w:rPr>
              <w:rFonts w:ascii="Times New Roman" w:eastAsia="Times New Roman" w:hAnsi="Times New Roman" w:cs="Times New Roman"/>
              <w:sz w:val="24"/>
              <w:szCs w:val="24"/>
              <w:lang w:eastAsia="en-GB"/>
            </w:rPr>
            <w:fldChar w:fldCharType="end"/>
          </w:r>
        </w:sdtContent>
      </w:sdt>
      <w:r w:rsidR="006D1900">
        <w:rPr>
          <w:rFonts w:ascii="Times New Roman" w:eastAsia="Times New Roman" w:hAnsi="Times New Roman" w:cs="Times New Roman"/>
          <w:sz w:val="24"/>
          <w:szCs w:val="24"/>
          <w:lang w:eastAsia="en-GB"/>
        </w:rPr>
        <w:t xml:space="preserve"> When looking at TATA Steel and the Steel industry itself the circular economy principles used are:</w:t>
      </w:r>
    </w:p>
    <w:p w14:paraId="5CF67722" w14:textId="62D1BA99" w:rsidR="006D1900" w:rsidRDefault="00D6776A" w:rsidP="00D6776A">
      <w:pPr>
        <w:pStyle w:val="ListParagraph"/>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Maximising Material Efficiency: lean manufacturing principles, reduction of waste during production, focusing on age of stock and how to make production more efficient. </w:t>
      </w:r>
      <w:r w:rsidR="00661174">
        <w:rPr>
          <w:rFonts w:ascii="Times New Roman" w:eastAsia="Times New Roman" w:hAnsi="Times New Roman" w:cs="Times New Roman"/>
          <w:sz w:val="24"/>
          <w:szCs w:val="24"/>
          <w:lang w:eastAsia="en-GB"/>
        </w:rPr>
        <w:t xml:space="preserve">Looking at designing products for recyclability. For example TATA Steel Packaging and the innovation rewards received for producing food packaging that is recyclable. </w:t>
      </w:r>
    </w:p>
    <w:p w14:paraId="7B528281" w14:textId="51D3AD35" w:rsidR="00661174" w:rsidRDefault="00CC57F7" w:rsidP="00D6776A">
      <w:pPr>
        <w:pStyle w:val="ListParagraph"/>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Promoting Recycling and Reuse: Using steel scrap in production. </w:t>
      </w:r>
      <w:r w:rsidR="006069A6">
        <w:rPr>
          <w:rFonts w:ascii="Times New Roman" w:eastAsia="Times New Roman" w:hAnsi="Times New Roman" w:cs="Times New Roman"/>
          <w:sz w:val="24"/>
          <w:szCs w:val="24"/>
          <w:lang w:eastAsia="en-GB"/>
        </w:rPr>
        <w:t>Under its current business objectives TATA Steel is investing heavily in building an Electric Arc Furnace that will u</w:t>
      </w:r>
      <w:r w:rsidR="00DF2899">
        <w:rPr>
          <w:rFonts w:ascii="Times New Roman" w:eastAsia="Times New Roman" w:hAnsi="Times New Roman" w:cs="Times New Roman"/>
          <w:sz w:val="24"/>
          <w:szCs w:val="24"/>
          <w:lang w:eastAsia="en-GB"/>
        </w:rPr>
        <w:t>s</w:t>
      </w:r>
      <w:r w:rsidR="006069A6">
        <w:rPr>
          <w:rFonts w:ascii="Times New Roman" w:eastAsia="Times New Roman" w:hAnsi="Times New Roman" w:cs="Times New Roman"/>
          <w:sz w:val="24"/>
          <w:szCs w:val="24"/>
          <w:lang w:eastAsia="en-GB"/>
        </w:rPr>
        <w:t xml:space="preserve">e renewable energy to power the furnace and use scrap steel to produce new products. </w:t>
      </w:r>
      <w:r w:rsidR="00A51288">
        <w:rPr>
          <w:rFonts w:ascii="Times New Roman" w:eastAsia="Times New Roman" w:hAnsi="Times New Roman" w:cs="Times New Roman"/>
          <w:sz w:val="24"/>
          <w:szCs w:val="24"/>
          <w:lang w:eastAsia="en-GB"/>
        </w:rPr>
        <w:t xml:space="preserve">This will look at the close loop supply chain theory that all supply will come from the UK reducing </w:t>
      </w:r>
      <w:r w:rsidR="00C05ACB">
        <w:rPr>
          <w:rFonts w:ascii="Times New Roman" w:eastAsia="Times New Roman" w:hAnsi="Times New Roman" w:cs="Times New Roman"/>
          <w:sz w:val="24"/>
          <w:szCs w:val="24"/>
          <w:lang w:eastAsia="en-GB"/>
        </w:rPr>
        <w:t>logistic emissions as well as recycling waste from manufacturing of end steel products by looping these by products in as the raw materials used in EAF.</w:t>
      </w:r>
    </w:p>
    <w:p w14:paraId="5FF161F7" w14:textId="77777777" w:rsidR="006069A6" w:rsidRDefault="006069A6" w:rsidP="006069A6">
      <w:pPr>
        <w:pStyle w:val="ListParagraph"/>
        <w:spacing w:before="100" w:beforeAutospacing="1" w:after="100" w:afterAutospacing="1" w:line="240" w:lineRule="auto"/>
        <w:rPr>
          <w:rFonts w:ascii="Times New Roman" w:eastAsia="Times New Roman" w:hAnsi="Times New Roman" w:cs="Times New Roman"/>
          <w:sz w:val="24"/>
          <w:szCs w:val="24"/>
          <w:lang w:eastAsia="en-GB"/>
        </w:rPr>
      </w:pPr>
    </w:p>
    <w:p w14:paraId="2FC53D0D" w14:textId="79BAEB12" w:rsidR="00404084" w:rsidRPr="00EB4B7C" w:rsidRDefault="00AC2A61" w:rsidP="00AC2A61">
      <w:pPr>
        <w:spacing w:before="100" w:beforeAutospacing="1" w:after="100" w:afterAutospacing="1" w:line="240" w:lineRule="auto"/>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 xml:space="preserve">3.0 </w:t>
      </w:r>
      <w:r w:rsidR="00404084" w:rsidRPr="00EB4B7C">
        <w:rPr>
          <w:rFonts w:ascii="Times New Roman" w:eastAsia="Times New Roman" w:hAnsi="Times New Roman" w:cs="Times New Roman"/>
          <w:b/>
          <w:bCs/>
          <w:sz w:val="24"/>
          <w:szCs w:val="24"/>
          <w:lang w:eastAsia="en-GB"/>
        </w:rPr>
        <w:t>TATA’s Initiatives</w:t>
      </w:r>
    </w:p>
    <w:p w14:paraId="1CC55D79" w14:textId="3E170D8C" w:rsidR="00404084" w:rsidRDefault="008F4B56" w:rsidP="00AC2A61">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Tata Steel UK has </w:t>
      </w:r>
      <w:r w:rsidR="00885B06">
        <w:rPr>
          <w:rFonts w:ascii="Times New Roman" w:eastAsia="Times New Roman" w:hAnsi="Times New Roman" w:cs="Times New Roman"/>
          <w:sz w:val="24"/>
          <w:szCs w:val="24"/>
          <w:lang w:eastAsia="en-GB"/>
        </w:rPr>
        <w:t>implemented</w:t>
      </w:r>
      <w:r>
        <w:rPr>
          <w:rFonts w:ascii="Times New Roman" w:eastAsia="Times New Roman" w:hAnsi="Times New Roman" w:cs="Times New Roman"/>
          <w:sz w:val="24"/>
          <w:szCs w:val="24"/>
          <w:lang w:eastAsia="en-GB"/>
        </w:rPr>
        <w:t xml:space="preserve"> many initiatives relating to circular economy </w:t>
      </w:r>
      <w:r w:rsidR="00885B06">
        <w:rPr>
          <w:rFonts w:ascii="Times New Roman" w:eastAsia="Times New Roman" w:hAnsi="Times New Roman" w:cs="Times New Roman"/>
          <w:sz w:val="24"/>
          <w:szCs w:val="24"/>
          <w:lang w:eastAsia="en-GB"/>
        </w:rPr>
        <w:t>principles</w:t>
      </w:r>
      <w:r>
        <w:rPr>
          <w:rFonts w:ascii="Times New Roman" w:eastAsia="Times New Roman" w:hAnsi="Times New Roman" w:cs="Times New Roman"/>
          <w:sz w:val="24"/>
          <w:szCs w:val="24"/>
          <w:lang w:eastAsia="en-GB"/>
        </w:rPr>
        <w:t xml:space="preserve"> </w:t>
      </w:r>
      <w:r w:rsidR="00E2083A">
        <w:rPr>
          <w:rFonts w:ascii="Times New Roman" w:eastAsia="Times New Roman" w:hAnsi="Times New Roman" w:cs="Times New Roman"/>
          <w:sz w:val="24"/>
          <w:szCs w:val="24"/>
          <w:lang w:eastAsia="en-GB"/>
        </w:rPr>
        <w:t xml:space="preserve">to align with the UK Government’s Industrial decarbonisation Strategy. </w:t>
      </w:r>
      <w:sdt>
        <w:sdtPr>
          <w:rPr>
            <w:rFonts w:ascii="Times New Roman" w:eastAsia="Times New Roman" w:hAnsi="Times New Roman" w:cs="Times New Roman"/>
            <w:sz w:val="24"/>
            <w:szCs w:val="24"/>
            <w:lang w:eastAsia="en-GB"/>
          </w:rPr>
          <w:id w:val="347837586"/>
          <w:citation/>
        </w:sdtPr>
        <w:sdtEndPr/>
        <w:sdtContent>
          <w:r w:rsidR="00885B06">
            <w:rPr>
              <w:rFonts w:ascii="Times New Roman" w:eastAsia="Times New Roman" w:hAnsi="Times New Roman" w:cs="Times New Roman"/>
              <w:sz w:val="24"/>
              <w:szCs w:val="24"/>
              <w:lang w:eastAsia="en-GB"/>
            </w:rPr>
            <w:fldChar w:fldCharType="begin"/>
          </w:r>
          <w:r w:rsidR="00885B06">
            <w:rPr>
              <w:rFonts w:ascii="Times New Roman" w:eastAsia="Times New Roman" w:hAnsi="Times New Roman" w:cs="Times New Roman"/>
              <w:sz w:val="24"/>
              <w:szCs w:val="24"/>
              <w:lang w:eastAsia="en-GB"/>
            </w:rPr>
            <w:instrText xml:space="preserve"> CITATION HMG21 \l 2057 </w:instrText>
          </w:r>
          <w:r w:rsidR="00885B06">
            <w:rPr>
              <w:rFonts w:ascii="Times New Roman" w:eastAsia="Times New Roman" w:hAnsi="Times New Roman" w:cs="Times New Roman"/>
              <w:sz w:val="24"/>
              <w:szCs w:val="24"/>
              <w:lang w:eastAsia="en-GB"/>
            </w:rPr>
            <w:fldChar w:fldCharType="separate"/>
          </w:r>
          <w:r w:rsidR="00885B06" w:rsidRPr="00885B06">
            <w:rPr>
              <w:rFonts w:ascii="Times New Roman" w:eastAsia="Times New Roman" w:hAnsi="Times New Roman" w:cs="Times New Roman"/>
              <w:noProof/>
              <w:sz w:val="24"/>
              <w:szCs w:val="24"/>
              <w:lang w:eastAsia="en-GB"/>
            </w:rPr>
            <w:t>(HM Government, 2021)</w:t>
          </w:r>
          <w:r w:rsidR="00885B06">
            <w:rPr>
              <w:rFonts w:ascii="Times New Roman" w:eastAsia="Times New Roman" w:hAnsi="Times New Roman" w:cs="Times New Roman"/>
              <w:sz w:val="24"/>
              <w:szCs w:val="24"/>
              <w:lang w:eastAsia="en-GB"/>
            </w:rPr>
            <w:fldChar w:fldCharType="end"/>
          </w:r>
        </w:sdtContent>
      </w:sdt>
    </w:p>
    <w:p w14:paraId="069A2765" w14:textId="602201EF" w:rsidR="00F054CD" w:rsidRDefault="00F054CD" w:rsidP="00AC2A61">
      <w:pPr>
        <w:pStyle w:val="ListParagraph"/>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Increased use of Steel scrap: The transition to an EAF (Electric Arc Furnace) will see TATA Steel</w:t>
      </w:r>
      <w:r w:rsidR="0029783F">
        <w:rPr>
          <w:rFonts w:ascii="Times New Roman" w:eastAsia="Times New Roman" w:hAnsi="Times New Roman" w:cs="Times New Roman"/>
          <w:sz w:val="24"/>
          <w:szCs w:val="24"/>
          <w:lang w:eastAsia="en-GB"/>
        </w:rPr>
        <w:t xml:space="preserve"> utilising scrap raw materials to make new products. This will have  huge impact of the amount of </w:t>
      </w:r>
      <w:r w:rsidR="00DF2899">
        <w:rPr>
          <w:rFonts w:ascii="Times New Roman" w:eastAsia="Times New Roman" w:hAnsi="Times New Roman" w:cs="Times New Roman"/>
          <w:sz w:val="24"/>
          <w:szCs w:val="24"/>
          <w:lang w:eastAsia="en-GB"/>
        </w:rPr>
        <w:t>greenhouse</w:t>
      </w:r>
      <w:r w:rsidR="0029783F">
        <w:rPr>
          <w:rFonts w:ascii="Times New Roman" w:eastAsia="Times New Roman" w:hAnsi="Times New Roman" w:cs="Times New Roman"/>
          <w:sz w:val="24"/>
          <w:szCs w:val="24"/>
          <w:lang w:eastAsia="en-GB"/>
        </w:rPr>
        <w:t xml:space="preserve"> gases produced by closing the blast furnaces and building an EAF</w:t>
      </w:r>
      <w:r w:rsidR="003C73CC">
        <w:rPr>
          <w:rFonts w:ascii="Times New Roman" w:eastAsia="Times New Roman" w:hAnsi="Times New Roman" w:cs="Times New Roman"/>
          <w:sz w:val="24"/>
          <w:szCs w:val="24"/>
          <w:lang w:eastAsia="en-GB"/>
        </w:rPr>
        <w:t xml:space="preserve"> with an investment of</w:t>
      </w:r>
      <w:r w:rsidR="00A665AB">
        <w:rPr>
          <w:rFonts w:ascii="Times New Roman" w:eastAsia="Times New Roman" w:hAnsi="Times New Roman" w:cs="Times New Roman"/>
          <w:sz w:val="24"/>
          <w:szCs w:val="24"/>
          <w:lang w:eastAsia="en-GB"/>
        </w:rPr>
        <w:t xml:space="preserve"> £1.6 billion bounds to secure its future in the circular economy. </w:t>
      </w:r>
      <w:r w:rsidR="00704612">
        <w:rPr>
          <w:rFonts w:ascii="Times New Roman" w:eastAsia="Times New Roman" w:hAnsi="Times New Roman" w:cs="Times New Roman"/>
          <w:sz w:val="24"/>
          <w:szCs w:val="24"/>
          <w:lang w:eastAsia="en-GB"/>
        </w:rPr>
        <w:t xml:space="preserve">It is estimated </w:t>
      </w:r>
      <w:r w:rsidR="00D26354">
        <w:rPr>
          <w:rFonts w:ascii="Times New Roman" w:eastAsia="Times New Roman" w:hAnsi="Times New Roman" w:cs="Times New Roman"/>
          <w:sz w:val="24"/>
          <w:szCs w:val="24"/>
          <w:lang w:eastAsia="en-GB"/>
        </w:rPr>
        <w:t xml:space="preserve"> by commission an EAF over the blast furnaces will </w:t>
      </w:r>
      <w:r w:rsidR="008A26EA">
        <w:rPr>
          <w:rFonts w:ascii="Times New Roman" w:eastAsia="Times New Roman" w:hAnsi="Times New Roman" w:cs="Times New Roman"/>
          <w:sz w:val="24"/>
          <w:szCs w:val="24"/>
          <w:lang w:eastAsia="en-GB"/>
        </w:rPr>
        <w:t>reduce</w:t>
      </w:r>
      <w:r w:rsidR="00D26354">
        <w:rPr>
          <w:rFonts w:ascii="Times New Roman" w:eastAsia="Times New Roman" w:hAnsi="Times New Roman" w:cs="Times New Roman"/>
          <w:sz w:val="24"/>
          <w:szCs w:val="24"/>
          <w:lang w:eastAsia="en-GB"/>
        </w:rPr>
        <w:t xml:space="preserve"> TATA carbon emissions by 90%. </w:t>
      </w:r>
      <w:sdt>
        <w:sdtPr>
          <w:rPr>
            <w:rFonts w:ascii="Times New Roman" w:eastAsia="Times New Roman" w:hAnsi="Times New Roman" w:cs="Times New Roman"/>
            <w:sz w:val="24"/>
            <w:szCs w:val="24"/>
            <w:lang w:eastAsia="en-GB"/>
          </w:rPr>
          <w:id w:val="-155075421"/>
          <w:citation/>
        </w:sdtPr>
        <w:sdtEndPr/>
        <w:sdtContent>
          <w:r w:rsidR="00D26354">
            <w:rPr>
              <w:rFonts w:ascii="Times New Roman" w:eastAsia="Times New Roman" w:hAnsi="Times New Roman" w:cs="Times New Roman"/>
              <w:sz w:val="24"/>
              <w:szCs w:val="24"/>
              <w:lang w:eastAsia="en-GB"/>
            </w:rPr>
            <w:fldChar w:fldCharType="begin"/>
          </w:r>
          <w:r w:rsidR="00D26354">
            <w:rPr>
              <w:rFonts w:ascii="Times New Roman" w:eastAsia="Times New Roman" w:hAnsi="Times New Roman" w:cs="Times New Roman"/>
              <w:sz w:val="24"/>
              <w:szCs w:val="24"/>
              <w:lang w:eastAsia="en-GB"/>
            </w:rPr>
            <w:instrText xml:space="preserve">CITATION TAT \l 2057 </w:instrText>
          </w:r>
          <w:r w:rsidR="00D26354">
            <w:rPr>
              <w:rFonts w:ascii="Times New Roman" w:eastAsia="Times New Roman" w:hAnsi="Times New Roman" w:cs="Times New Roman"/>
              <w:sz w:val="24"/>
              <w:szCs w:val="24"/>
              <w:lang w:eastAsia="en-GB"/>
            </w:rPr>
            <w:fldChar w:fldCharType="separate"/>
          </w:r>
          <w:r w:rsidR="00D26354" w:rsidRPr="00D26354">
            <w:rPr>
              <w:rFonts w:ascii="Times New Roman" w:eastAsia="Times New Roman" w:hAnsi="Times New Roman" w:cs="Times New Roman"/>
              <w:noProof/>
              <w:sz w:val="24"/>
              <w:szCs w:val="24"/>
              <w:lang w:eastAsia="en-GB"/>
            </w:rPr>
            <w:t>(TATA Steel Europe, 2024)</w:t>
          </w:r>
          <w:r w:rsidR="00D26354">
            <w:rPr>
              <w:rFonts w:ascii="Times New Roman" w:eastAsia="Times New Roman" w:hAnsi="Times New Roman" w:cs="Times New Roman"/>
              <w:sz w:val="24"/>
              <w:szCs w:val="24"/>
              <w:lang w:eastAsia="en-GB"/>
            </w:rPr>
            <w:fldChar w:fldCharType="end"/>
          </w:r>
        </w:sdtContent>
      </w:sdt>
    </w:p>
    <w:p w14:paraId="66C67CB9" w14:textId="570D3A79" w:rsidR="00A665AB" w:rsidRDefault="00A665AB" w:rsidP="00AC2A61">
      <w:pPr>
        <w:pStyle w:val="ListParagraph"/>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4F76BA">
        <w:rPr>
          <w:rFonts w:ascii="Times New Roman" w:eastAsia="Times New Roman" w:hAnsi="Times New Roman" w:cs="Times New Roman"/>
          <w:sz w:val="24"/>
          <w:szCs w:val="24"/>
          <w:lang w:eastAsia="en-GB"/>
        </w:rPr>
        <w:t xml:space="preserve">Waste Valorisation:  </w:t>
      </w:r>
      <w:r w:rsidR="004F76BA" w:rsidRPr="004F76BA">
        <w:rPr>
          <w:rFonts w:ascii="Times New Roman" w:eastAsia="Times New Roman" w:hAnsi="Times New Roman" w:cs="Times New Roman"/>
          <w:sz w:val="24"/>
          <w:szCs w:val="24"/>
          <w:lang w:eastAsia="en-GB"/>
        </w:rPr>
        <w:t>TATA Steel sells off i</w:t>
      </w:r>
      <w:r w:rsidR="004F76BA">
        <w:rPr>
          <w:rFonts w:ascii="Times New Roman" w:eastAsia="Times New Roman" w:hAnsi="Times New Roman" w:cs="Times New Roman"/>
          <w:sz w:val="24"/>
          <w:szCs w:val="24"/>
          <w:lang w:eastAsia="en-GB"/>
        </w:rPr>
        <w:t xml:space="preserve">ts waste products such as slag (GGBFS) </w:t>
      </w:r>
      <w:r w:rsidR="000C1273">
        <w:rPr>
          <w:rFonts w:ascii="Times New Roman" w:eastAsia="Times New Roman" w:hAnsi="Times New Roman" w:cs="Times New Roman"/>
          <w:sz w:val="24"/>
          <w:szCs w:val="24"/>
          <w:lang w:eastAsia="en-GB"/>
        </w:rPr>
        <w:t>to be used in slag cement. I</w:t>
      </w:r>
      <w:r w:rsidR="00471F13">
        <w:rPr>
          <w:rFonts w:ascii="Times New Roman" w:eastAsia="Times New Roman" w:hAnsi="Times New Roman" w:cs="Times New Roman"/>
          <w:sz w:val="24"/>
          <w:szCs w:val="24"/>
          <w:lang w:eastAsia="en-GB"/>
        </w:rPr>
        <w:t xml:space="preserve">t also sells off </w:t>
      </w:r>
      <w:r w:rsidR="00BE4361">
        <w:rPr>
          <w:rFonts w:ascii="Times New Roman" w:eastAsia="Times New Roman" w:hAnsi="Times New Roman" w:cs="Times New Roman"/>
          <w:sz w:val="24"/>
          <w:szCs w:val="24"/>
          <w:lang w:eastAsia="en-GB"/>
        </w:rPr>
        <w:t>by products</w:t>
      </w:r>
      <w:r w:rsidR="00471F13">
        <w:rPr>
          <w:rFonts w:ascii="Times New Roman" w:eastAsia="Times New Roman" w:hAnsi="Times New Roman" w:cs="Times New Roman"/>
          <w:sz w:val="24"/>
          <w:szCs w:val="24"/>
          <w:lang w:eastAsia="en-GB"/>
        </w:rPr>
        <w:t xml:space="preserve"> </w:t>
      </w:r>
      <w:r w:rsidR="00BE4361">
        <w:rPr>
          <w:rFonts w:ascii="Times New Roman" w:eastAsia="Times New Roman" w:hAnsi="Times New Roman" w:cs="Times New Roman"/>
          <w:sz w:val="24"/>
          <w:szCs w:val="24"/>
          <w:lang w:eastAsia="en-GB"/>
        </w:rPr>
        <w:t>such as</w:t>
      </w:r>
      <w:r w:rsidR="00471F13">
        <w:rPr>
          <w:rFonts w:ascii="Times New Roman" w:eastAsia="Times New Roman" w:hAnsi="Times New Roman" w:cs="Times New Roman"/>
          <w:sz w:val="24"/>
          <w:szCs w:val="24"/>
          <w:lang w:eastAsia="en-GB"/>
        </w:rPr>
        <w:t xml:space="preserve"> ammonia and </w:t>
      </w:r>
      <w:r w:rsidR="00BE4361">
        <w:rPr>
          <w:rFonts w:ascii="Times New Roman" w:eastAsia="Times New Roman" w:hAnsi="Times New Roman" w:cs="Times New Roman"/>
          <w:sz w:val="24"/>
          <w:szCs w:val="24"/>
          <w:lang w:eastAsia="en-GB"/>
        </w:rPr>
        <w:t>sulphur</w:t>
      </w:r>
      <w:r w:rsidR="00471F13">
        <w:rPr>
          <w:rFonts w:ascii="Times New Roman" w:eastAsia="Times New Roman" w:hAnsi="Times New Roman" w:cs="Times New Roman"/>
          <w:sz w:val="24"/>
          <w:szCs w:val="24"/>
          <w:lang w:eastAsia="en-GB"/>
        </w:rPr>
        <w:t xml:space="preserve"> that are produced during</w:t>
      </w:r>
      <w:r w:rsidR="00BE4361">
        <w:rPr>
          <w:rFonts w:ascii="Times New Roman" w:eastAsia="Times New Roman" w:hAnsi="Times New Roman" w:cs="Times New Roman"/>
          <w:sz w:val="24"/>
          <w:szCs w:val="24"/>
          <w:lang w:eastAsia="en-GB"/>
        </w:rPr>
        <w:t xml:space="preserve"> the manufacturing process of steel. </w:t>
      </w:r>
      <w:sdt>
        <w:sdtPr>
          <w:rPr>
            <w:rFonts w:ascii="Times New Roman" w:eastAsia="Times New Roman" w:hAnsi="Times New Roman" w:cs="Times New Roman"/>
            <w:sz w:val="24"/>
            <w:szCs w:val="24"/>
            <w:lang w:eastAsia="en-GB"/>
          </w:rPr>
          <w:id w:val="697980243"/>
          <w:citation/>
        </w:sdtPr>
        <w:sdtEndPr/>
        <w:sdtContent>
          <w:r w:rsidR="00BE4361">
            <w:rPr>
              <w:rFonts w:ascii="Times New Roman" w:eastAsia="Times New Roman" w:hAnsi="Times New Roman" w:cs="Times New Roman"/>
              <w:sz w:val="24"/>
              <w:szCs w:val="24"/>
              <w:lang w:eastAsia="en-GB"/>
            </w:rPr>
            <w:fldChar w:fldCharType="begin"/>
          </w:r>
          <w:r w:rsidR="00BE4361">
            <w:rPr>
              <w:rFonts w:ascii="Times New Roman" w:eastAsia="Times New Roman" w:hAnsi="Times New Roman" w:cs="Times New Roman"/>
              <w:sz w:val="24"/>
              <w:szCs w:val="24"/>
              <w:lang w:eastAsia="en-GB"/>
            </w:rPr>
            <w:instrText xml:space="preserve"> CITATION Tat22 \l 2057 </w:instrText>
          </w:r>
          <w:r w:rsidR="00BE4361">
            <w:rPr>
              <w:rFonts w:ascii="Times New Roman" w:eastAsia="Times New Roman" w:hAnsi="Times New Roman" w:cs="Times New Roman"/>
              <w:sz w:val="24"/>
              <w:szCs w:val="24"/>
              <w:lang w:eastAsia="en-GB"/>
            </w:rPr>
            <w:fldChar w:fldCharType="separate"/>
          </w:r>
          <w:r w:rsidR="00BE4361" w:rsidRPr="00BE4361">
            <w:rPr>
              <w:rFonts w:ascii="Times New Roman" w:eastAsia="Times New Roman" w:hAnsi="Times New Roman" w:cs="Times New Roman"/>
              <w:noProof/>
              <w:sz w:val="24"/>
              <w:szCs w:val="24"/>
              <w:lang w:eastAsia="en-GB"/>
            </w:rPr>
            <w:t>(Tata Steel, 2022)</w:t>
          </w:r>
          <w:r w:rsidR="00BE4361">
            <w:rPr>
              <w:rFonts w:ascii="Times New Roman" w:eastAsia="Times New Roman" w:hAnsi="Times New Roman" w:cs="Times New Roman"/>
              <w:sz w:val="24"/>
              <w:szCs w:val="24"/>
              <w:lang w:eastAsia="en-GB"/>
            </w:rPr>
            <w:fldChar w:fldCharType="end"/>
          </w:r>
        </w:sdtContent>
      </w:sdt>
    </w:p>
    <w:p w14:paraId="0409CCD6" w14:textId="5E519BA8" w:rsidR="00D2109F" w:rsidRDefault="00D2109F" w:rsidP="00AC2A61">
      <w:pPr>
        <w:pStyle w:val="ListParagraph"/>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Efficiency Energy Improvements: Adopting </w:t>
      </w:r>
      <w:r w:rsidR="00CB2881">
        <w:rPr>
          <w:rFonts w:ascii="Times New Roman" w:eastAsia="Times New Roman" w:hAnsi="Times New Roman" w:cs="Times New Roman"/>
          <w:sz w:val="24"/>
          <w:szCs w:val="24"/>
          <w:lang w:eastAsia="en-GB"/>
        </w:rPr>
        <w:t xml:space="preserve">heat harnessing technology produced in </w:t>
      </w:r>
      <w:r w:rsidR="00D26354">
        <w:rPr>
          <w:rFonts w:ascii="Times New Roman" w:eastAsia="Times New Roman" w:hAnsi="Times New Roman" w:cs="Times New Roman"/>
          <w:sz w:val="24"/>
          <w:szCs w:val="24"/>
          <w:lang w:eastAsia="en-GB"/>
        </w:rPr>
        <w:t>manufacturing</w:t>
      </w:r>
      <w:r w:rsidR="00CB2881">
        <w:rPr>
          <w:rFonts w:ascii="Times New Roman" w:eastAsia="Times New Roman" w:hAnsi="Times New Roman" w:cs="Times New Roman"/>
          <w:sz w:val="24"/>
          <w:szCs w:val="24"/>
          <w:lang w:eastAsia="en-GB"/>
        </w:rPr>
        <w:t xml:space="preserve"> to harness energy for future use. Investing in renewable energy sources. </w:t>
      </w:r>
      <w:r w:rsidR="004D4294">
        <w:rPr>
          <w:rFonts w:ascii="Times New Roman" w:eastAsia="Times New Roman" w:hAnsi="Times New Roman" w:cs="Times New Roman"/>
          <w:sz w:val="24"/>
          <w:szCs w:val="24"/>
          <w:lang w:eastAsia="en-GB"/>
        </w:rPr>
        <w:t>Research currently being undertaken to use hydrogen in the steel making process.</w:t>
      </w:r>
    </w:p>
    <w:p w14:paraId="5433D164" w14:textId="30C8D790" w:rsidR="005A0576" w:rsidRDefault="00C8268B" w:rsidP="00AC2A61">
      <w:pPr>
        <w:pStyle w:val="ListParagraph"/>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Designing for </w:t>
      </w:r>
      <w:r w:rsidR="008A26EA">
        <w:rPr>
          <w:rFonts w:ascii="Times New Roman" w:eastAsia="Times New Roman" w:hAnsi="Times New Roman" w:cs="Times New Roman"/>
          <w:sz w:val="24"/>
          <w:szCs w:val="24"/>
          <w:lang w:eastAsia="en-GB"/>
        </w:rPr>
        <w:t>Sustainability</w:t>
      </w:r>
      <w:r>
        <w:rPr>
          <w:rFonts w:ascii="Times New Roman" w:eastAsia="Times New Roman" w:hAnsi="Times New Roman" w:cs="Times New Roman"/>
          <w:sz w:val="24"/>
          <w:szCs w:val="24"/>
          <w:lang w:eastAsia="en-GB"/>
        </w:rPr>
        <w:t xml:space="preserve"> </w:t>
      </w:r>
      <w:r w:rsidR="00AC7134">
        <w:rPr>
          <w:rFonts w:ascii="Times New Roman" w:eastAsia="Times New Roman" w:hAnsi="Times New Roman" w:cs="Times New Roman"/>
          <w:sz w:val="24"/>
          <w:szCs w:val="24"/>
          <w:lang w:eastAsia="en-GB"/>
        </w:rPr>
        <w:t xml:space="preserve">: </w:t>
      </w:r>
      <w:r w:rsidR="008A26EA">
        <w:rPr>
          <w:rFonts w:ascii="Times New Roman" w:eastAsia="Times New Roman" w:hAnsi="Times New Roman" w:cs="Times New Roman"/>
          <w:sz w:val="24"/>
          <w:szCs w:val="24"/>
          <w:lang w:eastAsia="en-GB"/>
        </w:rPr>
        <w:t>Looking at TATA Steel Packaging Sector, this is a huge initiative for the</w:t>
      </w:r>
      <w:r w:rsidR="004D4294">
        <w:rPr>
          <w:rFonts w:ascii="Times New Roman" w:eastAsia="Times New Roman" w:hAnsi="Times New Roman" w:cs="Times New Roman"/>
          <w:sz w:val="24"/>
          <w:szCs w:val="24"/>
          <w:lang w:eastAsia="en-GB"/>
        </w:rPr>
        <w:t xml:space="preserve">ir </w:t>
      </w:r>
      <w:r w:rsidR="002D6694">
        <w:rPr>
          <w:rFonts w:ascii="Times New Roman" w:eastAsia="Times New Roman" w:hAnsi="Times New Roman" w:cs="Times New Roman"/>
          <w:sz w:val="24"/>
          <w:szCs w:val="24"/>
          <w:lang w:eastAsia="en-GB"/>
        </w:rPr>
        <w:t>downstream</w:t>
      </w:r>
      <w:r w:rsidR="004D4294">
        <w:rPr>
          <w:rFonts w:ascii="Times New Roman" w:eastAsia="Times New Roman" w:hAnsi="Times New Roman" w:cs="Times New Roman"/>
          <w:sz w:val="24"/>
          <w:szCs w:val="24"/>
          <w:lang w:eastAsia="en-GB"/>
        </w:rPr>
        <w:t xml:space="preserve"> operations</w:t>
      </w:r>
      <w:r w:rsidR="008A26EA">
        <w:rPr>
          <w:rFonts w:ascii="Times New Roman" w:eastAsia="Times New Roman" w:hAnsi="Times New Roman" w:cs="Times New Roman"/>
          <w:sz w:val="24"/>
          <w:szCs w:val="24"/>
          <w:lang w:eastAsia="en-GB"/>
        </w:rPr>
        <w:t xml:space="preserve">. </w:t>
      </w:r>
      <w:r w:rsidR="00A024C1">
        <w:rPr>
          <w:rFonts w:ascii="Times New Roman" w:eastAsia="Times New Roman" w:hAnsi="Times New Roman" w:cs="Times New Roman"/>
          <w:sz w:val="24"/>
          <w:szCs w:val="24"/>
          <w:lang w:eastAsia="en-GB"/>
        </w:rPr>
        <w:t>Not only have individuals and the company received Recycling Hero awards recognised nationally for developing food pack</w:t>
      </w:r>
      <w:r w:rsidR="004D4294">
        <w:rPr>
          <w:rFonts w:ascii="Times New Roman" w:eastAsia="Times New Roman" w:hAnsi="Times New Roman" w:cs="Times New Roman"/>
          <w:sz w:val="24"/>
          <w:szCs w:val="24"/>
          <w:lang w:eastAsia="en-GB"/>
        </w:rPr>
        <w:t>ag</w:t>
      </w:r>
      <w:r w:rsidR="00A024C1">
        <w:rPr>
          <w:rFonts w:ascii="Times New Roman" w:eastAsia="Times New Roman" w:hAnsi="Times New Roman" w:cs="Times New Roman"/>
          <w:sz w:val="24"/>
          <w:szCs w:val="24"/>
          <w:lang w:eastAsia="en-GB"/>
        </w:rPr>
        <w:t xml:space="preserve">ing that is fully recyclable, it is also involved </w:t>
      </w:r>
      <w:r w:rsidR="00765ABC">
        <w:rPr>
          <w:rFonts w:ascii="Times New Roman" w:eastAsia="Times New Roman" w:hAnsi="Times New Roman" w:cs="Times New Roman"/>
          <w:sz w:val="24"/>
          <w:szCs w:val="24"/>
          <w:lang w:eastAsia="en-GB"/>
        </w:rPr>
        <w:t xml:space="preserve">in </w:t>
      </w:r>
      <w:r w:rsidR="00820985">
        <w:rPr>
          <w:rFonts w:ascii="Times New Roman" w:eastAsia="Times New Roman" w:hAnsi="Times New Roman" w:cs="Times New Roman"/>
          <w:sz w:val="24"/>
          <w:szCs w:val="24"/>
          <w:lang w:eastAsia="en-GB"/>
        </w:rPr>
        <w:t xml:space="preserve">joint </w:t>
      </w:r>
      <w:r w:rsidR="00765ABC">
        <w:rPr>
          <w:rFonts w:ascii="Times New Roman" w:eastAsia="Times New Roman" w:hAnsi="Times New Roman" w:cs="Times New Roman"/>
          <w:sz w:val="24"/>
          <w:szCs w:val="24"/>
          <w:lang w:eastAsia="en-GB"/>
        </w:rPr>
        <w:t xml:space="preserve">research with Swansea University </w:t>
      </w:r>
      <w:r w:rsidR="00F55034">
        <w:rPr>
          <w:rFonts w:ascii="Times New Roman" w:eastAsia="Times New Roman" w:hAnsi="Times New Roman" w:cs="Times New Roman"/>
          <w:sz w:val="24"/>
          <w:szCs w:val="24"/>
          <w:lang w:eastAsia="en-GB"/>
        </w:rPr>
        <w:t>in the advantage of steel pack</w:t>
      </w:r>
      <w:r w:rsidR="00C53DB6">
        <w:rPr>
          <w:rFonts w:ascii="Times New Roman" w:eastAsia="Times New Roman" w:hAnsi="Times New Roman" w:cs="Times New Roman"/>
          <w:sz w:val="24"/>
          <w:szCs w:val="24"/>
          <w:lang w:eastAsia="en-GB"/>
        </w:rPr>
        <w:t>aging</w:t>
      </w:r>
      <w:r w:rsidR="00820985">
        <w:rPr>
          <w:rFonts w:ascii="Times New Roman" w:eastAsia="Times New Roman" w:hAnsi="Times New Roman" w:cs="Times New Roman"/>
          <w:sz w:val="24"/>
          <w:szCs w:val="24"/>
          <w:lang w:eastAsia="en-GB"/>
        </w:rPr>
        <w:t xml:space="preserve"> and investigating </w:t>
      </w:r>
      <w:r w:rsidR="00225898">
        <w:rPr>
          <w:rFonts w:ascii="Times New Roman" w:eastAsia="Times New Roman" w:hAnsi="Times New Roman" w:cs="Times New Roman"/>
          <w:sz w:val="24"/>
          <w:szCs w:val="24"/>
          <w:lang w:eastAsia="en-GB"/>
        </w:rPr>
        <w:t>the effect of hydrogen on steel with a view to future developments in hydrogen transport for example as Net Zero efforts.</w:t>
      </w:r>
      <w:sdt>
        <w:sdtPr>
          <w:rPr>
            <w:rFonts w:ascii="Times New Roman" w:eastAsia="Times New Roman" w:hAnsi="Times New Roman" w:cs="Times New Roman"/>
            <w:sz w:val="24"/>
            <w:szCs w:val="24"/>
            <w:lang w:eastAsia="en-GB"/>
          </w:rPr>
          <w:id w:val="1159110077"/>
          <w:citation/>
        </w:sdtPr>
        <w:sdtEndPr/>
        <w:sdtContent>
          <w:r w:rsidR="00225898">
            <w:rPr>
              <w:rFonts w:ascii="Times New Roman" w:eastAsia="Times New Roman" w:hAnsi="Times New Roman" w:cs="Times New Roman"/>
              <w:sz w:val="24"/>
              <w:szCs w:val="24"/>
              <w:lang w:eastAsia="en-GB"/>
            </w:rPr>
            <w:fldChar w:fldCharType="begin"/>
          </w:r>
          <w:r w:rsidR="00225898">
            <w:rPr>
              <w:rFonts w:ascii="Times New Roman" w:eastAsia="Times New Roman" w:hAnsi="Times New Roman" w:cs="Times New Roman"/>
              <w:sz w:val="24"/>
              <w:szCs w:val="24"/>
              <w:lang w:eastAsia="en-GB"/>
            </w:rPr>
            <w:instrText xml:space="preserve"> CITATION TAT \l 2057 </w:instrText>
          </w:r>
          <w:r w:rsidR="00225898">
            <w:rPr>
              <w:rFonts w:ascii="Times New Roman" w:eastAsia="Times New Roman" w:hAnsi="Times New Roman" w:cs="Times New Roman"/>
              <w:sz w:val="24"/>
              <w:szCs w:val="24"/>
              <w:lang w:eastAsia="en-GB"/>
            </w:rPr>
            <w:fldChar w:fldCharType="separate"/>
          </w:r>
          <w:r w:rsidR="00225898">
            <w:rPr>
              <w:rFonts w:ascii="Times New Roman" w:eastAsia="Times New Roman" w:hAnsi="Times New Roman" w:cs="Times New Roman"/>
              <w:noProof/>
              <w:sz w:val="24"/>
              <w:szCs w:val="24"/>
              <w:lang w:eastAsia="en-GB"/>
            </w:rPr>
            <w:t xml:space="preserve"> </w:t>
          </w:r>
          <w:r w:rsidR="00225898" w:rsidRPr="00225898">
            <w:rPr>
              <w:rFonts w:ascii="Times New Roman" w:eastAsia="Times New Roman" w:hAnsi="Times New Roman" w:cs="Times New Roman"/>
              <w:noProof/>
              <w:sz w:val="24"/>
              <w:szCs w:val="24"/>
              <w:lang w:eastAsia="en-GB"/>
            </w:rPr>
            <w:t>(TATA Steel Europe, 2024)</w:t>
          </w:r>
          <w:r w:rsidR="00225898">
            <w:rPr>
              <w:rFonts w:ascii="Times New Roman" w:eastAsia="Times New Roman" w:hAnsi="Times New Roman" w:cs="Times New Roman"/>
              <w:sz w:val="24"/>
              <w:szCs w:val="24"/>
              <w:lang w:eastAsia="en-GB"/>
            </w:rPr>
            <w:fldChar w:fldCharType="end"/>
          </w:r>
        </w:sdtContent>
      </w:sdt>
      <w:r w:rsidR="00E178F0">
        <w:rPr>
          <w:rFonts w:ascii="Times New Roman" w:eastAsia="Times New Roman" w:hAnsi="Times New Roman" w:cs="Times New Roman"/>
          <w:sz w:val="24"/>
          <w:szCs w:val="24"/>
          <w:lang w:eastAsia="en-GB"/>
        </w:rPr>
        <w:t xml:space="preserve"> (See Figure 2 Appendix for article clip)</w:t>
      </w:r>
      <w:r w:rsidR="00225898">
        <w:rPr>
          <w:rFonts w:ascii="Times New Roman" w:eastAsia="Times New Roman" w:hAnsi="Times New Roman" w:cs="Times New Roman"/>
          <w:sz w:val="24"/>
          <w:szCs w:val="24"/>
          <w:lang w:eastAsia="en-GB"/>
        </w:rPr>
        <w:t xml:space="preserve"> </w:t>
      </w:r>
      <w:r w:rsidR="00C53DB6">
        <w:rPr>
          <w:rFonts w:ascii="Times New Roman" w:eastAsia="Times New Roman" w:hAnsi="Times New Roman" w:cs="Times New Roman"/>
          <w:sz w:val="24"/>
          <w:szCs w:val="24"/>
          <w:lang w:eastAsia="en-GB"/>
        </w:rPr>
        <w:t xml:space="preserve"> </w:t>
      </w:r>
    </w:p>
    <w:p w14:paraId="164C7754" w14:textId="418CDE2A" w:rsidR="006603A8" w:rsidRDefault="00007B51" w:rsidP="005A0576">
      <w:pPr>
        <w:pStyle w:val="ListParagraph"/>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p w14:paraId="1F77E01E" w14:textId="54DD9BAA" w:rsidR="006603A8" w:rsidRPr="005A0576" w:rsidRDefault="006603A8" w:rsidP="005A0576">
      <w:pPr>
        <w:pStyle w:val="ListParagraph"/>
        <w:numPr>
          <w:ilvl w:val="1"/>
          <w:numId w:val="5"/>
        </w:numPr>
        <w:spacing w:before="100" w:beforeAutospacing="1" w:after="100" w:afterAutospacing="1" w:line="240" w:lineRule="auto"/>
        <w:jc w:val="both"/>
        <w:rPr>
          <w:rFonts w:ascii="Times New Roman" w:eastAsia="Times New Roman" w:hAnsi="Times New Roman" w:cs="Times New Roman"/>
          <w:sz w:val="24"/>
          <w:szCs w:val="24"/>
          <w:lang w:eastAsia="en-GB"/>
        </w:rPr>
      </w:pPr>
      <w:r w:rsidRPr="006603A8">
        <w:rPr>
          <w:rFonts w:ascii="Times New Roman" w:eastAsia="Times New Roman" w:hAnsi="Times New Roman" w:cs="Times New Roman"/>
          <w:b/>
          <w:bCs/>
          <w:sz w:val="24"/>
          <w:szCs w:val="24"/>
          <w:lang w:eastAsia="en-GB"/>
        </w:rPr>
        <w:t>Critical Analysis and Challenges</w:t>
      </w:r>
    </w:p>
    <w:p w14:paraId="14D16E9B" w14:textId="77777777" w:rsidR="005A0576" w:rsidRPr="006603A8" w:rsidRDefault="005A0576" w:rsidP="005A0576">
      <w:pPr>
        <w:pStyle w:val="ListParagraph"/>
        <w:spacing w:before="100" w:beforeAutospacing="1" w:after="100" w:afterAutospacing="1" w:line="240" w:lineRule="auto"/>
        <w:jc w:val="both"/>
        <w:rPr>
          <w:rFonts w:ascii="Times New Roman" w:eastAsia="Times New Roman" w:hAnsi="Times New Roman" w:cs="Times New Roman"/>
          <w:sz w:val="24"/>
          <w:szCs w:val="24"/>
          <w:lang w:eastAsia="en-GB"/>
        </w:rPr>
      </w:pPr>
    </w:p>
    <w:p w14:paraId="1E361762" w14:textId="54A997D3" w:rsidR="002C369C" w:rsidRDefault="00ED6D0E" w:rsidP="005A0576">
      <w:pPr>
        <w:pStyle w:val="ListParagraph"/>
        <w:spacing w:before="100" w:beforeAutospacing="1" w:after="100" w:afterAutospacing="1"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While there are </w:t>
      </w:r>
      <w:r w:rsidR="002C369C">
        <w:rPr>
          <w:rFonts w:ascii="Times New Roman" w:eastAsia="Times New Roman" w:hAnsi="Times New Roman" w:cs="Times New Roman"/>
          <w:sz w:val="24"/>
          <w:szCs w:val="24"/>
          <w:lang w:eastAsia="en-GB"/>
        </w:rPr>
        <w:t>initiatives</w:t>
      </w:r>
      <w:r>
        <w:rPr>
          <w:rFonts w:ascii="Times New Roman" w:eastAsia="Times New Roman" w:hAnsi="Times New Roman" w:cs="Times New Roman"/>
          <w:sz w:val="24"/>
          <w:szCs w:val="24"/>
          <w:lang w:eastAsia="en-GB"/>
        </w:rPr>
        <w:t xml:space="preserve"> in place to help reach sustainability </w:t>
      </w:r>
      <w:r w:rsidR="002C369C">
        <w:rPr>
          <w:rFonts w:ascii="Times New Roman" w:eastAsia="Times New Roman" w:hAnsi="Times New Roman" w:cs="Times New Roman"/>
          <w:sz w:val="24"/>
          <w:szCs w:val="24"/>
          <w:lang w:eastAsia="en-GB"/>
        </w:rPr>
        <w:t>through circular economic principles TATA Steel still faces challenges:</w:t>
      </w:r>
    </w:p>
    <w:p w14:paraId="6A5DDE95" w14:textId="079E5DDE" w:rsidR="002C369C" w:rsidRDefault="002C369C" w:rsidP="005A0576">
      <w:pPr>
        <w:pStyle w:val="ListParagraph"/>
        <w:numPr>
          <w:ilvl w:val="0"/>
          <w:numId w:val="6"/>
        </w:numPr>
        <w:spacing w:before="100" w:beforeAutospacing="1" w:after="100" w:afterAutospacing="1"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Energy Transition: </w:t>
      </w:r>
      <w:r w:rsidR="008A107D">
        <w:rPr>
          <w:rFonts w:ascii="Times New Roman" w:eastAsia="Times New Roman" w:hAnsi="Times New Roman" w:cs="Times New Roman"/>
          <w:sz w:val="24"/>
          <w:szCs w:val="24"/>
          <w:lang w:eastAsia="en-GB"/>
        </w:rPr>
        <w:t xml:space="preserve">Decarbonising steelmaking energy inputs are complex </w:t>
      </w:r>
      <w:r w:rsidR="003A1FC2">
        <w:rPr>
          <w:rFonts w:ascii="Times New Roman" w:eastAsia="Times New Roman" w:hAnsi="Times New Roman" w:cs="Times New Roman"/>
          <w:sz w:val="24"/>
          <w:szCs w:val="24"/>
          <w:lang w:eastAsia="en-GB"/>
        </w:rPr>
        <w:t xml:space="preserve">as it relies heavily on high temperature processes. There is research into Hydrogen based steelmaking, </w:t>
      </w:r>
      <w:r w:rsidR="00AB090B">
        <w:rPr>
          <w:rFonts w:ascii="Times New Roman" w:eastAsia="Times New Roman" w:hAnsi="Times New Roman" w:cs="Times New Roman"/>
          <w:sz w:val="24"/>
          <w:szCs w:val="24"/>
          <w:lang w:eastAsia="en-GB"/>
        </w:rPr>
        <w:t xml:space="preserve">however it is not yet </w:t>
      </w:r>
      <w:r w:rsidR="00B50790">
        <w:rPr>
          <w:rFonts w:ascii="Times New Roman" w:eastAsia="Times New Roman" w:hAnsi="Times New Roman" w:cs="Times New Roman"/>
          <w:sz w:val="24"/>
          <w:szCs w:val="24"/>
          <w:lang w:eastAsia="en-GB"/>
        </w:rPr>
        <w:t>scalable</w:t>
      </w:r>
      <w:r w:rsidR="00AB090B">
        <w:rPr>
          <w:rFonts w:ascii="Times New Roman" w:eastAsia="Times New Roman" w:hAnsi="Times New Roman" w:cs="Times New Roman"/>
          <w:sz w:val="24"/>
          <w:szCs w:val="24"/>
          <w:lang w:eastAsia="en-GB"/>
        </w:rPr>
        <w:t xml:space="preserve"> </w:t>
      </w:r>
      <w:r w:rsidR="00A828FE">
        <w:rPr>
          <w:rFonts w:ascii="Times New Roman" w:eastAsia="Times New Roman" w:hAnsi="Times New Roman" w:cs="Times New Roman"/>
          <w:sz w:val="24"/>
          <w:szCs w:val="24"/>
          <w:lang w:eastAsia="en-GB"/>
        </w:rPr>
        <w:t xml:space="preserve">or </w:t>
      </w:r>
      <w:r w:rsidR="00AB090B">
        <w:rPr>
          <w:rFonts w:ascii="Times New Roman" w:eastAsia="Times New Roman" w:hAnsi="Times New Roman" w:cs="Times New Roman"/>
          <w:sz w:val="24"/>
          <w:szCs w:val="24"/>
          <w:lang w:eastAsia="en-GB"/>
        </w:rPr>
        <w:t xml:space="preserve">cost effective. </w:t>
      </w:r>
      <w:sdt>
        <w:sdtPr>
          <w:rPr>
            <w:rFonts w:ascii="Times New Roman" w:eastAsia="Times New Roman" w:hAnsi="Times New Roman" w:cs="Times New Roman"/>
            <w:sz w:val="24"/>
            <w:szCs w:val="24"/>
            <w:lang w:eastAsia="en-GB"/>
          </w:rPr>
          <w:id w:val="-1167165545"/>
          <w:citation/>
        </w:sdtPr>
        <w:sdtEndPr/>
        <w:sdtContent>
          <w:r w:rsidR="00A828FE">
            <w:rPr>
              <w:rFonts w:ascii="Times New Roman" w:eastAsia="Times New Roman" w:hAnsi="Times New Roman" w:cs="Times New Roman"/>
              <w:sz w:val="24"/>
              <w:szCs w:val="24"/>
              <w:lang w:eastAsia="en-GB"/>
            </w:rPr>
            <w:fldChar w:fldCharType="begin"/>
          </w:r>
          <w:r w:rsidR="00A828FE">
            <w:rPr>
              <w:rFonts w:ascii="Times New Roman" w:eastAsia="Times New Roman" w:hAnsi="Times New Roman" w:cs="Times New Roman"/>
              <w:sz w:val="24"/>
              <w:szCs w:val="24"/>
              <w:lang w:eastAsia="en-GB"/>
            </w:rPr>
            <w:instrText xml:space="preserve"> CITATION Wor21 \l 2057 </w:instrText>
          </w:r>
          <w:r w:rsidR="00A828FE">
            <w:rPr>
              <w:rFonts w:ascii="Times New Roman" w:eastAsia="Times New Roman" w:hAnsi="Times New Roman" w:cs="Times New Roman"/>
              <w:sz w:val="24"/>
              <w:szCs w:val="24"/>
              <w:lang w:eastAsia="en-GB"/>
            </w:rPr>
            <w:fldChar w:fldCharType="separate"/>
          </w:r>
          <w:r w:rsidR="00A828FE" w:rsidRPr="00A828FE">
            <w:rPr>
              <w:rFonts w:ascii="Times New Roman" w:eastAsia="Times New Roman" w:hAnsi="Times New Roman" w:cs="Times New Roman"/>
              <w:noProof/>
              <w:sz w:val="24"/>
              <w:szCs w:val="24"/>
              <w:lang w:eastAsia="en-GB"/>
            </w:rPr>
            <w:t>(World Steel Association, 2021)</w:t>
          </w:r>
          <w:r w:rsidR="00A828FE">
            <w:rPr>
              <w:rFonts w:ascii="Times New Roman" w:eastAsia="Times New Roman" w:hAnsi="Times New Roman" w:cs="Times New Roman"/>
              <w:sz w:val="24"/>
              <w:szCs w:val="24"/>
              <w:lang w:eastAsia="en-GB"/>
            </w:rPr>
            <w:fldChar w:fldCharType="end"/>
          </w:r>
        </w:sdtContent>
      </w:sdt>
      <w:r w:rsidR="005A0576">
        <w:rPr>
          <w:rFonts w:ascii="Times New Roman" w:eastAsia="Times New Roman" w:hAnsi="Times New Roman" w:cs="Times New Roman"/>
          <w:sz w:val="24"/>
          <w:szCs w:val="24"/>
          <w:lang w:eastAsia="en-GB"/>
        </w:rPr>
        <w:t xml:space="preserve"> (See Figure 3 Appendix)</w:t>
      </w:r>
    </w:p>
    <w:p w14:paraId="2D80E739" w14:textId="7028F944" w:rsidR="00A828FE" w:rsidRDefault="0056103B" w:rsidP="005A0576">
      <w:pPr>
        <w:pStyle w:val="ListParagraph"/>
        <w:numPr>
          <w:ilvl w:val="0"/>
          <w:numId w:val="6"/>
        </w:numPr>
        <w:spacing w:before="100" w:beforeAutospacing="1" w:after="100" w:afterAutospacing="1"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Economic </w:t>
      </w:r>
      <w:r w:rsidR="003D1D0B">
        <w:rPr>
          <w:rFonts w:ascii="Times New Roman" w:eastAsia="Times New Roman" w:hAnsi="Times New Roman" w:cs="Times New Roman"/>
          <w:sz w:val="24"/>
          <w:szCs w:val="24"/>
          <w:lang w:eastAsia="en-GB"/>
        </w:rPr>
        <w:t>Viability</w:t>
      </w:r>
      <w:r>
        <w:rPr>
          <w:rFonts w:ascii="Times New Roman" w:eastAsia="Times New Roman" w:hAnsi="Times New Roman" w:cs="Times New Roman"/>
          <w:sz w:val="24"/>
          <w:szCs w:val="24"/>
          <w:lang w:eastAsia="en-GB"/>
        </w:rPr>
        <w:t xml:space="preserve">: The circular economic </w:t>
      </w:r>
      <w:r w:rsidR="003D1D0B">
        <w:rPr>
          <w:rFonts w:ascii="Times New Roman" w:eastAsia="Times New Roman" w:hAnsi="Times New Roman" w:cs="Times New Roman"/>
          <w:sz w:val="24"/>
          <w:szCs w:val="24"/>
          <w:lang w:eastAsia="en-GB"/>
        </w:rPr>
        <w:t>initiatives</w:t>
      </w:r>
      <w:r>
        <w:rPr>
          <w:rFonts w:ascii="Times New Roman" w:eastAsia="Times New Roman" w:hAnsi="Times New Roman" w:cs="Times New Roman"/>
          <w:sz w:val="24"/>
          <w:szCs w:val="24"/>
          <w:lang w:eastAsia="en-GB"/>
        </w:rPr>
        <w:t xml:space="preserve"> that are being undertaken by TATA Steel UK </w:t>
      </w:r>
      <w:r w:rsidR="003D1D0B">
        <w:rPr>
          <w:rFonts w:ascii="Times New Roman" w:eastAsia="Times New Roman" w:hAnsi="Times New Roman" w:cs="Times New Roman"/>
          <w:sz w:val="24"/>
          <w:szCs w:val="24"/>
          <w:lang w:eastAsia="en-GB"/>
        </w:rPr>
        <w:t xml:space="preserve">require substantial investment upfront in the new technology of an EAF. </w:t>
      </w:r>
      <w:r w:rsidR="00BA18EC">
        <w:rPr>
          <w:rFonts w:ascii="Times New Roman" w:eastAsia="Times New Roman" w:hAnsi="Times New Roman" w:cs="Times New Roman"/>
          <w:sz w:val="24"/>
          <w:szCs w:val="24"/>
          <w:lang w:eastAsia="en-GB"/>
        </w:rPr>
        <w:t xml:space="preserve">In current climates of the Steel </w:t>
      </w:r>
      <w:r w:rsidR="00231234">
        <w:rPr>
          <w:rFonts w:ascii="Times New Roman" w:eastAsia="Times New Roman" w:hAnsi="Times New Roman" w:cs="Times New Roman"/>
          <w:sz w:val="24"/>
          <w:szCs w:val="24"/>
          <w:lang w:eastAsia="en-GB"/>
        </w:rPr>
        <w:t xml:space="preserve">industry with highly </w:t>
      </w:r>
      <w:r w:rsidR="002D0D68">
        <w:rPr>
          <w:rFonts w:ascii="Times New Roman" w:eastAsia="Times New Roman" w:hAnsi="Times New Roman" w:cs="Times New Roman"/>
          <w:sz w:val="24"/>
          <w:szCs w:val="24"/>
          <w:lang w:eastAsia="en-GB"/>
        </w:rPr>
        <w:t>competitive</w:t>
      </w:r>
      <w:r w:rsidR="00231234">
        <w:rPr>
          <w:rFonts w:ascii="Times New Roman" w:eastAsia="Times New Roman" w:hAnsi="Times New Roman" w:cs="Times New Roman"/>
          <w:sz w:val="24"/>
          <w:szCs w:val="24"/>
          <w:lang w:eastAsia="en-GB"/>
        </w:rPr>
        <w:t xml:space="preserve"> pricing from </w:t>
      </w:r>
      <w:r w:rsidR="002D0D68">
        <w:rPr>
          <w:rFonts w:ascii="Times New Roman" w:eastAsia="Times New Roman" w:hAnsi="Times New Roman" w:cs="Times New Roman"/>
          <w:sz w:val="24"/>
          <w:szCs w:val="24"/>
          <w:lang w:eastAsia="en-GB"/>
        </w:rPr>
        <w:t xml:space="preserve">Asian Steel it is a critical turning point in TATA UK’s economic health. With an estimated £700 million being invested by TATA Steel </w:t>
      </w:r>
      <w:r w:rsidR="008078A2">
        <w:rPr>
          <w:rFonts w:ascii="Times New Roman" w:eastAsia="Times New Roman" w:hAnsi="Times New Roman" w:cs="Times New Roman"/>
          <w:sz w:val="24"/>
          <w:szCs w:val="24"/>
          <w:lang w:eastAsia="en-GB"/>
        </w:rPr>
        <w:t>Globally</w:t>
      </w:r>
      <w:r w:rsidR="002D0D68">
        <w:rPr>
          <w:rFonts w:ascii="Times New Roman" w:eastAsia="Times New Roman" w:hAnsi="Times New Roman" w:cs="Times New Roman"/>
          <w:sz w:val="24"/>
          <w:szCs w:val="24"/>
          <w:lang w:eastAsia="en-GB"/>
        </w:rPr>
        <w:t xml:space="preserve"> in EAF build along with Government funding. </w:t>
      </w:r>
      <w:r w:rsidR="00911E89">
        <w:rPr>
          <w:rFonts w:ascii="Times New Roman" w:eastAsia="Times New Roman" w:hAnsi="Times New Roman" w:cs="Times New Roman"/>
          <w:sz w:val="24"/>
          <w:szCs w:val="24"/>
          <w:lang w:eastAsia="en-GB"/>
        </w:rPr>
        <w:t xml:space="preserve">The support from government subsidies and policies is key for TATA’s sustainability </w:t>
      </w:r>
      <w:r w:rsidR="002B5F10">
        <w:rPr>
          <w:rFonts w:ascii="Times New Roman" w:eastAsia="Times New Roman" w:hAnsi="Times New Roman" w:cs="Times New Roman"/>
          <w:sz w:val="24"/>
          <w:szCs w:val="24"/>
          <w:lang w:eastAsia="en-GB"/>
        </w:rPr>
        <w:t>initiatives</w:t>
      </w:r>
      <w:r w:rsidR="00911E89">
        <w:rPr>
          <w:rFonts w:ascii="Times New Roman" w:eastAsia="Times New Roman" w:hAnsi="Times New Roman" w:cs="Times New Roman"/>
          <w:sz w:val="24"/>
          <w:szCs w:val="24"/>
          <w:lang w:eastAsia="en-GB"/>
        </w:rPr>
        <w:t xml:space="preserve"> to cross the finish </w:t>
      </w:r>
      <w:r w:rsidR="002B5F10">
        <w:rPr>
          <w:rFonts w:ascii="Times New Roman" w:eastAsia="Times New Roman" w:hAnsi="Times New Roman" w:cs="Times New Roman"/>
          <w:sz w:val="24"/>
          <w:szCs w:val="24"/>
          <w:lang w:eastAsia="en-GB"/>
        </w:rPr>
        <w:t>line</w:t>
      </w:r>
      <w:r w:rsidR="00911E89">
        <w:rPr>
          <w:rFonts w:ascii="Times New Roman" w:eastAsia="Times New Roman" w:hAnsi="Times New Roman" w:cs="Times New Roman"/>
          <w:sz w:val="24"/>
          <w:szCs w:val="24"/>
          <w:lang w:eastAsia="en-GB"/>
        </w:rPr>
        <w:t xml:space="preserve">. </w:t>
      </w:r>
      <w:r w:rsidR="002B5F10">
        <w:rPr>
          <w:rFonts w:ascii="Times New Roman" w:eastAsia="Times New Roman" w:hAnsi="Times New Roman" w:cs="Times New Roman"/>
          <w:sz w:val="24"/>
          <w:szCs w:val="24"/>
          <w:lang w:eastAsia="en-GB"/>
        </w:rPr>
        <w:t xml:space="preserve">It will also affect the </w:t>
      </w:r>
      <w:r w:rsidR="008078A2">
        <w:rPr>
          <w:rFonts w:ascii="Times New Roman" w:eastAsia="Times New Roman" w:hAnsi="Times New Roman" w:cs="Times New Roman"/>
          <w:sz w:val="24"/>
          <w:szCs w:val="24"/>
          <w:lang w:eastAsia="en-GB"/>
        </w:rPr>
        <w:t>p</w:t>
      </w:r>
      <w:r w:rsidR="002B5F10">
        <w:rPr>
          <w:rFonts w:ascii="Times New Roman" w:eastAsia="Times New Roman" w:hAnsi="Times New Roman" w:cs="Times New Roman"/>
          <w:sz w:val="24"/>
          <w:szCs w:val="24"/>
          <w:lang w:eastAsia="en-GB"/>
        </w:rPr>
        <w:t xml:space="preserve">ace as to which TATA steel can implement these initiatives. </w:t>
      </w:r>
    </w:p>
    <w:p w14:paraId="514A6D20" w14:textId="75519E77" w:rsidR="002B5F10" w:rsidRDefault="002B5F10" w:rsidP="005A0576">
      <w:pPr>
        <w:pStyle w:val="ListParagraph"/>
        <w:numPr>
          <w:ilvl w:val="0"/>
          <w:numId w:val="6"/>
        </w:numPr>
        <w:spacing w:before="100" w:beforeAutospacing="1" w:after="100" w:afterAutospacing="1"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With the Steel </w:t>
      </w:r>
      <w:r w:rsidR="0092757A">
        <w:rPr>
          <w:rFonts w:ascii="Times New Roman" w:eastAsia="Times New Roman" w:hAnsi="Times New Roman" w:cs="Times New Roman"/>
          <w:sz w:val="24"/>
          <w:szCs w:val="24"/>
          <w:lang w:eastAsia="en-GB"/>
        </w:rPr>
        <w:t>industry</w:t>
      </w:r>
      <w:r>
        <w:rPr>
          <w:rFonts w:ascii="Times New Roman" w:eastAsia="Times New Roman" w:hAnsi="Times New Roman" w:cs="Times New Roman"/>
          <w:sz w:val="24"/>
          <w:szCs w:val="24"/>
          <w:lang w:eastAsia="en-GB"/>
        </w:rPr>
        <w:t xml:space="preserve"> as a whole being so </w:t>
      </w:r>
      <w:r w:rsidR="0092757A">
        <w:rPr>
          <w:rFonts w:ascii="Times New Roman" w:eastAsia="Times New Roman" w:hAnsi="Times New Roman" w:cs="Times New Roman"/>
          <w:sz w:val="24"/>
          <w:szCs w:val="24"/>
          <w:lang w:eastAsia="en-GB"/>
        </w:rPr>
        <w:t>competitive</w:t>
      </w:r>
      <w:r>
        <w:rPr>
          <w:rFonts w:ascii="Times New Roman" w:eastAsia="Times New Roman" w:hAnsi="Times New Roman" w:cs="Times New Roman"/>
          <w:sz w:val="24"/>
          <w:szCs w:val="24"/>
          <w:lang w:eastAsia="en-GB"/>
        </w:rPr>
        <w:t xml:space="preserve"> </w:t>
      </w:r>
      <w:r w:rsidR="0092757A">
        <w:rPr>
          <w:rFonts w:ascii="Times New Roman" w:eastAsia="Times New Roman" w:hAnsi="Times New Roman" w:cs="Times New Roman"/>
          <w:sz w:val="24"/>
          <w:szCs w:val="24"/>
          <w:lang w:eastAsia="en-GB"/>
        </w:rPr>
        <w:t xml:space="preserve">from areas where sustainability initiatives and policies are not as stringent it is an extremely challenging time for UK steel. </w:t>
      </w:r>
      <w:r w:rsidR="00FD17B2">
        <w:rPr>
          <w:rFonts w:ascii="Times New Roman" w:eastAsia="Times New Roman" w:hAnsi="Times New Roman" w:cs="Times New Roman"/>
          <w:sz w:val="24"/>
          <w:szCs w:val="24"/>
          <w:lang w:eastAsia="en-GB"/>
        </w:rPr>
        <w:t>Navigat</w:t>
      </w:r>
      <w:r w:rsidR="008078A2">
        <w:rPr>
          <w:rFonts w:ascii="Times New Roman" w:eastAsia="Times New Roman" w:hAnsi="Times New Roman" w:cs="Times New Roman"/>
          <w:sz w:val="24"/>
          <w:szCs w:val="24"/>
          <w:lang w:eastAsia="en-GB"/>
        </w:rPr>
        <w:t>ing</w:t>
      </w:r>
      <w:r w:rsidR="00FD17B2">
        <w:rPr>
          <w:rFonts w:ascii="Times New Roman" w:eastAsia="Times New Roman" w:hAnsi="Times New Roman" w:cs="Times New Roman"/>
          <w:sz w:val="24"/>
          <w:szCs w:val="24"/>
          <w:lang w:eastAsia="en-GB"/>
        </w:rPr>
        <w:t xml:space="preserve"> the transition period of supply will be key for TATA stell UK to remain competitive and focusing on customers who want green steel as their products. </w:t>
      </w:r>
    </w:p>
    <w:p w14:paraId="78499739" w14:textId="39DBB61F" w:rsidR="00130947" w:rsidRDefault="00FD17B2" w:rsidP="00FD17B2">
      <w:pPr>
        <w:spacing w:before="100" w:beforeAutospacing="1" w:after="100" w:afterAutospacing="1" w:line="240" w:lineRule="auto"/>
        <w:jc w:val="both"/>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 xml:space="preserve">5.0 </w:t>
      </w:r>
      <w:r w:rsidRPr="00FD17B2">
        <w:rPr>
          <w:rFonts w:ascii="Times New Roman" w:eastAsia="Times New Roman" w:hAnsi="Times New Roman" w:cs="Times New Roman"/>
          <w:b/>
          <w:bCs/>
          <w:sz w:val="24"/>
          <w:szCs w:val="24"/>
          <w:lang w:eastAsia="en-GB"/>
        </w:rPr>
        <w:t>Overcoming challenges</w:t>
      </w:r>
    </w:p>
    <w:p w14:paraId="777EB098" w14:textId="6D67337A" w:rsidR="00C16ECB" w:rsidRPr="006E24CB" w:rsidRDefault="00C16ECB" w:rsidP="00FD17B2">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4CB">
        <w:rPr>
          <w:rFonts w:ascii="Times New Roman" w:eastAsia="Times New Roman" w:hAnsi="Times New Roman" w:cs="Times New Roman"/>
          <w:sz w:val="24"/>
          <w:szCs w:val="24"/>
          <w:lang w:eastAsia="en-GB"/>
        </w:rPr>
        <w:t xml:space="preserve">Key policy </w:t>
      </w:r>
      <w:r w:rsidR="006E24CB" w:rsidRPr="006E24CB">
        <w:rPr>
          <w:rFonts w:ascii="Times New Roman" w:eastAsia="Times New Roman" w:hAnsi="Times New Roman" w:cs="Times New Roman"/>
          <w:sz w:val="24"/>
          <w:szCs w:val="24"/>
          <w:lang w:eastAsia="en-GB"/>
        </w:rPr>
        <w:t>frameworks</w:t>
      </w:r>
      <w:r w:rsidRPr="006E24CB">
        <w:rPr>
          <w:rFonts w:ascii="Times New Roman" w:eastAsia="Times New Roman" w:hAnsi="Times New Roman" w:cs="Times New Roman"/>
          <w:sz w:val="24"/>
          <w:szCs w:val="24"/>
          <w:lang w:eastAsia="en-GB"/>
        </w:rPr>
        <w:t xml:space="preserve"> and </w:t>
      </w:r>
      <w:r w:rsidR="006E24CB" w:rsidRPr="006E24CB">
        <w:rPr>
          <w:rFonts w:ascii="Times New Roman" w:eastAsia="Times New Roman" w:hAnsi="Times New Roman" w:cs="Times New Roman"/>
          <w:sz w:val="24"/>
          <w:szCs w:val="24"/>
          <w:lang w:eastAsia="en-GB"/>
        </w:rPr>
        <w:t>collaboration</w:t>
      </w:r>
      <w:r w:rsidRPr="006E24CB">
        <w:rPr>
          <w:rFonts w:ascii="Times New Roman" w:eastAsia="Times New Roman" w:hAnsi="Times New Roman" w:cs="Times New Roman"/>
          <w:sz w:val="24"/>
          <w:szCs w:val="24"/>
          <w:lang w:eastAsia="en-GB"/>
        </w:rPr>
        <w:t xml:space="preserve"> is </w:t>
      </w:r>
      <w:r w:rsidR="006E24CB" w:rsidRPr="006E24CB">
        <w:rPr>
          <w:rFonts w:ascii="Times New Roman" w:eastAsia="Times New Roman" w:hAnsi="Times New Roman" w:cs="Times New Roman"/>
          <w:sz w:val="24"/>
          <w:szCs w:val="24"/>
          <w:lang w:eastAsia="en-GB"/>
        </w:rPr>
        <w:t>key</w:t>
      </w:r>
      <w:r w:rsidRPr="006E24CB">
        <w:rPr>
          <w:rFonts w:ascii="Times New Roman" w:eastAsia="Times New Roman" w:hAnsi="Times New Roman" w:cs="Times New Roman"/>
          <w:sz w:val="24"/>
          <w:szCs w:val="24"/>
          <w:lang w:eastAsia="en-GB"/>
        </w:rPr>
        <w:t xml:space="preserve"> to overcoming the challenges to route to </w:t>
      </w:r>
      <w:r w:rsidR="006E24CB" w:rsidRPr="006E24CB">
        <w:rPr>
          <w:rFonts w:ascii="Times New Roman" w:eastAsia="Times New Roman" w:hAnsi="Times New Roman" w:cs="Times New Roman"/>
          <w:sz w:val="24"/>
          <w:szCs w:val="24"/>
          <w:lang w:eastAsia="en-GB"/>
        </w:rPr>
        <w:t>NetZero</w:t>
      </w:r>
      <w:r w:rsidRPr="006E24CB">
        <w:rPr>
          <w:rFonts w:ascii="Times New Roman" w:eastAsia="Times New Roman" w:hAnsi="Times New Roman" w:cs="Times New Roman"/>
          <w:sz w:val="24"/>
          <w:szCs w:val="24"/>
          <w:lang w:eastAsia="en-GB"/>
        </w:rPr>
        <w:t>.</w:t>
      </w:r>
    </w:p>
    <w:p w14:paraId="1E41C63F" w14:textId="641684DE" w:rsidR="002259D9" w:rsidRPr="006E24CB" w:rsidRDefault="00C16ECB" w:rsidP="00FD17B2">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4CB">
        <w:rPr>
          <w:rFonts w:ascii="Times New Roman" w:eastAsia="Times New Roman" w:hAnsi="Times New Roman" w:cs="Times New Roman"/>
          <w:sz w:val="24"/>
          <w:szCs w:val="24"/>
          <w:lang w:eastAsia="en-GB"/>
        </w:rPr>
        <w:t xml:space="preserve">The UK’s government </w:t>
      </w:r>
      <w:r w:rsidR="002259D9" w:rsidRPr="006E24CB">
        <w:rPr>
          <w:rFonts w:ascii="Times New Roman" w:eastAsia="Times New Roman" w:hAnsi="Times New Roman" w:cs="Times New Roman"/>
          <w:sz w:val="24"/>
          <w:szCs w:val="24"/>
          <w:lang w:eastAsia="en-GB"/>
        </w:rPr>
        <w:t xml:space="preserve">Carbon Capture and storage </w:t>
      </w:r>
      <w:r w:rsidR="006E24CB" w:rsidRPr="006E24CB">
        <w:rPr>
          <w:rFonts w:ascii="Times New Roman" w:eastAsia="Times New Roman" w:hAnsi="Times New Roman" w:cs="Times New Roman"/>
          <w:sz w:val="24"/>
          <w:szCs w:val="24"/>
          <w:lang w:eastAsia="en-GB"/>
        </w:rPr>
        <w:t>initiatives</w:t>
      </w:r>
      <w:r w:rsidR="002259D9" w:rsidRPr="006E24CB">
        <w:rPr>
          <w:rFonts w:ascii="Times New Roman" w:eastAsia="Times New Roman" w:hAnsi="Times New Roman" w:cs="Times New Roman"/>
          <w:sz w:val="24"/>
          <w:szCs w:val="24"/>
          <w:lang w:eastAsia="en-GB"/>
        </w:rPr>
        <w:t xml:space="preserve"> provide funding and incentives to industries </w:t>
      </w:r>
      <w:r w:rsidR="006E24CB" w:rsidRPr="006E24CB">
        <w:rPr>
          <w:rFonts w:ascii="Times New Roman" w:eastAsia="Times New Roman" w:hAnsi="Times New Roman" w:cs="Times New Roman"/>
          <w:sz w:val="24"/>
          <w:szCs w:val="24"/>
          <w:lang w:eastAsia="en-GB"/>
        </w:rPr>
        <w:t>transitioning</w:t>
      </w:r>
      <w:r w:rsidR="002259D9" w:rsidRPr="006E24CB">
        <w:rPr>
          <w:rFonts w:ascii="Times New Roman" w:eastAsia="Times New Roman" w:hAnsi="Times New Roman" w:cs="Times New Roman"/>
          <w:sz w:val="24"/>
          <w:szCs w:val="24"/>
          <w:lang w:eastAsia="en-GB"/>
        </w:rPr>
        <w:t xml:space="preserve"> to low carbon operations.</w:t>
      </w:r>
    </w:p>
    <w:p w14:paraId="45EBAFFC" w14:textId="38171568" w:rsidR="002259D9" w:rsidRDefault="002259D9" w:rsidP="00FD17B2">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4CB">
        <w:rPr>
          <w:rFonts w:ascii="Times New Roman" w:eastAsia="Times New Roman" w:hAnsi="Times New Roman" w:cs="Times New Roman"/>
          <w:sz w:val="24"/>
          <w:szCs w:val="24"/>
          <w:lang w:eastAsia="en-GB"/>
        </w:rPr>
        <w:t xml:space="preserve">Partnering with key stakeholders </w:t>
      </w:r>
      <w:r w:rsidR="006E24CB" w:rsidRPr="006E24CB">
        <w:rPr>
          <w:rFonts w:ascii="Times New Roman" w:eastAsia="Times New Roman" w:hAnsi="Times New Roman" w:cs="Times New Roman"/>
          <w:sz w:val="24"/>
          <w:szCs w:val="24"/>
          <w:lang w:eastAsia="en-GB"/>
        </w:rPr>
        <w:t>within supply chain can close the material loop, for example collaborating and creating partnerships with competitors to supply steel during the interim has been key for TATA Steel to continue with the downstream operations of producing steel.</w:t>
      </w:r>
      <w:r w:rsidR="00385CFB">
        <w:rPr>
          <w:rFonts w:ascii="Times New Roman" w:eastAsia="Times New Roman" w:hAnsi="Times New Roman" w:cs="Times New Roman"/>
          <w:sz w:val="24"/>
          <w:szCs w:val="24"/>
          <w:lang w:eastAsia="en-GB"/>
        </w:rPr>
        <w:t xml:space="preserve"> When looking ta </w:t>
      </w:r>
      <w:r w:rsidR="003A041A">
        <w:rPr>
          <w:rFonts w:ascii="Times New Roman" w:eastAsia="Times New Roman" w:hAnsi="Times New Roman" w:cs="Times New Roman"/>
          <w:sz w:val="24"/>
          <w:szCs w:val="24"/>
          <w:lang w:eastAsia="en-GB"/>
        </w:rPr>
        <w:t>collaborators</w:t>
      </w:r>
      <w:r w:rsidR="00385CFB">
        <w:rPr>
          <w:rFonts w:ascii="Times New Roman" w:eastAsia="Times New Roman" w:hAnsi="Times New Roman" w:cs="Times New Roman"/>
          <w:sz w:val="24"/>
          <w:szCs w:val="24"/>
          <w:lang w:eastAsia="en-GB"/>
        </w:rPr>
        <w:t xml:space="preserve"> it has been important for TATA Steel to choose their 3</w:t>
      </w:r>
      <w:r w:rsidR="00385CFB" w:rsidRPr="00385CFB">
        <w:rPr>
          <w:rFonts w:ascii="Times New Roman" w:eastAsia="Times New Roman" w:hAnsi="Times New Roman" w:cs="Times New Roman"/>
          <w:sz w:val="24"/>
          <w:szCs w:val="24"/>
          <w:vertAlign w:val="superscript"/>
          <w:lang w:eastAsia="en-GB"/>
        </w:rPr>
        <w:t>rd</w:t>
      </w:r>
      <w:r w:rsidR="00385CFB">
        <w:rPr>
          <w:rFonts w:ascii="Times New Roman" w:eastAsia="Times New Roman" w:hAnsi="Times New Roman" w:cs="Times New Roman"/>
          <w:sz w:val="24"/>
          <w:szCs w:val="24"/>
          <w:lang w:eastAsia="en-GB"/>
        </w:rPr>
        <w:t xml:space="preserve"> party suppliers who can provide the same quality and also </w:t>
      </w:r>
      <w:r w:rsidR="003A041A">
        <w:rPr>
          <w:rFonts w:ascii="Times New Roman" w:eastAsia="Times New Roman" w:hAnsi="Times New Roman" w:cs="Times New Roman"/>
          <w:sz w:val="24"/>
          <w:szCs w:val="24"/>
          <w:lang w:eastAsia="en-GB"/>
        </w:rPr>
        <w:t xml:space="preserve">have the same NetZero goals to close the loop with sustainability from a carbon emissions standpoint. </w:t>
      </w:r>
    </w:p>
    <w:p w14:paraId="513E724A" w14:textId="2EB4E429" w:rsidR="006E24CB" w:rsidRDefault="006E24CB" w:rsidP="00FD17B2">
      <w:pPr>
        <w:spacing w:before="100" w:beforeAutospacing="1" w:after="100" w:afterAutospacing="1"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6.0 Conclusion</w:t>
      </w:r>
    </w:p>
    <w:p w14:paraId="148645D9" w14:textId="5CA99D3C" w:rsidR="006E24CB" w:rsidRDefault="00CE74B4" w:rsidP="00FD17B2">
      <w:pPr>
        <w:spacing w:before="100" w:beforeAutospacing="1" w:after="100" w:afterAutospacing="1"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Looking at TATA Steel’s circular economy </w:t>
      </w:r>
      <w:r w:rsidR="0074706E">
        <w:rPr>
          <w:rFonts w:ascii="Times New Roman" w:eastAsia="Times New Roman" w:hAnsi="Times New Roman" w:cs="Times New Roman"/>
          <w:sz w:val="24"/>
          <w:szCs w:val="24"/>
          <w:lang w:eastAsia="en-GB"/>
        </w:rPr>
        <w:t>initiatives</w:t>
      </w:r>
      <w:r>
        <w:rPr>
          <w:rFonts w:ascii="Times New Roman" w:eastAsia="Times New Roman" w:hAnsi="Times New Roman" w:cs="Times New Roman"/>
          <w:sz w:val="24"/>
          <w:szCs w:val="24"/>
          <w:lang w:eastAsia="en-GB"/>
        </w:rPr>
        <w:t xml:space="preserve"> illustrates the synergy between sustainability and industrial innovation. </w:t>
      </w:r>
      <w:r w:rsidR="00E10E23">
        <w:rPr>
          <w:rFonts w:ascii="Times New Roman" w:eastAsia="Times New Roman" w:hAnsi="Times New Roman" w:cs="Times New Roman"/>
          <w:sz w:val="24"/>
          <w:szCs w:val="24"/>
          <w:lang w:eastAsia="en-GB"/>
        </w:rPr>
        <w:t xml:space="preserve">By adopting these </w:t>
      </w:r>
      <w:r w:rsidR="0074706E">
        <w:rPr>
          <w:rFonts w:ascii="Times New Roman" w:eastAsia="Times New Roman" w:hAnsi="Times New Roman" w:cs="Times New Roman"/>
          <w:sz w:val="24"/>
          <w:szCs w:val="24"/>
          <w:lang w:eastAsia="en-GB"/>
        </w:rPr>
        <w:t>initiatives</w:t>
      </w:r>
      <w:r w:rsidR="00E10E23">
        <w:rPr>
          <w:rFonts w:ascii="Times New Roman" w:eastAsia="Times New Roman" w:hAnsi="Times New Roman" w:cs="Times New Roman"/>
          <w:sz w:val="24"/>
          <w:szCs w:val="24"/>
          <w:lang w:eastAsia="en-GB"/>
        </w:rPr>
        <w:t xml:space="preserve"> TATA is </w:t>
      </w:r>
      <w:proofErr w:type="spellStart"/>
      <w:r w:rsidR="00E10E23">
        <w:rPr>
          <w:rFonts w:ascii="Times New Roman" w:eastAsia="Times New Roman" w:hAnsi="Times New Roman" w:cs="Times New Roman"/>
          <w:sz w:val="24"/>
          <w:szCs w:val="24"/>
          <w:lang w:eastAsia="en-GB"/>
        </w:rPr>
        <w:t>inline</w:t>
      </w:r>
      <w:proofErr w:type="spellEnd"/>
      <w:r w:rsidR="00E10E23">
        <w:rPr>
          <w:rFonts w:ascii="Times New Roman" w:eastAsia="Times New Roman" w:hAnsi="Times New Roman" w:cs="Times New Roman"/>
          <w:sz w:val="24"/>
          <w:szCs w:val="24"/>
          <w:lang w:eastAsia="en-GB"/>
        </w:rPr>
        <w:t xml:space="preserve"> with the </w:t>
      </w:r>
      <w:r w:rsidR="0074706E">
        <w:rPr>
          <w:rFonts w:ascii="Times New Roman" w:eastAsia="Times New Roman" w:hAnsi="Times New Roman" w:cs="Times New Roman"/>
          <w:sz w:val="24"/>
          <w:szCs w:val="24"/>
          <w:lang w:eastAsia="en-GB"/>
        </w:rPr>
        <w:t>NetZero</w:t>
      </w:r>
      <w:r w:rsidR="00E10E23">
        <w:rPr>
          <w:rFonts w:ascii="Times New Roman" w:eastAsia="Times New Roman" w:hAnsi="Times New Roman" w:cs="Times New Roman"/>
          <w:sz w:val="24"/>
          <w:szCs w:val="24"/>
          <w:lang w:eastAsia="en-GB"/>
        </w:rPr>
        <w:t xml:space="preserve">  goals. However </w:t>
      </w:r>
      <w:r w:rsidR="00A2443D">
        <w:rPr>
          <w:rFonts w:ascii="Times New Roman" w:eastAsia="Times New Roman" w:hAnsi="Times New Roman" w:cs="Times New Roman"/>
          <w:sz w:val="24"/>
          <w:szCs w:val="24"/>
          <w:lang w:eastAsia="en-GB"/>
        </w:rPr>
        <w:t xml:space="preserve">to </w:t>
      </w:r>
      <w:r w:rsidR="0074706E">
        <w:rPr>
          <w:rFonts w:ascii="Times New Roman" w:eastAsia="Times New Roman" w:hAnsi="Times New Roman" w:cs="Times New Roman"/>
          <w:sz w:val="24"/>
          <w:szCs w:val="24"/>
          <w:lang w:eastAsia="en-GB"/>
        </w:rPr>
        <w:t>realise</w:t>
      </w:r>
      <w:r w:rsidR="00A2443D">
        <w:rPr>
          <w:rFonts w:ascii="Times New Roman" w:eastAsia="Times New Roman" w:hAnsi="Times New Roman" w:cs="Times New Roman"/>
          <w:sz w:val="24"/>
          <w:szCs w:val="24"/>
          <w:lang w:eastAsia="en-GB"/>
        </w:rPr>
        <w:t xml:space="preserve"> these strategies to the full potential there a key challenges to overcome and only time </w:t>
      </w:r>
      <w:r w:rsidR="0074706E">
        <w:rPr>
          <w:rFonts w:ascii="Times New Roman" w:eastAsia="Times New Roman" w:hAnsi="Times New Roman" w:cs="Times New Roman"/>
          <w:sz w:val="24"/>
          <w:szCs w:val="24"/>
          <w:lang w:eastAsia="en-GB"/>
        </w:rPr>
        <w:t>will</w:t>
      </w:r>
      <w:r w:rsidR="00A2443D">
        <w:rPr>
          <w:rFonts w:ascii="Times New Roman" w:eastAsia="Times New Roman" w:hAnsi="Times New Roman" w:cs="Times New Roman"/>
          <w:sz w:val="24"/>
          <w:szCs w:val="24"/>
          <w:lang w:eastAsia="en-GB"/>
        </w:rPr>
        <w:t xml:space="preserve"> </w:t>
      </w:r>
      <w:r w:rsidR="0074706E">
        <w:rPr>
          <w:rFonts w:ascii="Times New Roman" w:eastAsia="Times New Roman" w:hAnsi="Times New Roman" w:cs="Times New Roman"/>
          <w:sz w:val="24"/>
          <w:szCs w:val="24"/>
          <w:lang w:eastAsia="en-GB"/>
        </w:rPr>
        <w:t>t</w:t>
      </w:r>
      <w:r w:rsidR="00A2443D">
        <w:rPr>
          <w:rFonts w:ascii="Times New Roman" w:eastAsia="Times New Roman" w:hAnsi="Times New Roman" w:cs="Times New Roman"/>
          <w:sz w:val="24"/>
          <w:szCs w:val="24"/>
          <w:lang w:eastAsia="en-GB"/>
        </w:rPr>
        <w:t>ell if TATA Steel’s economic health will allow the time it will take to develop the EAF and su</w:t>
      </w:r>
      <w:r w:rsidR="0074706E">
        <w:rPr>
          <w:rFonts w:ascii="Times New Roman" w:eastAsia="Times New Roman" w:hAnsi="Times New Roman" w:cs="Times New Roman"/>
          <w:sz w:val="24"/>
          <w:szCs w:val="24"/>
          <w:lang w:eastAsia="en-GB"/>
        </w:rPr>
        <w:t>stain</w:t>
      </w:r>
      <w:r w:rsidR="00A2443D">
        <w:rPr>
          <w:rFonts w:ascii="Times New Roman" w:eastAsia="Times New Roman" w:hAnsi="Times New Roman" w:cs="Times New Roman"/>
          <w:sz w:val="24"/>
          <w:szCs w:val="24"/>
          <w:lang w:eastAsia="en-GB"/>
        </w:rPr>
        <w:t xml:space="preserve"> stell making in the UK. </w:t>
      </w:r>
      <w:r w:rsidR="00A861AD">
        <w:rPr>
          <w:rFonts w:ascii="Times New Roman" w:eastAsia="Times New Roman" w:hAnsi="Times New Roman" w:cs="Times New Roman"/>
          <w:sz w:val="24"/>
          <w:szCs w:val="24"/>
          <w:lang w:eastAsia="en-GB"/>
        </w:rPr>
        <w:t xml:space="preserve">The </w:t>
      </w:r>
      <w:r w:rsidR="0074706E">
        <w:rPr>
          <w:rFonts w:ascii="Times New Roman" w:eastAsia="Times New Roman" w:hAnsi="Times New Roman" w:cs="Times New Roman"/>
          <w:sz w:val="24"/>
          <w:szCs w:val="24"/>
          <w:lang w:eastAsia="en-GB"/>
        </w:rPr>
        <w:t>collaborative</w:t>
      </w:r>
      <w:r w:rsidR="00A861AD">
        <w:rPr>
          <w:rFonts w:ascii="Times New Roman" w:eastAsia="Times New Roman" w:hAnsi="Times New Roman" w:cs="Times New Roman"/>
          <w:sz w:val="24"/>
          <w:szCs w:val="24"/>
          <w:lang w:eastAsia="en-GB"/>
        </w:rPr>
        <w:t xml:space="preserve"> objectives and sustained policy support from government are </w:t>
      </w:r>
      <w:r w:rsidR="0074706E">
        <w:rPr>
          <w:rFonts w:ascii="Times New Roman" w:eastAsia="Times New Roman" w:hAnsi="Times New Roman" w:cs="Times New Roman"/>
          <w:sz w:val="24"/>
          <w:szCs w:val="24"/>
          <w:lang w:eastAsia="en-GB"/>
        </w:rPr>
        <w:t>critical</w:t>
      </w:r>
      <w:r w:rsidR="00A861AD">
        <w:rPr>
          <w:rFonts w:ascii="Times New Roman" w:eastAsia="Times New Roman" w:hAnsi="Times New Roman" w:cs="Times New Roman"/>
          <w:sz w:val="24"/>
          <w:szCs w:val="24"/>
          <w:lang w:eastAsia="en-GB"/>
        </w:rPr>
        <w:t xml:space="preserve"> </w:t>
      </w:r>
      <w:r w:rsidR="0074706E">
        <w:rPr>
          <w:rFonts w:ascii="Times New Roman" w:eastAsia="Times New Roman" w:hAnsi="Times New Roman" w:cs="Times New Roman"/>
          <w:sz w:val="24"/>
          <w:szCs w:val="24"/>
          <w:lang w:eastAsia="en-GB"/>
        </w:rPr>
        <w:t>to upscaling the practices and making UK Steel making not only sustainable but profitable.</w:t>
      </w:r>
      <w:r w:rsidR="00102780">
        <w:rPr>
          <w:rFonts w:ascii="Times New Roman" w:eastAsia="Times New Roman" w:hAnsi="Times New Roman" w:cs="Times New Roman"/>
          <w:sz w:val="24"/>
          <w:szCs w:val="24"/>
          <w:lang w:eastAsia="en-GB"/>
        </w:rPr>
        <w:t xml:space="preserve"> </w:t>
      </w:r>
      <w:r w:rsidR="00B55156">
        <w:rPr>
          <w:rFonts w:ascii="Times New Roman" w:eastAsia="Times New Roman" w:hAnsi="Times New Roman" w:cs="Times New Roman"/>
          <w:sz w:val="24"/>
          <w:szCs w:val="24"/>
          <w:lang w:eastAsia="en-GB"/>
        </w:rPr>
        <w:t xml:space="preserve">Time scales for research circular economy is a relatively new </w:t>
      </w:r>
      <w:r w:rsidR="00502DC3">
        <w:rPr>
          <w:rFonts w:ascii="Times New Roman" w:eastAsia="Times New Roman" w:hAnsi="Times New Roman" w:cs="Times New Roman"/>
          <w:sz w:val="24"/>
          <w:szCs w:val="24"/>
          <w:lang w:eastAsia="en-GB"/>
        </w:rPr>
        <w:t>theory</w:t>
      </w:r>
      <w:r w:rsidR="00B55156">
        <w:rPr>
          <w:rFonts w:ascii="Times New Roman" w:eastAsia="Times New Roman" w:hAnsi="Times New Roman" w:cs="Times New Roman"/>
          <w:sz w:val="24"/>
          <w:szCs w:val="24"/>
          <w:lang w:eastAsia="en-GB"/>
        </w:rPr>
        <w:t xml:space="preserve"> with many different definitions. </w:t>
      </w:r>
      <w:sdt>
        <w:sdtPr>
          <w:rPr>
            <w:rFonts w:ascii="Times New Roman" w:eastAsia="Times New Roman" w:hAnsi="Times New Roman" w:cs="Times New Roman"/>
            <w:sz w:val="24"/>
            <w:szCs w:val="24"/>
            <w:lang w:eastAsia="en-GB"/>
          </w:rPr>
          <w:id w:val="-1235697072"/>
          <w:citation/>
        </w:sdtPr>
        <w:sdtEndPr/>
        <w:sdtContent>
          <w:r w:rsidR="00160360">
            <w:rPr>
              <w:rFonts w:ascii="Times New Roman" w:eastAsia="Times New Roman" w:hAnsi="Times New Roman" w:cs="Times New Roman"/>
              <w:sz w:val="24"/>
              <w:szCs w:val="24"/>
              <w:lang w:eastAsia="en-GB"/>
            </w:rPr>
            <w:fldChar w:fldCharType="begin"/>
          </w:r>
          <w:r w:rsidR="00160360">
            <w:rPr>
              <w:rFonts w:ascii="Times New Roman" w:eastAsia="Times New Roman" w:hAnsi="Times New Roman" w:cs="Times New Roman"/>
              <w:sz w:val="24"/>
              <w:szCs w:val="24"/>
              <w:lang w:eastAsia="en-GB"/>
            </w:rPr>
            <w:instrText xml:space="preserve"> CITATION Pie22 \l 2057 </w:instrText>
          </w:r>
          <w:r w:rsidR="00160360">
            <w:rPr>
              <w:rFonts w:ascii="Times New Roman" w:eastAsia="Times New Roman" w:hAnsi="Times New Roman" w:cs="Times New Roman"/>
              <w:sz w:val="24"/>
              <w:szCs w:val="24"/>
              <w:lang w:eastAsia="en-GB"/>
            </w:rPr>
            <w:fldChar w:fldCharType="separate"/>
          </w:r>
          <w:r w:rsidR="00160360" w:rsidRPr="00160360">
            <w:rPr>
              <w:rFonts w:ascii="Times New Roman" w:eastAsia="Times New Roman" w:hAnsi="Times New Roman" w:cs="Times New Roman"/>
              <w:noProof/>
              <w:sz w:val="24"/>
              <w:szCs w:val="24"/>
              <w:lang w:eastAsia="en-GB"/>
            </w:rPr>
            <w:t>(Giovanni, 2022)</w:t>
          </w:r>
          <w:r w:rsidR="00160360">
            <w:rPr>
              <w:rFonts w:ascii="Times New Roman" w:eastAsia="Times New Roman" w:hAnsi="Times New Roman" w:cs="Times New Roman"/>
              <w:sz w:val="24"/>
              <w:szCs w:val="24"/>
              <w:lang w:eastAsia="en-GB"/>
            </w:rPr>
            <w:fldChar w:fldCharType="end"/>
          </w:r>
        </w:sdtContent>
      </w:sdt>
      <w:r w:rsidR="0074706E">
        <w:rPr>
          <w:rFonts w:ascii="Times New Roman" w:eastAsia="Times New Roman" w:hAnsi="Times New Roman" w:cs="Times New Roman"/>
          <w:sz w:val="24"/>
          <w:szCs w:val="24"/>
          <w:lang w:eastAsia="en-GB"/>
        </w:rPr>
        <w:t xml:space="preserve"> </w:t>
      </w:r>
    </w:p>
    <w:p w14:paraId="50DF3EA3" w14:textId="5B0E7EC2" w:rsidR="00502DC3" w:rsidRPr="006E24CB" w:rsidRDefault="00502DC3" w:rsidP="00FD17B2">
      <w:pPr>
        <w:spacing w:before="100" w:beforeAutospacing="1" w:after="100" w:afterAutospacing="1"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With the current position of the Steel industry as a whole this report only touches the surface of the sustainability movement within supply chain at TATA. </w:t>
      </w:r>
      <w:r w:rsidR="00966BC9">
        <w:rPr>
          <w:rFonts w:ascii="Times New Roman" w:eastAsia="Times New Roman" w:hAnsi="Times New Roman" w:cs="Times New Roman"/>
          <w:sz w:val="24"/>
          <w:szCs w:val="24"/>
          <w:lang w:eastAsia="en-GB"/>
        </w:rPr>
        <w:t xml:space="preserve">Globally there are many initiatives and companies who have a applied circular economy theory to their supply chain and are </w:t>
      </w:r>
      <w:r w:rsidR="009261E1">
        <w:rPr>
          <w:rFonts w:ascii="Times New Roman" w:eastAsia="Times New Roman" w:hAnsi="Times New Roman" w:cs="Times New Roman"/>
          <w:sz w:val="24"/>
          <w:szCs w:val="24"/>
          <w:lang w:eastAsia="en-GB"/>
        </w:rPr>
        <w:t>mature</w:t>
      </w:r>
      <w:r w:rsidR="00966BC9">
        <w:rPr>
          <w:rFonts w:ascii="Times New Roman" w:eastAsia="Times New Roman" w:hAnsi="Times New Roman" w:cs="Times New Roman"/>
          <w:sz w:val="24"/>
          <w:szCs w:val="24"/>
          <w:lang w:eastAsia="en-GB"/>
        </w:rPr>
        <w:t xml:space="preserve"> in their current markets. To really look at the effects of circular economy and </w:t>
      </w:r>
      <w:r w:rsidR="009261E1">
        <w:rPr>
          <w:rFonts w:ascii="Times New Roman" w:eastAsia="Times New Roman" w:hAnsi="Times New Roman" w:cs="Times New Roman"/>
          <w:sz w:val="24"/>
          <w:szCs w:val="24"/>
          <w:lang w:eastAsia="en-GB"/>
        </w:rPr>
        <w:t xml:space="preserve">sustainability further case studies could be used to compare </w:t>
      </w:r>
      <w:r w:rsidR="00F16570">
        <w:rPr>
          <w:rFonts w:ascii="Times New Roman" w:eastAsia="Times New Roman" w:hAnsi="Times New Roman" w:cs="Times New Roman"/>
          <w:sz w:val="24"/>
          <w:szCs w:val="24"/>
          <w:lang w:eastAsia="en-GB"/>
        </w:rPr>
        <w:t xml:space="preserve">different stages of their transition and relate this back to TATA’s current position. </w:t>
      </w:r>
      <w:r w:rsidR="00385CFB">
        <w:rPr>
          <w:rFonts w:ascii="Times New Roman" w:eastAsia="Times New Roman" w:hAnsi="Times New Roman" w:cs="Times New Roman"/>
          <w:sz w:val="24"/>
          <w:szCs w:val="24"/>
          <w:lang w:eastAsia="en-GB"/>
        </w:rPr>
        <w:t xml:space="preserve">For example a globally renowned brand such as Nike uses collaboration within their supply chain to ensure suppliers of their materials use sustainable material to future proof their products. </w:t>
      </w:r>
    </w:p>
    <w:p w14:paraId="74A1EC9F" w14:textId="77777777" w:rsidR="006E24CB" w:rsidRPr="00FD17B2" w:rsidRDefault="006E24CB" w:rsidP="00FD17B2">
      <w:pPr>
        <w:spacing w:before="100" w:beforeAutospacing="1" w:after="100" w:afterAutospacing="1" w:line="240" w:lineRule="auto"/>
        <w:jc w:val="both"/>
        <w:rPr>
          <w:rFonts w:ascii="Times New Roman" w:eastAsia="Times New Roman" w:hAnsi="Times New Roman" w:cs="Times New Roman"/>
          <w:b/>
          <w:bCs/>
          <w:sz w:val="24"/>
          <w:szCs w:val="24"/>
          <w:lang w:eastAsia="en-GB"/>
        </w:rPr>
      </w:pPr>
    </w:p>
    <w:p w14:paraId="20B475F1" w14:textId="77777777" w:rsidR="000D519B" w:rsidRPr="000D519B" w:rsidRDefault="000D519B" w:rsidP="006603A8">
      <w:pPr>
        <w:pStyle w:val="ListParagraph"/>
        <w:spacing w:before="100" w:beforeAutospacing="1" w:after="100" w:afterAutospacing="1" w:line="240" w:lineRule="auto"/>
        <w:rPr>
          <w:rFonts w:ascii="Times New Roman" w:eastAsia="Times New Roman" w:hAnsi="Times New Roman" w:cs="Times New Roman"/>
          <w:b/>
          <w:bCs/>
          <w:sz w:val="24"/>
          <w:szCs w:val="24"/>
          <w:lang w:eastAsia="en-GB"/>
        </w:rPr>
      </w:pPr>
    </w:p>
    <w:p w14:paraId="3605EF07" w14:textId="77777777" w:rsidR="000D519B" w:rsidRPr="000D519B" w:rsidRDefault="000D519B" w:rsidP="006603A8">
      <w:pPr>
        <w:pStyle w:val="ListParagraph"/>
        <w:spacing w:before="100" w:beforeAutospacing="1" w:after="100" w:afterAutospacing="1" w:line="240" w:lineRule="auto"/>
        <w:rPr>
          <w:rFonts w:ascii="Times New Roman" w:eastAsia="Times New Roman" w:hAnsi="Times New Roman" w:cs="Times New Roman"/>
          <w:b/>
          <w:bCs/>
          <w:sz w:val="24"/>
          <w:szCs w:val="24"/>
          <w:lang w:eastAsia="en-GB"/>
        </w:rPr>
      </w:pPr>
      <w:r w:rsidRPr="000D519B">
        <w:rPr>
          <w:rFonts w:ascii="Times New Roman" w:eastAsia="Times New Roman" w:hAnsi="Times New Roman" w:cs="Times New Roman"/>
          <w:b/>
          <w:bCs/>
          <w:sz w:val="24"/>
          <w:szCs w:val="24"/>
          <w:lang w:eastAsia="en-GB"/>
        </w:rPr>
        <w:t>References</w:t>
      </w:r>
    </w:p>
    <w:p w14:paraId="215BE095" w14:textId="77777777" w:rsidR="000D519B" w:rsidRDefault="000D519B" w:rsidP="000D519B">
      <w:pPr>
        <w:pStyle w:val="Bibliography"/>
        <w:ind w:left="720" w:hanging="720"/>
        <w:rPr>
          <w:noProof/>
          <w:sz w:val="24"/>
          <w:szCs w:val="24"/>
        </w:rPr>
      </w:pPr>
      <w:r>
        <w:rPr>
          <w:rFonts w:ascii="Times New Roman" w:eastAsia="Times New Roman" w:hAnsi="Times New Roman" w:cs="Times New Roman"/>
          <w:sz w:val="24"/>
          <w:szCs w:val="24"/>
          <w:lang w:eastAsia="en-GB"/>
        </w:rPr>
        <w:fldChar w:fldCharType="begin"/>
      </w:r>
      <w:r>
        <w:rPr>
          <w:rFonts w:ascii="Times New Roman" w:eastAsia="Times New Roman" w:hAnsi="Times New Roman" w:cs="Times New Roman"/>
          <w:sz w:val="24"/>
          <w:szCs w:val="24"/>
          <w:lang w:eastAsia="en-GB"/>
        </w:rPr>
        <w:instrText xml:space="preserve"> BIBLIOGRAPHY  \l 2057 </w:instrText>
      </w:r>
      <w:r>
        <w:rPr>
          <w:rFonts w:ascii="Times New Roman" w:eastAsia="Times New Roman" w:hAnsi="Times New Roman" w:cs="Times New Roman"/>
          <w:sz w:val="24"/>
          <w:szCs w:val="24"/>
          <w:lang w:eastAsia="en-GB"/>
        </w:rPr>
        <w:fldChar w:fldCharType="separate"/>
      </w:r>
      <w:r>
        <w:rPr>
          <w:noProof/>
        </w:rPr>
        <w:t xml:space="preserve">Anderson, M. (2007). </w:t>
      </w:r>
      <w:r>
        <w:rPr>
          <w:i/>
          <w:iCs/>
          <w:noProof/>
        </w:rPr>
        <w:t>An introdcutory note on the environmetal economics of the circular economy,2(1).</w:t>
      </w:r>
      <w:r>
        <w:rPr>
          <w:noProof/>
        </w:rPr>
        <w:t xml:space="preserve"> </w:t>
      </w:r>
    </w:p>
    <w:p w14:paraId="5CC3826D" w14:textId="77777777" w:rsidR="000D519B" w:rsidRDefault="000D519B" w:rsidP="000D519B">
      <w:pPr>
        <w:pStyle w:val="Bibliography"/>
        <w:ind w:left="720" w:hanging="720"/>
        <w:rPr>
          <w:noProof/>
        </w:rPr>
      </w:pPr>
      <w:r>
        <w:rPr>
          <w:noProof/>
        </w:rPr>
        <w:t xml:space="preserve">Enviornment Defense Fund. (2024). Pathways to Net Zero. </w:t>
      </w:r>
      <w:r>
        <w:rPr>
          <w:i/>
          <w:iCs/>
          <w:noProof/>
        </w:rPr>
        <w:t>Circular Strategies for Climate Action</w:t>
      </w:r>
      <w:r>
        <w:rPr>
          <w:noProof/>
        </w:rPr>
        <w:t>, 1.</w:t>
      </w:r>
    </w:p>
    <w:p w14:paraId="536F88AE" w14:textId="77777777" w:rsidR="000D519B" w:rsidRDefault="000D519B" w:rsidP="000D519B">
      <w:pPr>
        <w:pStyle w:val="Bibliography"/>
        <w:ind w:left="720" w:hanging="720"/>
        <w:rPr>
          <w:noProof/>
        </w:rPr>
      </w:pPr>
      <w:r>
        <w:rPr>
          <w:noProof/>
        </w:rPr>
        <w:t xml:space="preserve">HM Government. (2021). </w:t>
      </w:r>
      <w:r>
        <w:rPr>
          <w:i/>
          <w:iCs/>
          <w:noProof/>
        </w:rPr>
        <w:t>Industrial Decarbonisation strategy.</w:t>
      </w:r>
      <w:r>
        <w:rPr>
          <w:noProof/>
        </w:rPr>
        <w:t xml:space="preserve"> </w:t>
      </w:r>
    </w:p>
    <w:p w14:paraId="78DB696D" w14:textId="77777777" w:rsidR="000D519B" w:rsidRDefault="000D519B" w:rsidP="000D519B">
      <w:pPr>
        <w:pStyle w:val="Bibliography"/>
        <w:ind w:left="720" w:hanging="720"/>
        <w:rPr>
          <w:noProof/>
        </w:rPr>
      </w:pPr>
      <w:r>
        <w:rPr>
          <w:noProof/>
        </w:rPr>
        <w:t>Pietrulla, S. G. (2022). The Circular Economy and circular economic concepts- a literature analysis and redefinition. 12.</w:t>
      </w:r>
    </w:p>
    <w:p w14:paraId="14688239" w14:textId="77777777" w:rsidR="000D519B" w:rsidRDefault="000D519B" w:rsidP="000D519B">
      <w:pPr>
        <w:pStyle w:val="Bibliography"/>
        <w:ind w:left="720" w:hanging="720"/>
        <w:rPr>
          <w:noProof/>
        </w:rPr>
      </w:pPr>
      <w:r>
        <w:rPr>
          <w:noProof/>
        </w:rPr>
        <w:t xml:space="preserve">Tata Steel. (2022). </w:t>
      </w:r>
      <w:r>
        <w:rPr>
          <w:i/>
          <w:iCs/>
          <w:noProof/>
        </w:rPr>
        <w:t>Tata Steel Europe</w:t>
      </w:r>
      <w:r>
        <w:rPr>
          <w:noProof/>
        </w:rPr>
        <w:t>. Retrieved from www.tatasteeleurope.com</w:t>
      </w:r>
    </w:p>
    <w:p w14:paraId="08586F7F" w14:textId="77777777" w:rsidR="000D519B" w:rsidRDefault="000D519B" w:rsidP="000D519B">
      <w:pPr>
        <w:pStyle w:val="Bibliography"/>
        <w:ind w:left="720" w:hanging="720"/>
        <w:rPr>
          <w:noProof/>
        </w:rPr>
      </w:pPr>
      <w:r>
        <w:rPr>
          <w:noProof/>
        </w:rPr>
        <w:t xml:space="preserve">TATA Steel Europe. (2024). </w:t>
      </w:r>
      <w:r>
        <w:rPr>
          <w:i/>
          <w:iCs/>
          <w:noProof/>
        </w:rPr>
        <w:t>Steel Matters</w:t>
      </w:r>
      <w:r>
        <w:rPr>
          <w:noProof/>
        </w:rPr>
        <w:t>. Retrieved from https://tsx.sharepoint.com/sites/StripUKComms/Shared%20Documents/Forms/Picture%20default.aspx?id=%2Fsites%2FStripUKComms%2FShared%20Documents%2FInternal%20Communication%2FNewspaper%2FNewspaper%20PDF%27s%2F2024%2FSteel%20Matters%20Issue%2026%2Epdf&amp;parent=%</w:t>
      </w:r>
    </w:p>
    <w:p w14:paraId="43BA03BF" w14:textId="77777777" w:rsidR="000D519B" w:rsidRDefault="000D519B" w:rsidP="000D519B">
      <w:pPr>
        <w:pStyle w:val="Bibliography"/>
        <w:ind w:left="720" w:hanging="720"/>
        <w:rPr>
          <w:noProof/>
        </w:rPr>
      </w:pPr>
      <w:r>
        <w:rPr>
          <w:noProof/>
        </w:rPr>
        <w:t xml:space="preserve">World Steel Association. (2021). </w:t>
      </w:r>
      <w:r>
        <w:rPr>
          <w:i/>
          <w:iCs/>
          <w:noProof/>
        </w:rPr>
        <w:t>Sustainabilty Indicators.</w:t>
      </w:r>
      <w:r>
        <w:rPr>
          <w:noProof/>
        </w:rPr>
        <w:t xml:space="preserve"> </w:t>
      </w:r>
    </w:p>
    <w:p w14:paraId="0D67BF45" w14:textId="77777777" w:rsidR="000D519B" w:rsidRDefault="000D519B" w:rsidP="000D519B"/>
    <w:p w14:paraId="7D20E2EA" w14:textId="77777777" w:rsidR="000D519B" w:rsidRDefault="000D519B" w:rsidP="000D519B"/>
    <w:p w14:paraId="4254E16F" w14:textId="77777777" w:rsidR="000D519B" w:rsidRDefault="000D519B" w:rsidP="000D519B"/>
    <w:p w14:paraId="74A7BE45" w14:textId="77777777" w:rsidR="000D519B" w:rsidRDefault="000D519B" w:rsidP="000D519B"/>
    <w:p w14:paraId="1881C852" w14:textId="77777777" w:rsidR="000D519B" w:rsidRDefault="000D519B" w:rsidP="000D519B"/>
    <w:p w14:paraId="6E7ADC8E" w14:textId="77777777" w:rsidR="000D519B" w:rsidRDefault="000D519B" w:rsidP="000D519B"/>
    <w:p w14:paraId="21D557AF" w14:textId="77777777" w:rsidR="000D519B" w:rsidRDefault="000D519B" w:rsidP="000D519B"/>
    <w:p w14:paraId="3D140A41" w14:textId="77777777" w:rsidR="000D519B" w:rsidRDefault="000D519B" w:rsidP="000D519B"/>
    <w:p w14:paraId="00B8C163" w14:textId="77777777" w:rsidR="000D519B" w:rsidRDefault="000D519B" w:rsidP="000D519B"/>
    <w:p w14:paraId="034B7458" w14:textId="77777777" w:rsidR="000D519B" w:rsidRDefault="000D519B" w:rsidP="000D519B"/>
    <w:p w14:paraId="243E7964" w14:textId="77777777" w:rsidR="000D519B" w:rsidRDefault="000D519B" w:rsidP="000D519B"/>
    <w:p w14:paraId="6BFD8658" w14:textId="77777777" w:rsidR="000D519B" w:rsidRDefault="000D519B" w:rsidP="000D519B"/>
    <w:p w14:paraId="422B33E0" w14:textId="77777777" w:rsidR="000D519B" w:rsidRDefault="000D519B" w:rsidP="000D519B"/>
    <w:p w14:paraId="46D89D76" w14:textId="77777777" w:rsidR="000D519B" w:rsidRDefault="000D519B" w:rsidP="000D519B"/>
    <w:p w14:paraId="29F33AE1" w14:textId="77777777" w:rsidR="000D519B" w:rsidRDefault="000D519B" w:rsidP="000D519B"/>
    <w:p w14:paraId="2A364F45" w14:textId="77777777" w:rsidR="000D519B" w:rsidRDefault="000D519B" w:rsidP="000D519B"/>
    <w:p w14:paraId="0F7FA64E" w14:textId="77777777" w:rsidR="000D519B" w:rsidRDefault="000D519B" w:rsidP="000D519B"/>
    <w:p w14:paraId="54C092E4" w14:textId="77777777" w:rsidR="000D519B" w:rsidRDefault="000D519B" w:rsidP="000D519B"/>
    <w:p w14:paraId="1AD99761" w14:textId="77777777" w:rsidR="000D519B" w:rsidRDefault="000D519B" w:rsidP="000D519B"/>
    <w:p w14:paraId="65526A98" w14:textId="23D8BC96" w:rsidR="000D519B" w:rsidRDefault="000D519B" w:rsidP="000D519B">
      <w:r>
        <w:lastRenderedPageBreak/>
        <w:t>Appendix</w:t>
      </w:r>
    </w:p>
    <w:p w14:paraId="0D6A6261" w14:textId="77777777" w:rsidR="00FC5406" w:rsidRDefault="00FC5406" w:rsidP="000D519B"/>
    <w:p w14:paraId="3020B8CB" w14:textId="77FF9B5C" w:rsidR="00FC5406" w:rsidRDefault="00FC5406" w:rsidP="000D519B">
      <w:r>
        <w:rPr>
          <w:noProof/>
        </w:rPr>
        <w:drawing>
          <wp:inline distT="0" distB="0" distL="0" distR="0" wp14:anchorId="23F81CE6" wp14:editId="671F5594">
            <wp:extent cx="5731510" cy="3167380"/>
            <wp:effectExtent l="0" t="0" r="2540" b="0"/>
            <wp:docPr id="636548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548974" name=""/>
                    <pic:cNvPicPr/>
                  </pic:nvPicPr>
                  <pic:blipFill>
                    <a:blip r:embed="rId9"/>
                    <a:stretch>
                      <a:fillRect/>
                    </a:stretch>
                  </pic:blipFill>
                  <pic:spPr>
                    <a:xfrm>
                      <a:off x="0" y="0"/>
                      <a:ext cx="5731510" cy="3167380"/>
                    </a:xfrm>
                    <a:prstGeom prst="rect">
                      <a:avLst/>
                    </a:prstGeom>
                  </pic:spPr>
                </pic:pic>
              </a:graphicData>
            </a:graphic>
          </wp:inline>
        </w:drawing>
      </w:r>
    </w:p>
    <w:p w14:paraId="2E6A922C" w14:textId="1FEA7DF3" w:rsidR="00FC5406" w:rsidRDefault="00FC1476" w:rsidP="000D519B">
      <w:r>
        <w:rPr>
          <w:noProof/>
        </w:rPr>
        <w:lastRenderedPageBreak/>
        <w:drawing>
          <wp:inline distT="0" distB="0" distL="0" distR="0" wp14:anchorId="01EE9A77" wp14:editId="39A869C6">
            <wp:extent cx="3733800" cy="8010525"/>
            <wp:effectExtent l="0" t="0" r="0" b="9525"/>
            <wp:docPr id="515851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851474" name=""/>
                    <pic:cNvPicPr/>
                  </pic:nvPicPr>
                  <pic:blipFill>
                    <a:blip r:embed="rId10"/>
                    <a:stretch>
                      <a:fillRect/>
                    </a:stretch>
                  </pic:blipFill>
                  <pic:spPr>
                    <a:xfrm>
                      <a:off x="0" y="0"/>
                      <a:ext cx="3733800" cy="8010525"/>
                    </a:xfrm>
                    <a:prstGeom prst="rect">
                      <a:avLst/>
                    </a:prstGeom>
                  </pic:spPr>
                </pic:pic>
              </a:graphicData>
            </a:graphic>
          </wp:inline>
        </w:drawing>
      </w:r>
    </w:p>
    <w:p w14:paraId="21241F98" w14:textId="77777777" w:rsidR="00FC1476" w:rsidRDefault="00FC1476" w:rsidP="000D519B"/>
    <w:p w14:paraId="0F6884AE" w14:textId="77777777" w:rsidR="00FC1476" w:rsidRDefault="00FC1476" w:rsidP="000D519B"/>
    <w:p w14:paraId="794A0D6B" w14:textId="77777777" w:rsidR="00FC1476" w:rsidRDefault="00FC1476" w:rsidP="000D519B"/>
    <w:p w14:paraId="5C81524D" w14:textId="6138B76B" w:rsidR="00FC1476" w:rsidRDefault="00905793" w:rsidP="000D519B">
      <w:r>
        <w:rPr>
          <w:noProof/>
        </w:rPr>
        <w:lastRenderedPageBreak/>
        <w:drawing>
          <wp:inline distT="0" distB="0" distL="0" distR="0" wp14:anchorId="57E169C6" wp14:editId="63EAC83B">
            <wp:extent cx="5731510" cy="1440815"/>
            <wp:effectExtent l="0" t="0" r="2540" b="6985"/>
            <wp:docPr id="2013609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609340" name=""/>
                    <pic:cNvPicPr/>
                  </pic:nvPicPr>
                  <pic:blipFill>
                    <a:blip r:embed="rId11"/>
                    <a:stretch>
                      <a:fillRect/>
                    </a:stretch>
                  </pic:blipFill>
                  <pic:spPr>
                    <a:xfrm>
                      <a:off x="0" y="0"/>
                      <a:ext cx="5731510" cy="1440815"/>
                    </a:xfrm>
                    <a:prstGeom prst="rect">
                      <a:avLst/>
                    </a:prstGeom>
                  </pic:spPr>
                </pic:pic>
              </a:graphicData>
            </a:graphic>
          </wp:inline>
        </w:drawing>
      </w:r>
    </w:p>
    <w:p w14:paraId="2DC46701" w14:textId="4B75B720" w:rsidR="00905793" w:rsidRDefault="00E642EA" w:rsidP="000D519B">
      <w:r>
        <w:rPr>
          <w:noProof/>
        </w:rPr>
        <w:drawing>
          <wp:inline distT="0" distB="0" distL="0" distR="0" wp14:anchorId="7DFF12F9" wp14:editId="5A846B9A">
            <wp:extent cx="5731510" cy="2927985"/>
            <wp:effectExtent l="0" t="0" r="2540" b="5715"/>
            <wp:docPr id="453352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352488" name=""/>
                    <pic:cNvPicPr/>
                  </pic:nvPicPr>
                  <pic:blipFill>
                    <a:blip r:embed="rId12"/>
                    <a:stretch>
                      <a:fillRect/>
                    </a:stretch>
                  </pic:blipFill>
                  <pic:spPr>
                    <a:xfrm>
                      <a:off x="0" y="0"/>
                      <a:ext cx="5731510" cy="2927985"/>
                    </a:xfrm>
                    <a:prstGeom prst="rect">
                      <a:avLst/>
                    </a:prstGeom>
                  </pic:spPr>
                </pic:pic>
              </a:graphicData>
            </a:graphic>
          </wp:inline>
        </w:drawing>
      </w:r>
    </w:p>
    <w:p w14:paraId="7806798C" w14:textId="2EC9971A" w:rsidR="00E642EA" w:rsidRPr="000D519B" w:rsidRDefault="005667DC" w:rsidP="000D519B">
      <w:r>
        <w:rPr>
          <w:noProof/>
        </w:rPr>
        <w:lastRenderedPageBreak/>
        <w:drawing>
          <wp:inline distT="0" distB="0" distL="0" distR="0" wp14:anchorId="06B679B2" wp14:editId="5539CF26">
            <wp:extent cx="5731510" cy="5994400"/>
            <wp:effectExtent l="0" t="0" r="2540" b="6350"/>
            <wp:docPr id="1905166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166218" name=""/>
                    <pic:cNvPicPr/>
                  </pic:nvPicPr>
                  <pic:blipFill>
                    <a:blip r:embed="rId13"/>
                    <a:stretch>
                      <a:fillRect/>
                    </a:stretch>
                  </pic:blipFill>
                  <pic:spPr>
                    <a:xfrm>
                      <a:off x="0" y="0"/>
                      <a:ext cx="5731510" cy="5994400"/>
                    </a:xfrm>
                    <a:prstGeom prst="rect">
                      <a:avLst/>
                    </a:prstGeom>
                  </pic:spPr>
                </pic:pic>
              </a:graphicData>
            </a:graphic>
          </wp:inline>
        </w:drawing>
      </w:r>
    </w:p>
    <w:p w14:paraId="75F6E7E4" w14:textId="522EA175" w:rsidR="00C8268B" w:rsidRPr="006603A8" w:rsidRDefault="000D519B" w:rsidP="000D519B">
      <w:pPr>
        <w:pStyle w:val="ListParagraph"/>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fldChar w:fldCharType="end"/>
      </w:r>
      <w:r w:rsidR="00007B51" w:rsidRPr="006603A8">
        <w:rPr>
          <w:rFonts w:ascii="Times New Roman" w:eastAsia="Times New Roman" w:hAnsi="Times New Roman" w:cs="Times New Roman"/>
          <w:sz w:val="24"/>
          <w:szCs w:val="24"/>
          <w:lang w:eastAsia="en-GB"/>
        </w:rPr>
        <w:t xml:space="preserve">                       </w:t>
      </w:r>
    </w:p>
    <w:p w14:paraId="5121D59F" w14:textId="77777777" w:rsidR="00756D31" w:rsidRPr="004F76BA" w:rsidRDefault="00756D31" w:rsidP="006069A6">
      <w:pPr>
        <w:pStyle w:val="ListParagraph"/>
        <w:spacing w:before="100" w:beforeAutospacing="1" w:after="100" w:afterAutospacing="1" w:line="240" w:lineRule="auto"/>
        <w:rPr>
          <w:rFonts w:ascii="Times New Roman" w:eastAsia="Times New Roman" w:hAnsi="Times New Roman" w:cs="Times New Roman"/>
          <w:sz w:val="24"/>
          <w:szCs w:val="24"/>
          <w:lang w:eastAsia="en-GB"/>
        </w:rPr>
      </w:pPr>
    </w:p>
    <w:p w14:paraId="1256B24D" w14:textId="77777777" w:rsidR="00570CDA" w:rsidRPr="004F76BA" w:rsidRDefault="00570CDA" w:rsidP="007C31F1">
      <w:pPr>
        <w:rPr>
          <w:rStyle w:val="Strong"/>
        </w:rPr>
      </w:pPr>
    </w:p>
    <w:sectPr w:rsidR="00570CDA" w:rsidRPr="004F76BA">
      <w:footerReference w:type="even" r:id="rId14"/>
      <w:footerReference w:type="defaul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ECD0EE" w14:textId="77777777" w:rsidR="00E21116" w:rsidRDefault="00E21116" w:rsidP="00570CDA">
      <w:pPr>
        <w:spacing w:after="0" w:line="240" w:lineRule="auto"/>
      </w:pPr>
      <w:r>
        <w:separator/>
      </w:r>
    </w:p>
  </w:endnote>
  <w:endnote w:type="continuationSeparator" w:id="0">
    <w:p w14:paraId="0F714672" w14:textId="77777777" w:rsidR="00E21116" w:rsidRDefault="00E21116" w:rsidP="00570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746195" w14:textId="24A601FF" w:rsidR="00570CDA" w:rsidRDefault="00570CDA">
    <w:pPr>
      <w:pStyle w:val="Footer"/>
    </w:pPr>
    <w:r>
      <w:rPr>
        <w:noProof/>
      </w:rPr>
      <mc:AlternateContent>
        <mc:Choice Requires="wps">
          <w:drawing>
            <wp:anchor distT="0" distB="0" distL="0" distR="0" simplePos="0" relativeHeight="251659264" behindDoc="0" locked="0" layoutInCell="1" allowOverlap="1" wp14:anchorId="0FA748EA" wp14:editId="3F0CE37D">
              <wp:simplePos x="635" y="635"/>
              <wp:positionH relativeFrom="page">
                <wp:align>left</wp:align>
              </wp:positionH>
              <wp:positionV relativeFrom="page">
                <wp:align>bottom</wp:align>
              </wp:positionV>
              <wp:extent cx="443865" cy="443865"/>
              <wp:effectExtent l="0" t="0" r="13335" b="0"/>
              <wp:wrapNone/>
              <wp:docPr id="62741299"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C0ECC09" w14:textId="7EB6393A" w:rsidR="00570CDA" w:rsidRPr="00570CDA" w:rsidRDefault="00570CDA" w:rsidP="00570CDA">
                          <w:pPr>
                            <w:spacing w:after="0"/>
                            <w:rPr>
                              <w:rFonts w:ascii="Calibri" w:eastAsia="Calibri" w:hAnsi="Calibri" w:cs="Calibri"/>
                              <w:noProof/>
                              <w:color w:val="000000"/>
                              <w:sz w:val="16"/>
                              <w:szCs w:val="16"/>
                            </w:rPr>
                          </w:pPr>
                          <w:r w:rsidRPr="00570CDA">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FA748EA" id="_x0000_t202" coordsize="21600,21600" o:spt="202" path="m,l,21600r21600,l21600,xe">
              <v:stroke joinstyle="miter"/>
              <v:path gradientshapeok="t" o:connecttype="rect"/>
            </v:shapetype>
            <v:shape id="Text Box 3"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1C0ECC09" w14:textId="7EB6393A" w:rsidR="00570CDA" w:rsidRPr="00570CDA" w:rsidRDefault="00570CDA" w:rsidP="00570CDA">
                    <w:pPr>
                      <w:spacing w:after="0"/>
                      <w:rPr>
                        <w:rFonts w:ascii="Calibri" w:eastAsia="Calibri" w:hAnsi="Calibri" w:cs="Calibri"/>
                        <w:noProof/>
                        <w:color w:val="000000"/>
                        <w:sz w:val="16"/>
                        <w:szCs w:val="16"/>
                      </w:rPr>
                    </w:pPr>
                    <w:r w:rsidRPr="00570CDA">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0F001" w14:textId="05ADD895" w:rsidR="00570CDA" w:rsidRDefault="00570CDA">
    <w:pPr>
      <w:pStyle w:val="Footer"/>
    </w:pPr>
    <w:r>
      <w:rPr>
        <w:noProof/>
      </w:rPr>
      <mc:AlternateContent>
        <mc:Choice Requires="wps">
          <w:drawing>
            <wp:anchor distT="0" distB="0" distL="0" distR="0" simplePos="0" relativeHeight="251660288" behindDoc="0" locked="0" layoutInCell="1" allowOverlap="1" wp14:anchorId="795A8BE4" wp14:editId="2259E1BC">
              <wp:simplePos x="914400" y="10083800"/>
              <wp:positionH relativeFrom="page">
                <wp:align>left</wp:align>
              </wp:positionH>
              <wp:positionV relativeFrom="page">
                <wp:align>bottom</wp:align>
              </wp:positionV>
              <wp:extent cx="443865" cy="443865"/>
              <wp:effectExtent l="0" t="0" r="13335" b="0"/>
              <wp:wrapNone/>
              <wp:docPr id="1254346640" name="Text Box 4"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64CF29F" w14:textId="0104A58B" w:rsidR="00570CDA" w:rsidRPr="00570CDA" w:rsidRDefault="00570CDA" w:rsidP="00570CDA">
                          <w:pPr>
                            <w:spacing w:after="0"/>
                            <w:rPr>
                              <w:rFonts w:ascii="Calibri" w:eastAsia="Calibri" w:hAnsi="Calibri" w:cs="Calibri"/>
                              <w:noProof/>
                              <w:color w:val="000000"/>
                              <w:sz w:val="16"/>
                              <w:szCs w:val="16"/>
                            </w:rPr>
                          </w:pPr>
                          <w:r w:rsidRPr="00570CDA">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95A8BE4" id="_x0000_t202" coordsize="21600,21600" o:spt="202" path="m,l,21600r21600,l21600,xe">
              <v:stroke joinstyle="miter"/>
              <v:path gradientshapeok="t" o:connecttype="rect"/>
            </v:shapetype>
            <v:shape id="Text Box 4" o:spid="_x0000_s1027" type="#_x0000_t202" alt="Sensitivity: general" style="position:absolute;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764CF29F" w14:textId="0104A58B" w:rsidR="00570CDA" w:rsidRPr="00570CDA" w:rsidRDefault="00570CDA" w:rsidP="00570CDA">
                    <w:pPr>
                      <w:spacing w:after="0"/>
                      <w:rPr>
                        <w:rFonts w:ascii="Calibri" w:eastAsia="Calibri" w:hAnsi="Calibri" w:cs="Calibri"/>
                        <w:noProof/>
                        <w:color w:val="000000"/>
                        <w:sz w:val="16"/>
                        <w:szCs w:val="16"/>
                      </w:rPr>
                    </w:pPr>
                    <w:r w:rsidRPr="00570CDA">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2E462A" w14:textId="79E07FED" w:rsidR="00570CDA" w:rsidRDefault="00570CDA">
    <w:pPr>
      <w:pStyle w:val="Footer"/>
    </w:pPr>
    <w:r>
      <w:rPr>
        <w:noProof/>
      </w:rPr>
      <mc:AlternateContent>
        <mc:Choice Requires="wps">
          <w:drawing>
            <wp:anchor distT="0" distB="0" distL="0" distR="0" simplePos="0" relativeHeight="251658240" behindDoc="0" locked="0" layoutInCell="1" allowOverlap="1" wp14:anchorId="34989C23" wp14:editId="053C5F65">
              <wp:simplePos x="635" y="635"/>
              <wp:positionH relativeFrom="page">
                <wp:align>left</wp:align>
              </wp:positionH>
              <wp:positionV relativeFrom="page">
                <wp:align>bottom</wp:align>
              </wp:positionV>
              <wp:extent cx="443865" cy="443865"/>
              <wp:effectExtent l="0" t="0" r="13335" b="0"/>
              <wp:wrapNone/>
              <wp:docPr id="129049229"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175CDAD" w14:textId="6F60260F" w:rsidR="00570CDA" w:rsidRPr="00570CDA" w:rsidRDefault="00570CDA" w:rsidP="00570CDA">
                          <w:pPr>
                            <w:spacing w:after="0"/>
                            <w:rPr>
                              <w:rFonts w:ascii="Calibri" w:eastAsia="Calibri" w:hAnsi="Calibri" w:cs="Calibri"/>
                              <w:noProof/>
                              <w:color w:val="000000"/>
                              <w:sz w:val="16"/>
                              <w:szCs w:val="16"/>
                            </w:rPr>
                          </w:pPr>
                          <w:r w:rsidRPr="00570CDA">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4989C23" id="_x0000_t202" coordsize="21600,21600" o:spt="202" path="m,l,21600r21600,l21600,xe">
              <v:stroke joinstyle="miter"/>
              <v:path gradientshapeok="t" o:connecttype="rect"/>
            </v:shapetype>
            <v:shape id="Text Box 2"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1175CDAD" w14:textId="6F60260F" w:rsidR="00570CDA" w:rsidRPr="00570CDA" w:rsidRDefault="00570CDA" w:rsidP="00570CDA">
                    <w:pPr>
                      <w:spacing w:after="0"/>
                      <w:rPr>
                        <w:rFonts w:ascii="Calibri" w:eastAsia="Calibri" w:hAnsi="Calibri" w:cs="Calibri"/>
                        <w:noProof/>
                        <w:color w:val="000000"/>
                        <w:sz w:val="16"/>
                        <w:szCs w:val="16"/>
                      </w:rPr>
                    </w:pPr>
                    <w:r w:rsidRPr="00570CDA">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DBD7E6" w14:textId="77777777" w:rsidR="00E21116" w:rsidRDefault="00E21116" w:rsidP="00570CDA">
      <w:pPr>
        <w:spacing w:after="0" w:line="240" w:lineRule="auto"/>
      </w:pPr>
      <w:r>
        <w:separator/>
      </w:r>
    </w:p>
  </w:footnote>
  <w:footnote w:type="continuationSeparator" w:id="0">
    <w:p w14:paraId="03DA6530" w14:textId="77777777" w:rsidR="00E21116" w:rsidRDefault="00E21116" w:rsidP="00570C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C0A9F"/>
    <w:multiLevelType w:val="multilevel"/>
    <w:tmpl w:val="65FABD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6639A3"/>
    <w:multiLevelType w:val="multilevel"/>
    <w:tmpl w:val="B42C7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4F7BC4"/>
    <w:multiLevelType w:val="multilevel"/>
    <w:tmpl w:val="5A5E226C"/>
    <w:lvl w:ilvl="0">
      <w:start w:val="1"/>
      <w:numFmt w:val="decimal"/>
      <w:lvlText w:val="%1."/>
      <w:lvlJc w:val="left"/>
      <w:pPr>
        <w:ind w:left="720" w:hanging="360"/>
      </w:pPr>
      <w:rPr>
        <w:rFonts w:hint="default"/>
      </w:rPr>
    </w:lvl>
    <w:lvl w:ilvl="1">
      <w:start w:val="2"/>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5EA76582"/>
    <w:multiLevelType w:val="hybridMultilevel"/>
    <w:tmpl w:val="5A305CF4"/>
    <w:lvl w:ilvl="0" w:tplc="4A4E1AA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3E45C16"/>
    <w:multiLevelType w:val="multilevel"/>
    <w:tmpl w:val="BC92D5D0"/>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b/>
        <w:color w:val="auto"/>
      </w:rPr>
    </w:lvl>
    <w:lvl w:ilvl="2">
      <w:start w:val="1"/>
      <w:numFmt w:val="decimal"/>
      <w:isLgl/>
      <w:lvlText w:val="%1.%2.%3"/>
      <w:lvlJc w:val="left"/>
      <w:pPr>
        <w:ind w:left="1080" w:hanging="720"/>
      </w:pPr>
      <w:rPr>
        <w:rFonts w:hint="default"/>
        <w:b/>
        <w:color w:val="auto"/>
      </w:rPr>
    </w:lvl>
    <w:lvl w:ilvl="3">
      <w:start w:val="1"/>
      <w:numFmt w:val="decimal"/>
      <w:isLgl/>
      <w:lvlText w:val="%1.%2.%3.%4"/>
      <w:lvlJc w:val="left"/>
      <w:pPr>
        <w:ind w:left="1080" w:hanging="720"/>
      </w:pPr>
      <w:rPr>
        <w:rFonts w:hint="default"/>
        <w:b/>
        <w:color w:val="auto"/>
      </w:rPr>
    </w:lvl>
    <w:lvl w:ilvl="4">
      <w:start w:val="1"/>
      <w:numFmt w:val="decimal"/>
      <w:isLgl/>
      <w:lvlText w:val="%1.%2.%3.%4.%5"/>
      <w:lvlJc w:val="left"/>
      <w:pPr>
        <w:ind w:left="1440" w:hanging="1080"/>
      </w:pPr>
      <w:rPr>
        <w:rFonts w:hint="default"/>
        <w:b/>
        <w:color w:val="auto"/>
      </w:rPr>
    </w:lvl>
    <w:lvl w:ilvl="5">
      <w:start w:val="1"/>
      <w:numFmt w:val="decimal"/>
      <w:isLgl/>
      <w:lvlText w:val="%1.%2.%3.%4.%5.%6"/>
      <w:lvlJc w:val="left"/>
      <w:pPr>
        <w:ind w:left="1440" w:hanging="1080"/>
      </w:pPr>
      <w:rPr>
        <w:rFonts w:hint="default"/>
        <w:b/>
        <w:color w:val="auto"/>
      </w:rPr>
    </w:lvl>
    <w:lvl w:ilvl="6">
      <w:start w:val="1"/>
      <w:numFmt w:val="decimal"/>
      <w:isLgl/>
      <w:lvlText w:val="%1.%2.%3.%4.%5.%6.%7"/>
      <w:lvlJc w:val="left"/>
      <w:pPr>
        <w:ind w:left="1800" w:hanging="1440"/>
      </w:pPr>
      <w:rPr>
        <w:rFonts w:hint="default"/>
        <w:b/>
        <w:color w:val="auto"/>
      </w:rPr>
    </w:lvl>
    <w:lvl w:ilvl="7">
      <w:start w:val="1"/>
      <w:numFmt w:val="decimal"/>
      <w:isLgl/>
      <w:lvlText w:val="%1.%2.%3.%4.%5.%6.%7.%8"/>
      <w:lvlJc w:val="left"/>
      <w:pPr>
        <w:ind w:left="1800" w:hanging="1440"/>
      </w:pPr>
      <w:rPr>
        <w:rFonts w:hint="default"/>
        <w:b/>
        <w:color w:val="auto"/>
      </w:rPr>
    </w:lvl>
    <w:lvl w:ilvl="8">
      <w:start w:val="1"/>
      <w:numFmt w:val="decimal"/>
      <w:isLgl/>
      <w:lvlText w:val="%1.%2.%3.%4.%5.%6.%7.%8.%9"/>
      <w:lvlJc w:val="left"/>
      <w:pPr>
        <w:ind w:left="2160" w:hanging="1800"/>
      </w:pPr>
      <w:rPr>
        <w:rFonts w:hint="default"/>
        <w:b/>
        <w:color w:val="auto"/>
      </w:rPr>
    </w:lvl>
  </w:abstractNum>
  <w:abstractNum w:abstractNumId="5" w15:restartNumberingAfterBreak="0">
    <w:nsid w:val="67BC76C6"/>
    <w:multiLevelType w:val="multilevel"/>
    <w:tmpl w:val="70EA633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16cid:durableId="1861242035">
    <w:abstractNumId w:val="1"/>
  </w:num>
  <w:num w:numId="2" w16cid:durableId="1743988916">
    <w:abstractNumId w:val="0"/>
  </w:num>
  <w:num w:numId="3" w16cid:durableId="1384911324">
    <w:abstractNumId w:val="5"/>
  </w:num>
  <w:num w:numId="4" w16cid:durableId="550386380">
    <w:abstractNumId w:val="2"/>
  </w:num>
  <w:num w:numId="5" w16cid:durableId="799424471">
    <w:abstractNumId w:val="4"/>
  </w:num>
  <w:num w:numId="6" w16cid:durableId="5370818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CDA"/>
    <w:rsid w:val="00007B51"/>
    <w:rsid w:val="00021633"/>
    <w:rsid w:val="0002404E"/>
    <w:rsid w:val="000900D9"/>
    <w:rsid w:val="000C1273"/>
    <w:rsid w:val="000D519B"/>
    <w:rsid w:val="00102780"/>
    <w:rsid w:val="00130947"/>
    <w:rsid w:val="001360A9"/>
    <w:rsid w:val="00136AD4"/>
    <w:rsid w:val="00160360"/>
    <w:rsid w:val="00165A39"/>
    <w:rsid w:val="001A6CD2"/>
    <w:rsid w:val="001C1C20"/>
    <w:rsid w:val="002248D8"/>
    <w:rsid w:val="00225898"/>
    <w:rsid w:val="002259D9"/>
    <w:rsid w:val="00231234"/>
    <w:rsid w:val="002355BC"/>
    <w:rsid w:val="0029783F"/>
    <w:rsid w:val="002B5F10"/>
    <w:rsid w:val="002C369C"/>
    <w:rsid w:val="002D0D68"/>
    <w:rsid w:val="002D6694"/>
    <w:rsid w:val="0031011C"/>
    <w:rsid w:val="00373307"/>
    <w:rsid w:val="00385CFB"/>
    <w:rsid w:val="003A041A"/>
    <w:rsid w:val="003A1FC2"/>
    <w:rsid w:val="003B5D89"/>
    <w:rsid w:val="003C73CC"/>
    <w:rsid w:val="003D1D0B"/>
    <w:rsid w:val="003F72F0"/>
    <w:rsid w:val="00404084"/>
    <w:rsid w:val="00437DE4"/>
    <w:rsid w:val="004423EE"/>
    <w:rsid w:val="00471F13"/>
    <w:rsid w:val="004A3964"/>
    <w:rsid w:val="004D4294"/>
    <w:rsid w:val="004E1726"/>
    <w:rsid w:val="004F76BA"/>
    <w:rsid w:val="00502DC3"/>
    <w:rsid w:val="00546764"/>
    <w:rsid w:val="0056103B"/>
    <w:rsid w:val="005667DC"/>
    <w:rsid w:val="00570CDA"/>
    <w:rsid w:val="00584431"/>
    <w:rsid w:val="005A0576"/>
    <w:rsid w:val="006069A6"/>
    <w:rsid w:val="006603A8"/>
    <w:rsid w:val="00661174"/>
    <w:rsid w:val="00666949"/>
    <w:rsid w:val="00677133"/>
    <w:rsid w:val="00682BB2"/>
    <w:rsid w:val="00687C51"/>
    <w:rsid w:val="006D1900"/>
    <w:rsid w:val="006E24CB"/>
    <w:rsid w:val="006F130B"/>
    <w:rsid w:val="00704612"/>
    <w:rsid w:val="007315E1"/>
    <w:rsid w:val="00731EB2"/>
    <w:rsid w:val="0074706E"/>
    <w:rsid w:val="00756D31"/>
    <w:rsid w:val="00765ABC"/>
    <w:rsid w:val="007C31F1"/>
    <w:rsid w:val="00802066"/>
    <w:rsid w:val="00802A1E"/>
    <w:rsid w:val="008065F1"/>
    <w:rsid w:val="008078A2"/>
    <w:rsid w:val="00813810"/>
    <w:rsid w:val="00820985"/>
    <w:rsid w:val="00885B06"/>
    <w:rsid w:val="008906C1"/>
    <w:rsid w:val="008A107D"/>
    <w:rsid w:val="008A26EA"/>
    <w:rsid w:val="008F4B56"/>
    <w:rsid w:val="00900C03"/>
    <w:rsid w:val="009021F7"/>
    <w:rsid w:val="00905793"/>
    <w:rsid w:val="00911E89"/>
    <w:rsid w:val="009261E1"/>
    <w:rsid w:val="0092757A"/>
    <w:rsid w:val="00966BC9"/>
    <w:rsid w:val="00A024C1"/>
    <w:rsid w:val="00A06BAF"/>
    <w:rsid w:val="00A2443D"/>
    <w:rsid w:val="00A51288"/>
    <w:rsid w:val="00A665AB"/>
    <w:rsid w:val="00A828FE"/>
    <w:rsid w:val="00A861AD"/>
    <w:rsid w:val="00AA04E2"/>
    <w:rsid w:val="00AB090B"/>
    <w:rsid w:val="00AC2A61"/>
    <w:rsid w:val="00AC7134"/>
    <w:rsid w:val="00AE1CD9"/>
    <w:rsid w:val="00AE302B"/>
    <w:rsid w:val="00B50790"/>
    <w:rsid w:val="00B517D4"/>
    <w:rsid w:val="00B55156"/>
    <w:rsid w:val="00BA18EC"/>
    <w:rsid w:val="00BA1B7D"/>
    <w:rsid w:val="00BE4361"/>
    <w:rsid w:val="00C05ACB"/>
    <w:rsid w:val="00C16ECB"/>
    <w:rsid w:val="00C17ADE"/>
    <w:rsid w:val="00C53DB6"/>
    <w:rsid w:val="00C8268B"/>
    <w:rsid w:val="00C90065"/>
    <w:rsid w:val="00CB2881"/>
    <w:rsid w:val="00CC57F7"/>
    <w:rsid w:val="00CE21DD"/>
    <w:rsid w:val="00CE74B4"/>
    <w:rsid w:val="00CF4D62"/>
    <w:rsid w:val="00D2109F"/>
    <w:rsid w:val="00D26354"/>
    <w:rsid w:val="00D6776A"/>
    <w:rsid w:val="00DC1871"/>
    <w:rsid w:val="00DE0425"/>
    <w:rsid w:val="00DF2899"/>
    <w:rsid w:val="00E10E23"/>
    <w:rsid w:val="00E178F0"/>
    <w:rsid w:val="00E2083A"/>
    <w:rsid w:val="00E21116"/>
    <w:rsid w:val="00E54D4C"/>
    <w:rsid w:val="00E642EA"/>
    <w:rsid w:val="00E97016"/>
    <w:rsid w:val="00EB4B7C"/>
    <w:rsid w:val="00ED6D0E"/>
    <w:rsid w:val="00F054CD"/>
    <w:rsid w:val="00F16570"/>
    <w:rsid w:val="00F20A15"/>
    <w:rsid w:val="00F55034"/>
    <w:rsid w:val="00FA459F"/>
    <w:rsid w:val="00FC1476"/>
    <w:rsid w:val="00FC5406"/>
    <w:rsid w:val="00FD17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2CBF6"/>
  <w15:chartTrackingRefBased/>
  <w15:docId w15:val="{CB9808A5-392C-4742-AF08-C760FA6E0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unhideWhenUsed/>
    <w:qFormat/>
    <w:rsid w:val="006F130B"/>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unhideWhenUsed/>
    <w:qFormat/>
    <w:rsid w:val="006F130B"/>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rsid w:val="006F130B"/>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rsid w:val="006F130B"/>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5B9BD5" w:themeColor="accent1"/>
        <w:bottom w:val="single" w:sz="4" w:space="10" w:color="5B9BD5"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NormalWeb">
    <w:name w:val="Normal (Web)"/>
    <w:basedOn w:val="Normal"/>
    <w:uiPriority w:val="99"/>
    <w:semiHidden/>
    <w:unhideWhenUsed/>
    <w:rsid w:val="00570C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overflow-hidden">
    <w:name w:val="overflow-hidden"/>
    <w:basedOn w:val="DefaultParagraphFont"/>
    <w:rsid w:val="00570CDA"/>
  </w:style>
  <w:style w:type="paragraph" w:styleId="Footer">
    <w:name w:val="footer"/>
    <w:basedOn w:val="Normal"/>
    <w:link w:val="FooterChar"/>
    <w:uiPriority w:val="99"/>
    <w:unhideWhenUsed/>
    <w:rsid w:val="00570C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0CDA"/>
    <w:rPr>
      <w:rFonts w:ascii="Arial" w:hAnsi="Arial"/>
    </w:rPr>
  </w:style>
  <w:style w:type="paragraph" w:styleId="Bibliography">
    <w:name w:val="Bibliography"/>
    <w:basedOn w:val="Normal"/>
    <w:next w:val="Normal"/>
    <w:uiPriority w:val="37"/>
    <w:unhideWhenUsed/>
    <w:rsid w:val="00136AD4"/>
  </w:style>
  <w:style w:type="character" w:styleId="Hyperlink">
    <w:name w:val="Hyperlink"/>
    <w:basedOn w:val="DefaultParagraphFont"/>
    <w:uiPriority w:val="99"/>
    <w:semiHidden/>
    <w:unhideWhenUsed/>
    <w:rsid w:val="000D519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1265">
      <w:bodyDiv w:val="1"/>
      <w:marLeft w:val="0"/>
      <w:marRight w:val="0"/>
      <w:marTop w:val="0"/>
      <w:marBottom w:val="0"/>
      <w:divBdr>
        <w:top w:val="none" w:sz="0" w:space="0" w:color="auto"/>
        <w:left w:val="none" w:sz="0" w:space="0" w:color="auto"/>
        <w:bottom w:val="none" w:sz="0" w:space="0" w:color="auto"/>
        <w:right w:val="none" w:sz="0" w:space="0" w:color="auto"/>
      </w:divBdr>
    </w:div>
    <w:div w:id="100148312">
      <w:bodyDiv w:val="1"/>
      <w:marLeft w:val="0"/>
      <w:marRight w:val="0"/>
      <w:marTop w:val="0"/>
      <w:marBottom w:val="0"/>
      <w:divBdr>
        <w:top w:val="none" w:sz="0" w:space="0" w:color="auto"/>
        <w:left w:val="none" w:sz="0" w:space="0" w:color="auto"/>
        <w:bottom w:val="none" w:sz="0" w:space="0" w:color="auto"/>
        <w:right w:val="none" w:sz="0" w:space="0" w:color="auto"/>
      </w:divBdr>
    </w:div>
    <w:div w:id="316615175">
      <w:bodyDiv w:val="1"/>
      <w:marLeft w:val="0"/>
      <w:marRight w:val="0"/>
      <w:marTop w:val="0"/>
      <w:marBottom w:val="0"/>
      <w:divBdr>
        <w:top w:val="none" w:sz="0" w:space="0" w:color="auto"/>
        <w:left w:val="none" w:sz="0" w:space="0" w:color="auto"/>
        <w:bottom w:val="none" w:sz="0" w:space="0" w:color="auto"/>
        <w:right w:val="none" w:sz="0" w:space="0" w:color="auto"/>
      </w:divBdr>
    </w:div>
    <w:div w:id="388656400">
      <w:bodyDiv w:val="1"/>
      <w:marLeft w:val="0"/>
      <w:marRight w:val="0"/>
      <w:marTop w:val="0"/>
      <w:marBottom w:val="0"/>
      <w:divBdr>
        <w:top w:val="none" w:sz="0" w:space="0" w:color="auto"/>
        <w:left w:val="none" w:sz="0" w:space="0" w:color="auto"/>
        <w:bottom w:val="none" w:sz="0" w:space="0" w:color="auto"/>
        <w:right w:val="none" w:sz="0" w:space="0" w:color="auto"/>
      </w:divBdr>
    </w:div>
    <w:div w:id="509952741">
      <w:bodyDiv w:val="1"/>
      <w:marLeft w:val="0"/>
      <w:marRight w:val="0"/>
      <w:marTop w:val="0"/>
      <w:marBottom w:val="0"/>
      <w:divBdr>
        <w:top w:val="none" w:sz="0" w:space="0" w:color="auto"/>
        <w:left w:val="none" w:sz="0" w:space="0" w:color="auto"/>
        <w:bottom w:val="none" w:sz="0" w:space="0" w:color="auto"/>
        <w:right w:val="none" w:sz="0" w:space="0" w:color="auto"/>
      </w:divBdr>
    </w:div>
    <w:div w:id="769131571">
      <w:bodyDiv w:val="1"/>
      <w:marLeft w:val="0"/>
      <w:marRight w:val="0"/>
      <w:marTop w:val="0"/>
      <w:marBottom w:val="0"/>
      <w:divBdr>
        <w:top w:val="none" w:sz="0" w:space="0" w:color="auto"/>
        <w:left w:val="none" w:sz="0" w:space="0" w:color="auto"/>
        <w:bottom w:val="none" w:sz="0" w:space="0" w:color="auto"/>
        <w:right w:val="none" w:sz="0" w:space="0" w:color="auto"/>
      </w:divBdr>
    </w:div>
    <w:div w:id="1026296674">
      <w:bodyDiv w:val="1"/>
      <w:marLeft w:val="0"/>
      <w:marRight w:val="0"/>
      <w:marTop w:val="0"/>
      <w:marBottom w:val="0"/>
      <w:divBdr>
        <w:top w:val="none" w:sz="0" w:space="0" w:color="auto"/>
        <w:left w:val="none" w:sz="0" w:space="0" w:color="auto"/>
        <w:bottom w:val="none" w:sz="0" w:space="0" w:color="auto"/>
        <w:right w:val="none" w:sz="0" w:space="0" w:color="auto"/>
      </w:divBdr>
    </w:div>
    <w:div w:id="1069882974">
      <w:bodyDiv w:val="1"/>
      <w:marLeft w:val="0"/>
      <w:marRight w:val="0"/>
      <w:marTop w:val="0"/>
      <w:marBottom w:val="0"/>
      <w:divBdr>
        <w:top w:val="none" w:sz="0" w:space="0" w:color="auto"/>
        <w:left w:val="none" w:sz="0" w:space="0" w:color="auto"/>
        <w:bottom w:val="none" w:sz="0" w:space="0" w:color="auto"/>
        <w:right w:val="none" w:sz="0" w:space="0" w:color="auto"/>
      </w:divBdr>
    </w:div>
    <w:div w:id="1072044818">
      <w:bodyDiv w:val="1"/>
      <w:marLeft w:val="0"/>
      <w:marRight w:val="0"/>
      <w:marTop w:val="0"/>
      <w:marBottom w:val="0"/>
      <w:divBdr>
        <w:top w:val="none" w:sz="0" w:space="0" w:color="auto"/>
        <w:left w:val="none" w:sz="0" w:space="0" w:color="auto"/>
        <w:bottom w:val="none" w:sz="0" w:space="0" w:color="auto"/>
        <w:right w:val="none" w:sz="0" w:space="0" w:color="auto"/>
      </w:divBdr>
    </w:div>
    <w:div w:id="1098718866">
      <w:bodyDiv w:val="1"/>
      <w:marLeft w:val="0"/>
      <w:marRight w:val="0"/>
      <w:marTop w:val="0"/>
      <w:marBottom w:val="0"/>
      <w:divBdr>
        <w:top w:val="none" w:sz="0" w:space="0" w:color="auto"/>
        <w:left w:val="none" w:sz="0" w:space="0" w:color="auto"/>
        <w:bottom w:val="none" w:sz="0" w:space="0" w:color="auto"/>
        <w:right w:val="none" w:sz="0" w:space="0" w:color="auto"/>
      </w:divBdr>
    </w:div>
    <w:div w:id="1214386588">
      <w:bodyDiv w:val="1"/>
      <w:marLeft w:val="0"/>
      <w:marRight w:val="0"/>
      <w:marTop w:val="0"/>
      <w:marBottom w:val="0"/>
      <w:divBdr>
        <w:top w:val="none" w:sz="0" w:space="0" w:color="auto"/>
        <w:left w:val="none" w:sz="0" w:space="0" w:color="auto"/>
        <w:bottom w:val="none" w:sz="0" w:space="0" w:color="auto"/>
        <w:right w:val="none" w:sz="0" w:space="0" w:color="auto"/>
      </w:divBdr>
    </w:div>
    <w:div w:id="1246837556">
      <w:bodyDiv w:val="1"/>
      <w:marLeft w:val="0"/>
      <w:marRight w:val="0"/>
      <w:marTop w:val="0"/>
      <w:marBottom w:val="0"/>
      <w:divBdr>
        <w:top w:val="none" w:sz="0" w:space="0" w:color="auto"/>
        <w:left w:val="none" w:sz="0" w:space="0" w:color="auto"/>
        <w:bottom w:val="none" w:sz="0" w:space="0" w:color="auto"/>
        <w:right w:val="none" w:sz="0" w:space="0" w:color="auto"/>
      </w:divBdr>
    </w:div>
    <w:div w:id="1518688334">
      <w:bodyDiv w:val="1"/>
      <w:marLeft w:val="0"/>
      <w:marRight w:val="0"/>
      <w:marTop w:val="0"/>
      <w:marBottom w:val="0"/>
      <w:divBdr>
        <w:top w:val="none" w:sz="0" w:space="0" w:color="auto"/>
        <w:left w:val="none" w:sz="0" w:space="0" w:color="auto"/>
        <w:bottom w:val="none" w:sz="0" w:space="0" w:color="auto"/>
        <w:right w:val="none" w:sz="0" w:space="0" w:color="auto"/>
      </w:divBdr>
    </w:div>
    <w:div w:id="1781147563">
      <w:bodyDiv w:val="1"/>
      <w:marLeft w:val="0"/>
      <w:marRight w:val="0"/>
      <w:marTop w:val="0"/>
      <w:marBottom w:val="0"/>
      <w:divBdr>
        <w:top w:val="none" w:sz="0" w:space="0" w:color="auto"/>
        <w:left w:val="none" w:sz="0" w:space="0" w:color="auto"/>
        <w:bottom w:val="none" w:sz="0" w:space="0" w:color="auto"/>
        <w:right w:val="none" w:sz="0" w:space="0" w:color="auto"/>
      </w:divBdr>
      <w:divsChild>
        <w:div w:id="1269462840">
          <w:marLeft w:val="0"/>
          <w:marRight w:val="0"/>
          <w:marTop w:val="0"/>
          <w:marBottom w:val="0"/>
          <w:divBdr>
            <w:top w:val="none" w:sz="0" w:space="0" w:color="auto"/>
            <w:left w:val="none" w:sz="0" w:space="0" w:color="auto"/>
            <w:bottom w:val="none" w:sz="0" w:space="0" w:color="auto"/>
            <w:right w:val="none" w:sz="0" w:space="0" w:color="auto"/>
          </w:divBdr>
          <w:divsChild>
            <w:div w:id="1146781503">
              <w:marLeft w:val="0"/>
              <w:marRight w:val="0"/>
              <w:marTop w:val="0"/>
              <w:marBottom w:val="0"/>
              <w:divBdr>
                <w:top w:val="none" w:sz="0" w:space="0" w:color="auto"/>
                <w:left w:val="none" w:sz="0" w:space="0" w:color="auto"/>
                <w:bottom w:val="none" w:sz="0" w:space="0" w:color="auto"/>
                <w:right w:val="none" w:sz="0" w:space="0" w:color="auto"/>
              </w:divBdr>
              <w:divsChild>
                <w:div w:id="969482282">
                  <w:marLeft w:val="0"/>
                  <w:marRight w:val="0"/>
                  <w:marTop w:val="0"/>
                  <w:marBottom w:val="0"/>
                  <w:divBdr>
                    <w:top w:val="none" w:sz="0" w:space="0" w:color="auto"/>
                    <w:left w:val="none" w:sz="0" w:space="0" w:color="auto"/>
                    <w:bottom w:val="none" w:sz="0" w:space="0" w:color="auto"/>
                    <w:right w:val="none" w:sz="0" w:space="0" w:color="auto"/>
                  </w:divBdr>
                </w:div>
                <w:div w:id="1221402958">
                  <w:marLeft w:val="0"/>
                  <w:marRight w:val="0"/>
                  <w:marTop w:val="0"/>
                  <w:marBottom w:val="0"/>
                  <w:divBdr>
                    <w:top w:val="none" w:sz="0" w:space="0" w:color="auto"/>
                    <w:left w:val="none" w:sz="0" w:space="0" w:color="auto"/>
                    <w:bottom w:val="none" w:sz="0" w:space="0" w:color="auto"/>
                    <w:right w:val="none" w:sz="0" w:space="0" w:color="auto"/>
                  </w:divBdr>
                  <w:divsChild>
                    <w:div w:id="116871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114335">
          <w:marLeft w:val="0"/>
          <w:marRight w:val="0"/>
          <w:marTop w:val="0"/>
          <w:marBottom w:val="0"/>
          <w:divBdr>
            <w:top w:val="none" w:sz="0" w:space="0" w:color="auto"/>
            <w:left w:val="none" w:sz="0" w:space="0" w:color="auto"/>
            <w:bottom w:val="none" w:sz="0" w:space="0" w:color="auto"/>
            <w:right w:val="none" w:sz="0" w:space="0" w:color="auto"/>
          </w:divBdr>
          <w:divsChild>
            <w:div w:id="1237782774">
              <w:marLeft w:val="0"/>
              <w:marRight w:val="0"/>
              <w:marTop w:val="0"/>
              <w:marBottom w:val="0"/>
              <w:divBdr>
                <w:top w:val="none" w:sz="0" w:space="0" w:color="auto"/>
                <w:left w:val="none" w:sz="0" w:space="0" w:color="auto"/>
                <w:bottom w:val="none" w:sz="0" w:space="0" w:color="auto"/>
                <w:right w:val="none" w:sz="0" w:space="0" w:color="auto"/>
              </w:divBdr>
              <w:divsChild>
                <w:div w:id="1746877349">
                  <w:marLeft w:val="0"/>
                  <w:marRight w:val="0"/>
                  <w:marTop w:val="0"/>
                  <w:marBottom w:val="0"/>
                  <w:divBdr>
                    <w:top w:val="none" w:sz="0" w:space="0" w:color="auto"/>
                    <w:left w:val="none" w:sz="0" w:space="0" w:color="auto"/>
                    <w:bottom w:val="none" w:sz="0" w:space="0" w:color="auto"/>
                    <w:right w:val="none" w:sz="0" w:space="0" w:color="auto"/>
                  </w:divBdr>
                  <w:divsChild>
                    <w:div w:id="1324049107">
                      <w:marLeft w:val="0"/>
                      <w:marRight w:val="0"/>
                      <w:marTop w:val="0"/>
                      <w:marBottom w:val="0"/>
                      <w:divBdr>
                        <w:top w:val="none" w:sz="0" w:space="0" w:color="auto"/>
                        <w:left w:val="none" w:sz="0" w:space="0" w:color="auto"/>
                        <w:bottom w:val="none" w:sz="0" w:space="0" w:color="auto"/>
                        <w:right w:val="none" w:sz="0" w:space="0" w:color="auto"/>
                      </w:divBdr>
                      <w:divsChild>
                        <w:div w:id="1668752398">
                          <w:marLeft w:val="0"/>
                          <w:marRight w:val="0"/>
                          <w:marTop w:val="0"/>
                          <w:marBottom w:val="0"/>
                          <w:divBdr>
                            <w:top w:val="none" w:sz="0" w:space="0" w:color="auto"/>
                            <w:left w:val="none" w:sz="0" w:space="0" w:color="auto"/>
                            <w:bottom w:val="none" w:sz="0" w:space="0" w:color="auto"/>
                            <w:right w:val="none" w:sz="0" w:space="0" w:color="auto"/>
                          </w:divBdr>
                          <w:divsChild>
                            <w:div w:id="886070695">
                              <w:marLeft w:val="0"/>
                              <w:marRight w:val="0"/>
                              <w:marTop w:val="0"/>
                              <w:marBottom w:val="0"/>
                              <w:divBdr>
                                <w:top w:val="none" w:sz="0" w:space="0" w:color="auto"/>
                                <w:left w:val="none" w:sz="0" w:space="0" w:color="auto"/>
                                <w:bottom w:val="none" w:sz="0" w:space="0" w:color="auto"/>
                                <w:right w:val="none" w:sz="0" w:space="0" w:color="auto"/>
                              </w:divBdr>
                              <w:divsChild>
                                <w:div w:id="596409487">
                                  <w:marLeft w:val="0"/>
                                  <w:marRight w:val="0"/>
                                  <w:marTop w:val="0"/>
                                  <w:marBottom w:val="0"/>
                                  <w:divBdr>
                                    <w:top w:val="none" w:sz="0" w:space="0" w:color="auto"/>
                                    <w:left w:val="none" w:sz="0" w:space="0" w:color="auto"/>
                                    <w:bottom w:val="none" w:sz="0" w:space="0" w:color="auto"/>
                                    <w:right w:val="none" w:sz="0" w:space="0" w:color="auto"/>
                                  </w:divBdr>
                                  <w:divsChild>
                                    <w:div w:id="1023672878">
                                      <w:marLeft w:val="0"/>
                                      <w:marRight w:val="0"/>
                                      <w:marTop w:val="0"/>
                                      <w:marBottom w:val="0"/>
                                      <w:divBdr>
                                        <w:top w:val="none" w:sz="0" w:space="0" w:color="auto"/>
                                        <w:left w:val="none" w:sz="0" w:space="0" w:color="auto"/>
                                        <w:bottom w:val="none" w:sz="0" w:space="0" w:color="auto"/>
                                        <w:right w:val="none" w:sz="0" w:space="0" w:color="auto"/>
                                      </w:divBdr>
                                      <w:divsChild>
                                        <w:div w:id="1173061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5712338">
          <w:marLeft w:val="0"/>
          <w:marRight w:val="0"/>
          <w:marTop w:val="0"/>
          <w:marBottom w:val="0"/>
          <w:divBdr>
            <w:top w:val="none" w:sz="0" w:space="0" w:color="auto"/>
            <w:left w:val="none" w:sz="0" w:space="0" w:color="auto"/>
            <w:bottom w:val="none" w:sz="0" w:space="0" w:color="auto"/>
            <w:right w:val="none" w:sz="0" w:space="0" w:color="auto"/>
          </w:divBdr>
          <w:divsChild>
            <w:div w:id="911546068">
              <w:marLeft w:val="0"/>
              <w:marRight w:val="0"/>
              <w:marTop w:val="0"/>
              <w:marBottom w:val="0"/>
              <w:divBdr>
                <w:top w:val="none" w:sz="0" w:space="0" w:color="auto"/>
                <w:left w:val="none" w:sz="0" w:space="0" w:color="auto"/>
                <w:bottom w:val="none" w:sz="0" w:space="0" w:color="auto"/>
                <w:right w:val="none" w:sz="0" w:space="0" w:color="auto"/>
              </w:divBdr>
              <w:divsChild>
                <w:div w:id="1047417944">
                  <w:marLeft w:val="0"/>
                  <w:marRight w:val="0"/>
                  <w:marTop w:val="0"/>
                  <w:marBottom w:val="0"/>
                  <w:divBdr>
                    <w:top w:val="none" w:sz="0" w:space="0" w:color="auto"/>
                    <w:left w:val="none" w:sz="0" w:space="0" w:color="auto"/>
                    <w:bottom w:val="none" w:sz="0" w:space="0" w:color="auto"/>
                    <w:right w:val="none" w:sz="0" w:space="0" w:color="auto"/>
                  </w:divBdr>
                  <w:divsChild>
                    <w:div w:id="1581022458">
                      <w:marLeft w:val="0"/>
                      <w:marRight w:val="0"/>
                      <w:marTop w:val="0"/>
                      <w:marBottom w:val="0"/>
                      <w:divBdr>
                        <w:top w:val="none" w:sz="0" w:space="0" w:color="auto"/>
                        <w:left w:val="none" w:sz="0" w:space="0" w:color="auto"/>
                        <w:bottom w:val="none" w:sz="0" w:space="0" w:color="auto"/>
                        <w:right w:val="none" w:sz="0" w:space="0" w:color="auto"/>
                      </w:divBdr>
                      <w:divsChild>
                        <w:div w:id="1109741242">
                          <w:marLeft w:val="0"/>
                          <w:marRight w:val="0"/>
                          <w:marTop w:val="0"/>
                          <w:marBottom w:val="0"/>
                          <w:divBdr>
                            <w:top w:val="none" w:sz="0" w:space="0" w:color="auto"/>
                            <w:left w:val="none" w:sz="0" w:space="0" w:color="auto"/>
                            <w:bottom w:val="none" w:sz="0" w:space="0" w:color="auto"/>
                            <w:right w:val="none" w:sz="0" w:space="0" w:color="auto"/>
                          </w:divBdr>
                          <w:divsChild>
                            <w:div w:id="839464548">
                              <w:marLeft w:val="0"/>
                              <w:marRight w:val="0"/>
                              <w:marTop w:val="0"/>
                              <w:marBottom w:val="0"/>
                              <w:divBdr>
                                <w:top w:val="none" w:sz="0" w:space="0" w:color="auto"/>
                                <w:left w:val="none" w:sz="0" w:space="0" w:color="auto"/>
                                <w:bottom w:val="none" w:sz="0" w:space="0" w:color="auto"/>
                                <w:right w:val="none" w:sz="0" w:space="0" w:color="auto"/>
                              </w:divBdr>
                              <w:divsChild>
                                <w:div w:id="836000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4947443">
                  <w:marLeft w:val="0"/>
                  <w:marRight w:val="0"/>
                  <w:marTop w:val="0"/>
                  <w:marBottom w:val="0"/>
                  <w:divBdr>
                    <w:top w:val="none" w:sz="0" w:space="0" w:color="auto"/>
                    <w:left w:val="none" w:sz="0" w:space="0" w:color="auto"/>
                    <w:bottom w:val="none" w:sz="0" w:space="0" w:color="auto"/>
                    <w:right w:val="none" w:sz="0" w:space="0" w:color="auto"/>
                  </w:divBdr>
                  <w:divsChild>
                    <w:div w:id="1067265666">
                      <w:marLeft w:val="0"/>
                      <w:marRight w:val="0"/>
                      <w:marTop w:val="0"/>
                      <w:marBottom w:val="0"/>
                      <w:divBdr>
                        <w:top w:val="none" w:sz="0" w:space="0" w:color="auto"/>
                        <w:left w:val="none" w:sz="0" w:space="0" w:color="auto"/>
                        <w:bottom w:val="none" w:sz="0" w:space="0" w:color="auto"/>
                        <w:right w:val="none" w:sz="0" w:space="0" w:color="auto"/>
                      </w:divBdr>
                      <w:divsChild>
                        <w:div w:id="727384797">
                          <w:marLeft w:val="0"/>
                          <w:marRight w:val="0"/>
                          <w:marTop w:val="0"/>
                          <w:marBottom w:val="0"/>
                          <w:divBdr>
                            <w:top w:val="none" w:sz="0" w:space="0" w:color="auto"/>
                            <w:left w:val="none" w:sz="0" w:space="0" w:color="auto"/>
                            <w:bottom w:val="none" w:sz="0" w:space="0" w:color="auto"/>
                            <w:right w:val="none" w:sz="0" w:space="0" w:color="auto"/>
                          </w:divBdr>
                          <w:divsChild>
                            <w:div w:id="584152467">
                              <w:marLeft w:val="0"/>
                              <w:marRight w:val="0"/>
                              <w:marTop w:val="0"/>
                              <w:marBottom w:val="0"/>
                              <w:divBdr>
                                <w:top w:val="none" w:sz="0" w:space="0" w:color="auto"/>
                                <w:left w:val="none" w:sz="0" w:space="0" w:color="auto"/>
                                <w:bottom w:val="none" w:sz="0" w:space="0" w:color="auto"/>
                                <w:right w:val="none" w:sz="0" w:space="0" w:color="auto"/>
                              </w:divBdr>
                              <w:divsChild>
                                <w:div w:id="550581616">
                                  <w:marLeft w:val="0"/>
                                  <w:marRight w:val="0"/>
                                  <w:marTop w:val="0"/>
                                  <w:marBottom w:val="0"/>
                                  <w:divBdr>
                                    <w:top w:val="none" w:sz="0" w:space="0" w:color="auto"/>
                                    <w:left w:val="none" w:sz="0" w:space="0" w:color="auto"/>
                                    <w:bottom w:val="none" w:sz="0" w:space="0" w:color="auto"/>
                                    <w:right w:val="none" w:sz="0" w:space="0" w:color="auto"/>
                                  </w:divBdr>
                                  <w:divsChild>
                                    <w:div w:id="803278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52081">
                          <w:marLeft w:val="0"/>
                          <w:marRight w:val="0"/>
                          <w:marTop w:val="0"/>
                          <w:marBottom w:val="0"/>
                          <w:divBdr>
                            <w:top w:val="none" w:sz="0" w:space="0" w:color="auto"/>
                            <w:left w:val="none" w:sz="0" w:space="0" w:color="auto"/>
                            <w:bottom w:val="none" w:sz="0" w:space="0" w:color="auto"/>
                            <w:right w:val="none" w:sz="0" w:space="0" w:color="auto"/>
                          </w:divBdr>
                          <w:divsChild>
                            <w:div w:id="522548349">
                              <w:marLeft w:val="0"/>
                              <w:marRight w:val="0"/>
                              <w:marTop w:val="0"/>
                              <w:marBottom w:val="0"/>
                              <w:divBdr>
                                <w:top w:val="none" w:sz="0" w:space="0" w:color="auto"/>
                                <w:left w:val="none" w:sz="0" w:space="0" w:color="auto"/>
                                <w:bottom w:val="none" w:sz="0" w:space="0" w:color="auto"/>
                                <w:right w:val="none" w:sz="0" w:space="0" w:color="auto"/>
                              </w:divBdr>
                              <w:divsChild>
                                <w:div w:id="1454323957">
                                  <w:marLeft w:val="0"/>
                                  <w:marRight w:val="0"/>
                                  <w:marTop w:val="0"/>
                                  <w:marBottom w:val="0"/>
                                  <w:divBdr>
                                    <w:top w:val="none" w:sz="0" w:space="0" w:color="auto"/>
                                    <w:left w:val="none" w:sz="0" w:space="0" w:color="auto"/>
                                    <w:bottom w:val="none" w:sz="0" w:space="0" w:color="auto"/>
                                    <w:right w:val="none" w:sz="0" w:space="0" w:color="auto"/>
                                  </w:divBdr>
                                  <w:divsChild>
                                    <w:div w:id="1597789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7353228">
          <w:marLeft w:val="0"/>
          <w:marRight w:val="0"/>
          <w:marTop w:val="0"/>
          <w:marBottom w:val="0"/>
          <w:divBdr>
            <w:top w:val="none" w:sz="0" w:space="0" w:color="auto"/>
            <w:left w:val="none" w:sz="0" w:space="0" w:color="auto"/>
            <w:bottom w:val="none" w:sz="0" w:space="0" w:color="auto"/>
            <w:right w:val="none" w:sz="0" w:space="0" w:color="auto"/>
          </w:divBdr>
          <w:divsChild>
            <w:div w:id="548498104">
              <w:marLeft w:val="0"/>
              <w:marRight w:val="0"/>
              <w:marTop w:val="0"/>
              <w:marBottom w:val="0"/>
              <w:divBdr>
                <w:top w:val="none" w:sz="0" w:space="0" w:color="auto"/>
                <w:left w:val="none" w:sz="0" w:space="0" w:color="auto"/>
                <w:bottom w:val="none" w:sz="0" w:space="0" w:color="auto"/>
                <w:right w:val="none" w:sz="0" w:space="0" w:color="auto"/>
              </w:divBdr>
              <w:divsChild>
                <w:div w:id="1604922295">
                  <w:marLeft w:val="0"/>
                  <w:marRight w:val="0"/>
                  <w:marTop w:val="0"/>
                  <w:marBottom w:val="0"/>
                  <w:divBdr>
                    <w:top w:val="none" w:sz="0" w:space="0" w:color="auto"/>
                    <w:left w:val="none" w:sz="0" w:space="0" w:color="auto"/>
                    <w:bottom w:val="none" w:sz="0" w:space="0" w:color="auto"/>
                    <w:right w:val="none" w:sz="0" w:space="0" w:color="auto"/>
                  </w:divBdr>
                  <w:divsChild>
                    <w:div w:id="1243956284">
                      <w:marLeft w:val="0"/>
                      <w:marRight w:val="0"/>
                      <w:marTop w:val="0"/>
                      <w:marBottom w:val="0"/>
                      <w:divBdr>
                        <w:top w:val="none" w:sz="0" w:space="0" w:color="auto"/>
                        <w:left w:val="none" w:sz="0" w:space="0" w:color="auto"/>
                        <w:bottom w:val="none" w:sz="0" w:space="0" w:color="auto"/>
                        <w:right w:val="none" w:sz="0" w:space="0" w:color="auto"/>
                      </w:divBdr>
                      <w:divsChild>
                        <w:div w:id="893082772">
                          <w:marLeft w:val="0"/>
                          <w:marRight w:val="0"/>
                          <w:marTop w:val="0"/>
                          <w:marBottom w:val="0"/>
                          <w:divBdr>
                            <w:top w:val="none" w:sz="0" w:space="0" w:color="auto"/>
                            <w:left w:val="none" w:sz="0" w:space="0" w:color="auto"/>
                            <w:bottom w:val="none" w:sz="0" w:space="0" w:color="auto"/>
                            <w:right w:val="none" w:sz="0" w:space="0" w:color="auto"/>
                          </w:divBdr>
                          <w:divsChild>
                            <w:div w:id="1815026768">
                              <w:marLeft w:val="0"/>
                              <w:marRight w:val="0"/>
                              <w:marTop w:val="0"/>
                              <w:marBottom w:val="0"/>
                              <w:divBdr>
                                <w:top w:val="none" w:sz="0" w:space="0" w:color="auto"/>
                                <w:left w:val="none" w:sz="0" w:space="0" w:color="auto"/>
                                <w:bottom w:val="none" w:sz="0" w:space="0" w:color="auto"/>
                                <w:right w:val="none" w:sz="0" w:space="0" w:color="auto"/>
                              </w:divBdr>
                              <w:divsChild>
                                <w:div w:id="383910341">
                                  <w:marLeft w:val="0"/>
                                  <w:marRight w:val="0"/>
                                  <w:marTop w:val="0"/>
                                  <w:marBottom w:val="0"/>
                                  <w:divBdr>
                                    <w:top w:val="none" w:sz="0" w:space="0" w:color="auto"/>
                                    <w:left w:val="none" w:sz="0" w:space="0" w:color="auto"/>
                                    <w:bottom w:val="none" w:sz="0" w:space="0" w:color="auto"/>
                                    <w:right w:val="none" w:sz="0" w:space="0" w:color="auto"/>
                                  </w:divBdr>
                                  <w:divsChild>
                                    <w:div w:id="72751343">
                                      <w:marLeft w:val="0"/>
                                      <w:marRight w:val="0"/>
                                      <w:marTop w:val="0"/>
                                      <w:marBottom w:val="0"/>
                                      <w:divBdr>
                                        <w:top w:val="none" w:sz="0" w:space="0" w:color="auto"/>
                                        <w:left w:val="none" w:sz="0" w:space="0" w:color="auto"/>
                                        <w:bottom w:val="none" w:sz="0" w:space="0" w:color="auto"/>
                                        <w:right w:val="none" w:sz="0" w:space="0" w:color="auto"/>
                                      </w:divBdr>
                                      <w:divsChild>
                                        <w:div w:id="204042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7801036">
          <w:marLeft w:val="0"/>
          <w:marRight w:val="0"/>
          <w:marTop w:val="0"/>
          <w:marBottom w:val="0"/>
          <w:divBdr>
            <w:top w:val="none" w:sz="0" w:space="0" w:color="auto"/>
            <w:left w:val="none" w:sz="0" w:space="0" w:color="auto"/>
            <w:bottom w:val="none" w:sz="0" w:space="0" w:color="auto"/>
            <w:right w:val="none" w:sz="0" w:space="0" w:color="auto"/>
          </w:divBdr>
          <w:divsChild>
            <w:div w:id="989090993">
              <w:marLeft w:val="0"/>
              <w:marRight w:val="0"/>
              <w:marTop w:val="0"/>
              <w:marBottom w:val="0"/>
              <w:divBdr>
                <w:top w:val="none" w:sz="0" w:space="0" w:color="auto"/>
                <w:left w:val="none" w:sz="0" w:space="0" w:color="auto"/>
                <w:bottom w:val="none" w:sz="0" w:space="0" w:color="auto"/>
                <w:right w:val="none" w:sz="0" w:space="0" w:color="auto"/>
              </w:divBdr>
              <w:divsChild>
                <w:div w:id="6687100">
                  <w:marLeft w:val="0"/>
                  <w:marRight w:val="0"/>
                  <w:marTop w:val="0"/>
                  <w:marBottom w:val="0"/>
                  <w:divBdr>
                    <w:top w:val="none" w:sz="0" w:space="0" w:color="auto"/>
                    <w:left w:val="none" w:sz="0" w:space="0" w:color="auto"/>
                    <w:bottom w:val="none" w:sz="0" w:space="0" w:color="auto"/>
                    <w:right w:val="none" w:sz="0" w:space="0" w:color="auto"/>
                  </w:divBdr>
                  <w:divsChild>
                    <w:div w:id="970280615">
                      <w:marLeft w:val="0"/>
                      <w:marRight w:val="0"/>
                      <w:marTop w:val="0"/>
                      <w:marBottom w:val="0"/>
                      <w:divBdr>
                        <w:top w:val="none" w:sz="0" w:space="0" w:color="auto"/>
                        <w:left w:val="none" w:sz="0" w:space="0" w:color="auto"/>
                        <w:bottom w:val="none" w:sz="0" w:space="0" w:color="auto"/>
                        <w:right w:val="none" w:sz="0" w:space="0" w:color="auto"/>
                      </w:divBdr>
                      <w:divsChild>
                        <w:div w:id="1671254500">
                          <w:marLeft w:val="0"/>
                          <w:marRight w:val="0"/>
                          <w:marTop w:val="0"/>
                          <w:marBottom w:val="0"/>
                          <w:divBdr>
                            <w:top w:val="none" w:sz="0" w:space="0" w:color="auto"/>
                            <w:left w:val="none" w:sz="0" w:space="0" w:color="auto"/>
                            <w:bottom w:val="none" w:sz="0" w:space="0" w:color="auto"/>
                            <w:right w:val="none" w:sz="0" w:space="0" w:color="auto"/>
                          </w:divBdr>
                          <w:divsChild>
                            <w:div w:id="68892398">
                              <w:marLeft w:val="0"/>
                              <w:marRight w:val="0"/>
                              <w:marTop w:val="0"/>
                              <w:marBottom w:val="0"/>
                              <w:divBdr>
                                <w:top w:val="none" w:sz="0" w:space="0" w:color="auto"/>
                                <w:left w:val="none" w:sz="0" w:space="0" w:color="auto"/>
                                <w:bottom w:val="none" w:sz="0" w:space="0" w:color="auto"/>
                                <w:right w:val="none" w:sz="0" w:space="0" w:color="auto"/>
                              </w:divBdr>
                              <w:divsChild>
                                <w:div w:id="1398675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3503308">
                  <w:marLeft w:val="0"/>
                  <w:marRight w:val="0"/>
                  <w:marTop w:val="0"/>
                  <w:marBottom w:val="0"/>
                  <w:divBdr>
                    <w:top w:val="none" w:sz="0" w:space="0" w:color="auto"/>
                    <w:left w:val="none" w:sz="0" w:space="0" w:color="auto"/>
                    <w:bottom w:val="none" w:sz="0" w:space="0" w:color="auto"/>
                    <w:right w:val="none" w:sz="0" w:space="0" w:color="auto"/>
                  </w:divBdr>
                  <w:divsChild>
                    <w:div w:id="380635896">
                      <w:marLeft w:val="0"/>
                      <w:marRight w:val="0"/>
                      <w:marTop w:val="0"/>
                      <w:marBottom w:val="0"/>
                      <w:divBdr>
                        <w:top w:val="none" w:sz="0" w:space="0" w:color="auto"/>
                        <w:left w:val="none" w:sz="0" w:space="0" w:color="auto"/>
                        <w:bottom w:val="none" w:sz="0" w:space="0" w:color="auto"/>
                        <w:right w:val="none" w:sz="0" w:space="0" w:color="auto"/>
                      </w:divBdr>
                      <w:divsChild>
                        <w:div w:id="880480258">
                          <w:marLeft w:val="0"/>
                          <w:marRight w:val="0"/>
                          <w:marTop w:val="0"/>
                          <w:marBottom w:val="0"/>
                          <w:divBdr>
                            <w:top w:val="none" w:sz="0" w:space="0" w:color="auto"/>
                            <w:left w:val="none" w:sz="0" w:space="0" w:color="auto"/>
                            <w:bottom w:val="none" w:sz="0" w:space="0" w:color="auto"/>
                            <w:right w:val="none" w:sz="0" w:space="0" w:color="auto"/>
                          </w:divBdr>
                          <w:divsChild>
                            <w:div w:id="548034834">
                              <w:marLeft w:val="0"/>
                              <w:marRight w:val="0"/>
                              <w:marTop w:val="0"/>
                              <w:marBottom w:val="0"/>
                              <w:divBdr>
                                <w:top w:val="none" w:sz="0" w:space="0" w:color="auto"/>
                                <w:left w:val="none" w:sz="0" w:space="0" w:color="auto"/>
                                <w:bottom w:val="none" w:sz="0" w:space="0" w:color="auto"/>
                                <w:right w:val="none" w:sz="0" w:space="0" w:color="auto"/>
                              </w:divBdr>
                              <w:divsChild>
                                <w:div w:id="34280614">
                                  <w:marLeft w:val="0"/>
                                  <w:marRight w:val="0"/>
                                  <w:marTop w:val="0"/>
                                  <w:marBottom w:val="0"/>
                                  <w:divBdr>
                                    <w:top w:val="none" w:sz="0" w:space="0" w:color="auto"/>
                                    <w:left w:val="none" w:sz="0" w:space="0" w:color="auto"/>
                                    <w:bottom w:val="none" w:sz="0" w:space="0" w:color="auto"/>
                                    <w:right w:val="none" w:sz="0" w:space="0" w:color="auto"/>
                                  </w:divBdr>
                                  <w:divsChild>
                                    <w:div w:id="1494487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7197724">
      <w:bodyDiv w:val="1"/>
      <w:marLeft w:val="0"/>
      <w:marRight w:val="0"/>
      <w:marTop w:val="0"/>
      <w:marBottom w:val="0"/>
      <w:divBdr>
        <w:top w:val="none" w:sz="0" w:space="0" w:color="auto"/>
        <w:left w:val="none" w:sz="0" w:space="0" w:color="auto"/>
        <w:bottom w:val="none" w:sz="0" w:space="0" w:color="auto"/>
        <w:right w:val="none" w:sz="0" w:space="0" w:color="auto"/>
      </w:divBdr>
    </w:div>
    <w:div w:id="2071877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EDF2024</b:Tag>
    <b:SourceType>JournalArticle</b:SourceType>
    <b:Guid>{0B06F8D5-54C6-4CD2-96A5-C6257680D606}</b:Guid>
    <b:Title>Pathways to Net Zero</b:Title>
    <b:Year>2024</b:Year>
    <b:Author>
      <b:Author>
        <b:Corporate>Enviornment Defense Fund</b:Corporate>
      </b:Author>
    </b:Author>
    <b:JournalName>Circular Strategies for Climate Action</b:JournalName>
    <b:Pages>1</b:Pages>
    <b:RefOrder>1</b:RefOrder>
  </b:Source>
  <b:Source>
    <b:Tag>Syl22</b:Tag>
    <b:SourceType>JournalArticle</b:SourceType>
    <b:Guid>{7D182E4F-FDF7-4CDA-B5CF-A28235BA6939}</b:Guid>
    <b:Author>
      <b:Author>
        <b:NameList>
          <b:Person>
            <b:Last>Pietrulla</b:Last>
            <b:First>Sylvie</b:First>
            <b:Middle>Geisendorf: Felcitas</b:Middle>
          </b:Person>
        </b:NameList>
      </b:Author>
    </b:Author>
    <b:Title>The Circular Economy and circular economic concepts- a literature analysis and redefinition</b:Title>
    <b:Year>2022</b:Year>
    <b:Pages>12</b:Pages>
    <b:RefOrder>3</b:RefOrder>
  </b:Source>
  <b:Source>
    <b:Tag>And07</b:Tag>
    <b:SourceType>Book</b:SourceType>
    <b:Guid>{8C430FAB-D81C-4CC3-AE95-F47A7FAC5A0A}</b:Guid>
    <b:Title>An introdcutory note on the environmetal economics of the circular economy,2(1)</b:Title>
    <b:Year>2007</b:Year>
    <b:Author>
      <b:Author>
        <b:NameList>
          <b:Person>
            <b:Last>Anderson</b:Last>
            <b:First>M.S.</b:First>
          </b:Person>
        </b:NameList>
      </b:Author>
    </b:Author>
    <b:RefOrder>4</b:RefOrder>
  </b:Source>
  <b:Source>
    <b:Tag>Wor21</b:Tag>
    <b:SourceType>Report</b:SourceType>
    <b:Guid>{BAEDEEB4-E1A0-439B-B15F-51123C799779}</b:Guid>
    <b:Author>
      <b:Author>
        <b:Corporate>World Steel Association</b:Corporate>
      </b:Author>
    </b:Author>
    <b:Title>Sustainabilty Indicators</b:Title>
    <b:Year>2021</b:Year>
    <b:RefOrder>5</b:RefOrder>
  </b:Source>
  <b:Source>
    <b:Tag>HMG21</b:Tag>
    <b:SourceType>Report</b:SourceType>
    <b:Guid>{B04ABD26-0EBD-447E-BCDA-05D0A51C49B8}</b:Guid>
    <b:Author>
      <b:Author>
        <b:Corporate>HM Government</b:Corporate>
      </b:Author>
    </b:Author>
    <b:Title>Industrial Decarbonisation strategy</b:Title>
    <b:Year>2021</b:Year>
    <b:RefOrder>6</b:RefOrder>
  </b:Source>
  <b:Source>
    <b:Tag>Tat22</b:Tag>
    <b:SourceType>InternetSite</b:SourceType>
    <b:Guid>{A377BF92-C815-473F-8552-527AE73FC1F9}</b:Guid>
    <b:Title>Tata Steel Europe</b:Title>
    <b:Year>2022</b:Year>
    <b:Author>
      <b:Author>
        <b:Corporate>Tata Steel</b:Corporate>
      </b:Author>
    </b:Author>
    <b:URL>www.tatasteeleurope.com</b:URL>
    <b:RefOrder>8</b:RefOrder>
  </b:Source>
  <b:Source>
    <b:Tag>TAT</b:Tag>
    <b:SourceType>InternetSite</b:SourceType>
    <b:Guid>{6A731B38-DCF0-4046-A7EA-F29EA9DA7637}</b:Guid>
    <b:Author>
      <b:Author>
        <b:Corporate>TATA Steel Europe</b:Corporate>
      </b:Author>
    </b:Author>
    <b:Title>Steel Matters</b:Title>
    <b:URL>https://tsx.sharepoint.com/sites/StripUKComms/Shared%20Documents/Forms/Picture%20default.aspx?id=%2Fsites%2FStripUKComms%2FShared%20Documents%2FInternal%20Communication%2FNewspaper%2FNewspaper%20PDF%27s%2F2024%2FSteel%20Matters%20Issue%2026%2Epdf&amp;parent=%</b:URL>
    <b:Year>2024</b:Year>
    <b:RefOrder>7</b:RefOrder>
  </b:Source>
  <b:Source>
    <b:Tag>Pie22</b:Tag>
    <b:SourceType>Book</b:SourceType>
    <b:Guid>{C3E2B9E8-75BD-44B4-9117-01BE8D1F6110}</b:Guid>
    <b:Title>Cases on circular Economy in Practice </b:Title>
    <b:Year>2022</b:Year>
    <b:Author>
      <b:Author>
        <b:NameList>
          <b:Person>
            <b:Last>Giovanni</b:Last>
            <b:First>Pietro</b:First>
            <b:Middle>De</b:Middle>
          </b:Person>
        </b:NameList>
      </b:Author>
    </b:Author>
    <b:Publisher>IG Global</b:Publisher>
    <b:RefOrder>9</b:RefOrder>
  </b:Source>
  <b:Source>
    <b:Tag>JAS23</b:Tag>
    <b:SourceType>Book</b:SourceType>
    <b:Guid>{2873002C-2EBB-4725-AC5B-05F8FC6BFD38}</b:Guid>
    <b:Title>Introdcution to Waste Management and Circular Economy</b:Title>
    <b:Year>2023</b:Year>
    <b:Publisher>Ucl Press</b:Publisher>
    <b:Author>
      <b:Author>
        <b:NameList>
          <b:Person>
            <b:Last>Ewijk</b:Last>
            <b:First>J</b:First>
            <b:Middle>A Stegamann. Stijn Van</b:Middle>
          </b:Person>
        </b:NameList>
      </b:Author>
    </b:Author>
    <b:RefOrder>2</b:RefOrder>
  </b:Source>
</b:Sources>
</file>

<file path=customXml/itemProps1.xml><?xml version="1.0" encoding="utf-8"?>
<ds:datastoreItem xmlns:ds="http://schemas.openxmlformats.org/officeDocument/2006/customXml" ds:itemID="{D98D6FB8-BC0A-481B-B613-BC686B07CC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1713</Words>
  <Characters>10283</Characters>
  <Application>Microsoft Office Word</Application>
  <DocSecurity>0</DocSecurity>
  <Lines>293</Lines>
  <Paragraphs>70</Paragraphs>
  <ScaleCrop>false</ScaleCrop>
  <Company/>
  <LinksUpToDate>false</LinksUpToDate>
  <CharactersWithSpaces>11926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Wooldridge, Carys</dc:creator>
  <cp:keywords/>
  <dc:description/>
  <cp:lastModifiedBy>Wooldridge, Carys</cp:lastModifiedBy>
  <cp:revision>129</cp:revision>
  <dcterms:created xsi:type="dcterms:W3CDTF">2024-10-17T09:59:00Z</dcterms:created>
  <dcterms:modified xsi:type="dcterms:W3CDTF">2024-11-27T17:31:00Z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7b1228d,3bd5b33,4ac3cf90</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2024-10-17T10:05:40Z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5eea7d29-a003-4c68-8c85-527f497702ec</vt:lpwstr>
  </property>
  <property fmtid="{D5CDD505-2E9C-101B-9397-08002B2CF9AE}" pid="11" name="MSIP_Label_73aa366c-74b9-492b-a1b9-5472c41e7d31_ContentBits">
    <vt:lpwstr>2</vt:lpwstr>
  </property>
</Properties>
</file>