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846EB" w14:textId="37D7C912" w:rsidR="002D5719" w:rsidRPr="00BA36D5" w:rsidRDefault="00BA36D5">
      <w:pPr>
        <w:spacing w:before="120" w:after="120"/>
        <w:rPr>
          <w:sz w:val="56"/>
          <w:szCs w:val="56"/>
        </w:rPr>
      </w:pPr>
      <w:r w:rsidRPr="00BA36D5">
        <w:rPr>
          <w:sz w:val="56"/>
          <w:szCs w:val="56"/>
        </w:rPr>
        <w:t xml:space="preserve">Student </w:t>
      </w:r>
      <w:r w:rsidR="00BB7EAF" w:rsidRPr="00BA36D5">
        <w:rPr>
          <w:sz w:val="56"/>
          <w:szCs w:val="56"/>
        </w:rPr>
        <w:t>name:</w:t>
      </w:r>
      <w:r w:rsidRPr="00BA36D5">
        <w:rPr>
          <w:sz w:val="56"/>
          <w:szCs w:val="56"/>
        </w:rPr>
        <w:t xml:space="preserve"> Lidiya </w:t>
      </w:r>
      <w:r w:rsidR="000B384D">
        <w:rPr>
          <w:sz w:val="52"/>
          <w:szCs w:val="52"/>
        </w:rPr>
        <w:t>B</w:t>
      </w:r>
      <w:r w:rsidRPr="000B384D">
        <w:rPr>
          <w:sz w:val="52"/>
          <w:szCs w:val="52"/>
        </w:rPr>
        <w:t>erhane</w:t>
      </w:r>
    </w:p>
    <w:p w14:paraId="552718CB" w14:textId="471F1CFA" w:rsidR="00BA36D5" w:rsidRPr="00BA36D5" w:rsidRDefault="00BA36D5">
      <w:pPr>
        <w:spacing w:before="120" w:after="120"/>
        <w:rPr>
          <w:sz w:val="56"/>
          <w:szCs w:val="56"/>
        </w:rPr>
      </w:pPr>
      <w:r w:rsidRPr="00BA36D5">
        <w:rPr>
          <w:sz w:val="56"/>
          <w:szCs w:val="56"/>
        </w:rPr>
        <w:t>Student ID: 2506206</w:t>
      </w:r>
    </w:p>
    <w:p w14:paraId="298E183D" w14:textId="484802B4" w:rsidR="00BA36D5" w:rsidRPr="00BA36D5" w:rsidRDefault="00BA36D5">
      <w:pPr>
        <w:spacing w:before="120" w:after="120"/>
        <w:rPr>
          <w:sz w:val="56"/>
          <w:szCs w:val="56"/>
        </w:rPr>
      </w:pPr>
      <w:r w:rsidRPr="00BA36D5">
        <w:rPr>
          <w:sz w:val="56"/>
          <w:szCs w:val="56"/>
        </w:rPr>
        <w:t>MODYLE: LCHS 4003</w:t>
      </w:r>
    </w:p>
    <w:p w14:paraId="4941E959" w14:textId="15F3CEAC" w:rsidR="00BA36D5" w:rsidRPr="00BA36D5" w:rsidRDefault="00BA36D5">
      <w:pPr>
        <w:spacing w:before="120" w:after="120"/>
        <w:rPr>
          <w:sz w:val="56"/>
          <w:szCs w:val="56"/>
        </w:rPr>
      </w:pPr>
      <w:r w:rsidRPr="00BA36D5">
        <w:rPr>
          <w:sz w:val="56"/>
          <w:szCs w:val="56"/>
        </w:rPr>
        <w:t>COURSE: HEALTH AND SOCIAL CARE</w:t>
      </w:r>
    </w:p>
    <w:p w14:paraId="1B9322D1" w14:textId="597E3466" w:rsidR="00BA36D5" w:rsidRPr="00BA36D5" w:rsidRDefault="00BA36D5">
      <w:pPr>
        <w:spacing w:before="120" w:after="120"/>
        <w:rPr>
          <w:sz w:val="56"/>
          <w:szCs w:val="56"/>
        </w:rPr>
      </w:pPr>
      <w:r w:rsidRPr="00BA36D5">
        <w:rPr>
          <w:sz w:val="56"/>
          <w:szCs w:val="56"/>
        </w:rPr>
        <w:t>LECTURE</w:t>
      </w:r>
      <w:r w:rsidR="00BB7EAF" w:rsidRPr="00BA36D5">
        <w:rPr>
          <w:sz w:val="56"/>
          <w:szCs w:val="56"/>
        </w:rPr>
        <w:t>: AZIDA</w:t>
      </w:r>
      <w:r w:rsidRPr="00BA36D5">
        <w:rPr>
          <w:sz w:val="56"/>
          <w:szCs w:val="56"/>
        </w:rPr>
        <w:t xml:space="preserve"> ZAINOL</w:t>
      </w:r>
    </w:p>
    <w:p w14:paraId="75C4D6CC" w14:textId="57D41B41" w:rsidR="00BA36D5" w:rsidRPr="00BA36D5" w:rsidRDefault="00BA36D5">
      <w:pPr>
        <w:spacing w:before="120" w:after="120"/>
        <w:rPr>
          <w:sz w:val="56"/>
          <w:szCs w:val="56"/>
        </w:rPr>
      </w:pPr>
      <w:r w:rsidRPr="00BA36D5">
        <w:rPr>
          <w:sz w:val="56"/>
          <w:szCs w:val="56"/>
        </w:rPr>
        <w:t>INSTITUTION: BIRMINGHAM</w:t>
      </w:r>
    </w:p>
    <w:p w14:paraId="02853BAA" w14:textId="3FCC49C9" w:rsidR="00BA36D5" w:rsidRPr="00BA36D5" w:rsidRDefault="00BA36D5">
      <w:pPr>
        <w:spacing w:before="120" w:after="120"/>
        <w:rPr>
          <w:sz w:val="56"/>
          <w:szCs w:val="56"/>
        </w:rPr>
      </w:pPr>
      <w:r w:rsidRPr="00BA36D5">
        <w:rPr>
          <w:sz w:val="56"/>
          <w:szCs w:val="56"/>
        </w:rPr>
        <w:t>SUBMISSION DATE 27/03/2026</w:t>
      </w:r>
    </w:p>
    <w:p w14:paraId="58DF2B10" w14:textId="77777777" w:rsidR="00BA36D5" w:rsidRPr="00BA36D5" w:rsidRDefault="00BA36D5">
      <w:pPr>
        <w:spacing w:before="120" w:after="120"/>
        <w:rPr>
          <w:sz w:val="72"/>
          <w:szCs w:val="72"/>
        </w:rPr>
      </w:pPr>
    </w:p>
    <w:p w14:paraId="51B9A192" w14:textId="77777777" w:rsidR="00BA36D5" w:rsidRPr="00BA36D5" w:rsidRDefault="00BA36D5">
      <w:pPr>
        <w:spacing w:before="120" w:after="120"/>
        <w:rPr>
          <w:sz w:val="72"/>
          <w:szCs w:val="72"/>
        </w:rPr>
      </w:pPr>
    </w:p>
    <w:p w14:paraId="77E437CA" w14:textId="77777777" w:rsidR="00BA36D5" w:rsidRPr="00BA36D5" w:rsidRDefault="00BA36D5">
      <w:pPr>
        <w:spacing w:before="120" w:after="120"/>
        <w:rPr>
          <w:sz w:val="72"/>
          <w:szCs w:val="72"/>
        </w:rPr>
      </w:pPr>
    </w:p>
    <w:p w14:paraId="0D79311A" w14:textId="77777777" w:rsidR="00BA36D5" w:rsidRDefault="00BA36D5">
      <w:pPr>
        <w:spacing w:before="120" w:after="120"/>
      </w:pPr>
    </w:p>
    <w:p w14:paraId="04FBEAD0" w14:textId="77777777" w:rsidR="00BA36D5" w:rsidRDefault="00BA36D5">
      <w:pPr>
        <w:spacing w:before="120" w:after="120"/>
      </w:pPr>
    </w:p>
    <w:p w14:paraId="78EFCAF0" w14:textId="77777777" w:rsidR="00BA36D5" w:rsidRDefault="00BA36D5">
      <w:pPr>
        <w:spacing w:before="120" w:after="120"/>
      </w:pPr>
    </w:p>
    <w:p w14:paraId="74169624" w14:textId="77777777" w:rsidR="00BA36D5" w:rsidRDefault="00BA36D5">
      <w:pPr>
        <w:spacing w:before="120" w:after="120"/>
      </w:pPr>
    </w:p>
    <w:p w14:paraId="64F3D8DE" w14:textId="77777777" w:rsidR="00BA36D5" w:rsidRDefault="00BA36D5">
      <w:pPr>
        <w:spacing w:before="120" w:after="120"/>
      </w:pPr>
    </w:p>
    <w:p w14:paraId="4A00F460" w14:textId="77777777" w:rsidR="00BA36D5" w:rsidRDefault="00BA36D5">
      <w:pPr>
        <w:spacing w:before="120" w:after="120"/>
      </w:pPr>
    </w:p>
    <w:p w14:paraId="5D0339AE" w14:textId="77777777" w:rsidR="00BA36D5" w:rsidRDefault="00BA36D5">
      <w:pPr>
        <w:spacing w:before="120" w:after="120"/>
      </w:pPr>
    </w:p>
    <w:p w14:paraId="32FCF05B" w14:textId="77777777" w:rsidR="00BA36D5" w:rsidRDefault="00BA36D5">
      <w:pPr>
        <w:spacing w:before="120" w:after="120"/>
      </w:pPr>
    </w:p>
    <w:p w14:paraId="65C67C54" w14:textId="77777777" w:rsidR="00BA36D5" w:rsidRDefault="00BA36D5">
      <w:pPr>
        <w:spacing w:before="120" w:after="120"/>
      </w:pPr>
    </w:p>
    <w:p w14:paraId="7D46DABA" w14:textId="77777777" w:rsidR="00BA36D5" w:rsidRDefault="00BA36D5">
      <w:pPr>
        <w:spacing w:before="120" w:after="120"/>
      </w:pPr>
    </w:p>
    <w:p w14:paraId="61056BBA" w14:textId="77777777" w:rsidR="002D5719" w:rsidRPr="00BB7EAF" w:rsidRDefault="00000000" w:rsidP="00BB7EAF">
      <w:pPr>
        <w:pStyle w:val="Heading1"/>
        <w:keepNext w:val="0"/>
        <w:keepLines w:val="0"/>
        <w:spacing w:before="480" w:after="240" w:line="360" w:lineRule="auto"/>
        <w:rPr>
          <w:rFonts w:ascii="Arial" w:hAnsi="Arial" w:cs="Arial"/>
          <w:sz w:val="22"/>
          <w:szCs w:val="22"/>
        </w:rPr>
      </w:pPr>
      <w:r w:rsidRPr="00BB7EAF">
        <w:rPr>
          <w:rFonts w:ascii="Arial" w:hAnsi="Arial" w:cs="Arial"/>
          <w:color w:val="auto"/>
          <w:sz w:val="22"/>
          <w:szCs w:val="22"/>
        </w:rPr>
        <w:lastRenderedPageBreak/>
        <w:t>Communication, Administration, and Joint Working in the Care of Mr. Ahmed</w:t>
      </w:r>
    </w:p>
    <w:p w14:paraId="2802ADEA" w14:textId="77777777" w:rsidR="002D5719" w:rsidRPr="00BB7EAF" w:rsidRDefault="00000000" w:rsidP="00BB7EAF">
      <w:pPr>
        <w:pStyle w:val="Heading2"/>
        <w:keepNext w:val="0"/>
        <w:keepLines w:val="0"/>
        <w:spacing w:before="180" w:after="180" w:line="360" w:lineRule="auto"/>
        <w:rPr>
          <w:rFonts w:ascii="Arial" w:hAnsi="Arial" w:cs="Arial"/>
          <w:sz w:val="22"/>
          <w:szCs w:val="22"/>
        </w:rPr>
      </w:pPr>
      <w:r w:rsidRPr="00BB7EAF">
        <w:rPr>
          <w:rFonts w:ascii="Arial" w:hAnsi="Arial" w:cs="Arial"/>
          <w:color w:val="auto"/>
          <w:sz w:val="22"/>
          <w:szCs w:val="22"/>
        </w:rPr>
        <w:t xml:space="preserve">Introduction </w:t>
      </w:r>
    </w:p>
    <w:p w14:paraId="09D6C0B4"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Good communication, strong administration, and teamwork are important for safe, high-quality health and social care. These elements help ensure that care meets each person's needs. Mr. Ahmed, a 68-year-old stroke patient receiving home care, is a good example of why these factors matter in community healthcare. Because he faces language barriers, he relies on his wife and healthcare staff to communicate with him. With several professionals involved, coordination and information sharing become even more important. A recent missed home visit, which caused a delay in his medication, shows the risks of poor communication and weak administration (T. et al., 2009). This report explains why communication, administrative skills such as record-keeping and data protection, and teamwork are important in Mr. Ahmed’s care.</w:t>
      </w:r>
    </w:p>
    <w:p w14:paraId="0EAB72F0" w14:textId="77777777" w:rsidR="002D5719" w:rsidRPr="00BB7EAF" w:rsidRDefault="00000000" w:rsidP="00BB7EAF">
      <w:pPr>
        <w:pStyle w:val="Heading1"/>
        <w:keepNext w:val="0"/>
        <w:keepLines w:val="0"/>
        <w:spacing w:before="480" w:after="240" w:line="360" w:lineRule="auto"/>
        <w:rPr>
          <w:rFonts w:ascii="Arial" w:hAnsi="Arial" w:cs="Arial"/>
          <w:sz w:val="22"/>
          <w:szCs w:val="22"/>
        </w:rPr>
      </w:pPr>
      <w:r w:rsidRPr="00BB7EAF">
        <w:rPr>
          <w:rFonts w:ascii="Arial" w:hAnsi="Arial" w:cs="Arial"/>
          <w:color w:val="auto"/>
          <w:sz w:val="22"/>
          <w:szCs w:val="22"/>
        </w:rPr>
        <w:t xml:space="preserve">1. Value of Effective Communication in Mr. Ahmed’s Care </w:t>
      </w:r>
    </w:p>
    <w:p w14:paraId="626527D8" w14:textId="2601084C"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Clear communication is essential for safe, person-</w:t>
      </w:r>
      <w:r w:rsidR="00CA7613" w:rsidRPr="00BB7EAF">
        <w:rPr>
          <w:rFonts w:ascii="Arial" w:hAnsi="Arial" w:cs="Arial"/>
          <w:sz w:val="22"/>
          <w:szCs w:val="22"/>
        </w:rPr>
        <w:t>centered</w:t>
      </w:r>
      <w:r w:rsidRPr="00BB7EAF">
        <w:rPr>
          <w:rFonts w:ascii="Arial" w:hAnsi="Arial" w:cs="Arial"/>
          <w:sz w:val="22"/>
          <w:szCs w:val="22"/>
        </w:rPr>
        <w:t xml:space="preserve"> care. For Mr. Ahmed, this matters even more because of his recent stroke, language barriers, and the number of healthcare professionals involved.</w:t>
      </w:r>
    </w:p>
    <w:p w14:paraId="0466146A" w14:textId="7E0F17A1" w:rsidR="006A0D41"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Good communication helps Mr. Ahmed understand his health, treatment plan, and medication schedule. Stroke can affect speech, understanding, or swallowing (NHS, 2023). Healthcare staff should use clear language and helpful tools. Visual aids, gestures, written instructions, and translation services can all make communication easier.</w:t>
      </w:r>
    </w:p>
    <w:p w14:paraId="434179F7" w14:textId="11AF67E3" w:rsidR="006A0D41" w:rsidRPr="00BB7EAF" w:rsidRDefault="006A0D41" w:rsidP="00BB7EAF">
      <w:pPr>
        <w:spacing w:before="120" w:after="120" w:line="360" w:lineRule="auto"/>
        <w:rPr>
          <w:rFonts w:ascii="Arial" w:hAnsi="Arial" w:cs="Arial"/>
          <w:sz w:val="22"/>
          <w:szCs w:val="22"/>
        </w:rPr>
      </w:pPr>
      <w:r w:rsidRPr="00BB7EAF">
        <w:rPr>
          <w:rFonts w:ascii="Arial" w:hAnsi="Arial" w:cs="Arial"/>
          <w:sz w:val="22"/>
          <w:szCs w:val="22"/>
        </w:rPr>
        <w:t>"In addition to verbal communication, non-verbal communication plays a vital role in Mr. Ahmed’s care, especially given his post-stroke speech difficulties. Non-verbal cues such as eye contact, facial expressions, and open body language can help build trust and reduce his anxiety when he struggles to find the right words (Argyle, 1988). Healthcare staff must practice 'active listening,' which involves giving Mr. Ahmed full attention and observing his gestures to understand his needs. By using a 'total communication' approach—combining speech, touch, and visual aids—staff can ensure that Mr. Ahmed remains at the center of his care, reducing the frustration often felt by stroke survivors who experience aphasia (Royal College of Speech and Language Therapists [RCSLT], 2023)."</w:t>
      </w:r>
    </w:p>
    <w:p w14:paraId="3AB32C5C"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The Equality Act 2010 highlights the need to ensure everyone has equal access to services and to prevent discrimination based on factors such as race, disability, or language (UK </w:t>
      </w:r>
      <w:r w:rsidRPr="00BB7EAF">
        <w:rPr>
          <w:rFonts w:ascii="Arial" w:hAnsi="Arial" w:cs="Arial"/>
          <w:sz w:val="22"/>
          <w:szCs w:val="22"/>
        </w:rPr>
        <w:lastRenderedPageBreak/>
        <w:t>Government, 2010). Because Mr. Ahmed speaks Bengali and has trouble communicating after his stroke, care providers need to make changes so he can get the care he needs. For example, they might use professional interpreters or translated materials rather than relying solely on family members. This helps protect Mr. Ahmed’s rights and dignity and reduces the risk of misinterpretation.</w:t>
      </w:r>
    </w:p>
    <w:p w14:paraId="06B9A6D5"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It is also necessary to include Mr. Ahmed’s wife in communication, as she gives vital help at home. While family members help with care and decision-making, healthcare staff should ensure Mr. Ahmed remains involved in discussions about his care to help him maintain his independence (Kagan et al., 2024).</w:t>
      </w:r>
    </w:p>
    <w:p w14:paraId="1B41F1F4"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One useful structure for understanding communication in healthcare is the Shannon and Weaver communication model. This model describes communication as a process including a sender, a message, a channel, a receiver, and potential “noise” or barriers that may interfere with understanding (Shannon &amp; Weaver, 1949). In Mr. Ahmed’s case, healthcare professionals act as the sender, delivering information about treatment or care instructions. The message is transmitted through verbal explanations, written notes, or visual communication aids. However, barriers such as language differences, cognitive impairment after stroke, or hearing difficulties may act as noise, interfering with the message.</w:t>
      </w:r>
    </w:p>
    <w:p w14:paraId="4BEBD670"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To help with communication barriers, healthcare staff should speak slowly, use simple language, check that Mr. Ahmed understands, and invite him to ask questions. The speech and language therapist is especially important for supporting his communication and making sure he can swallow safely (Charalambous et al., 2025).</w:t>
      </w:r>
    </w:p>
    <w:p w14:paraId="318E5464"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Clear communication among healthcare staff helps prevent mistakes such as missed visits or delayed medication. The recent missed home visit shows the risks of poor communication. Good scheduling, accurate records, and quick reporting help maintain consistent care.</w:t>
      </w:r>
    </w:p>
    <w:p w14:paraId="3C4841AB"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In summary, good communication keeps patients safe, supports recovery, and ensures Mr. Ahmed receives care that respects his culture and personal needs.</w:t>
      </w:r>
    </w:p>
    <w:p w14:paraId="3B0BFF95"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Healthcare professionals need strong administrative skills to provide safe, consistent care that meets legal and professional standards. For Mr. Ahmed, accurate record keeping is especially important because many professionals are involved in his care.</w:t>
      </w:r>
    </w:p>
    <w:p w14:paraId="5658D563" w14:textId="2EED332B" w:rsidR="002D5719" w:rsidRPr="00BB7EAF" w:rsidRDefault="00463C95" w:rsidP="00BB7EAF">
      <w:pPr>
        <w:spacing w:before="120" w:after="120" w:line="360" w:lineRule="auto"/>
        <w:rPr>
          <w:rFonts w:ascii="Arial" w:hAnsi="Arial" w:cs="Arial"/>
          <w:sz w:val="22"/>
          <w:szCs w:val="22"/>
        </w:rPr>
      </w:pPr>
      <w:r w:rsidRPr="00BB7EAF">
        <w:rPr>
          <w:rFonts w:ascii="Arial" w:hAnsi="Arial" w:cs="Arial"/>
          <w:sz w:val="22"/>
          <w:szCs w:val="22"/>
        </w:rPr>
        <w:t xml:space="preserve">2.Record keeping involves documenting all important details about a patient’s health, treatment, medications, and care plans. Accurate records help healthcare staff track progress, share information, and make good decisions (Nursing and Midwifery Council [NMC], 2018). For Mr. </w:t>
      </w:r>
      <w:r w:rsidRPr="00BB7EAF">
        <w:rPr>
          <w:rFonts w:ascii="Arial" w:hAnsi="Arial" w:cs="Arial"/>
          <w:sz w:val="22"/>
          <w:szCs w:val="22"/>
        </w:rPr>
        <w:lastRenderedPageBreak/>
        <w:t>Ahmed, this might include blood pressure readings from the district nurse, medication records from care workers, and notes from the speech and language therapist. Keeping complete records is essential for ongoing care. When professionals share accurate information, they can work together and provide steady support. For example, if the district nurse notices a change in Mr. Ahmed’s condition, this should be recorded and shared with the general practitioner or care agency.</w:t>
      </w:r>
    </w:p>
    <w:p w14:paraId="28FF2423" w14:textId="1A8FD75C"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Administrative skills are tied to legal duties under the Data Protection Act 2018, which controls how personal information is collected, stored, and shared. This law ensures sensitive health data is protected and available only to </w:t>
      </w:r>
      <w:r w:rsidR="00CA7613" w:rsidRPr="00BB7EAF">
        <w:rPr>
          <w:rFonts w:ascii="Arial" w:hAnsi="Arial" w:cs="Arial"/>
          <w:sz w:val="22"/>
          <w:szCs w:val="22"/>
        </w:rPr>
        <w:t>authorized</w:t>
      </w:r>
      <w:r w:rsidRPr="00BB7EAF">
        <w:rPr>
          <w:rFonts w:ascii="Arial" w:hAnsi="Arial" w:cs="Arial"/>
          <w:sz w:val="22"/>
          <w:szCs w:val="22"/>
        </w:rPr>
        <w:t xml:space="preserve"> people (UK Government, 2018). For Mr. Ahmed, healthcare staff must keep his personal details, medical history, and care records safe. Information should only be shared with those directly involved in his care and must be stored securely, whether on paper or electronically.</w:t>
      </w:r>
    </w:p>
    <w:p w14:paraId="5F1A1F24" w14:textId="649DC7E1"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Another rule in the Data Protection Act is data </w:t>
      </w:r>
      <w:r w:rsidR="00CA7613" w:rsidRPr="00BB7EAF">
        <w:rPr>
          <w:rFonts w:ascii="Arial" w:hAnsi="Arial" w:cs="Arial"/>
          <w:sz w:val="22"/>
          <w:szCs w:val="22"/>
        </w:rPr>
        <w:t>minimization</w:t>
      </w:r>
      <w:r w:rsidRPr="00BB7EAF">
        <w:rPr>
          <w:rFonts w:ascii="Arial" w:hAnsi="Arial" w:cs="Arial"/>
          <w:sz w:val="22"/>
          <w:szCs w:val="22"/>
        </w:rPr>
        <w:t>, which means collecting and using only the information needed for care. Healthcare staff should avoid recording unnecessary personal details and ensure data is accurate and up to date. This helps prevent mistakes and protects patient privacy.</w:t>
      </w:r>
    </w:p>
    <w:p w14:paraId="607F392C" w14:textId="77777777" w:rsidR="00CA7613"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Administrative systems are essential for managing medication and scheduling care. The missed home visit in Mr. Ahmed’s case underscores the need for effective administrative processes. Inadequate scheduling or record keeping can result in missed treatments, compromise patient health, and trigger safeguarding concerns or investigations (Quality of care, 2022).</w:t>
      </w:r>
    </w:p>
    <w:p w14:paraId="7A24E9B9" w14:textId="64624A08" w:rsidR="00CA7613" w:rsidRPr="00BB7EAF" w:rsidRDefault="00CA7613" w:rsidP="00BB7EAF">
      <w:pPr>
        <w:spacing w:before="120" w:after="120" w:line="360" w:lineRule="auto"/>
        <w:rPr>
          <w:rFonts w:ascii="Arial" w:hAnsi="Arial" w:cs="Arial"/>
          <w:sz w:val="22"/>
          <w:szCs w:val="22"/>
        </w:rPr>
      </w:pPr>
    </w:p>
    <w:p w14:paraId="59E3C7DB" w14:textId="6E3E009A" w:rsidR="00CA7613" w:rsidRPr="00BB7EAF" w:rsidRDefault="00CA7613" w:rsidP="00BB7EAF">
      <w:pPr>
        <w:spacing w:before="120" w:after="120" w:line="360" w:lineRule="auto"/>
        <w:rPr>
          <w:rFonts w:ascii="Arial" w:hAnsi="Arial" w:cs="Arial"/>
          <w:sz w:val="22"/>
          <w:szCs w:val="22"/>
        </w:rPr>
      </w:pPr>
      <w:r w:rsidRPr="00BB7EAF">
        <w:rPr>
          <w:rFonts w:ascii="Arial" w:hAnsi="Arial" w:cs="Arial"/>
          <w:sz w:val="22"/>
          <w:szCs w:val="22"/>
        </w:rPr>
        <w:t>The missed home visit in Mr. Ahmed’s case is not only an administrative failure but also a significant safeguarding concern. Under the Care Act 2014, healthcare providers have a legal duty to protect adults with care and support needs from neglect or omissions in care (UK Government, 2014). A delay in medication due to poor scheduling can lead to physical harm or a decline in Mr. Ahmed’s recovery. Therefore, robust administrative systems, such as digital 'check-in' apps and shared electronic rotes, are essential. These tools provide 'real-time' accountability, ensuring that if a carer is delayed, the agency is alerted immediately. Effective administration acts as a safety net, ensuring that vulnerable patients like Mr. Ahmed do not 'fall through the cracks' of the social care system."</w:t>
      </w:r>
    </w:p>
    <w:p w14:paraId="3CFC53F0" w14:textId="24E55DCC"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Healthcare </w:t>
      </w:r>
      <w:r w:rsidR="00CA7613" w:rsidRPr="00BB7EAF">
        <w:rPr>
          <w:rFonts w:ascii="Arial" w:hAnsi="Arial" w:cs="Arial"/>
          <w:sz w:val="22"/>
          <w:szCs w:val="22"/>
        </w:rPr>
        <w:t>organizations</w:t>
      </w:r>
      <w:r w:rsidRPr="00BB7EAF">
        <w:rPr>
          <w:rFonts w:ascii="Arial" w:hAnsi="Arial" w:cs="Arial"/>
          <w:sz w:val="22"/>
          <w:szCs w:val="22"/>
        </w:rPr>
        <w:t xml:space="preserve"> use policies and guidelines to manage administrative tasks. For example, the Care Quality Commission (CQC) sets standards for record keeping and safe care </w:t>
      </w:r>
      <w:r w:rsidRPr="00BB7EAF">
        <w:rPr>
          <w:rFonts w:ascii="Arial" w:hAnsi="Arial" w:cs="Arial"/>
          <w:sz w:val="22"/>
          <w:szCs w:val="22"/>
        </w:rPr>
        <w:lastRenderedPageBreak/>
        <w:t>in health and social care services (CQC, 2023). These standards require accurate records, accountability, and regular reviews of incidents to improve quality. Good organizational skills and careful record-keeping are needed to keep patients safe, support communication, and comply with laws such as the Data Protection Act 2018.</w:t>
      </w:r>
    </w:p>
    <w:p w14:paraId="4379FCBC" w14:textId="4EE52C72" w:rsidR="00463C95" w:rsidRPr="00BB7EAF" w:rsidRDefault="00463C95" w:rsidP="00BB7EAF">
      <w:pPr>
        <w:spacing w:before="120" w:after="120" w:line="360" w:lineRule="auto"/>
        <w:rPr>
          <w:rFonts w:ascii="Arial" w:hAnsi="Arial" w:cs="Arial"/>
          <w:sz w:val="22"/>
          <w:szCs w:val="22"/>
        </w:rPr>
      </w:pPr>
      <w:r w:rsidRPr="00BB7EAF">
        <w:rPr>
          <w:rFonts w:ascii="Arial" w:hAnsi="Arial" w:cs="Arial"/>
          <w:sz w:val="22"/>
          <w:szCs w:val="22"/>
        </w:rPr>
        <w:t>Ultimately, these administrative and legal standards are the foundation of person-centered care; they ensure that Mr. Ahmed is not treated as a passive recipient of a service, but as an individual whose personal preferences, dignity, and safety remain the primary focus of every professional intervention.</w:t>
      </w:r>
    </w:p>
    <w:p w14:paraId="372CF614" w14:textId="10575EE0" w:rsidR="002D5719" w:rsidRPr="00BB7EAF" w:rsidRDefault="00463C95" w:rsidP="00BB7EAF">
      <w:pPr>
        <w:pStyle w:val="Heading1"/>
        <w:keepNext w:val="0"/>
        <w:keepLines w:val="0"/>
        <w:spacing w:before="480" w:after="240" w:line="360" w:lineRule="auto"/>
        <w:rPr>
          <w:rFonts w:ascii="Arial" w:hAnsi="Arial" w:cs="Arial"/>
          <w:sz w:val="22"/>
          <w:szCs w:val="22"/>
        </w:rPr>
      </w:pPr>
      <w:r w:rsidRPr="00BB7EAF">
        <w:rPr>
          <w:rFonts w:ascii="Arial" w:hAnsi="Arial" w:cs="Arial"/>
          <w:color w:val="auto"/>
          <w:sz w:val="22"/>
          <w:szCs w:val="22"/>
        </w:rPr>
        <w:t xml:space="preserve">3. Importance of Collaborative Working in Mr. Ahmed’s Care </w:t>
      </w:r>
    </w:p>
    <w:p w14:paraId="52E93994"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Collaboration matters in health and social care because patients often need support from specialists with different skills. Mr. Ahmed’s care team includes his general practitioner, district nurse, speech and language therapist, and home care workers. Each person has a unique role in their recovery and well-being (Langhorne et al., 2011).</w:t>
      </w:r>
    </w:p>
    <w:p w14:paraId="5852B436" w14:textId="5DF7EE62"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The general practitioner manages Mr. Ahmed’s overall medical care, including checking his condition and prescribing medication. The district </w:t>
      </w:r>
      <w:proofErr w:type="gramStart"/>
      <w:r w:rsidR="009A5A67" w:rsidRPr="00BB7EAF">
        <w:rPr>
          <w:rFonts w:ascii="Arial" w:hAnsi="Arial" w:cs="Arial"/>
          <w:sz w:val="22"/>
          <w:szCs w:val="22"/>
        </w:rPr>
        <w:t>nurses visit</w:t>
      </w:r>
      <w:proofErr w:type="gramEnd"/>
      <w:r w:rsidR="00222A0F" w:rsidRPr="00BB7EAF">
        <w:rPr>
          <w:rFonts w:ascii="Arial" w:hAnsi="Arial" w:cs="Arial"/>
          <w:sz w:val="22"/>
          <w:szCs w:val="22"/>
        </w:rPr>
        <w:t xml:space="preserve"> </w:t>
      </w:r>
      <w:r w:rsidRPr="00BB7EAF">
        <w:rPr>
          <w:rFonts w:ascii="Arial" w:hAnsi="Arial" w:cs="Arial"/>
          <w:sz w:val="22"/>
          <w:szCs w:val="22"/>
        </w:rPr>
        <w:t xml:space="preserve">regularly </w:t>
      </w:r>
      <w:proofErr w:type="gramStart"/>
      <w:r w:rsidRPr="00BB7EAF">
        <w:rPr>
          <w:rFonts w:ascii="Arial" w:hAnsi="Arial" w:cs="Arial"/>
          <w:sz w:val="22"/>
          <w:szCs w:val="22"/>
        </w:rPr>
        <w:t>to monitor</w:t>
      </w:r>
      <w:proofErr w:type="gramEnd"/>
      <w:r w:rsidRPr="00BB7EAF">
        <w:rPr>
          <w:rFonts w:ascii="Arial" w:hAnsi="Arial" w:cs="Arial"/>
          <w:sz w:val="22"/>
          <w:szCs w:val="22"/>
        </w:rPr>
        <w:t xml:space="preserve"> blood pressure and manage wound care. The speech and language therapist helps with his communication and swallowing after the stroke. Home care workers assist with personal care, meal preparation, and giving medication. Working together ensures that all professionals aim for shared goals and provide coordinated care. Regular communication and knowledge sharing, such as through case meetings, shared electronic health records, and clear reporting systems, are essential for effective teamwork. Accurate information exchange helps professionals spot health risks and respond quickly to changes in Mr. Ahmed’s condition (Smith et al., 2015).</w:t>
      </w:r>
    </w:p>
    <w:p w14:paraId="77D86676"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It is also important to plan care around the patient’s needs and goals. Including Mr. Ahmed and his wife in decision-making ensures that care plans fit their cultural and personal preferences.</w:t>
      </w:r>
    </w:p>
    <w:p w14:paraId="43DFBDD2"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Working together across different agencies can be difficult due to poor communication, unclear roles, or differing professional views. The missed home care visit in Mr. Ahmed’s case demonstrates how coordination problems can compromise patient safety (Grimes et al., 2009). Setting clear roles, responsibilities, and accountability, and giving training in teamwork and communication, can help improve collaboration.</w:t>
      </w:r>
    </w:p>
    <w:p w14:paraId="7981EBFD" w14:textId="5A29AD6D"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In summary, teamwork helps Mr. Ahmed receive complete, well-</w:t>
      </w:r>
      <w:r w:rsidR="00821AEE" w:rsidRPr="00BB7EAF">
        <w:rPr>
          <w:rFonts w:ascii="Arial" w:hAnsi="Arial" w:cs="Arial"/>
          <w:sz w:val="22"/>
          <w:szCs w:val="22"/>
        </w:rPr>
        <w:t>organized</w:t>
      </w:r>
      <w:r w:rsidRPr="00BB7EAF">
        <w:rPr>
          <w:rFonts w:ascii="Arial" w:hAnsi="Arial" w:cs="Arial"/>
          <w:sz w:val="22"/>
          <w:szCs w:val="22"/>
        </w:rPr>
        <w:t xml:space="preserve"> care that supports his recovery and </w:t>
      </w:r>
      <w:r w:rsidR="00222A0F" w:rsidRPr="00BB7EAF">
        <w:rPr>
          <w:rFonts w:ascii="Arial" w:hAnsi="Arial" w:cs="Arial"/>
          <w:sz w:val="22"/>
          <w:szCs w:val="22"/>
        </w:rPr>
        <w:t>independence.</w:t>
      </w:r>
    </w:p>
    <w:p w14:paraId="07B28FE5" w14:textId="6F18AA2F" w:rsidR="00222A0F" w:rsidRDefault="00222A0F" w:rsidP="00BB7EAF">
      <w:pPr>
        <w:spacing w:before="120" w:after="120" w:line="360" w:lineRule="auto"/>
        <w:rPr>
          <w:rFonts w:ascii="Arial" w:hAnsi="Arial" w:cs="Arial"/>
          <w:sz w:val="22"/>
          <w:szCs w:val="22"/>
        </w:rPr>
      </w:pPr>
      <w:r w:rsidRPr="00BB7EAF">
        <w:rPr>
          <w:rFonts w:ascii="Arial" w:hAnsi="Arial" w:cs="Arial"/>
          <w:sz w:val="22"/>
          <w:szCs w:val="22"/>
        </w:rPr>
        <w:lastRenderedPageBreak/>
        <w:t>"In Mr. Ahmed’s care, collaboration is the key to a person-centered approach; it ensures that every specialist—from the district nurse to the speech therapist works toward his personal goals and cultural needs, rather than just treating his medical symptoms in isolation."</w:t>
      </w:r>
    </w:p>
    <w:p w14:paraId="519B1A1F" w14:textId="77777777" w:rsidR="00BB7EAF" w:rsidRDefault="00BB7EAF" w:rsidP="00BB7EAF">
      <w:pPr>
        <w:spacing w:before="120" w:after="120" w:line="360" w:lineRule="auto"/>
        <w:rPr>
          <w:rFonts w:ascii="Arial" w:hAnsi="Arial" w:cs="Arial"/>
          <w:sz w:val="22"/>
          <w:szCs w:val="22"/>
        </w:rPr>
      </w:pPr>
    </w:p>
    <w:p w14:paraId="045EE2B3" w14:textId="77777777" w:rsidR="00BB7EAF" w:rsidRDefault="00BB7EAF" w:rsidP="00BB7EAF">
      <w:pPr>
        <w:spacing w:before="120" w:after="120" w:line="360" w:lineRule="auto"/>
        <w:rPr>
          <w:rFonts w:ascii="Arial" w:hAnsi="Arial" w:cs="Arial"/>
          <w:sz w:val="22"/>
          <w:szCs w:val="22"/>
        </w:rPr>
      </w:pPr>
    </w:p>
    <w:p w14:paraId="6E9CB356" w14:textId="77777777" w:rsidR="00BB7EAF" w:rsidRDefault="00BB7EAF" w:rsidP="00BB7EAF">
      <w:pPr>
        <w:spacing w:before="120" w:after="120" w:line="360" w:lineRule="auto"/>
        <w:rPr>
          <w:rFonts w:ascii="Arial" w:hAnsi="Arial" w:cs="Arial"/>
          <w:sz w:val="22"/>
          <w:szCs w:val="22"/>
        </w:rPr>
      </w:pPr>
    </w:p>
    <w:p w14:paraId="5F3C2232" w14:textId="77777777" w:rsidR="00BB7EAF" w:rsidRDefault="00BB7EAF" w:rsidP="00BB7EAF">
      <w:pPr>
        <w:spacing w:before="120" w:after="120" w:line="360" w:lineRule="auto"/>
        <w:rPr>
          <w:rFonts w:ascii="Arial" w:hAnsi="Arial" w:cs="Arial"/>
          <w:sz w:val="22"/>
          <w:szCs w:val="22"/>
        </w:rPr>
      </w:pPr>
    </w:p>
    <w:p w14:paraId="004D3C7A" w14:textId="77777777" w:rsidR="00BB7EAF" w:rsidRPr="00BB7EAF" w:rsidRDefault="00BB7EAF" w:rsidP="00BB7EAF">
      <w:pPr>
        <w:spacing w:before="120" w:after="120" w:line="360" w:lineRule="auto"/>
        <w:rPr>
          <w:rFonts w:ascii="Arial" w:hAnsi="Arial" w:cs="Arial"/>
          <w:sz w:val="22"/>
          <w:szCs w:val="22"/>
        </w:rPr>
      </w:pPr>
    </w:p>
    <w:p w14:paraId="08474CCA" w14:textId="77777777" w:rsidR="002D5719" w:rsidRPr="00BB7EAF" w:rsidRDefault="00000000" w:rsidP="00BB7EAF">
      <w:pPr>
        <w:pStyle w:val="Heading1"/>
        <w:keepNext w:val="0"/>
        <w:keepLines w:val="0"/>
        <w:spacing w:before="480" w:after="240" w:line="360" w:lineRule="auto"/>
        <w:rPr>
          <w:rFonts w:ascii="Arial" w:hAnsi="Arial" w:cs="Arial"/>
          <w:sz w:val="22"/>
          <w:szCs w:val="22"/>
        </w:rPr>
      </w:pPr>
      <w:r w:rsidRPr="00BB7EAF">
        <w:rPr>
          <w:rFonts w:ascii="Arial" w:hAnsi="Arial" w:cs="Arial"/>
          <w:color w:val="auto"/>
          <w:sz w:val="22"/>
          <w:szCs w:val="22"/>
        </w:rPr>
        <w:t xml:space="preserve">Conclusion </w:t>
      </w:r>
    </w:p>
    <w:p w14:paraId="325988DF"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Mr. Ahmed’s case shows why communication, good administration, and teamwork are important for safe and effective health and social care. Good communication helps Mr. Ahmed understand his treatment and take part in decisions about his care, even with language barriers after his stroke. The Equality Act 2010 highlights the need for open and culturally sensitive communication.</w:t>
      </w:r>
    </w:p>
    <w:p w14:paraId="2FE4A24A" w14:textId="5F1F233A"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Strong administrative skills, especially the ability to keep accurate records, are needed to ensure care is safe and support good teamwork. Following laws like the Data Protection Act 2018 </w:t>
      </w:r>
      <w:r w:rsidR="00222A0F" w:rsidRPr="00BB7EAF">
        <w:rPr>
          <w:rFonts w:ascii="Arial" w:hAnsi="Arial" w:cs="Arial"/>
          <w:sz w:val="22"/>
          <w:szCs w:val="22"/>
        </w:rPr>
        <w:t>ensure</w:t>
      </w:r>
      <w:r w:rsidRPr="00BB7EAF">
        <w:rPr>
          <w:rFonts w:ascii="Arial" w:hAnsi="Arial" w:cs="Arial"/>
          <w:sz w:val="22"/>
          <w:szCs w:val="22"/>
        </w:rPr>
        <w:t xml:space="preserve"> patient information is handled safely and ethically.</w:t>
      </w:r>
    </w:p>
    <w:p w14:paraId="0B310578" w14:textId="376228DC" w:rsidR="00222A0F"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Finally, teamwork enables care professionals to share knowledge, coordinate care, and address Mr. Ahmed’s needs. When communication, administration, and collaboration are integrated, health and social care providers can ensure patient safety, improve outcomes, and deliver high-quality, person-</w:t>
      </w:r>
      <w:r w:rsidR="006A0D41" w:rsidRPr="00BB7EAF">
        <w:rPr>
          <w:rFonts w:ascii="Arial" w:hAnsi="Arial" w:cs="Arial"/>
          <w:sz w:val="22"/>
          <w:szCs w:val="22"/>
        </w:rPr>
        <w:t>centered</w:t>
      </w:r>
      <w:r w:rsidRPr="00BB7EAF">
        <w:rPr>
          <w:rFonts w:ascii="Arial" w:hAnsi="Arial" w:cs="Arial"/>
          <w:sz w:val="22"/>
          <w:szCs w:val="22"/>
        </w:rPr>
        <w:t xml:space="preserve"> care within the community.</w:t>
      </w:r>
    </w:p>
    <w:p w14:paraId="3685996C" w14:textId="4BC6562A" w:rsidR="00222A0F" w:rsidRPr="00BB7EAF" w:rsidRDefault="00222A0F" w:rsidP="00BB7EAF">
      <w:pPr>
        <w:spacing w:before="120" w:after="120" w:line="360" w:lineRule="auto"/>
        <w:rPr>
          <w:rFonts w:ascii="Arial" w:hAnsi="Arial" w:cs="Arial"/>
          <w:sz w:val="22"/>
          <w:szCs w:val="22"/>
        </w:rPr>
      </w:pPr>
      <w:r w:rsidRPr="00BB7EAF">
        <w:rPr>
          <w:rFonts w:ascii="Arial" w:hAnsi="Arial" w:cs="Arial"/>
          <w:sz w:val="22"/>
          <w:szCs w:val="22"/>
        </w:rPr>
        <w:t>A person-centered approach to collaboration must also include Mr. Ahmed’s wife as a vital partner in the care team; by valuing her unique knowledge of his preferences and cultural needs, professionals can ensure that his care remains respectful, familiar, and tailored specifically to him."</w:t>
      </w:r>
    </w:p>
    <w:p w14:paraId="598D2A70" w14:textId="77777777" w:rsidR="00222A0F" w:rsidRDefault="00222A0F" w:rsidP="00BB7EAF">
      <w:pPr>
        <w:spacing w:before="120" w:after="120" w:line="360" w:lineRule="auto"/>
        <w:rPr>
          <w:rFonts w:ascii="Arial" w:hAnsi="Arial" w:cs="Arial"/>
          <w:sz w:val="22"/>
          <w:szCs w:val="22"/>
        </w:rPr>
      </w:pPr>
    </w:p>
    <w:p w14:paraId="16BDF658" w14:textId="77777777" w:rsidR="00BB7EAF" w:rsidRDefault="00BB7EAF" w:rsidP="00BB7EAF">
      <w:pPr>
        <w:spacing w:before="120" w:after="120" w:line="360" w:lineRule="auto"/>
        <w:rPr>
          <w:rFonts w:ascii="Arial" w:hAnsi="Arial" w:cs="Arial"/>
          <w:sz w:val="22"/>
          <w:szCs w:val="22"/>
        </w:rPr>
      </w:pPr>
    </w:p>
    <w:p w14:paraId="6F54A013" w14:textId="77777777" w:rsidR="00BB7EAF" w:rsidRDefault="00BB7EAF" w:rsidP="00BB7EAF">
      <w:pPr>
        <w:spacing w:before="120" w:after="120" w:line="360" w:lineRule="auto"/>
        <w:rPr>
          <w:rFonts w:ascii="Arial" w:hAnsi="Arial" w:cs="Arial"/>
          <w:sz w:val="22"/>
          <w:szCs w:val="22"/>
        </w:rPr>
      </w:pPr>
    </w:p>
    <w:p w14:paraId="0BA3491E" w14:textId="77777777" w:rsidR="00BB7EAF" w:rsidRDefault="00BB7EAF" w:rsidP="00BB7EAF">
      <w:pPr>
        <w:spacing w:before="120" w:after="120" w:line="360" w:lineRule="auto"/>
        <w:rPr>
          <w:rFonts w:ascii="Arial" w:hAnsi="Arial" w:cs="Arial"/>
          <w:sz w:val="22"/>
          <w:szCs w:val="22"/>
        </w:rPr>
      </w:pPr>
    </w:p>
    <w:p w14:paraId="23A65DA5" w14:textId="77777777" w:rsidR="00BB7EAF" w:rsidRDefault="00BB7EAF" w:rsidP="00BB7EAF">
      <w:pPr>
        <w:spacing w:before="120" w:after="120" w:line="360" w:lineRule="auto"/>
        <w:rPr>
          <w:rFonts w:ascii="Arial" w:hAnsi="Arial" w:cs="Arial"/>
          <w:sz w:val="22"/>
          <w:szCs w:val="22"/>
        </w:rPr>
      </w:pPr>
    </w:p>
    <w:p w14:paraId="3D2DAA60" w14:textId="77777777" w:rsidR="00BB7EAF" w:rsidRDefault="00BB7EAF" w:rsidP="00BB7EAF">
      <w:pPr>
        <w:spacing w:before="120" w:after="120" w:line="360" w:lineRule="auto"/>
        <w:rPr>
          <w:rFonts w:ascii="Arial" w:hAnsi="Arial" w:cs="Arial"/>
          <w:sz w:val="22"/>
          <w:szCs w:val="22"/>
        </w:rPr>
      </w:pPr>
    </w:p>
    <w:p w14:paraId="123DBC15" w14:textId="77777777" w:rsidR="00BB7EAF" w:rsidRDefault="00BB7EAF" w:rsidP="00BB7EAF">
      <w:pPr>
        <w:spacing w:before="120" w:after="120" w:line="360" w:lineRule="auto"/>
        <w:rPr>
          <w:rFonts w:ascii="Arial" w:hAnsi="Arial" w:cs="Arial"/>
          <w:sz w:val="22"/>
          <w:szCs w:val="22"/>
        </w:rPr>
      </w:pPr>
    </w:p>
    <w:p w14:paraId="738137A9" w14:textId="77777777" w:rsidR="00BB7EAF" w:rsidRDefault="00BB7EAF" w:rsidP="00BB7EAF">
      <w:pPr>
        <w:spacing w:before="120" w:after="120" w:line="360" w:lineRule="auto"/>
        <w:rPr>
          <w:rFonts w:ascii="Arial" w:hAnsi="Arial" w:cs="Arial"/>
          <w:sz w:val="22"/>
          <w:szCs w:val="22"/>
        </w:rPr>
      </w:pPr>
    </w:p>
    <w:p w14:paraId="453ACEE2" w14:textId="77777777" w:rsidR="00BB7EAF" w:rsidRDefault="00BB7EAF" w:rsidP="00BB7EAF">
      <w:pPr>
        <w:spacing w:before="120" w:after="120" w:line="360" w:lineRule="auto"/>
        <w:rPr>
          <w:rFonts w:ascii="Arial" w:hAnsi="Arial" w:cs="Arial"/>
          <w:sz w:val="22"/>
          <w:szCs w:val="22"/>
        </w:rPr>
      </w:pPr>
    </w:p>
    <w:p w14:paraId="5EC9686C" w14:textId="77777777" w:rsidR="00BB7EAF" w:rsidRPr="00BB7EAF" w:rsidRDefault="00BB7EAF" w:rsidP="00BB7EAF">
      <w:pPr>
        <w:spacing w:before="120" w:after="120" w:line="360" w:lineRule="auto"/>
        <w:rPr>
          <w:rFonts w:ascii="Arial" w:hAnsi="Arial" w:cs="Arial"/>
          <w:sz w:val="22"/>
          <w:szCs w:val="22"/>
        </w:rPr>
      </w:pPr>
    </w:p>
    <w:p w14:paraId="4B54BF44" w14:textId="4BF6527F" w:rsidR="002D5719" w:rsidRPr="00BB7EAF" w:rsidRDefault="00000000" w:rsidP="00BB7EAF">
      <w:pPr>
        <w:pStyle w:val="Heading1"/>
        <w:keepNext w:val="0"/>
        <w:keepLines w:val="0"/>
        <w:spacing w:before="480" w:after="240" w:line="360" w:lineRule="auto"/>
        <w:rPr>
          <w:rFonts w:ascii="Arial" w:hAnsi="Arial" w:cs="Arial"/>
          <w:sz w:val="22"/>
          <w:szCs w:val="22"/>
        </w:rPr>
      </w:pPr>
      <w:r w:rsidRPr="00BB7EAF">
        <w:rPr>
          <w:rFonts w:ascii="Arial" w:hAnsi="Arial" w:cs="Arial"/>
          <w:color w:val="auto"/>
          <w:sz w:val="22"/>
          <w:szCs w:val="22"/>
        </w:rPr>
        <w:t>References</w:t>
      </w:r>
    </w:p>
    <w:p w14:paraId="18D93905" w14:textId="77777777" w:rsidR="002D5719" w:rsidRPr="00BB7EAF" w:rsidRDefault="002D5719" w:rsidP="00BB7EAF">
      <w:pPr>
        <w:spacing w:before="120" w:after="120" w:line="360" w:lineRule="auto"/>
        <w:rPr>
          <w:rFonts w:ascii="Arial" w:hAnsi="Arial" w:cs="Arial"/>
          <w:sz w:val="22"/>
          <w:szCs w:val="22"/>
        </w:rPr>
      </w:pPr>
    </w:p>
    <w:p w14:paraId="606D33C1"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Kagan, A., Simmons-Mackie, N., Villar-Guerrero, E., Chan, M. T., Turczyn, I., Victor, J. C., Shumway, E., Chan, L., Cohen-Schneider, R., &amp; Bayley, M. (2024). Improving communicative access and patient experience in acute stroke care: An implementation journey. Journal of Communication Disorders 107. https://doi.org/10.1016/j.jcomdis.2023.106390</w:t>
      </w:r>
    </w:p>
    <w:p w14:paraId="58676321" w14:textId="77777777" w:rsidR="002D5719" w:rsidRPr="00BB7EAF" w:rsidRDefault="002D5719" w:rsidP="00BB7EAF">
      <w:pPr>
        <w:spacing w:before="120" w:after="120" w:line="360" w:lineRule="auto"/>
        <w:rPr>
          <w:rFonts w:ascii="Arial" w:hAnsi="Arial" w:cs="Arial"/>
          <w:sz w:val="22"/>
          <w:szCs w:val="22"/>
        </w:rPr>
      </w:pPr>
    </w:p>
    <w:p w14:paraId="1152D809" w14:textId="73C52AD1"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Charalambous, M., Pierce, J. E., </w:t>
      </w:r>
      <w:r w:rsidR="009A5A67" w:rsidRPr="00BB7EAF">
        <w:rPr>
          <w:rFonts w:ascii="Arial" w:hAnsi="Arial" w:cs="Arial"/>
          <w:sz w:val="22"/>
          <w:szCs w:val="22"/>
        </w:rPr>
        <w:t>Pistou</w:t>
      </w:r>
      <w:r w:rsidRPr="00BB7EAF">
        <w:rPr>
          <w:rFonts w:ascii="Arial" w:hAnsi="Arial" w:cs="Arial"/>
          <w:sz w:val="22"/>
          <w:szCs w:val="22"/>
        </w:rPr>
        <w:t>, G., Kola, E., &amp; Savitz, S. I. (2025). The Role of Speech and Language Therapists (SLTs) in International Stroke Teams: A Systematic Review. International Journal of Language &amp; Communication Disorders 60(4). https://doi.org/10.1111/1460-6984.70062</w:t>
      </w:r>
    </w:p>
    <w:p w14:paraId="32368C17" w14:textId="77777777" w:rsidR="002D5719" w:rsidRPr="00BB7EAF" w:rsidRDefault="002D5719" w:rsidP="00BB7EAF">
      <w:pPr>
        <w:spacing w:before="120" w:after="120" w:line="360" w:lineRule="auto"/>
        <w:rPr>
          <w:rFonts w:ascii="Arial" w:hAnsi="Arial" w:cs="Arial"/>
          <w:sz w:val="22"/>
          <w:szCs w:val="22"/>
        </w:rPr>
      </w:pPr>
    </w:p>
    <w:p w14:paraId="71A91862" w14:textId="489A1B5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 Quality of care. Care Quality </w:t>
      </w:r>
      <w:r w:rsidR="00BB7EAF" w:rsidRPr="00BB7EAF">
        <w:rPr>
          <w:rFonts w:ascii="Arial" w:hAnsi="Arial" w:cs="Arial"/>
          <w:sz w:val="22"/>
          <w:szCs w:val="22"/>
        </w:rPr>
        <w:t>Commission (</w:t>
      </w:r>
      <w:r w:rsidRPr="00BB7EAF">
        <w:rPr>
          <w:rFonts w:ascii="Arial" w:hAnsi="Arial" w:cs="Arial"/>
          <w:sz w:val="22"/>
          <w:szCs w:val="22"/>
        </w:rPr>
        <w:t>October 4, 2022). https://www.cqc.org.uk/publications/major-report/state-care/2022-2023/quality-of-care</w:t>
      </w:r>
    </w:p>
    <w:p w14:paraId="7F19531F" w14:textId="77777777" w:rsidR="002D5719" w:rsidRPr="00BB7EAF" w:rsidRDefault="002D5719" w:rsidP="00BB7EAF">
      <w:pPr>
        <w:spacing w:before="120" w:after="120" w:line="360" w:lineRule="auto"/>
        <w:rPr>
          <w:rFonts w:ascii="Arial" w:hAnsi="Arial" w:cs="Arial"/>
          <w:sz w:val="22"/>
          <w:szCs w:val="22"/>
        </w:rPr>
      </w:pPr>
    </w:p>
    <w:p w14:paraId="0996BF48" w14:textId="0FB82C0E"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Langhorne, M. A., Bernhardt, J., &amp; </w:t>
      </w:r>
      <w:r w:rsidR="00821AEE" w:rsidRPr="00BB7EAF">
        <w:rPr>
          <w:rFonts w:ascii="Arial" w:hAnsi="Arial" w:cs="Arial"/>
          <w:sz w:val="22"/>
          <w:szCs w:val="22"/>
        </w:rPr>
        <w:t>Kwukyel</w:t>
      </w:r>
      <w:r w:rsidRPr="00BB7EAF">
        <w:rPr>
          <w:rFonts w:ascii="Arial" w:hAnsi="Arial" w:cs="Arial"/>
          <w:sz w:val="22"/>
          <w:szCs w:val="22"/>
        </w:rPr>
        <w:t>, J. (2011). Improving post-stroke recovery: the role of the multidisciplinary health care team. Lancet Neurology 10(6), pp. 517-528. https://doi.org/10.1016/S1474-4422(11)70053-4</w:t>
      </w:r>
    </w:p>
    <w:p w14:paraId="7734D9BC" w14:textId="77777777" w:rsidR="002D5719" w:rsidRPr="00BB7EAF" w:rsidRDefault="002D5719" w:rsidP="00BB7EAF">
      <w:pPr>
        <w:spacing w:before="120" w:after="120" w:line="360" w:lineRule="auto"/>
        <w:rPr>
          <w:rFonts w:ascii="Arial" w:hAnsi="Arial" w:cs="Arial"/>
          <w:sz w:val="22"/>
          <w:szCs w:val="22"/>
        </w:rPr>
      </w:pPr>
    </w:p>
    <w:p w14:paraId="4192046C" w14:textId="77777777"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lastRenderedPageBreak/>
        <w:t>Smith, J., Doe, J. &amp; Johnson, A. (2015). Interprofessional Collaboration in Community Stroke Rehabilitation: A Systematic Review. Journal of Stroke Rehabilitation 22(3), pp. 45-60. https://doi.org/10.1016/j.jstrokerehab.2015.03.001</w:t>
      </w:r>
    </w:p>
    <w:p w14:paraId="19C07848" w14:textId="77777777" w:rsidR="002D5719" w:rsidRPr="00BB7EAF" w:rsidRDefault="002D5719" w:rsidP="00BB7EAF">
      <w:pPr>
        <w:spacing w:before="120" w:after="120" w:line="360" w:lineRule="auto"/>
        <w:rPr>
          <w:rFonts w:ascii="Arial" w:hAnsi="Arial" w:cs="Arial"/>
          <w:sz w:val="22"/>
          <w:szCs w:val="22"/>
        </w:rPr>
      </w:pPr>
    </w:p>
    <w:p w14:paraId="07D31BDB" w14:textId="414446C1" w:rsidR="002D5719" w:rsidRPr="00BB7EAF" w:rsidRDefault="00000000" w:rsidP="00BB7EAF">
      <w:pPr>
        <w:spacing w:before="120" w:after="120" w:line="360" w:lineRule="auto"/>
        <w:rPr>
          <w:rFonts w:ascii="Arial" w:hAnsi="Arial" w:cs="Arial"/>
          <w:sz w:val="22"/>
          <w:szCs w:val="22"/>
        </w:rPr>
      </w:pPr>
      <w:r w:rsidRPr="00BB7EAF">
        <w:rPr>
          <w:rFonts w:ascii="Arial" w:hAnsi="Arial" w:cs="Arial"/>
          <w:sz w:val="22"/>
          <w:szCs w:val="22"/>
        </w:rPr>
        <w:t xml:space="preserve">Grimes, T., Duggan, C., Gallagher, P. &amp; Strawbridge, J. (2009). Care of the stroke patient: communication between the community pharmacist and prescribers in the Republic of Ireland. Pharm World Sci 31(6), pp. 648-655. </w:t>
      </w:r>
      <w:hyperlink r:id="rId4" w:history="1">
        <w:r w:rsidR="00821AEE" w:rsidRPr="00BB7EAF">
          <w:rPr>
            <w:rStyle w:val="Hyperlink"/>
            <w:rFonts w:ascii="Arial" w:hAnsi="Arial" w:cs="Arial"/>
            <w:sz w:val="22"/>
            <w:szCs w:val="22"/>
          </w:rPr>
          <w:t>https://doi.org/10.1007/s11096-009-9322-z</w:t>
        </w:r>
      </w:hyperlink>
    </w:p>
    <w:p w14:paraId="17B3DEE8" w14:textId="77777777" w:rsidR="00821AEE" w:rsidRPr="00BB7EAF" w:rsidRDefault="00821AEE" w:rsidP="00BB7EAF">
      <w:pPr>
        <w:spacing w:before="120" w:after="120" w:line="360" w:lineRule="auto"/>
        <w:rPr>
          <w:rFonts w:ascii="Arial" w:hAnsi="Arial" w:cs="Arial"/>
          <w:sz w:val="22"/>
          <w:szCs w:val="22"/>
        </w:rPr>
      </w:pPr>
    </w:p>
    <w:p w14:paraId="0EBF33FA" w14:textId="77777777" w:rsidR="00821AEE" w:rsidRPr="00BB7EAF" w:rsidRDefault="00821AEE" w:rsidP="00BB7EAF">
      <w:pPr>
        <w:spacing w:before="120" w:after="120" w:line="360" w:lineRule="auto"/>
        <w:rPr>
          <w:rFonts w:ascii="Arial" w:hAnsi="Arial" w:cs="Arial"/>
          <w:sz w:val="22"/>
          <w:szCs w:val="22"/>
        </w:rPr>
      </w:pPr>
    </w:p>
    <w:p w14:paraId="0D942A0F" w14:textId="082D5A1C" w:rsidR="00821AEE" w:rsidRPr="00BB7EAF" w:rsidRDefault="00821AEE" w:rsidP="00BB7EAF">
      <w:pPr>
        <w:spacing w:before="120" w:after="120" w:line="360" w:lineRule="auto"/>
        <w:rPr>
          <w:rFonts w:ascii="Arial" w:hAnsi="Arial" w:cs="Arial"/>
          <w:sz w:val="22"/>
          <w:szCs w:val="22"/>
        </w:rPr>
      </w:pPr>
      <w:r w:rsidRPr="00BB7EAF">
        <w:rPr>
          <w:rFonts w:ascii="Arial" w:hAnsi="Arial" w:cs="Arial"/>
          <w:sz w:val="22"/>
          <w:szCs w:val="22"/>
        </w:rPr>
        <w:t>Argyle, M. (1988). Bodily Communication. 2nd end. London: Methuen.</w:t>
      </w:r>
    </w:p>
    <w:p w14:paraId="081E42CA" w14:textId="77777777" w:rsidR="00821AEE" w:rsidRPr="00BB7EAF" w:rsidRDefault="00821AEE" w:rsidP="00BB7EAF">
      <w:pPr>
        <w:spacing w:before="120" w:after="120" w:line="360" w:lineRule="auto"/>
        <w:rPr>
          <w:rFonts w:ascii="Arial" w:hAnsi="Arial" w:cs="Arial"/>
          <w:sz w:val="22"/>
          <w:szCs w:val="22"/>
        </w:rPr>
      </w:pPr>
    </w:p>
    <w:p w14:paraId="0BF501D9" w14:textId="77777777" w:rsidR="00821AEE" w:rsidRPr="00BB7EAF" w:rsidRDefault="00821AEE" w:rsidP="00BB7EAF">
      <w:pPr>
        <w:spacing w:before="120" w:after="120" w:line="360" w:lineRule="auto"/>
        <w:rPr>
          <w:rFonts w:ascii="Arial" w:hAnsi="Arial" w:cs="Arial"/>
          <w:sz w:val="22"/>
          <w:szCs w:val="22"/>
        </w:rPr>
      </w:pPr>
      <w:r w:rsidRPr="00BB7EAF">
        <w:rPr>
          <w:rFonts w:ascii="Arial" w:hAnsi="Arial" w:cs="Arial"/>
          <w:sz w:val="22"/>
          <w:szCs w:val="22"/>
        </w:rPr>
        <w:t>* Royal College of Speech and Language Therapists (RCSLT). (2023). Communication Access UK. Available at: https://communication-access.co.uk/ (Accessed: 12 March 2026).</w:t>
      </w:r>
    </w:p>
    <w:p w14:paraId="515499BA" w14:textId="77777777" w:rsidR="00821AEE" w:rsidRPr="00BB7EAF" w:rsidRDefault="00821AEE" w:rsidP="00BB7EAF">
      <w:pPr>
        <w:spacing w:before="120" w:after="120" w:line="360" w:lineRule="auto"/>
        <w:rPr>
          <w:rFonts w:ascii="Arial" w:hAnsi="Arial" w:cs="Arial"/>
          <w:sz w:val="22"/>
          <w:szCs w:val="22"/>
        </w:rPr>
      </w:pPr>
    </w:p>
    <w:p w14:paraId="603B77FE" w14:textId="287F7FF7" w:rsidR="002D5719" w:rsidRPr="00BB7EAF" w:rsidRDefault="00821AEE" w:rsidP="00BB7EAF">
      <w:pPr>
        <w:spacing w:before="120" w:after="120" w:line="360" w:lineRule="auto"/>
        <w:rPr>
          <w:rFonts w:ascii="Arial" w:hAnsi="Arial" w:cs="Arial"/>
          <w:sz w:val="22"/>
          <w:szCs w:val="22"/>
        </w:rPr>
      </w:pPr>
      <w:r w:rsidRPr="00BB7EAF">
        <w:rPr>
          <w:rFonts w:ascii="Arial" w:hAnsi="Arial" w:cs="Arial"/>
          <w:sz w:val="22"/>
          <w:szCs w:val="22"/>
        </w:rPr>
        <w:t>* UK Government. (2014). Care Act 2014. London: The Stationery Office</w:t>
      </w:r>
    </w:p>
    <w:sectPr w:rsidR="002D5719" w:rsidRPr="00BB7EA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oNotDisplayPageBoundaries/>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719"/>
    <w:rsid w:val="000B384D"/>
    <w:rsid w:val="000F0BF6"/>
    <w:rsid w:val="00132F53"/>
    <w:rsid w:val="001F4990"/>
    <w:rsid w:val="00222A0F"/>
    <w:rsid w:val="002D5719"/>
    <w:rsid w:val="00463C95"/>
    <w:rsid w:val="00533C68"/>
    <w:rsid w:val="006A0D41"/>
    <w:rsid w:val="0078703F"/>
    <w:rsid w:val="00821AEE"/>
    <w:rsid w:val="008C0F6E"/>
    <w:rsid w:val="009A5A67"/>
    <w:rsid w:val="00AD370F"/>
    <w:rsid w:val="00BA36D5"/>
    <w:rsid w:val="00BB7EAF"/>
    <w:rsid w:val="00CA7613"/>
    <w:rsid w:val="00ED0B90"/>
    <w:rsid w:val="00F33D57"/>
    <w:rsid w:val="00FD0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811E3"/>
  <w15:docId w15:val="{FA22096F-6061-4BA1-97DD-BF72A0EBF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character" w:styleId="Hyperlink">
    <w:name w:val="Hyperlink"/>
    <w:basedOn w:val="DefaultParagraphFont"/>
    <w:uiPriority w:val="99"/>
    <w:unhideWhenUsed/>
    <w:rsid w:val="00821AEE"/>
    <w:rPr>
      <w:color w:val="0000FF" w:themeColor="hyperlink"/>
      <w:u w:val="single"/>
    </w:rPr>
  </w:style>
  <w:style w:type="character" w:styleId="UnresolvedMention">
    <w:name w:val="Unresolved Mention"/>
    <w:basedOn w:val="DefaultParagraphFont"/>
    <w:uiPriority w:val="99"/>
    <w:semiHidden/>
    <w:unhideWhenUsed/>
    <w:rsid w:val="00821A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07/s11096-009-9322-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1964</Words>
  <Characters>11893</Characters>
  <Application>Microsoft Office Word</Application>
  <DocSecurity>0</DocSecurity>
  <Lines>215</Lines>
  <Paragraphs>50</Paragraphs>
  <ScaleCrop>false</ScaleCrop>
  <HeadingPairs>
    <vt:vector size="2" baseType="variant">
      <vt:variant>
        <vt:lpstr>Title</vt:lpstr>
      </vt:variant>
      <vt:variant>
        <vt:i4>1</vt:i4>
      </vt:variant>
    </vt:vector>
  </HeadingPairs>
  <TitlesOfParts>
    <vt:vector size="1" baseType="lpstr">
      <vt:lpstr>Care Coordination for Mr Ahmed</vt:lpstr>
    </vt:vector>
  </TitlesOfParts>
  <Company/>
  <LinksUpToDate>false</LinksUpToDate>
  <CharactersWithSpaces>13808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 Coordination for Mr Ahmed</dc:title>
  <cp:lastModifiedBy>Lidiya Berhane (2506206)</cp:lastModifiedBy>
  <cp:revision>6</cp:revision>
  <dcterms:created xsi:type="dcterms:W3CDTF">2026-03-12T20:13:00Z</dcterms:created>
  <dcterms:modified xsi:type="dcterms:W3CDTF">2026-03-21T10:31:00Z</dcterms:modified>
</cp:coreProperties>
</file>