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1D1C2" w14:textId="77777777" w:rsidR="000354D2" w:rsidRPr="000354D2" w:rsidRDefault="000354D2" w:rsidP="000354D2">
      <w:pPr>
        <w:jc w:val="center"/>
        <w:rPr>
          <w:sz w:val="28"/>
          <w:szCs w:val="28"/>
          <w:u w:val="single"/>
        </w:rPr>
      </w:pPr>
      <w:r w:rsidRPr="000354D2">
        <w:rPr>
          <w:sz w:val="28"/>
          <w:szCs w:val="28"/>
          <w:u w:val="single"/>
        </w:rPr>
        <w:t>Assessment 2: Essay – Biographical Study</w:t>
      </w:r>
    </w:p>
    <w:p w14:paraId="6238D62B" w14:textId="77777777" w:rsidR="000354D2" w:rsidRPr="000354D2" w:rsidRDefault="000354D2" w:rsidP="000354D2">
      <w:pPr>
        <w:rPr>
          <w:sz w:val="24"/>
          <w:szCs w:val="24"/>
        </w:rPr>
      </w:pPr>
    </w:p>
    <w:p w14:paraId="397D0F88" w14:textId="5EACD520" w:rsidR="000354D2" w:rsidRPr="000354D2" w:rsidRDefault="000354D2" w:rsidP="002C638A">
      <w:pPr>
        <w:jc w:val="both"/>
        <w:rPr>
          <w:sz w:val="24"/>
          <w:szCs w:val="24"/>
        </w:rPr>
      </w:pPr>
      <w:r w:rsidRPr="000354D2">
        <w:rPr>
          <w:sz w:val="24"/>
          <w:szCs w:val="24"/>
        </w:rPr>
        <w:t>History is rife with racism and the subjection of the African community, in particular by America, Britain, France and Spain. Current statistics estimate that over a period of 400 years, about 12 to 12.8 million Africans slaves were transported across the Atlantic.</w:t>
      </w:r>
      <w:r w:rsidRPr="000354D2">
        <w:rPr>
          <w:sz w:val="24"/>
          <w:szCs w:val="24"/>
          <w:vertAlign w:val="superscript"/>
        </w:rPr>
        <w:footnoteReference w:id="1"/>
      </w:r>
      <w:r w:rsidRPr="000354D2">
        <w:rPr>
          <w:sz w:val="24"/>
          <w:szCs w:val="24"/>
        </w:rPr>
        <w:t xml:space="preserve"> Slavery was abolished in America in 1865 (1833 in most British colonies). Despite this, the African-American diaspora community were not granted the same rights as white societies and had to fight for their equality and political justice. Therefore, this biographical study will focus on the life of Jamaican singer and songwriter Bob Marley. This study will examine Marley’s contribution to black history and his subsequent impact on culture and politics. This study will also highlight how Marley’s biography is great example of Paul Gilroy’s concept of the ‘Black Atlantic’. This will be accomplished through engaging with primary and secondary sources in order to fully understand and analyse the contributions made by Bob Marley. I shall also examine what other figures have said about my chosen subject in order to gain valuable insight and knowledge about Bob Marley.</w:t>
      </w:r>
    </w:p>
    <w:p w14:paraId="0DC99B11" w14:textId="02E5B003" w:rsidR="000354D2" w:rsidRPr="000354D2" w:rsidRDefault="000354D2" w:rsidP="002C638A">
      <w:pPr>
        <w:jc w:val="both"/>
        <w:rPr>
          <w:sz w:val="24"/>
          <w:szCs w:val="24"/>
        </w:rPr>
      </w:pPr>
      <w:r w:rsidRPr="000354D2">
        <w:rPr>
          <w:sz w:val="24"/>
          <w:szCs w:val="24"/>
        </w:rPr>
        <w:t>Bob Marley was born as Robert Nesta Marley on the 6</w:t>
      </w:r>
      <w:r w:rsidRPr="000354D2">
        <w:rPr>
          <w:sz w:val="24"/>
          <w:szCs w:val="24"/>
          <w:vertAlign w:val="superscript"/>
        </w:rPr>
        <w:t>th</w:t>
      </w:r>
      <w:r w:rsidRPr="000354D2">
        <w:rPr>
          <w:sz w:val="24"/>
          <w:szCs w:val="24"/>
        </w:rPr>
        <w:t xml:space="preserve"> of February 1945 in Nine Mile, Saint Anne Parish, British Jamaica. Marley mother (</w:t>
      </w:r>
      <w:proofErr w:type="spellStart"/>
      <w:r w:rsidRPr="000354D2">
        <w:rPr>
          <w:sz w:val="24"/>
          <w:szCs w:val="24"/>
        </w:rPr>
        <w:t>Cedella</w:t>
      </w:r>
      <w:proofErr w:type="spellEnd"/>
      <w:r w:rsidRPr="000354D2">
        <w:rPr>
          <w:sz w:val="24"/>
          <w:szCs w:val="24"/>
        </w:rPr>
        <w:t xml:space="preserve"> Malcolm) was an Afro-Jamaican, however, his father Norval Marley, was not. Norval was a white Jamaican and originally from Sussex, England, whom is believed to have had Syrian Jewish origins. This is an important detail because this did not make Bob Marley a typical black Jamaican. The union of his father and mother gave him a mixed racial identity, or what is commonly referred to as half-caste. A white man marrying a black woman was unusual for the time. Colin Grant states that “barley a few generations back, he idea of a white man marrying even a fair-skinned brown woman produced a shudder of horror in middle-class circles”.</w:t>
      </w:r>
      <w:r w:rsidRPr="000354D2">
        <w:rPr>
          <w:sz w:val="24"/>
          <w:szCs w:val="24"/>
          <w:vertAlign w:val="superscript"/>
        </w:rPr>
        <w:footnoteReference w:id="2"/>
      </w:r>
      <w:r w:rsidRPr="000354D2">
        <w:rPr>
          <w:sz w:val="24"/>
          <w:szCs w:val="24"/>
        </w:rPr>
        <w:t xml:space="preserve"> This extract demonstrates the past attitudes the white social classes held in regards to inter-racial marriages. Although this attitude may have somewhat relaxed by the 1940’s, it still would have been viewed as unusual or indeed frowned upon. Being a result of his parents mixed union would have a resounding impact on Marley throughout his young life and in particular, cause him to question his racial identity. Upon moving with his mother to Trench</w:t>
      </w:r>
      <w:r w:rsidR="00A90E15">
        <w:rPr>
          <w:sz w:val="24"/>
          <w:szCs w:val="24"/>
        </w:rPr>
        <w:t xml:space="preserve"> T</w:t>
      </w:r>
      <w:r w:rsidRPr="000354D2">
        <w:rPr>
          <w:sz w:val="24"/>
          <w:szCs w:val="24"/>
        </w:rPr>
        <w:t>own, Kingston (black community) at the age of 12, Marley would face hardship. Due to his fair complexion, Marley was the victim of bullying and racial abuse, he was often referred to as ‘white boy’. Marley had become so racially sensitised that his future wife Rita claimed that he asked her to “rub shoe polish in his hair to make it more black; make it more African”.</w:t>
      </w:r>
      <w:r w:rsidRPr="000354D2">
        <w:rPr>
          <w:sz w:val="24"/>
          <w:szCs w:val="24"/>
          <w:vertAlign w:val="superscript"/>
        </w:rPr>
        <w:footnoteReference w:id="3"/>
      </w:r>
      <w:r w:rsidRPr="000354D2">
        <w:rPr>
          <w:sz w:val="24"/>
          <w:szCs w:val="24"/>
        </w:rPr>
        <w:t xml:space="preserve"> This extract clearly highlights the racial identity crisis Marley was suffering as a result of his experiences as a teenager in Kingston. Marley’s need to darken his hair and to essentially get ‘blacked up’, opens up the debate of what it really mean</w:t>
      </w:r>
      <w:r w:rsidR="00A90E15">
        <w:rPr>
          <w:sz w:val="24"/>
          <w:szCs w:val="24"/>
        </w:rPr>
        <w:t>t</w:t>
      </w:r>
      <w:r w:rsidRPr="000354D2">
        <w:rPr>
          <w:sz w:val="24"/>
          <w:szCs w:val="24"/>
        </w:rPr>
        <w:t xml:space="preserve"> to be black and what characteristics define an African identity. The question of Marley’s racial identity was one that followed him throughout his life. Marley </w:t>
      </w:r>
      <w:r w:rsidRPr="000354D2">
        <w:rPr>
          <w:sz w:val="24"/>
          <w:szCs w:val="24"/>
        </w:rPr>
        <w:lastRenderedPageBreak/>
        <w:t xml:space="preserve">once stated: “My father was a white and my mother was black. Them call me half-caste or whatever. Me don’t </w:t>
      </w:r>
      <w:proofErr w:type="spellStart"/>
      <w:r w:rsidRPr="000354D2">
        <w:rPr>
          <w:sz w:val="24"/>
          <w:szCs w:val="24"/>
        </w:rPr>
        <w:t>deh</w:t>
      </w:r>
      <w:proofErr w:type="spellEnd"/>
      <w:r w:rsidRPr="000354D2">
        <w:rPr>
          <w:sz w:val="24"/>
          <w:szCs w:val="24"/>
        </w:rPr>
        <w:t xml:space="preserve"> </w:t>
      </w:r>
      <w:proofErr w:type="spellStart"/>
      <w:r w:rsidRPr="000354D2">
        <w:rPr>
          <w:sz w:val="24"/>
          <w:szCs w:val="24"/>
        </w:rPr>
        <w:t>pon</w:t>
      </w:r>
      <w:proofErr w:type="spellEnd"/>
      <w:r w:rsidRPr="000354D2">
        <w:rPr>
          <w:sz w:val="24"/>
          <w:szCs w:val="24"/>
        </w:rPr>
        <w:t xml:space="preserve"> nobody’s side. Me don’t </w:t>
      </w:r>
      <w:proofErr w:type="spellStart"/>
      <w:r w:rsidRPr="000354D2">
        <w:rPr>
          <w:sz w:val="24"/>
          <w:szCs w:val="24"/>
        </w:rPr>
        <w:t>deh</w:t>
      </w:r>
      <w:proofErr w:type="spellEnd"/>
      <w:r w:rsidRPr="000354D2">
        <w:rPr>
          <w:sz w:val="24"/>
          <w:szCs w:val="24"/>
        </w:rPr>
        <w:t xml:space="preserve"> </w:t>
      </w:r>
      <w:proofErr w:type="spellStart"/>
      <w:r w:rsidRPr="000354D2">
        <w:rPr>
          <w:sz w:val="24"/>
          <w:szCs w:val="24"/>
        </w:rPr>
        <w:t>pon</w:t>
      </w:r>
      <w:proofErr w:type="spellEnd"/>
      <w:r w:rsidRPr="000354D2">
        <w:rPr>
          <w:sz w:val="24"/>
          <w:szCs w:val="24"/>
        </w:rPr>
        <w:t xml:space="preserve"> the black man’s side nor the white man’s side. Me </w:t>
      </w:r>
      <w:proofErr w:type="spellStart"/>
      <w:r w:rsidRPr="000354D2">
        <w:rPr>
          <w:sz w:val="24"/>
          <w:szCs w:val="24"/>
        </w:rPr>
        <w:t>deh</w:t>
      </w:r>
      <w:proofErr w:type="spellEnd"/>
      <w:r w:rsidRPr="000354D2">
        <w:rPr>
          <w:sz w:val="24"/>
          <w:szCs w:val="24"/>
        </w:rPr>
        <w:t xml:space="preserve"> </w:t>
      </w:r>
      <w:proofErr w:type="spellStart"/>
      <w:r w:rsidRPr="000354D2">
        <w:rPr>
          <w:sz w:val="24"/>
          <w:szCs w:val="24"/>
        </w:rPr>
        <w:t>pon</w:t>
      </w:r>
      <w:proofErr w:type="spellEnd"/>
      <w:r w:rsidRPr="000354D2">
        <w:rPr>
          <w:sz w:val="24"/>
          <w:szCs w:val="24"/>
        </w:rPr>
        <w:t xml:space="preserve"> God’s side, the one who create me and cause me to come from black and white.”</w:t>
      </w:r>
      <w:r w:rsidRPr="000354D2">
        <w:rPr>
          <w:sz w:val="24"/>
          <w:szCs w:val="24"/>
          <w:vertAlign w:val="superscript"/>
        </w:rPr>
        <w:footnoteReference w:id="4"/>
      </w:r>
      <w:r w:rsidRPr="000354D2">
        <w:rPr>
          <w:sz w:val="24"/>
          <w:szCs w:val="24"/>
        </w:rPr>
        <w:t xml:space="preserve"> This extract demonstrates that Marley had learned to stop struggling with racial categorisations and accept his dual identity. Marley’s mixed ethnicity gave him a unique perspective on both the black and white community. Despite being devoted to speaking to the black diaspora, Marley never had hate or anger towards white people, but rather hate towards those who used their power to subjugate others.  </w:t>
      </w:r>
    </w:p>
    <w:p w14:paraId="0A4E99AB" w14:textId="49367AB9" w:rsidR="000354D2" w:rsidRPr="000354D2" w:rsidRDefault="000354D2" w:rsidP="002C638A">
      <w:pPr>
        <w:jc w:val="both"/>
        <w:rPr>
          <w:sz w:val="24"/>
          <w:szCs w:val="24"/>
        </w:rPr>
      </w:pPr>
      <w:r w:rsidRPr="000354D2">
        <w:rPr>
          <w:sz w:val="24"/>
          <w:szCs w:val="24"/>
        </w:rPr>
        <w:t>Marley needed a way to express his views to the black diaspora and found it through music. Kingston was creating its own form of rhythm and blues in the 1960’s following its conception in African-American communities in places like New Orleans. American music journalist Mikal Gilmore defined it as “a taut, tricky and intense music in which rhythms shifted their accents to the offbeat — almost an inversion of American rock &amp; roll and funk”.</w:t>
      </w:r>
      <w:r w:rsidRPr="000354D2">
        <w:rPr>
          <w:sz w:val="24"/>
          <w:szCs w:val="24"/>
          <w:vertAlign w:val="superscript"/>
        </w:rPr>
        <w:footnoteReference w:id="5"/>
      </w:r>
      <w:r w:rsidRPr="000354D2">
        <w:rPr>
          <w:sz w:val="24"/>
          <w:szCs w:val="24"/>
        </w:rPr>
        <w:t xml:space="preserve">  Music had become a perfect way for the black diaspora to express their feelings and hardship as well as using it as a method to maintaining community in lands that were not sympathetic to them. Music also provided the black diaspora community with a way to communicate the truth of the misery they faced as slaves on a daily capacity. This was also provided them with a brief reprieve and release of the reality of being slaves. In his book </w:t>
      </w:r>
      <w:r w:rsidRPr="000354D2">
        <w:rPr>
          <w:i/>
          <w:iCs/>
          <w:sz w:val="24"/>
          <w:szCs w:val="24"/>
        </w:rPr>
        <w:t>The Black Atlantic</w:t>
      </w:r>
      <w:r w:rsidR="00A90E15">
        <w:rPr>
          <w:sz w:val="24"/>
          <w:szCs w:val="24"/>
        </w:rPr>
        <w:t>,</w:t>
      </w:r>
      <w:r w:rsidRPr="000354D2">
        <w:rPr>
          <w:sz w:val="24"/>
          <w:szCs w:val="24"/>
        </w:rPr>
        <w:t xml:space="preserve"> British historian Paul Gilroy states that “the pre-eminence of music within the diverse black communities of the Atlantic diaspora is itself an importance element in their connectedness”.</w:t>
      </w:r>
      <w:r w:rsidRPr="000354D2">
        <w:rPr>
          <w:sz w:val="24"/>
          <w:szCs w:val="24"/>
          <w:vertAlign w:val="superscript"/>
        </w:rPr>
        <w:footnoteReference w:id="6"/>
      </w:r>
      <w:r w:rsidRPr="000354D2">
        <w:rPr>
          <w:sz w:val="24"/>
          <w:szCs w:val="24"/>
        </w:rPr>
        <w:t xml:space="preserve"> Gilroy’s extract demonstrates that music could provide Marley with the perfect platform to express his views and talk to the black diaspora. Due to the music being used as a way for the black diaspora keeping their communities together, Marley had a ready- made audience to express himself to. Marley’s musical career began in 1963 when he formed ‘The Wailers’ along-side; Bunny Wailer, Peter Tosh, Junior Braithwaite, Beverley Kelso, and Cherry Smith. This band performed ska music, ska originated in Jamaica and was a precursor to rocksteady and reggae. As part of this group, Marley produced his first political song, it was a successful one called “Simmer Down”. In this song, Marley peacefully takes aim at the rude boy culture of Kingston. This subculture rose up from the more impoverished areas of Kingston and is closely associated with violent youths. In “Simmer Down”, Marley tells the rude boys; “Simmer down, oh, control your temper! Simmer down, for the battle will be hotter; Simmer down, and-a you won’t get no supper.”</w:t>
      </w:r>
      <w:r w:rsidRPr="000354D2">
        <w:rPr>
          <w:sz w:val="24"/>
          <w:szCs w:val="24"/>
          <w:vertAlign w:val="superscript"/>
        </w:rPr>
        <w:footnoteReference w:id="7"/>
      </w:r>
      <w:r w:rsidRPr="000354D2">
        <w:rPr>
          <w:sz w:val="24"/>
          <w:szCs w:val="24"/>
        </w:rPr>
        <w:t xml:space="preserve"> In his song, Marley is telling the rude boys of Kingston to stop the violent crime and to act more peaceful. This is a great early example of Marley observing his surroundings and taking stand for what he believes is right. This also demonstrates Marley attempting to be an advocate for change in Jamaica through music. By this point, Marley’s mother had moved to Delaware, USA. </w:t>
      </w:r>
      <w:r w:rsidR="00A90E15">
        <w:rPr>
          <w:sz w:val="24"/>
          <w:szCs w:val="24"/>
        </w:rPr>
        <w:t>Marley</w:t>
      </w:r>
      <w:r w:rsidRPr="000354D2">
        <w:rPr>
          <w:sz w:val="24"/>
          <w:szCs w:val="24"/>
        </w:rPr>
        <w:t xml:space="preserve"> attempted to make a life for himself in America</w:t>
      </w:r>
      <w:r w:rsidR="00A90E15">
        <w:rPr>
          <w:sz w:val="24"/>
          <w:szCs w:val="24"/>
        </w:rPr>
        <w:t>. H</w:t>
      </w:r>
      <w:r w:rsidRPr="000354D2">
        <w:rPr>
          <w:sz w:val="24"/>
          <w:szCs w:val="24"/>
        </w:rPr>
        <w:t xml:space="preserve">owever, Marley disapproved of the lack of diverse job opportunities for black men in America, as well as the pace of life. Perhaps it is not difficult to </w:t>
      </w:r>
      <w:r w:rsidRPr="000354D2">
        <w:rPr>
          <w:sz w:val="24"/>
          <w:szCs w:val="24"/>
        </w:rPr>
        <w:lastRenderedPageBreak/>
        <w:t>imagine why Marley did not take to American life. America was rife with racism at the time, as African-Americans had yet to be given equal rights or equal pay. Michael Keith Honey states that “in the 60’s, sanitation workers were paid so little they qualified for food stamps, blurring the line between gainful employment and government assistance.”</w:t>
      </w:r>
      <w:r w:rsidRPr="000354D2">
        <w:rPr>
          <w:sz w:val="24"/>
          <w:szCs w:val="24"/>
          <w:vertAlign w:val="superscript"/>
        </w:rPr>
        <w:footnoteReference w:id="8"/>
      </w:r>
      <w:r w:rsidRPr="000354D2">
        <w:rPr>
          <w:sz w:val="24"/>
          <w:szCs w:val="24"/>
        </w:rPr>
        <w:t xml:space="preserve"> This extract demonstrates the hardship and lack of opportunity that would have been affronted to Marley in </w:t>
      </w:r>
      <w:r w:rsidR="00A90E15">
        <w:rPr>
          <w:sz w:val="24"/>
          <w:szCs w:val="24"/>
        </w:rPr>
        <w:t>19</w:t>
      </w:r>
      <w:r w:rsidRPr="000354D2">
        <w:rPr>
          <w:sz w:val="24"/>
          <w:szCs w:val="24"/>
        </w:rPr>
        <w:t xml:space="preserve">60’s America. </w:t>
      </w:r>
      <w:r w:rsidR="00A90E15">
        <w:rPr>
          <w:sz w:val="24"/>
          <w:szCs w:val="24"/>
        </w:rPr>
        <w:t>Perhaps, i</w:t>
      </w:r>
      <w:r w:rsidRPr="000354D2">
        <w:rPr>
          <w:sz w:val="24"/>
          <w:szCs w:val="24"/>
        </w:rPr>
        <w:t xml:space="preserve">t is easy to </w:t>
      </w:r>
      <w:r w:rsidR="00A90E15">
        <w:rPr>
          <w:sz w:val="24"/>
          <w:szCs w:val="24"/>
        </w:rPr>
        <w:t>envision</w:t>
      </w:r>
      <w:r w:rsidRPr="000354D2">
        <w:rPr>
          <w:sz w:val="24"/>
          <w:szCs w:val="24"/>
        </w:rPr>
        <w:t xml:space="preserve"> why Marley moved back to Jamaica. However, when Marley moved back to his homeland, he would discover that something significant had happened in Jamaica, something that would impact him for the remainder of his life; Rastafarianism.</w:t>
      </w:r>
    </w:p>
    <w:p w14:paraId="0469FB55" w14:textId="1DE42294" w:rsidR="000354D2" w:rsidRPr="000354D2" w:rsidRDefault="000354D2" w:rsidP="002C638A">
      <w:pPr>
        <w:jc w:val="both"/>
        <w:rPr>
          <w:sz w:val="24"/>
          <w:szCs w:val="24"/>
        </w:rPr>
      </w:pPr>
      <w:r w:rsidRPr="000354D2">
        <w:rPr>
          <w:sz w:val="24"/>
          <w:szCs w:val="24"/>
        </w:rPr>
        <w:t xml:space="preserve">Rastafari is a core belief in a single god (known as Jah). Rastafari teaches that Jah partially resides in everyone and is the incarnated human form of Jesus Christ. The Rastafari movement first began with Marcus Garvey. Garvey was a celebrated black nationalist and leader of the pan-African movement. The core idea of the pan-African movement was to solidify and encourage solidarity between all peoples of the black diaspora community. The aim was to create a cultural and political movement. Garvey wanted Africans to abandon the beliefs imposed on them by European </w:t>
      </w:r>
      <w:r w:rsidR="00A90E15">
        <w:rPr>
          <w:sz w:val="24"/>
          <w:szCs w:val="24"/>
        </w:rPr>
        <w:t>c</w:t>
      </w:r>
      <w:r w:rsidRPr="000354D2">
        <w:rPr>
          <w:sz w:val="24"/>
          <w:szCs w:val="24"/>
        </w:rPr>
        <w:t>olonists and America</w:t>
      </w:r>
      <w:r w:rsidR="00A90E15">
        <w:rPr>
          <w:sz w:val="24"/>
          <w:szCs w:val="24"/>
        </w:rPr>
        <w:t>ns</w:t>
      </w:r>
      <w:r w:rsidRPr="000354D2">
        <w:rPr>
          <w:sz w:val="24"/>
          <w:szCs w:val="24"/>
        </w:rPr>
        <w:t xml:space="preserve"> and instead turn to Africa for their messiah. As a result, the Ras Tafari cult rose in the 1930’s. The Ras Tafari cult believed that the Western world was violent</w:t>
      </w:r>
      <w:r w:rsidR="00A90E15">
        <w:rPr>
          <w:sz w:val="24"/>
          <w:szCs w:val="24"/>
        </w:rPr>
        <w:t>,</w:t>
      </w:r>
      <w:r w:rsidRPr="000354D2">
        <w:rPr>
          <w:sz w:val="24"/>
          <w:szCs w:val="24"/>
        </w:rPr>
        <w:t xml:space="preserve"> unjust and built on the backs of the oppressed (a Babylon in modern day). They believed that this way of life must fall, but fall peacefully as the Ras Tafari did not believe in violence, th</w:t>
      </w:r>
      <w:r w:rsidR="00A90E15">
        <w:rPr>
          <w:sz w:val="24"/>
          <w:szCs w:val="24"/>
        </w:rPr>
        <w:t>at</w:t>
      </w:r>
      <w:r w:rsidRPr="000354D2">
        <w:rPr>
          <w:sz w:val="24"/>
          <w:szCs w:val="24"/>
        </w:rPr>
        <w:t xml:space="preserve"> right belonged to God alone.  When Haile Selassie became Emperor of the of Ethiopia, the Rastafari movement grew. According to Leonard P. Howell; “The Rastafari movement was inspired by the conception of Ethiopia’s Emperor Haile Selassie I as the promised return of the Messiah, prophesied by the Bible.”</w:t>
      </w:r>
      <w:r w:rsidRPr="000354D2">
        <w:rPr>
          <w:sz w:val="24"/>
          <w:szCs w:val="24"/>
          <w:vertAlign w:val="superscript"/>
        </w:rPr>
        <w:footnoteReference w:id="9"/>
      </w:r>
      <w:r w:rsidRPr="000354D2">
        <w:rPr>
          <w:sz w:val="24"/>
          <w:szCs w:val="24"/>
        </w:rPr>
        <w:t xml:space="preserve"> This extract demonstrates the impact that Selassie would have on the black diaspora community. The Rastafari would see Selassie’s ascendancy as Emperor, as the coming of an African king and thus, the return of the messiah. Marley would convert to Rastafarianism in the late </w:t>
      </w:r>
      <w:r w:rsidR="00A90E15">
        <w:rPr>
          <w:sz w:val="24"/>
          <w:szCs w:val="24"/>
        </w:rPr>
        <w:t>19</w:t>
      </w:r>
      <w:r w:rsidRPr="000354D2">
        <w:rPr>
          <w:sz w:val="24"/>
          <w:szCs w:val="24"/>
        </w:rPr>
        <w:t>60’s, following his wife’s conversion, after</w:t>
      </w:r>
      <w:r w:rsidR="00A90E15">
        <w:rPr>
          <w:sz w:val="24"/>
          <w:szCs w:val="24"/>
        </w:rPr>
        <w:t xml:space="preserve"> she had</w:t>
      </w:r>
      <w:r w:rsidRPr="000354D2">
        <w:rPr>
          <w:sz w:val="24"/>
          <w:szCs w:val="24"/>
        </w:rPr>
        <w:t xml:space="preserve"> an encounter with Selassie. Selassie had a great impact on Marley, he saw Selassie as a living God. Bob Marley’s incorporated part of Selassie’s speech that he gave at the United </w:t>
      </w:r>
      <w:r w:rsidR="00A90E15" w:rsidRPr="000354D2">
        <w:rPr>
          <w:sz w:val="24"/>
          <w:szCs w:val="24"/>
        </w:rPr>
        <w:t>Nations</w:t>
      </w:r>
      <w:r w:rsidRPr="000354D2">
        <w:rPr>
          <w:sz w:val="24"/>
          <w:szCs w:val="24"/>
        </w:rPr>
        <w:t xml:space="preserve"> in his 1976 song “War”. Marley opens with “Until the philosophy which holds one race superior and another inferior is finally and permanently discredited and abandoned”, and adds “Everywhere is war/Me say war”.</w:t>
      </w:r>
      <w:r w:rsidRPr="000354D2">
        <w:rPr>
          <w:sz w:val="24"/>
          <w:szCs w:val="24"/>
          <w:vertAlign w:val="superscript"/>
        </w:rPr>
        <w:footnoteReference w:id="10"/>
      </w:r>
      <w:r w:rsidRPr="000354D2">
        <w:rPr>
          <w:sz w:val="24"/>
          <w:szCs w:val="24"/>
        </w:rPr>
        <w:t xml:space="preserve"> Marley uses this song to celebrate the wisdom of Selassie. Selassie’s United Nations speech warned Europe to help Ethiopia against fascist Italy’s invasion or the nations would cease to exist. After World War Two broke out, Selassie gained respect and freed his country in 1941. Marley celebrates Selassie in two ways, the visionary leader and the living God. </w:t>
      </w:r>
    </w:p>
    <w:p w14:paraId="70DBA6EB" w14:textId="1294D9F0" w:rsidR="000354D2" w:rsidRDefault="000354D2" w:rsidP="002C638A">
      <w:pPr>
        <w:jc w:val="both"/>
        <w:rPr>
          <w:sz w:val="24"/>
          <w:szCs w:val="24"/>
        </w:rPr>
      </w:pPr>
      <w:r w:rsidRPr="000354D2">
        <w:rPr>
          <w:sz w:val="24"/>
          <w:szCs w:val="24"/>
        </w:rPr>
        <w:t xml:space="preserve">In the late sixties and seventies, ska music evolved in reggae and become the most popular form of music on Jamaica and with the black diasporic communities. The emergence of reggae was significant for Marley. This genre of music allowed Marley to fully express his Rastafarian </w:t>
      </w:r>
      <w:r w:rsidRPr="000354D2">
        <w:rPr>
          <w:sz w:val="24"/>
          <w:szCs w:val="24"/>
        </w:rPr>
        <w:lastRenderedPageBreak/>
        <w:t>religion. Most importantly, reggae allowed Marley’s music to reach a wider audience whilst also representing his homeland. Through his music, Marley would often comment on the state of current society. In “I Shot the Sheriff”, Marley sings about justifiable killing a corrupt poleman, but also states that he didn’t shoot the deputy. Marley sings that “Sheriff John Brown always hated me, For what, I don't know, Every time I plant a seed, He said kill it before it grow”.</w:t>
      </w:r>
      <w:r w:rsidRPr="000354D2">
        <w:rPr>
          <w:sz w:val="24"/>
          <w:szCs w:val="24"/>
          <w:vertAlign w:val="superscript"/>
        </w:rPr>
        <w:footnoteReference w:id="11"/>
      </w:r>
      <w:r w:rsidRPr="000354D2">
        <w:rPr>
          <w:sz w:val="24"/>
          <w:szCs w:val="24"/>
        </w:rPr>
        <w:t xml:space="preserve"> Marley evokes the theme of justice, he tells the story of killing a corrupt policeman out of self-defence following harassment. This could be linked</w:t>
      </w:r>
      <w:r w:rsidR="00A90E15">
        <w:rPr>
          <w:sz w:val="24"/>
          <w:szCs w:val="24"/>
        </w:rPr>
        <w:t xml:space="preserve"> with</w:t>
      </w:r>
      <w:r w:rsidRPr="000354D2">
        <w:rPr>
          <w:sz w:val="24"/>
          <w:szCs w:val="24"/>
        </w:rPr>
        <w:t xml:space="preserve"> the sus law in Britain. The sus law allowed policemen to stop, search and arrest anyone they believed were about to commit an offense. The Home Office state that no statistics were recorded on the sus law. However, this itself gives an indication of the police’s abuse of the law as it can be safely assumed that the black diaspora community were heavily targeted. </w:t>
      </w:r>
      <w:r w:rsidR="00F758F2">
        <w:rPr>
          <w:sz w:val="24"/>
          <w:szCs w:val="24"/>
        </w:rPr>
        <w:t xml:space="preserve">This lead to heavy mistrust between the black diaspora community and law enforcement. Marley created a message that is still </w:t>
      </w:r>
      <w:r w:rsidR="00DE74B0">
        <w:rPr>
          <w:sz w:val="24"/>
          <w:szCs w:val="24"/>
        </w:rPr>
        <w:t>identifiable</w:t>
      </w:r>
      <w:r w:rsidR="00F758F2">
        <w:rPr>
          <w:sz w:val="24"/>
          <w:szCs w:val="24"/>
        </w:rPr>
        <w:t xml:space="preserve"> today</w:t>
      </w:r>
      <w:r w:rsidR="00AD4E35">
        <w:rPr>
          <w:sz w:val="24"/>
          <w:szCs w:val="24"/>
        </w:rPr>
        <w:t>, especially with the Black Lives Matter movement</w:t>
      </w:r>
      <w:r w:rsidR="002C638A">
        <w:rPr>
          <w:sz w:val="24"/>
          <w:szCs w:val="24"/>
        </w:rPr>
        <w:t xml:space="preserve"> that is happening</w:t>
      </w:r>
      <w:r w:rsidR="00AD4E35">
        <w:rPr>
          <w:sz w:val="24"/>
          <w:szCs w:val="24"/>
        </w:rPr>
        <w:t xml:space="preserve"> in America</w:t>
      </w:r>
      <w:r w:rsidR="002C638A">
        <w:rPr>
          <w:sz w:val="24"/>
          <w:szCs w:val="24"/>
        </w:rPr>
        <w:t xml:space="preserve"> today</w:t>
      </w:r>
      <w:r w:rsidR="00AD4E35">
        <w:rPr>
          <w:sz w:val="24"/>
          <w:szCs w:val="24"/>
        </w:rPr>
        <w:t xml:space="preserve">. </w:t>
      </w:r>
      <w:r w:rsidR="00054B22">
        <w:rPr>
          <w:sz w:val="24"/>
          <w:szCs w:val="24"/>
        </w:rPr>
        <w:t xml:space="preserve">The lack of progress between Marley’s song and </w:t>
      </w:r>
      <w:r w:rsidR="002C638A">
        <w:rPr>
          <w:sz w:val="24"/>
          <w:szCs w:val="24"/>
        </w:rPr>
        <w:t>modern times</w:t>
      </w:r>
      <w:r w:rsidR="00054B22">
        <w:rPr>
          <w:sz w:val="24"/>
          <w:szCs w:val="24"/>
        </w:rPr>
        <w:t xml:space="preserve"> is startling and is filled with tragedy.</w:t>
      </w:r>
      <w:r w:rsidR="0076568C">
        <w:rPr>
          <w:sz w:val="24"/>
          <w:szCs w:val="24"/>
        </w:rPr>
        <w:t xml:space="preserve"> </w:t>
      </w:r>
    </w:p>
    <w:p w14:paraId="359F8AAB" w14:textId="547C71E4" w:rsidR="00115415" w:rsidRDefault="00115415" w:rsidP="002C638A">
      <w:pPr>
        <w:jc w:val="both"/>
        <w:rPr>
          <w:sz w:val="24"/>
          <w:szCs w:val="24"/>
        </w:rPr>
      </w:pPr>
      <w:r>
        <w:rPr>
          <w:sz w:val="24"/>
          <w:szCs w:val="24"/>
        </w:rPr>
        <w:t xml:space="preserve">In 1980, Marley released arguably his most powerful song; “Redemption Song”. Marley had written this song shortly after his cancer diagnosis. </w:t>
      </w:r>
      <w:r w:rsidR="005F745B">
        <w:rPr>
          <w:sz w:val="24"/>
          <w:szCs w:val="24"/>
        </w:rPr>
        <w:t>Marley borrowed lines from a Marcus Garvey speech. Marely sang. “</w:t>
      </w:r>
      <w:r w:rsidR="005F745B" w:rsidRPr="005F745B">
        <w:rPr>
          <w:sz w:val="24"/>
          <w:szCs w:val="24"/>
        </w:rPr>
        <w:t>Emancipate yourselves from mental slavery/None but ourselves can free our minds</w:t>
      </w:r>
      <w:r w:rsidR="005F745B">
        <w:rPr>
          <w:sz w:val="24"/>
          <w:szCs w:val="24"/>
        </w:rPr>
        <w:t>”.</w:t>
      </w:r>
      <w:r w:rsidR="005F745B">
        <w:rPr>
          <w:rStyle w:val="FootnoteReference"/>
          <w:sz w:val="24"/>
          <w:szCs w:val="24"/>
        </w:rPr>
        <w:footnoteReference w:id="12"/>
      </w:r>
      <w:r w:rsidR="00AD6354">
        <w:rPr>
          <w:sz w:val="24"/>
          <w:szCs w:val="24"/>
        </w:rPr>
        <w:t xml:space="preserve"> Through this song, Marley touches upon spirituality and slavery.</w:t>
      </w:r>
      <w:r w:rsidR="000B259C">
        <w:rPr>
          <w:sz w:val="24"/>
          <w:szCs w:val="24"/>
        </w:rPr>
        <w:t xml:space="preserve"> The Rastafari believers are instructed by Marley to learn from their past and fight for the future. Marley’s African activism is on full display with this song by essentially telling the black diaspora community to continue the fight after he is gone and to rise up. He makes this message even more powerful by making it the song a solo guitarist recording, so </w:t>
      </w:r>
      <w:r w:rsidR="00E40D6C">
        <w:rPr>
          <w:sz w:val="24"/>
          <w:szCs w:val="24"/>
        </w:rPr>
        <w:t>his audience could</w:t>
      </w:r>
      <w:r w:rsidR="000B259C">
        <w:rPr>
          <w:sz w:val="24"/>
          <w:szCs w:val="24"/>
        </w:rPr>
        <w:t xml:space="preserve"> fully appreciate his message.</w:t>
      </w:r>
      <w:r w:rsidR="00E40D6C">
        <w:rPr>
          <w:sz w:val="24"/>
          <w:szCs w:val="24"/>
        </w:rPr>
        <w:t xml:space="preserve"> Guitarist Carlos Santana believes that Marley’s songs “</w:t>
      </w:r>
      <w:r w:rsidR="00E40D6C" w:rsidRPr="00E40D6C">
        <w:rPr>
          <w:sz w:val="24"/>
          <w:szCs w:val="24"/>
        </w:rPr>
        <w:t>will be hymns and anthems that people can use to build a new world. He had a vision like Martin Luther King and Coltrane, of a world with no flags, no borders,</w:t>
      </w:r>
      <w:r w:rsidR="00E40D6C">
        <w:rPr>
          <w:sz w:val="24"/>
          <w:szCs w:val="24"/>
        </w:rPr>
        <w:t xml:space="preserve"> </w:t>
      </w:r>
      <w:r w:rsidR="00E40D6C" w:rsidRPr="00E40D6C">
        <w:rPr>
          <w:sz w:val="24"/>
          <w:szCs w:val="24"/>
        </w:rPr>
        <w:t>and no money.”</w:t>
      </w:r>
      <w:r w:rsidR="00E40D6C">
        <w:rPr>
          <w:rStyle w:val="FootnoteReference"/>
          <w:sz w:val="24"/>
          <w:szCs w:val="24"/>
        </w:rPr>
        <w:footnoteReference w:id="13"/>
      </w:r>
      <w:r w:rsidR="00E40D6C">
        <w:rPr>
          <w:sz w:val="24"/>
          <w:szCs w:val="24"/>
        </w:rPr>
        <w:t xml:space="preserve"> This demonstrates the impact that Marley had on the world, he is considered a visionary who wanted to build a better world. </w:t>
      </w:r>
      <w:r w:rsidR="002864D6">
        <w:rPr>
          <w:sz w:val="24"/>
          <w:szCs w:val="24"/>
        </w:rPr>
        <w:t xml:space="preserve">This also demonstrates why Bob Marley’s biography exemplifies the concept of Paul Gilroy’s ‘Black Atlantic’. Marley embraced his double identity and believed that heritage transcends any national border. </w:t>
      </w:r>
    </w:p>
    <w:p w14:paraId="7CFF9F33" w14:textId="3A407997" w:rsidR="002864D6" w:rsidRDefault="002864D6" w:rsidP="002C638A">
      <w:pPr>
        <w:jc w:val="both"/>
        <w:rPr>
          <w:sz w:val="24"/>
          <w:szCs w:val="24"/>
        </w:rPr>
      </w:pPr>
      <w:r>
        <w:rPr>
          <w:sz w:val="24"/>
          <w:szCs w:val="24"/>
        </w:rPr>
        <w:t>Bob Marley passed away on the eleventh of May 1981 from melanoma. Marley left behind a strong legacy and is widely considered a musical icon</w:t>
      </w:r>
      <w:r>
        <w:rPr>
          <w:sz w:val="24"/>
          <w:szCs w:val="24"/>
        </w:rPr>
        <w:t>. Through music, he spoke effectively about transcendent truths in a way nobody had before</w:t>
      </w:r>
      <w:r w:rsidR="0012491E">
        <w:rPr>
          <w:sz w:val="24"/>
          <w:szCs w:val="24"/>
        </w:rPr>
        <w:t>. His music had become a rallying cry: the world needed to change. Such was his impact that various diasporas still light a sacred flame in his honour. This is a prime example of how much reverberation Marley’s music still has among the black diaspora communities. Therefore, in conclusion, I believe that Marley’s contribution to culture</w:t>
      </w:r>
      <w:r w:rsidR="00355BA0">
        <w:rPr>
          <w:sz w:val="24"/>
          <w:szCs w:val="24"/>
        </w:rPr>
        <w:t xml:space="preserve"> society</w:t>
      </w:r>
      <w:r w:rsidR="0012491E">
        <w:rPr>
          <w:sz w:val="24"/>
          <w:szCs w:val="24"/>
        </w:rPr>
        <w:t xml:space="preserve"> is why I believe</w:t>
      </w:r>
      <w:r w:rsidR="00355BA0">
        <w:rPr>
          <w:sz w:val="24"/>
          <w:szCs w:val="24"/>
        </w:rPr>
        <w:t xml:space="preserve"> he is a key figure in black history. </w:t>
      </w:r>
      <w:r w:rsidR="0012491E">
        <w:rPr>
          <w:sz w:val="24"/>
          <w:szCs w:val="24"/>
        </w:rPr>
        <w:t xml:space="preserve"> </w:t>
      </w:r>
    </w:p>
    <w:p w14:paraId="6FA70FD9" w14:textId="77777777" w:rsidR="002C638A" w:rsidRDefault="002C638A" w:rsidP="002C638A">
      <w:pPr>
        <w:jc w:val="center"/>
        <w:rPr>
          <w:sz w:val="28"/>
          <w:szCs w:val="28"/>
          <w:u w:val="single"/>
        </w:rPr>
      </w:pPr>
      <w:r w:rsidRPr="00B36F96">
        <w:rPr>
          <w:sz w:val="28"/>
          <w:szCs w:val="28"/>
          <w:u w:val="single"/>
        </w:rPr>
        <w:lastRenderedPageBreak/>
        <w:t>Bibliography</w:t>
      </w:r>
    </w:p>
    <w:p w14:paraId="7717FA47" w14:textId="77777777" w:rsidR="002C638A" w:rsidRDefault="002C638A" w:rsidP="002C638A">
      <w:pPr>
        <w:rPr>
          <w:sz w:val="24"/>
          <w:szCs w:val="24"/>
          <w:u w:val="single"/>
        </w:rPr>
      </w:pPr>
      <w:r>
        <w:rPr>
          <w:sz w:val="24"/>
          <w:szCs w:val="24"/>
          <w:u w:val="single"/>
        </w:rPr>
        <w:t>Primary Sources</w:t>
      </w:r>
    </w:p>
    <w:p w14:paraId="6DE97F22" w14:textId="77777777" w:rsidR="002C638A" w:rsidRPr="00296B77" w:rsidRDefault="002C638A" w:rsidP="002C638A">
      <w:pPr>
        <w:rPr>
          <w:sz w:val="24"/>
          <w:szCs w:val="24"/>
        </w:rPr>
      </w:pPr>
      <w:r w:rsidRPr="00296B77">
        <w:rPr>
          <w:sz w:val="24"/>
          <w:szCs w:val="24"/>
        </w:rPr>
        <w:t xml:space="preserve">Bob Marley </w:t>
      </w:r>
      <w:r>
        <w:rPr>
          <w:sz w:val="24"/>
          <w:szCs w:val="24"/>
        </w:rPr>
        <w:t>and</w:t>
      </w:r>
      <w:r w:rsidRPr="00296B77">
        <w:rPr>
          <w:sz w:val="24"/>
          <w:szCs w:val="24"/>
        </w:rPr>
        <w:t xml:space="preserve"> </w:t>
      </w:r>
      <w:r>
        <w:rPr>
          <w:sz w:val="24"/>
          <w:szCs w:val="24"/>
        </w:rPr>
        <w:t>t</w:t>
      </w:r>
      <w:r w:rsidRPr="00296B77">
        <w:rPr>
          <w:sz w:val="24"/>
          <w:szCs w:val="24"/>
        </w:rPr>
        <w:t xml:space="preserve">he Wailers, “I Shot the Sheriff”, </w:t>
      </w:r>
      <w:proofErr w:type="spellStart"/>
      <w:r w:rsidRPr="00296B77">
        <w:rPr>
          <w:i/>
          <w:iCs/>
          <w:sz w:val="24"/>
          <w:szCs w:val="24"/>
        </w:rPr>
        <w:t>Burnin</w:t>
      </w:r>
      <w:proofErr w:type="spellEnd"/>
      <w:r w:rsidRPr="00296B77">
        <w:rPr>
          <w:i/>
          <w:iCs/>
          <w:sz w:val="24"/>
          <w:szCs w:val="24"/>
        </w:rPr>
        <w:t>’</w:t>
      </w:r>
      <w:r w:rsidRPr="00296B77">
        <w:rPr>
          <w:sz w:val="24"/>
          <w:szCs w:val="24"/>
        </w:rPr>
        <w:t>,</w:t>
      </w:r>
      <w:r w:rsidRPr="00296B77">
        <w:rPr>
          <w:i/>
          <w:iCs/>
          <w:sz w:val="24"/>
          <w:szCs w:val="24"/>
        </w:rPr>
        <w:t xml:space="preserve"> </w:t>
      </w:r>
      <w:r w:rsidRPr="00296B77">
        <w:rPr>
          <w:sz w:val="24"/>
          <w:szCs w:val="24"/>
        </w:rPr>
        <w:t>(Kingston, JM: Island, 1973).</w:t>
      </w:r>
    </w:p>
    <w:p w14:paraId="31BF399B" w14:textId="77777777" w:rsidR="002C638A" w:rsidRDefault="002C638A" w:rsidP="002C638A">
      <w:pPr>
        <w:rPr>
          <w:sz w:val="24"/>
          <w:szCs w:val="24"/>
        </w:rPr>
      </w:pPr>
      <w:r w:rsidRPr="00401277">
        <w:rPr>
          <w:sz w:val="24"/>
          <w:szCs w:val="24"/>
        </w:rPr>
        <w:t xml:space="preserve">Bob Marley and the Wailers, “Redemption Song”, </w:t>
      </w:r>
      <w:r w:rsidRPr="00401277">
        <w:rPr>
          <w:i/>
          <w:iCs/>
          <w:sz w:val="24"/>
          <w:szCs w:val="24"/>
        </w:rPr>
        <w:t xml:space="preserve">Uprising </w:t>
      </w:r>
      <w:r w:rsidRPr="00401277">
        <w:rPr>
          <w:sz w:val="24"/>
          <w:szCs w:val="24"/>
        </w:rPr>
        <w:t>(Kingston, JM: Island, 1980).</w:t>
      </w:r>
    </w:p>
    <w:p w14:paraId="1011CBB3" w14:textId="77777777" w:rsidR="002C638A" w:rsidRPr="00664675" w:rsidRDefault="002C638A" w:rsidP="002C638A">
      <w:pPr>
        <w:rPr>
          <w:sz w:val="24"/>
          <w:szCs w:val="24"/>
        </w:rPr>
      </w:pPr>
      <w:r>
        <w:rPr>
          <w:sz w:val="24"/>
          <w:szCs w:val="24"/>
        </w:rPr>
        <w:t>Bob Marley and</w:t>
      </w:r>
      <w:r w:rsidRPr="006F6728">
        <w:rPr>
          <w:sz w:val="24"/>
          <w:szCs w:val="24"/>
        </w:rPr>
        <w:t xml:space="preserve"> </w:t>
      </w:r>
      <w:r>
        <w:rPr>
          <w:sz w:val="24"/>
          <w:szCs w:val="24"/>
        </w:rPr>
        <w:t>t</w:t>
      </w:r>
      <w:r w:rsidRPr="006F6728">
        <w:rPr>
          <w:sz w:val="24"/>
          <w:szCs w:val="24"/>
        </w:rPr>
        <w:t xml:space="preserve">he Wailers, “War”, </w:t>
      </w:r>
      <w:proofErr w:type="spellStart"/>
      <w:r w:rsidRPr="006F6728">
        <w:rPr>
          <w:i/>
          <w:iCs/>
          <w:sz w:val="24"/>
          <w:szCs w:val="24"/>
        </w:rPr>
        <w:t>Rastaman</w:t>
      </w:r>
      <w:proofErr w:type="spellEnd"/>
      <w:r w:rsidRPr="006F6728">
        <w:rPr>
          <w:i/>
          <w:iCs/>
          <w:sz w:val="24"/>
          <w:szCs w:val="24"/>
        </w:rPr>
        <w:t xml:space="preserve"> Vibration </w:t>
      </w:r>
      <w:r w:rsidRPr="006F6728">
        <w:rPr>
          <w:sz w:val="24"/>
          <w:szCs w:val="24"/>
        </w:rPr>
        <w:t>(London: Island, 1976).</w:t>
      </w:r>
    </w:p>
    <w:p w14:paraId="15C04415" w14:textId="77777777" w:rsidR="002C638A" w:rsidRDefault="002C638A" w:rsidP="002C638A">
      <w:pPr>
        <w:rPr>
          <w:sz w:val="24"/>
          <w:szCs w:val="24"/>
        </w:rPr>
      </w:pPr>
      <w:r w:rsidRPr="00664675">
        <w:rPr>
          <w:sz w:val="24"/>
          <w:szCs w:val="24"/>
        </w:rPr>
        <w:t xml:space="preserve">The Wailers, </w:t>
      </w:r>
      <w:r>
        <w:rPr>
          <w:sz w:val="24"/>
          <w:szCs w:val="24"/>
        </w:rPr>
        <w:t xml:space="preserve">“Simmer Down”, </w:t>
      </w:r>
      <w:r w:rsidRPr="00664675">
        <w:rPr>
          <w:i/>
          <w:iCs/>
          <w:sz w:val="24"/>
          <w:szCs w:val="24"/>
        </w:rPr>
        <w:t xml:space="preserve">The Wailing Wailers </w:t>
      </w:r>
      <w:r w:rsidRPr="00664675">
        <w:rPr>
          <w:sz w:val="24"/>
          <w:szCs w:val="24"/>
        </w:rPr>
        <w:t>(Kingston, JM: Studio One, 1965).</w:t>
      </w:r>
    </w:p>
    <w:p w14:paraId="0C0099FF" w14:textId="77777777" w:rsidR="002C638A" w:rsidRDefault="002C638A" w:rsidP="002C638A">
      <w:pPr>
        <w:rPr>
          <w:sz w:val="24"/>
          <w:szCs w:val="24"/>
          <w:u w:val="single"/>
        </w:rPr>
      </w:pPr>
    </w:p>
    <w:p w14:paraId="0E20803D" w14:textId="77777777" w:rsidR="002C638A" w:rsidRDefault="002C638A" w:rsidP="002C638A">
      <w:pPr>
        <w:rPr>
          <w:sz w:val="24"/>
          <w:szCs w:val="24"/>
          <w:u w:val="single"/>
        </w:rPr>
      </w:pPr>
      <w:r>
        <w:rPr>
          <w:sz w:val="24"/>
          <w:szCs w:val="24"/>
          <w:u w:val="single"/>
        </w:rPr>
        <w:t>Secondary Sources</w:t>
      </w:r>
    </w:p>
    <w:p w14:paraId="0FE46B45" w14:textId="77777777" w:rsidR="002C638A" w:rsidRDefault="002C638A" w:rsidP="002C638A">
      <w:pPr>
        <w:rPr>
          <w:sz w:val="24"/>
          <w:szCs w:val="24"/>
        </w:rPr>
      </w:pPr>
      <w:r w:rsidRPr="00521A76">
        <w:rPr>
          <w:sz w:val="24"/>
          <w:szCs w:val="24"/>
        </w:rPr>
        <w:t>Dunkley</w:t>
      </w:r>
      <w:r>
        <w:rPr>
          <w:sz w:val="24"/>
          <w:szCs w:val="24"/>
        </w:rPr>
        <w:t>. D. A,</w:t>
      </w:r>
      <w:r w:rsidRPr="00521A76">
        <w:rPr>
          <w:sz w:val="24"/>
          <w:szCs w:val="24"/>
        </w:rPr>
        <w:t xml:space="preserve"> 'The Politics of Repatriation and the First Rastafari, 1932–1940', </w:t>
      </w:r>
      <w:r w:rsidRPr="00521A76">
        <w:rPr>
          <w:i/>
          <w:iCs/>
          <w:sz w:val="24"/>
          <w:szCs w:val="24"/>
        </w:rPr>
        <w:t>Grappling with Blackness</w:t>
      </w:r>
      <w:r w:rsidRPr="00521A76">
        <w:rPr>
          <w:sz w:val="24"/>
          <w:szCs w:val="24"/>
        </w:rPr>
        <w:t>, 20.2, (2018)</w:t>
      </w:r>
      <w:r>
        <w:rPr>
          <w:sz w:val="24"/>
          <w:szCs w:val="24"/>
        </w:rPr>
        <w:t>.</w:t>
      </w:r>
    </w:p>
    <w:p w14:paraId="48F3F801" w14:textId="77777777" w:rsidR="002C638A" w:rsidRDefault="002C638A" w:rsidP="002C638A">
      <w:pPr>
        <w:rPr>
          <w:sz w:val="24"/>
          <w:szCs w:val="24"/>
        </w:rPr>
      </w:pPr>
      <w:r w:rsidRPr="007E4731">
        <w:rPr>
          <w:sz w:val="24"/>
          <w:szCs w:val="24"/>
        </w:rPr>
        <w:t>Gilroy</w:t>
      </w:r>
      <w:r>
        <w:rPr>
          <w:sz w:val="24"/>
          <w:szCs w:val="24"/>
        </w:rPr>
        <w:t>. P,</w:t>
      </w:r>
      <w:r w:rsidRPr="007E4731">
        <w:rPr>
          <w:sz w:val="24"/>
          <w:szCs w:val="24"/>
        </w:rPr>
        <w:t xml:space="preserve"> </w:t>
      </w:r>
      <w:r w:rsidRPr="007E4731">
        <w:rPr>
          <w:i/>
          <w:iCs/>
          <w:sz w:val="24"/>
          <w:szCs w:val="24"/>
        </w:rPr>
        <w:t>The Black Atlantic: Modernity and Double Consciousness</w:t>
      </w:r>
      <w:r w:rsidRPr="007E4731">
        <w:rPr>
          <w:sz w:val="24"/>
          <w:szCs w:val="24"/>
        </w:rPr>
        <w:t xml:space="preserve"> [1993] (London: Verso, 2002)</w:t>
      </w:r>
      <w:r>
        <w:rPr>
          <w:sz w:val="24"/>
          <w:szCs w:val="24"/>
        </w:rPr>
        <w:t>.</w:t>
      </w:r>
    </w:p>
    <w:p w14:paraId="527E1235" w14:textId="77777777" w:rsidR="002C638A" w:rsidRPr="00B36F96" w:rsidRDefault="002C638A" w:rsidP="002C638A">
      <w:pPr>
        <w:rPr>
          <w:sz w:val="24"/>
          <w:szCs w:val="24"/>
        </w:rPr>
      </w:pPr>
      <w:r w:rsidRPr="00AF1094">
        <w:rPr>
          <w:sz w:val="24"/>
          <w:szCs w:val="24"/>
        </w:rPr>
        <w:t>Grant</w:t>
      </w:r>
      <w:r>
        <w:rPr>
          <w:sz w:val="24"/>
          <w:szCs w:val="24"/>
        </w:rPr>
        <w:t>. C,</w:t>
      </w:r>
      <w:r w:rsidRPr="00AF1094">
        <w:rPr>
          <w:sz w:val="24"/>
          <w:szCs w:val="24"/>
        </w:rPr>
        <w:t xml:space="preserve"> </w:t>
      </w:r>
      <w:r w:rsidRPr="00AF1094">
        <w:rPr>
          <w:i/>
          <w:iCs/>
          <w:sz w:val="24"/>
          <w:szCs w:val="24"/>
        </w:rPr>
        <w:t>I &amp; I: The Natural Mystics: Marley, Tosh and Wailer</w:t>
      </w:r>
      <w:r w:rsidRPr="00AF1094">
        <w:rPr>
          <w:sz w:val="24"/>
          <w:szCs w:val="24"/>
        </w:rPr>
        <w:t xml:space="preserve">, reprint </w:t>
      </w:r>
      <w:proofErr w:type="spellStart"/>
      <w:r w:rsidRPr="00AF1094">
        <w:rPr>
          <w:sz w:val="24"/>
          <w:szCs w:val="24"/>
        </w:rPr>
        <w:t>edn</w:t>
      </w:r>
      <w:proofErr w:type="spellEnd"/>
      <w:r w:rsidRPr="00AF1094">
        <w:rPr>
          <w:sz w:val="24"/>
          <w:szCs w:val="24"/>
        </w:rPr>
        <w:t xml:space="preserve"> (London: Random House, 2011)</w:t>
      </w:r>
      <w:r>
        <w:rPr>
          <w:sz w:val="24"/>
          <w:szCs w:val="24"/>
        </w:rPr>
        <w:t>.</w:t>
      </w:r>
    </w:p>
    <w:p w14:paraId="498D5EE9" w14:textId="77777777" w:rsidR="002C638A" w:rsidRDefault="002C638A" w:rsidP="002C638A">
      <w:pPr>
        <w:rPr>
          <w:sz w:val="24"/>
          <w:szCs w:val="24"/>
        </w:rPr>
      </w:pPr>
      <w:r w:rsidRPr="00DD7566">
        <w:rPr>
          <w:sz w:val="24"/>
          <w:szCs w:val="24"/>
        </w:rPr>
        <w:t>Honey</w:t>
      </w:r>
      <w:r>
        <w:rPr>
          <w:sz w:val="24"/>
          <w:szCs w:val="24"/>
        </w:rPr>
        <w:t>. M. K,</w:t>
      </w:r>
      <w:r w:rsidRPr="00DD7566">
        <w:rPr>
          <w:sz w:val="24"/>
          <w:szCs w:val="24"/>
        </w:rPr>
        <w:t xml:space="preserve"> </w:t>
      </w:r>
      <w:r w:rsidRPr="00DD7566">
        <w:rPr>
          <w:i/>
          <w:iCs/>
          <w:sz w:val="24"/>
          <w:szCs w:val="24"/>
        </w:rPr>
        <w:t>Black Workers Remember: An Oral History of Segregation, Unionism, and the Freedom Struggle</w:t>
      </w:r>
      <w:r w:rsidRPr="00DD7566">
        <w:rPr>
          <w:sz w:val="24"/>
          <w:szCs w:val="24"/>
        </w:rPr>
        <w:t xml:space="preserve"> (Berkley, CA: University of California Press, 2002)</w:t>
      </w:r>
      <w:r>
        <w:rPr>
          <w:sz w:val="24"/>
          <w:szCs w:val="24"/>
        </w:rPr>
        <w:t>.</w:t>
      </w:r>
    </w:p>
    <w:p w14:paraId="4F7EDA73" w14:textId="77777777" w:rsidR="002C638A" w:rsidRDefault="002C638A" w:rsidP="002C638A">
      <w:pPr>
        <w:rPr>
          <w:sz w:val="24"/>
          <w:szCs w:val="24"/>
        </w:rPr>
      </w:pPr>
      <w:proofErr w:type="spellStart"/>
      <w:r w:rsidRPr="00D31CCF">
        <w:rPr>
          <w:sz w:val="24"/>
          <w:szCs w:val="24"/>
        </w:rPr>
        <w:t>Raboteau</w:t>
      </w:r>
      <w:proofErr w:type="spellEnd"/>
      <w:r>
        <w:rPr>
          <w:sz w:val="24"/>
          <w:szCs w:val="24"/>
        </w:rPr>
        <w:t>. E,</w:t>
      </w:r>
      <w:r w:rsidRPr="00D31CCF">
        <w:rPr>
          <w:sz w:val="24"/>
          <w:szCs w:val="24"/>
        </w:rPr>
        <w:t xml:space="preserve"> </w:t>
      </w:r>
      <w:r w:rsidRPr="00D31CCF">
        <w:rPr>
          <w:i/>
          <w:iCs/>
          <w:sz w:val="24"/>
          <w:szCs w:val="24"/>
        </w:rPr>
        <w:t>Searching for Zion: The Quest for Home in the African Diaspora</w:t>
      </w:r>
      <w:r w:rsidRPr="00D31CCF">
        <w:rPr>
          <w:sz w:val="24"/>
          <w:szCs w:val="24"/>
        </w:rPr>
        <w:t xml:space="preserve"> (New York: Atlantic Monthly Press, 2013)</w:t>
      </w:r>
      <w:r>
        <w:rPr>
          <w:sz w:val="24"/>
          <w:szCs w:val="24"/>
        </w:rPr>
        <w:t>.</w:t>
      </w:r>
    </w:p>
    <w:p w14:paraId="508F4465" w14:textId="77777777" w:rsidR="002C638A" w:rsidRDefault="002C638A" w:rsidP="002C638A">
      <w:pPr>
        <w:rPr>
          <w:sz w:val="24"/>
          <w:szCs w:val="24"/>
        </w:rPr>
      </w:pPr>
      <w:r w:rsidRPr="00B36F96">
        <w:rPr>
          <w:sz w:val="24"/>
          <w:szCs w:val="24"/>
        </w:rPr>
        <w:t>Segal</w:t>
      </w:r>
      <w:r>
        <w:rPr>
          <w:sz w:val="24"/>
          <w:szCs w:val="24"/>
        </w:rPr>
        <w:t>. R,</w:t>
      </w:r>
      <w:r w:rsidRPr="00B36F96">
        <w:rPr>
          <w:sz w:val="24"/>
          <w:szCs w:val="24"/>
        </w:rPr>
        <w:t xml:space="preserve"> </w:t>
      </w:r>
      <w:r w:rsidRPr="00B36F96">
        <w:rPr>
          <w:i/>
          <w:iCs/>
          <w:sz w:val="24"/>
          <w:szCs w:val="24"/>
        </w:rPr>
        <w:t>The Black Diaspora: Five Centuries of the Black Experience Outside Africa</w:t>
      </w:r>
      <w:r w:rsidRPr="00B36F96">
        <w:rPr>
          <w:sz w:val="24"/>
          <w:szCs w:val="24"/>
        </w:rPr>
        <w:t xml:space="preserve"> (New York: Farrar, Straus and Giroux, 1995)</w:t>
      </w:r>
      <w:r>
        <w:rPr>
          <w:sz w:val="24"/>
          <w:szCs w:val="24"/>
        </w:rPr>
        <w:t>.</w:t>
      </w:r>
    </w:p>
    <w:p w14:paraId="233FAFA2" w14:textId="77777777" w:rsidR="002C638A" w:rsidRDefault="002C638A" w:rsidP="002C638A">
      <w:pPr>
        <w:rPr>
          <w:sz w:val="24"/>
          <w:szCs w:val="24"/>
          <w:u w:val="single"/>
        </w:rPr>
      </w:pPr>
      <w:r>
        <w:rPr>
          <w:sz w:val="24"/>
          <w:szCs w:val="24"/>
          <w:u w:val="single"/>
        </w:rPr>
        <w:t xml:space="preserve"> </w:t>
      </w:r>
    </w:p>
    <w:p w14:paraId="5D41A4A1" w14:textId="77777777" w:rsidR="002C638A" w:rsidRDefault="002C638A" w:rsidP="002C638A">
      <w:pPr>
        <w:rPr>
          <w:sz w:val="24"/>
          <w:szCs w:val="24"/>
          <w:u w:val="single"/>
        </w:rPr>
      </w:pPr>
      <w:r>
        <w:rPr>
          <w:sz w:val="24"/>
          <w:szCs w:val="24"/>
          <w:u w:val="single"/>
        </w:rPr>
        <w:t>Websites</w:t>
      </w:r>
    </w:p>
    <w:p w14:paraId="3A5598F8" w14:textId="77777777" w:rsidR="002C638A" w:rsidRPr="00D12043" w:rsidRDefault="002C638A" w:rsidP="002C638A">
      <w:pPr>
        <w:rPr>
          <w:sz w:val="24"/>
          <w:szCs w:val="24"/>
        </w:rPr>
      </w:pPr>
      <w:r w:rsidRPr="00D12043">
        <w:rPr>
          <w:sz w:val="24"/>
          <w:szCs w:val="24"/>
        </w:rPr>
        <w:t>Buchanan</w:t>
      </w:r>
      <w:r>
        <w:rPr>
          <w:sz w:val="24"/>
          <w:szCs w:val="24"/>
        </w:rPr>
        <w:t>. P,</w:t>
      </w:r>
      <w:r w:rsidRPr="00D12043">
        <w:rPr>
          <w:sz w:val="24"/>
          <w:szCs w:val="24"/>
        </w:rPr>
        <w:t xml:space="preserve"> </w:t>
      </w:r>
      <w:r w:rsidRPr="00D12043">
        <w:rPr>
          <w:i/>
          <w:iCs/>
          <w:sz w:val="24"/>
          <w:szCs w:val="24"/>
        </w:rPr>
        <w:t>Bob Marley's Legacy</w:t>
      </w:r>
      <w:r w:rsidRPr="00D12043">
        <w:rPr>
          <w:sz w:val="24"/>
          <w:szCs w:val="24"/>
        </w:rPr>
        <w:t xml:space="preserve"> (2020) &lt;http://www.jamaicaobserver.com/news/bob-marley-8217-s-legacy_104314?profile=1096&gt; [accessed 2 February 2020].</w:t>
      </w:r>
    </w:p>
    <w:p w14:paraId="00DA2BD4" w14:textId="77777777" w:rsidR="002C638A" w:rsidRDefault="002C638A" w:rsidP="002C638A">
      <w:pPr>
        <w:rPr>
          <w:sz w:val="24"/>
          <w:szCs w:val="24"/>
        </w:rPr>
      </w:pPr>
      <w:r w:rsidRPr="00681178">
        <w:rPr>
          <w:sz w:val="24"/>
          <w:szCs w:val="24"/>
        </w:rPr>
        <w:t>Gilmore</w:t>
      </w:r>
      <w:r>
        <w:rPr>
          <w:sz w:val="24"/>
          <w:szCs w:val="24"/>
        </w:rPr>
        <w:t>. M,</w:t>
      </w:r>
      <w:r w:rsidRPr="00681178">
        <w:rPr>
          <w:sz w:val="24"/>
          <w:szCs w:val="24"/>
        </w:rPr>
        <w:t xml:space="preserve"> </w:t>
      </w:r>
      <w:r w:rsidRPr="00681178">
        <w:rPr>
          <w:i/>
          <w:iCs/>
          <w:sz w:val="24"/>
          <w:szCs w:val="24"/>
        </w:rPr>
        <w:t>The Life and Times of Bob Marley</w:t>
      </w:r>
      <w:r w:rsidRPr="00681178">
        <w:rPr>
          <w:sz w:val="24"/>
          <w:szCs w:val="24"/>
        </w:rPr>
        <w:t xml:space="preserve"> (2020) &lt;https://www.rollingstone.com/music/music-news/the-life-and-times-of-bob-marley-78392/&gt; [accessed 29 January 2020].</w:t>
      </w:r>
    </w:p>
    <w:p w14:paraId="56855611" w14:textId="77777777" w:rsidR="002C638A" w:rsidRDefault="002C638A" w:rsidP="002C638A">
      <w:pPr>
        <w:jc w:val="both"/>
        <w:rPr>
          <w:sz w:val="24"/>
          <w:szCs w:val="24"/>
        </w:rPr>
      </w:pPr>
      <w:bookmarkStart w:id="1" w:name="_GoBack"/>
      <w:bookmarkEnd w:id="1"/>
    </w:p>
    <w:p w14:paraId="4497A15B" w14:textId="77777777" w:rsidR="00AD4E35" w:rsidRPr="000354D2" w:rsidRDefault="00AD4E35" w:rsidP="000354D2">
      <w:pPr>
        <w:rPr>
          <w:sz w:val="24"/>
          <w:szCs w:val="24"/>
        </w:rPr>
      </w:pPr>
    </w:p>
    <w:p w14:paraId="0815F4BB" w14:textId="77777777" w:rsidR="004A6BA4" w:rsidRDefault="004A6BA4"/>
    <w:sectPr w:rsidR="004A6B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1A76E3" w14:textId="77777777" w:rsidR="00CB300E" w:rsidRDefault="00CB300E" w:rsidP="000354D2">
      <w:pPr>
        <w:spacing w:after="0" w:line="240" w:lineRule="auto"/>
      </w:pPr>
      <w:r>
        <w:separator/>
      </w:r>
    </w:p>
  </w:endnote>
  <w:endnote w:type="continuationSeparator" w:id="0">
    <w:p w14:paraId="44A13ADE" w14:textId="77777777" w:rsidR="00CB300E" w:rsidRDefault="00CB300E" w:rsidP="00035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D07D5" w14:textId="77777777" w:rsidR="00CB300E" w:rsidRDefault="00CB300E" w:rsidP="000354D2">
      <w:pPr>
        <w:spacing w:after="0" w:line="240" w:lineRule="auto"/>
      </w:pPr>
      <w:r>
        <w:separator/>
      </w:r>
    </w:p>
  </w:footnote>
  <w:footnote w:type="continuationSeparator" w:id="0">
    <w:p w14:paraId="088540E7" w14:textId="77777777" w:rsidR="00CB300E" w:rsidRDefault="00CB300E" w:rsidP="000354D2">
      <w:pPr>
        <w:spacing w:after="0" w:line="240" w:lineRule="auto"/>
      </w:pPr>
      <w:r>
        <w:continuationSeparator/>
      </w:r>
    </w:p>
  </w:footnote>
  <w:footnote w:id="1">
    <w:p w14:paraId="43951EC0" w14:textId="77777777" w:rsidR="000354D2" w:rsidRDefault="000354D2" w:rsidP="000354D2">
      <w:pPr>
        <w:pStyle w:val="FootnoteText"/>
      </w:pPr>
      <w:r>
        <w:rPr>
          <w:rStyle w:val="FootnoteReference"/>
        </w:rPr>
        <w:footnoteRef/>
      </w:r>
      <w:r>
        <w:t xml:space="preserve"> </w:t>
      </w:r>
      <w:r w:rsidRPr="00AD4B87">
        <w:t xml:space="preserve">Ronald Segal, </w:t>
      </w:r>
      <w:r w:rsidRPr="00AD4B87">
        <w:rPr>
          <w:i/>
          <w:iCs/>
        </w:rPr>
        <w:t>The Black Diaspora: Five Centuries of the Black Experience Outside Africa</w:t>
      </w:r>
      <w:r w:rsidRPr="00AD4B87">
        <w:t xml:space="preserve"> (New York: Farrar, Straus and Giroux, 1995), p. 4.</w:t>
      </w:r>
    </w:p>
  </w:footnote>
  <w:footnote w:id="2">
    <w:p w14:paraId="4AC978B3" w14:textId="77777777" w:rsidR="000354D2" w:rsidRDefault="000354D2" w:rsidP="000354D2">
      <w:pPr>
        <w:pStyle w:val="FootnoteText"/>
      </w:pPr>
      <w:r>
        <w:rPr>
          <w:rStyle w:val="FootnoteReference"/>
        </w:rPr>
        <w:footnoteRef/>
      </w:r>
      <w:r>
        <w:t xml:space="preserve"> </w:t>
      </w:r>
      <w:r w:rsidRPr="008C6F9E">
        <w:t xml:space="preserve">Colin Grant, </w:t>
      </w:r>
      <w:r w:rsidRPr="008C6F9E">
        <w:rPr>
          <w:i/>
          <w:iCs/>
        </w:rPr>
        <w:t>I &amp; I: The Natural Mystics: Marley, Tosh and Wailer</w:t>
      </w:r>
      <w:r w:rsidRPr="008C6F9E">
        <w:t xml:space="preserve">, reprint </w:t>
      </w:r>
      <w:proofErr w:type="spellStart"/>
      <w:r w:rsidRPr="008C6F9E">
        <w:t>edn</w:t>
      </w:r>
      <w:proofErr w:type="spellEnd"/>
      <w:r w:rsidRPr="008C6F9E">
        <w:t xml:space="preserve"> (London: Random House, 2011), p. </w:t>
      </w:r>
      <w:r>
        <w:t>23.</w:t>
      </w:r>
    </w:p>
  </w:footnote>
  <w:footnote w:id="3">
    <w:p w14:paraId="2E2859C6" w14:textId="77777777" w:rsidR="000354D2" w:rsidRDefault="000354D2" w:rsidP="000354D2">
      <w:pPr>
        <w:pStyle w:val="FootnoteText"/>
      </w:pPr>
      <w:r>
        <w:rPr>
          <w:rStyle w:val="FootnoteReference"/>
        </w:rPr>
        <w:footnoteRef/>
      </w:r>
      <w:r>
        <w:t xml:space="preserve"> </w:t>
      </w:r>
      <w:r w:rsidRPr="00AF416E">
        <w:t xml:space="preserve">Colin Grant, </w:t>
      </w:r>
      <w:r w:rsidRPr="00AF416E">
        <w:rPr>
          <w:i/>
          <w:iCs/>
        </w:rPr>
        <w:t>I &amp; I: The Natural Mystics: Marley, Tosh and Wailer</w:t>
      </w:r>
      <w:r>
        <w:t>, p. 116</w:t>
      </w:r>
    </w:p>
  </w:footnote>
  <w:footnote w:id="4">
    <w:p w14:paraId="5D08C63D" w14:textId="77777777" w:rsidR="000354D2" w:rsidRDefault="000354D2" w:rsidP="000354D2">
      <w:pPr>
        <w:pStyle w:val="FootnoteText"/>
      </w:pPr>
      <w:r>
        <w:rPr>
          <w:rStyle w:val="FootnoteReference"/>
        </w:rPr>
        <w:footnoteRef/>
      </w:r>
      <w:r>
        <w:t xml:space="preserve"> </w:t>
      </w:r>
      <w:r w:rsidRPr="00691D02">
        <w:t xml:space="preserve">Emily </w:t>
      </w:r>
      <w:proofErr w:type="spellStart"/>
      <w:r w:rsidRPr="00691D02">
        <w:t>Raboteau</w:t>
      </w:r>
      <w:proofErr w:type="spellEnd"/>
      <w:r w:rsidRPr="00691D02">
        <w:t xml:space="preserve">, </w:t>
      </w:r>
      <w:r w:rsidRPr="00691D02">
        <w:rPr>
          <w:i/>
          <w:iCs/>
        </w:rPr>
        <w:t>Searching for Zion: The Quest for Home in the African Diaspora</w:t>
      </w:r>
      <w:r w:rsidRPr="00691D02">
        <w:t xml:space="preserve"> (New York: Atlantic Monthly Press, 2013), p. 74.</w:t>
      </w:r>
    </w:p>
  </w:footnote>
  <w:footnote w:id="5">
    <w:p w14:paraId="34A9ECAD" w14:textId="77777777" w:rsidR="000354D2" w:rsidRDefault="000354D2" w:rsidP="000354D2">
      <w:pPr>
        <w:pStyle w:val="FootnoteText"/>
      </w:pPr>
      <w:r>
        <w:rPr>
          <w:rStyle w:val="FootnoteReference"/>
        </w:rPr>
        <w:footnoteRef/>
      </w:r>
      <w:r>
        <w:t xml:space="preserve"> </w:t>
      </w:r>
      <w:r w:rsidRPr="0078494F">
        <w:t xml:space="preserve">Mikal Gilmore, </w:t>
      </w:r>
      <w:r w:rsidRPr="0078494F">
        <w:rPr>
          <w:i/>
          <w:iCs/>
        </w:rPr>
        <w:t>The Life and Times of Bob Marley</w:t>
      </w:r>
      <w:r w:rsidRPr="0078494F">
        <w:t xml:space="preserve"> (2020) &lt;https://www.rollingstone.com/music/music-news/the-life-and-times-of-bob-marley-78392/&gt; [accessed 29 January 2020].</w:t>
      </w:r>
    </w:p>
  </w:footnote>
  <w:footnote w:id="6">
    <w:p w14:paraId="75E96C81" w14:textId="77777777" w:rsidR="000354D2" w:rsidRDefault="000354D2" w:rsidP="000354D2">
      <w:pPr>
        <w:pStyle w:val="FootnoteText"/>
      </w:pPr>
      <w:r>
        <w:rPr>
          <w:rStyle w:val="FootnoteReference"/>
        </w:rPr>
        <w:footnoteRef/>
      </w:r>
      <w:r>
        <w:t xml:space="preserve"> </w:t>
      </w:r>
      <w:r w:rsidRPr="00CB5D54">
        <w:t xml:space="preserve">Paul Gilroy, </w:t>
      </w:r>
      <w:r w:rsidRPr="00CB5D54">
        <w:rPr>
          <w:i/>
          <w:iCs/>
        </w:rPr>
        <w:t>The Black Atlantic: Modernity and Double Consciousness</w:t>
      </w:r>
      <w:r w:rsidRPr="00CB5D54">
        <w:t xml:space="preserve"> </w:t>
      </w:r>
      <w:r>
        <w:t xml:space="preserve">[1993] </w:t>
      </w:r>
      <w:r w:rsidRPr="00CB5D54">
        <w:t>(London: Verso, 2002), p. 102.</w:t>
      </w:r>
    </w:p>
  </w:footnote>
  <w:footnote w:id="7">
    <w:p w14:paraId="16F491E5" w14:textId="77777777" w:rsidR="000354D2" w:rsidRPr="00672AC8" w:rsidRDefault="000354D2" w:rsidP="000354D2">
      <w:pPr>
        <w:pStyle w:val="FootnoteText"/>
      </w:pPr>
      <w:r>
        <w:rPr>
          <w:rStyle w:val="FootnoteReference"/>
        </w:rPr>
        <w:footnoteRef/>
      </w:r>
      <w:r>
        <w:t xml:space="preserve"> </w:t>
      </w:r>
      <w:bookmarkStart w:id="0" w:name="_Hlk31286546"/>
      <w:r>
        <w:t xml:space="preserve">The Wailers, “Simmer Down”, </w:t>
      </w:r>
      <w:r>
        <w:rPr>
          <w:i/>
          <w:iCs/>
        </w:rPr>
        <w:t xml:space="preserve">The Wailing Wailers </w:t>
      </w:r>
      <w:r>
        <w:t>(Kingston, JM: Studio One, 1965).</w:t>
      </w:r>
      <w:bookmarkEnd w:id="0"/>
    </w:p>
  </w:footnote>
  <w:footnote w:id="8">
    <w:p w14:paraId="3F8DA993" w14:textId="77777777" w:rsidR="000354D2" w:rsidRDefault="000354D2" w:rsidP="000354D2">
      <w:pPr>
        <w:pStyle w:val="FootnoteText"/>
      </w:pPr>
      <w:r>
        <w:rPr>
          <w:rStyle w:val="FootnoteReference"/>
        </w:rPr>
        <w:footnoteRef/>
      </w:r>
      <w:r>
        <w:t xml:space="preserve"> </w:t>
      </w:r>
      <w:r w:rsidRPr="0023254D">
        <w:t xml:space="preserve">Michael Keith Honey, </w:t>
      </w:r>
      <w:r w:rsidRPr="0023254D">
        <w:rPr>
          <w:i/>
          <w:iCs/>
        </w:rPr>
        <w:t>Black Workers Remember: An Oral History of Segregation, Unionism, and the Freedom Struggle</w:t>
      </w:r>
      <w:r w:rsidRPr="0023254D">
        <w:t xml:space="preserve"> (Berkley, CA: University of California Press, 2002), p. 129.</w:t>
      </w:r>
    </w:p>
  </w:footnote>
  <w:footnote w:id="9">
    <w:p w14:paraId="38AF4CC3" w14:textId="77777777" w:rsidR="000354D2" w:rsidRDefault="000354D2" w:rsidP="000354D2">
      <w:pPr>
        <w:pStyle w:val="FootnoteText"/>
      </w:pPr>
      <w:r>
        <w:rPr>
          <w:rStyle w:val="FootnoteReference"/>
        </w:rPr>
        <w:footnoteRef/>
      </w:r>
      <w:r>
        <w:t xml:space="preserve"> </w:t>
      </w:r>
      <w:r w:rsidRPr="00A70889">
        <w:t xml:space="preserve">D. A. Dunkley, 'The Politics of Repatriation and the First Rastafari, 1932–1940', </w:t>
      </w:r>
      <w:r w:rsidRPr="00A70889">
        <w:rPr>
          <w:i/>
          <w:iCs/>
        </w:rPr>
        <w:t>Grappling with Blackness</w:t>
      </w:r>
      <w:r w:rsidRPr="00A70889">
        <w:t xml:space="preserve">, 20.2, (2018), </w:t>
      </w:r>
      <w:r>
        <w:t xml:space="preserve">p. </w:t>
      </w:r>
      <w:r w:rsidRPr="00A70889">
        <w:t xml:space="preserve">178. </w:t>
      </w:r>
    </w:p>
  </w:footnote>
  <w:footnote w:id="10">
    <w:p w14:paraId="38209EF2" w14:textId="77777777" w:rsidR="000354D2" w:rsidRPr="00A918D1" w:rsidRDefault="000354D2" w:rsidP="000354D2">
      <w:pPr>
        <w:pStyle w:val="FootnoteText"/>
      </w:pPr>
      <w:r>
        <w:rPr>
          <w:rStyle w:val="FootnoteReference"/>
        </w:rPr>
        <w:footnoteRef/>
      </w:r>
      <w:r>
        <w:t xml:space="preserve"> Bob Marley and the Wailers, “War”, </w:t>
      </w:r>
      <w:proofErr w:type="spellStart"/>
      <w:r>
        <w:rPr>
          <w:i/>
          <w:iCs/>
        </w:rPr>
        <w:t>Rastaman</w:t>
      </w:r>
      <w:proofErr w:type="spellEnd"/>
      <w:r>
        <w:rPr>
          <w:i/>
          <w:iCs/>
        </w:rPr>
        <w:t xml:space="preserve"> Vibration </w:t>
      </w:r>
      <w:r>
        <w:t>(London: Island, 1976).</w:t>
      </w:r>
    </w:p>
  </w:footnote>
  <w:footnote w:id="11">
    <w:p w14:paraId="567E760A" w14:textId="77777777" w:rsidR="000354D2" w:rsidRPr="00C9381B" w:rsidRDefault="000354D2" w:rsidP="000354D2">
      <w:pPr>
        <w:pStyle w:val="FootnoteText"/>
      </w:pPr>
      <w:r>
        <w:rPr>
          <w:rStyle w:val="FootnoteReference"/>
        </w:rPr>
        <w:footnoteRef/>
      </w:r>
      <w:r>
        <w:t xml:space="preserve"> Bob Marley and the Wailers, “I Shot the Sheriff”</w:t>
      </w:r>
      <w:r w:rsidRPr="00F5350E">
        <w:t>,</w:t>
      </w:r>
      <w:r>
        <w:t xml:space="preserve"> </w:t>
      </w:r>
      <w:proofErr w:type="spellStart"/>
      <w:r>
        <w:rPr>
          <w:i/>
          <w:iCs/>
        </w:rPr>
        <w:t>Burnin</w:t>
      </w:r>
      <w:proofErr w:type="spellEnd"/>
      <w:r>
        <w:rPr>
          <w:i/>
          <w:iCs/>
        </w:rPr>
        <w:t>’</w:t>
      </w:r>
      <w:r w:rsidR="005F745B">
        <w:t xml:space="preserve"> </w:t>
      </w:r>
      <w:r>
        <w:t>(Kingston, JM: Island, 1973).</w:t>
      </w:r>
    </w:p>
  </w:footnote>
  <w:footnote w:id="12">
    <w:p w14:paraId="4C834C74" w14:textId="77777777" w:rsidR="005F745B" w:rsidRPr="005F745B" w:rsidRDefault="005F745B">
      <w:pPr>
        <w:pStyle w:val="FootnoteText"/>
      </w:pPr>
      <w:r>
        <w:rPr>
          <w:rStyle w:val="FootnoteReference"/>
        </w:rPr>
        <w:footnoteRef/>
      </w:r>
      <w:r>
        <w:t xml:space="preserve"> Bob Marley and the Wailers, “Redemption Song”, </w:t>
      </w:r>
      <w:r>
        <w:rPr>
          <w:i/>
          <w:iCs/>
        </w:rPr>
        <w:t xml:space="preserve">Uprising </w:t>
      </w:r>
      <w:r>
        <w:t>(Kingston, JM: Island, 1980).</w:t>
      </w:r>
    </w:p>
  </w:footnote>
  <w:footnote w:id="13">
    <w:p w14:paraId="0704E1F5" w14:textId="77777777" w:rsidR="00E40D6C" w:rsidRPr="00E40D6C" w:rsidRDefault="00E40D6C" w:rsidP="00E40D6C">
      <w:pPr>
        <w:pStyle w:val="FootnoteText"/>
      </w:pPr>
      <w:r>
        <w:rPr>
          <w:rStyle w:val="FootnoteReference"/>
        </w:rPr>
        <w:footnoteRef/>
      </w:r>
      <w:r>
        <w:t xml:space="preserve"> </w:t>
      </w:r>
      <w:r w:rsidRPr="00E40D6C">
        <w:t xml:space="preserve">Paul Buchanan, </w:t>
      </w:r>
      <w:r w:rsidRPr="00E40D6C">
        <w:rPr>
          <w:i/>
          <w:iCs/>
        </w:rPr>
        <w:t>Bob Marley's Legacy</w:t>
      </w:r>
      <w:r w:rsidRPr="00E40D6C">
        <w:t xml:space="preserve"> (2020) &lt;http://www.jamaicaobserver.com/news/bob-marley-8217-s-legacy_104314?profile=1096&gt; [accessed 2 February 2020].</w:t>
      </w:r>
    </w:p>
    <w:p w14:paraId="77EF9810" w14:textId="615D327E" w:rsidR="00E40D6C" w:rsidRDefault="00E40D6C">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4D2"/>
    <w:rsid w:val="000354D2"/>
    <w:rsid w:val="00054B22"/>
    <w:rsid w:val="000B259C"/>
    <w:rsid w:val="00115415"/>
    <w:rsid w:val="0012491E"/>
    <w:rsid w:val="002864D6"/>
    <w:rsid w:val="002C638A"/>
    <w:rsid w:val="00355BA0"/>
    <w:rsid w:val="004A6BA4"/>
    <w:rsid w:val="005F745B"/>
    <w:rsid w:val="0076568C"/>
    <w:rsid w:val="00A90E15"/>
    <w:rsid w:val="00AD4E35"/>
    <w:rsid w:val="00AD6354"/>
    <w:rsid w:val="00CB300E"/>
    <w:rsid w:val="00D34F61"/>
    <w:rsid w:val="00DE74B0"/>
    <w:rsid w:val="00E40D6C"/>
    <w:rsid w:val="00E4612F"/>
    <w:rsid w:val="00F75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691BD"/>
  <w15:chartTrackingRefBased/>
  <w15:docId w15:val="{BA6BBD09-C31C-4418-B801-34AA2F9F6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354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54D2"/>
    <w:rPr>
      <w:sz w:val="20"/>
      <w:szCs w:val="20"/>
    </w:rPr>
  </w:style>
  <w:style w:type="character" w:styleId="FootnoteReference">
    <w:name w:val="footnote reference"/>
    <w:basedOn w:val="DefaultParagraphFont"/>
    <w:uiPriority w:val="99"/>
    <w:semiHidden/>
    <w:unhideWhenUsed/>
    <w:rsid w:val="000354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62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9318449-5844-4D66-BDC0-70E1D07E7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2194</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Griffiths</dc:creator>
  <cp:keywords/>
  <dc:description/>
  <cp:lastModifiedBy>Chris Griffiths</cp:lastModifiedBy>
  <cp:revision>19</cp:revision>
  <dcterms:created xsi:type="dcterms:W3CDTF">2020-02-02T12:35:00Z</dcterms:created>
  <dcterms:modified xsi:type="dcterms:W3CDTF">2020-02-02T19:50:00Z</dcterms:modified>
</cp:coreProperties>
</file>