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044B" w:rsidRPr="00A85BFE" w:rsidRDefault="00B9044B" w:rsidP="00B9044B">
      <w:pPr>
        <w:pStyle w:val="Header"/>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5E77BE24" wp14:editId="32C6410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E61D43">
        <w:rPr>
          <w:rFonts w:ascii="Arial" w:hAnsi="Arial" w:cs="Arial"/>
          <w:b/>
          <w:sz w:val="28"/>
          <w:szCs w:val="28"/>
        </w:rPr>
        <w:t>GA36d</w:t>
      </w:r>
    </w:p>
    <w:p w:rsidR="00B9044B" w:rsidRPr="00A406E5" w:rsidRDefault="00B9044B" w:rsidP="00B9044B">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B9044B" w:rsidRPr="00A406E5" w:rsidTr="001005F4">
        <w:tc>
          <w:tcPr>
            <w:tcW w:w="9922" w:type="dxa"/>
            <w:shd w:val="clear" w:color="auto" w:fill="C0C0C0"/>
          </w:tcPr>
          <w:p w:rsidR="00B9044B" w:rsidRPr="00A406E5" w:rsidRDefault="00B9044B" w:rsidP="001005F4">
            <w:pPr>
              <w:pStyle w:val="Heading4"/>
              <w:rPr>
                <w:rFonts w:ascii="Arial" w:hAnsi="Arial" w:cs="Arial"/>
                <w:b/>
              </w:rPr>
            </w:pPr>
            <w:r>
              <w:rPr>
                <w:rFonts w:ascii="Arial" w:hAnsi="Arial" w:cs="Arial"/>
                <w:b/>
              </w:rPr>
              <w:t>LEVEL 7</w:t>
            </w:r>
            <w:r w:rsidRPr="00A406E5">
              <w:rPr>
                <w:rFonts w:ascii="Arial" w:hAnsi="Arial" w:cs="Arial"/>
                <w:b/>
              </w:rPr>
              <w:t xml:space="preserve"> ASSESSMENT SPECIFICATION </w:t>
            </w:r>
          </w:p>
        </w:tc>
      </w:tr>
    </w:tbl>
    <w:p w:rsidR="00B9044B" w:rsidRPr="00A406E5" w:rsidRDefault="00B9044B" w:rsidP="00B9044B">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B9044B" w:rsidRPr="00A406E5" w:rsidTr="001005F4">
        <w:tc>
          <w:tcPr>
            <w:tcW w:w="2093" w:type="dxa"/>
            <w:shd w:val="pct15" w:color="auto" w:fill="auto"/>
          </w:tcPr>
          <w:p w:rsidR="00B9044B" w:rsidRPr="00A406E5" w:rsidRDefault="00B9044B" w:rsidP="001005F4">
            <w:pPr>
              <w:spacing w:before="120" w:after="120"/>
              <w:jc w:val="both"/>
              <w:rPr>
                <w:rFonts w:ascii="Arial" w:hAnsi="Arial" w:cs="Arial"/>
                <w:b/>
              </w:rPr>
            </w:pPr>
            <w:r w:rsidRPr="00A406E5">
              <w:rPr>
                <w:rFonts w:ascii="Arial" w:hAnsi="Arial" w:cs="Arial"/>
                <w:b/>
              </w:rPr>
              <w:t>Student name:</w:t>
            </w:r>
          </w:p>
        </w:tc>
        <w:tc>
          <w:tcPr>
            <w:tcW w:w="3293" w:type="dxa"/>
          </w:tcPr>
          <w:p w:rsidR="00B9044B" w:rsidRPr="00A406E5" w:rsidRDefault="00B9044B" w:rsidP="001005F4">
            <w:pPr>
              <w:spacing w:before="120" w:after="120"/>
              <w:jc w:val="both"/>
              <w:rPr>
                <w:rFonts w:ascii="Arial" w:hAnsi="Arial" w:cs="Arial"/>
                <w:b/>
              </w:rPr>
            </w:pPr>
            <w:r w:rsidRPr="00A406E5">
              <w:rPr>
                <w:rFonts w:ascii="Arial" w:hAnsi="Arial" w:cs="Arial"/>
                <w:b/>
              </w:rPr>
              <w:fldChar w:fldCharType="begin">
                <w:ffData>
                  <w:name w:val="Text2"/>
                  <w:enabled/>
                  <w:calcOnExit w:val="0"/>
                  <w:textInput/>
                </w:ffData>
              </w:fldChar>
            </w:r>
            <w:r w:rsidRPr="00A406E5">
              <w:rPr>
                <w:rFonts w:ascii="Arial" w:hAnsi="Arial" w:cs="Arial"/>
                <w:b/>
              </w:rPr>
              <w:instrText xml:space="preserve"> FORMTEXT </w:instrText>
            </w:r>
            <w:r w:rsidRPr="00A406E5">
              <w:rPr>
                <w:rFonts w:ascii="Arial" w:hAnsi="Arial" w:cs="Arial"/>
                <w:b/>
              </w:rPr>
            </w:r>
            <w:r w:rsidRPr="00A406E5">
              <w:rPr>
                <w:rFonts w:ascii="Arial" w:hAnsi="Arial" w:cs="Arial"/>
                <w:b/>
              </w:rPr>
              <w:fldChar w:fldCharType="separate"/>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rPr>
              <w:fldChar w:fldCharType="end"/>
            </w:r>
            <w:r>
              <w:rPr>
                <w:rFonts w:ascii="Arial" w:hAnsi="Arial" w:cs="Arial"/>
                <w:b/>
              </w:rPr>
              <w:t xml:space="preserve">Leonie Barnett </w:t>
            </w:r>
          </w:p>
        </w:tc>
        <w:tc>
          <w:tcPr>
            <w:tcW w:w="2268" w:type="dxa"/>
            <w:shd w:val="clear" w:color="auto" w:fill="D9D9D9"/>
          </w:tcPr>
          <w:p w:rsidR="00B9044B" w:rsidRPr="00A406E5" w:rsidRDefault="00B9044B" w:rsidP="001005F4">
            <w:pPr>
              <w:spacing w:before="120" w:after="120"/>
              <w:jc w:val="both"/>
              <w:rPr>
                <w:rFonts w:ascii="Arial" w:hAnsi="Arial" w:cs="Arial"/>
                <w:b/>
              </w:rPr>
            </w:pPr>
            <w:r w:rsidRPr="00A406E5">
              <w:rPr>
                <w:rFonts w:ascii="Arial" w:hAnsi="Arial" w:cs="Arial"/>
                <w:b/>
              </w:rPr>
              <w:t>Student ID number:</w:t>
            </w:r>
          </w:p>
        </w:tc>
        <w:tc>
          <w:tcPr>
            <w:tcW w:w="2268" w:type="dxa"/>
          </w:tcPr>
          <w:p w:rsidR="00B9044B" w:rsidRPr="00A406E5" w:rsidRDefault="00B9044B" w:rsidP="001005F4">
            <w:pPr>
              <w:spacing w:before="120" w:after="120"/>
              <w:jc w:val="both"/>
              <w:rPr>
                <w:rFonts w:ascii="Arial" w:hAnsi="Arial" w:cs="Arial"/>
                <w:b/>
              </w:rPr>
            </w:pPr>
            <w:r>
              <w:rPr>
                <w:rFonts w:ascii="Arial" w:hAnsi="Arial" w:cs="Arial"/>
                <w:b/>
              </w:rPr>
              <w:t>1805147</w:t>
            </w:r>
          </w:p>
        </w:tc>
      </w:tr>
      <w:tr w:rsidR="00B9044B" w:rsidRPr="00A406E5" w:rsidTr="001005F4">
        <w:tc>
          <w:tcPr>
            <w:tcW w:w="2093" w:type="dxa"/>
            <w:shd w:val="pct15" w:color="auto" w:fill="auto"/>
          </w:tcPr>
          <w:p w:rsidR="00B9044B" w:rsidRPr="00A406E5" w:rsidRDefault="00B9044B" w:rsidP="001005F4">
            <w:pPr>
              <w:spacing w:before="120" w:after="120"/>
              <w:jc w:val="both"/>
              <w:rPr>
                <w:rFonts w:ascii="Arial" w:hAnsi="Arial" w:cs="Arial"/>
                <w:b/>
              </w:rPr>
            </w:pPr>
            <w:r w:rsidRPr="00A406E5">
              <w:rPr>
                <w:rFonts w:ascii="Arial" w:hAnsi="Arial" w:cs="Arial"/>
                <w:b/>
              </w:rPr>
              <w:t>Programme:</w:t>
            </w:r>
          </w:p>
        </w:tc>
        <w:tc>
          <w:tcPr>
            <w:tcW w:w="7829" w:type="dxa"/>
            <w:gridSpan w:val="3"/>
          </w:tcPr>
          <w:p w:rsidR="00B9044B" w:rsidRPr="00A406E5" w:rsidRDefault="00B9044B" w:rsidP="001005F4">
            <w:pPr>
              <w:spacing w:before="120" w:after="120"/>
              <w:jc w:val="both"/>
              <w:rPr>
                <w:rFonts w:ascii="Arial" w:hAnsi="Arial" w:cs="Arial"/>
                <w:b/>
              </w:rPr>
            </w:pPr>
            <w:r>
              <w:rPr>
                <w:rFonts w:ascii="Arial" w:hAnsi="Arial" w:cs="Arial"/>
                <w:b/>
              </w:rPr>
              <w:t>Secondary PGCE</w:t>
            </w:r>
          </w:p>
        </w:tc>
      </w:tr>
      <w:tr w:rsidR="00B9044B" w:rsidRPr="00A406E5" w:rsidTr="001005F4">
        <w:tc>
          <w:tcPr>
            <w:tcW w:w="2093" w:type="dxa"/>
            <w:shd w:val="pct15" w:color="auto" w:fill="auto"/>
          </w:tcPr>
          <w:p w:rsidR="00B9044B" w:rsidRPr="00A406E5" w:rsidRDefault="00B9044B" w:rsidP="001005F4">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rsidR="00B9044B" w:rsidRPr="00003938" w:rsidRDefault="00B9044B" w:rsidP="001005F4">
            <w:pPr>
              <w:spacing w:before="100" w:beforeAutospacing="1" w:after="100" w:afterAutospacing="1"/>
            </w:pPr>
            <w:r>
              <w:rPr>
                <w:rFonts w:ascii="Arial" w:hAnsi="Arial" w:cs="Arial"/>
                <w:b/>
                <w:bCs/>
              </w:rPr>
              <w:t>Investigating Contemporary Issues in Secondary Education</w:t>
            </w:r>
          </w:p>
        </w:tc>
      </w:tr>
      <w:tr w:rsidR="00B9044B" w:rsidRPr="00A406E5" w:rsidTr="001005F4">
        <w:tc>
          <w:tcPr>
            <w:tcW w:w="2093" w:type="dxa"/>
            <w:shd w:val="pct15" w:color="auto" w:fill="auto"/>
          </w:tcPr>
          <w:p w:rsidR="00B9044B" w:rsidRPr="00A406E5" w:rsidRDefault="00B9044B" w:rsidP="001005F4">
            <w:pPr>
              <w:spacing w:before="120" w:after="120"/>
              <w:jc w:val="both"/>
              <w:rPr>
                <w:rFonts w:ascii="Arial" w:hAnsi="Arial" w:cs="Arial"/>
                <w:b/>
              </w:rPr>
            </w:pPr>
            <w:r w:rsidRPr="00A406E5">
              <w:rPr>
                <w:rFonts w:ascii="Arial" w:hAnsi="Arial" w:cs="Arial"/>
                <w:b/>
              </w:rPr>
              <w:t>Module code:</w:t>
            </w:r>
          </w:p>
        </w:tc>
        <w:tc>
          <w:tcPr>
            <w:tcW w:w="3293" w:type="dxa"/>
          </w:tcPr>
          <w:p w:rsidR="00B9044B" w:rsidRPr="00A406E5" w:rsidRDefault="00B9044B" w:rsidP="001005F4">
            <w:pPr>
              <w:spacing w:before="120" w:after="120"/>
              <w:jc w:val="both"/>
              <w:rPr>
                <w:rFonts w:ascii="Arial" w:hAnsi="Arial" w:cs="Arial"/>
                <w:b/>
              </w:rPr>
            </w:pPr>
            <w:r>
              <w:rPr>
                <w:rFonts w:ascii="Arial" w:hAnsi="Arial" w:cs="Arial"/>
                <w:b/>
              </w:rPr>
              <w:t>ECSP7001</w:t>
            </w:r>
          </w:p>
        </w:tc>
        <w:tc>
          <w:tcPr>
            <w:tcW w:w="2268" w:type="dxa"/>
            <w:shd w:val="clear" w:color="auto" w:fill="D9D9D9"/>
          </w:tcPr>
          <w:p w:rsidR="00B9044B" w:rsidRPr="004D5E9B" w:rsidRDefault="00B9044B" w:rsidP="001005F4">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9044B" w:rsidRPr="00A406E5" w:rsidRDefault="00B9044B" w:rsidP="001005F4">
            <w:pPr>
              <w:spacing w:before="120" w:after="120"/>
              <w:jc w:val="both"/>
              <w:rPr>
                <w:rFonts w:ascii="Arial" w:hAnsi="Arial" w:cs="Arial"/>
                <w:b/>
              </w:rPr>
            </w:pPr>
            <w:r>
              <w:rPr>
                <w:rFonts w:ascii="Arial" w:hAnsi="Arial" w:cs="Arial"/>
                <w:b/>
              </w:rPr>
              <w:t>100%</w:t>
            </w:r>
          </w:p>
        </w:tc>
      </w:tr>
      <w:tr w:rsidR="00B9044B" w:rsidRPr="00A406E5" w:rsidTr="001005F4">
        <w:tc>
          <w:tcPr>
            <w:tcW w:w="2093" w:type="dxa"/>
            <w:shd w:val="pct15" w:color="auto" w:fill="auto"/>
          </w:tcPr>
          <w:p w:rsidR="00B9044B" w:rsidRPr="00A406E5" w:rsidRDefault="00B9044B" w:rsidP="001005F4">
            <w:pPr>
              <w:spacing w:before="120" w:after="120"/>
              <w:jc w:val="both"/>
              <w:rPr>
                <w:rFonts w:ascii="Arial" w:hAnsi="Arial" w:cs="Arial"/>
                <w:b/>
              </w:rPr>
            </w:pPr>
            <w:r w:rsidRPr="00A406E5">
              <w:rPr>
                <w:rFonts w:ascii="Arial" w:hAnsi="Arial" w:cs="Arial"/>
                <w:b/>
              </w:rPr>
              <w:t>Lecturer:</w:t>
            </w:r>
          </w:p>
        </w:tc>
        <w:tc>
          <w:tcPr>
            <w:tcW w:w="3293" w:type="dxa"/>
          </w:tcPr>
          <w:p w:rsidR="00B9044B" w:rsidRPr="00A406E5" w:rsidRDefault="00B9044B" w:rsidP="001005F4">
            <w:pPr>
              <w:spacing w:before="120" w:after="120"/>
              <w:jc w:val="both"/>
              <w:rPr>
                <w:rFonts w:ascii="Arial" w:hAnsi="Arial" w:cs="Arial"/>
                <w:b/>
              </w:rPr>
            </w:pPr>
            <w:proofErr w:type="spellStart"/>
            <w:r>
              <w:rPr>
                <w:rFonts w:ascii="Arial" w:hAnsi="Arial" w:cs="Arial"/>
                <w:b/>
              </w:rPr>
              <w:t>Shân</w:t>
            </w:r>
            <w:proofErr w:type="spellEnd"/>
            <w:r>
              <w:rPr>
                <w:rFonts w:ascii="Arial" w:hAnsi="Arial" w:cs="Arial"/>
                <w:b/>
              </w:rPr>
              <w:t xml:space="preserve"> Samuel-Thomas</w:t>
            </w:r>
          </w:p>
        </w:tc>
        <w:tc>
          <w:tcPr>
            <w:tcW w:w="2268" w:type="dxa"/>
            <w:shd w:val="clear" w:color="auto" w:fill="D9D9D9"/>
          </w:tcPr>
          <w:p w:rsidR="00B9044B" w:rsidRPr="00A406E5" w:rsidRDefault="00B9044B" w:rsidP="001005F4">
            <w:pPr>
              <w:spacing w:before="120" w:after="120"/>
              <w:jc w:val="both"/>
              <w:rPr>
                <w:rFonts w:ascii="Arial" w:hAnsi="Arial" w:cs="Arial"/>
                <w:b/>
              </w:rPr>
            </w:pPr>
            <w:r w:rsidRPr="00A406E5">
              <w:rPr>
                <w:rFonts w:ascii="Arial" w:hAnsi="Arial" w:cs="Arial"/>
                <w:b/>
              </w:rPr>
              <w:t>Internal Verifier:</w:t>
            </w:r>
          </w:p>
        </w:tc>
        <w:tc>
          <w:tcPr>
            <w:tcW w:w="2268" w:type="dxa"/>
          </w:tcPr>
          <w:p w:rsidR="00B9044B" w:rsidRPr="00A406E5" w:rsidRDefault="00B9044B" w:rsidP="001005F4">
            <w:pPr>
              <w:spacing w:before="120" w:after="120"/>
              <w:jc w:val="both"/>
              <w:rPr>
                <w:rFonts w:ascii="Arial" w:hAnsi="Arial" w:cs="Arial"/>
                <w:b/>
              </w:rPr>
            </w:pPr>
          </w:p>
        </w:tc>
      </w:tr>
      <w:tr w:rsidR="00B9044B" w:rsidRPr="00A406E5" w:rsidTr="001005F4">
        <w:tc>
          <w:tcPr>
            <w:tcW w:w="2093" w:type="dxa"/>
            <w:shd w:val="pct15" w:color="auto" w:fill="auto"/>
          </w:tcPr>
          <w:p w:rsidR="00B9044B" w:rsidRPr="00A406E5" w:rsidRDefault="00B9044B" w:rsidP="001005F4">
            <w:pPr>
              <w:spacing w:before="120" w:after="120"/>
              <w:jc w:val="both"/>
              <w:rPr>
                <w:rFonts w:ascii="Arial" w:hAnsi="Arial" w:cs="Arial"/>
                <w:b/>
              </w:rPr>
            </w:pPr>
            <w:r w:rsidRPr="00A406E5">
              <w:rPr>
                <w:rFonts w:ascii="Arial" w:hAnsi="Arial" w:cs="Arial"/>
                <w:b/>
              </w:rPr>
              <w:t>Assignment Title:</w:t>
            </w:r>
          </w:p>
        </w:tc>
        <w:tc>
          <w:tcPr>
            <w:tcW w:w="3293" w:type="dxa"/>
          </w:tcPr>
          <w:p w:rsidR="00B9044B" w:rsidRDefault="00B9044B" w:rsidP="001005F4">
            <w:pPr>
              <w:spacing w:before="100" w:beforeAutospacing="1" w:after="100" w:afterAutospacing="1"/>
            </w:pPr>
            <w:r>
              <w:rPr>
                <w:rFonts w:ascii="Arial" w:hAnsi="Arial" w:cs="Arial"/>
                <w:b/>
                <w:bCs/>
              </w:rPr>
              <w:t>Investigating Contemporary Issues in Secondary Education</w:t>
            </w:r>
          </w:p>
          <w:p w:rsidR="00B9044B" w:rsidRPr="00A406E5" w:rsidRDefault="00B9044B" w:rsidP="001005F4">
            <w:pPr>
              <w:spacing w:before="120" w:after="120"/>
              <w:jc w:val="both"/>
              <w:rPr>
                <w:rFonts w:ascii="Arial" w:hAnsi="Arial" w:cs="Arial"/>
                <w:b/>
              </w:rPr>
            </w:pPr>
          </w:p>
        </w:tc>
        <w:tc>
          <w:tcPr>
            <w:tcW w:w="2268" w:type="dxa"/>
            <w:shd w:val="pct15" w:color="auto" w:fill="auto"/>
          </w:tcPr>
          <w:p w:rsidR="00B9044B" w:rsidRPr="00A406E5" w:rsidRDefault="00B9044B" w:rsidP="001005F4">
            <w:pPr>
              <w:spacing w:before="120" w:after="120"/>
              <w:jc w:val="both"/>
              <w:rPr>
                <w:rFonts w:ascii="Arial" w:hAnsi="Arial" w:cs="Arial"/>
                <w:b/>
              </w:rPr>
            </w:pPr>
            <w:r>
              <w:rPr>
                <w:rFonts w:ascii="Arial" w:hAnsi="Arial" w:cs="Arial"/>
                <w:b/>
              </w:rPr>
              <w:t>Word count (or equivalent):</w:t>
            </w:r>
          </w:p>
        </w:tc>
        <w:tc>
          <w:tcPr>
            <w:tcW w:w="2268" w:type="dxa"/>
          </w:tcPr>
          <w:p w:rsidR="00B9044B" w:rsidRPr="00A406E5" w:rsidRDefault="00B9044B" w:rsidP="001005F4">
            <w:pPr>
              <w:spacing w:before="120" w:after="120"/>
              <w:jc w:val="both"/>
              <w:rPr>
                <w:rFonts w:ascii="Arial" w:hAnsi="Arial" w:cs="Arial"/>
                <w:b/>
              </w:rPr>
            </w:pPr>
            <w:r>
              <w:rPr>
                <w:rFonts w:ascii="Arial" w:hAnsi="Arial" w:cs="Arial"/>
                <w:b/>
              </w:rPr>
              <w:t>5,000 words</w:t>
            </w:r>
          </w:p>
        </w:tc>
      </w:tr>
      <w:tr w:rsidR="00B9044B" w:rsidRPr="00A406E5" w:rsidTr="001005F4">
        <w:tc>
          <w:tcPr>
            <w:tcW w:w="2093" w:type="dxa"/>
            <w:shd w:val="pct15" w:color="auto" w:fill="auto"/>
          </w:tcPr>
          <w:p w:rsidR="00B9044B" w:rsidRPr="00A406E5" w:rsidRDefault="00B9044B" w:rsidP="001005F4">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rsidR="00B9044B" w:rsidRDefault="00B9044B" w:rsidP="001005F4">
            <w:pPr>
              <w:spacing w:before="120" w:after="120"/>
              <w:jc w:val="both"/>
              <w:rPr>
                <w:rFonts w:ascii="Arial" w:hAnsi="Arial" w:cs="Arial"/>
                <w:b/>
              </w:rPr>
            </w:pPr>
            <w:r>
              <w:rPr>
                <w:rFonts w:ascii="Arial" w:hAnsi="Arial" w:cs="Arial"/>
                <w:b/>
              </w:rPr>
              <w:t>January 28th 2019</w:t>
            </w:r>
          </w:p>
          <w:p w:rsidR="00B9044B" w:rsidRPr="00A406E5" w:rsidRDefault="00B9044B" w:rsidP="001005F4">
            <w:pPr>
              <w:spacing w:before="120" w:after="120"/>
              <w:jc w:val="both"/>
              <w:rPr>
                <w:rFonts w:ascii="Arial" w:hAnsi="Arial" w:cs="Arial"/>
                <w:b/>
              </w:rPr>
            </w:pPr>
          </w:p>
        </w:tc>
        <w:tc>
          <w:tcPr>
            <w:tcW w:w="2268" w:type="dxa"/>
            <w:shd w:val="pct15" w:color="auto" w:fill="auto"/>
          </w:tcPr>
          <w:p w:rsidR="00B9044B" w:rsidRPr="00A406E5" w:rsidRDefault="00B9044B" w:rsidP="001005F4">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rsidR="00B9044B" w:rsidRDefault="00B9044B" w:rsidP="001005F4">
            <w:pPr>
              <w:spacing w:before="120" w:after="120"/>
              <w:jc w:val="both"/>
              <w:rPr>
                <w:rFonts w:ascii="Arial" w:hAnsi="Arial" w:cs="Arial"/>
                <w:b/>
              </w:rPr>
            </w:pPr>
            <w:r>
              <w:rPr>
                <w:rFonts w:ascii="Arial" w:hAnsi="Arial" w:cs="Arial"/>
                <w:b/>
              </w:rPr>
              <w:t>February 19th 2019</w:t>
            </w:r>
          </w:p>
          <w:p w:rsidR="00B9044B" w:rsidRPr="00A406E5" w:rsidRDefault="00B9044B" w:rsidP="001005F4">
            <w:pPr>
              <w:spacing w:before="120" w:after="120"/>
              <w:jc w:val="both"/>
              <w:rPr>
                <w:rFonts w:ascii="Arial" w:hAnsi="Arial" w:cs="Arial"/>
                <w:b/>
              </w:rPr>
            </w:pPr>
          </w:p>
        </w:tc>
      </w:tr>
      <w:tr w:rsidR="00B9044B" w:rsidRPr="00A406E5" w:rsidTr="001005F4">
        <w:tc>
          <w:tcPr>
            <w:tcW w:w="2093" w:type="dxa"/>
            <w:shd w:val="pct15" w:color="auto" w:fill="auto"/>
          </w:tcPr>
          <w:p w:rsidR="00B9044B" w:rsidRPr="00A406E5" w:rsidRDefault="00B9044B" w:rsidP="001005F4">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rsidR="00B9044B" w:rsidRPr="00A406E5" w:rsidRDefault="00B9044B" w:rsidP="001005F4">
            <w:pPr>
              <w:rPr>
                <w:rFonts w:ascii="Arial" w:hAnsi="Arial" w:cs="Arial"/>
              </w:rPr>
            </w:pPr>
            <w:r w:rsidRPr="00A406E5">
              <w:rPr>
                <w:rFonts w:ascii="Arial" w:hAnsi="Arial" w:cs="Arial"/>
              </w:rPr>
              <w:t xml:space="preserve">All written assessments, where practical and possible, must be submitted via </w:t>
            </w:r>
            <w:proofErr w:type="spellStart"/>
            <w:r w:rsidRPr="00A406E5">
              <w:rPr>
                <w:rFonts w:ascii="Arial" w:hAnsi="Arial" w:cs="Arial"/>
              </w:rPr>
              <w:t>Turnitin</w:t>
            </w:r>
            <w:proofErr w:type="spellEnd"/>
            <w:r w:rsidRPr="00A406E5">
              <w:rPr>
                <w:rFonts w:ascii="Arial" w:hAnsi="Arial" w:cs="Arial"/>
              </w:rPr>
              <w:t xml:space="preserve"> unless otherwise instructed by the Lecturer. (Please DO NOT put this assessment specification into </w:t>
            </w:r>
            <w:proofErr w:type="spellStart"/>
            <w:r w:rsidRPr="00A406E5">
              <w:rPr>
                <w:rFonts w:ascii="Arial" w:hAnsi="Arial" w:cs="Arial"/>
              </w:rPr>
              <w:t>Turnitin</w:t>
            </w:r>
            <w:proofErr w:type="spellEnd"/>
            <w:r w:rsidRPr="00A406E5">
              <w:rPr>
                <w:rFonts w:ascii="Arial" w:hAnsi="Arial" w:cs="Arial"/>
              </w:rPr>
              <w:t xml:space="preserve"> or it will match many similarities with other students’ submissions.)</w:t>
            </w:r>
          </w:p>
          <w:p w:rsidR="00B9044B" w:rsidRPr="00A406E5" w:rsidRDefault="00B9044B" w:rsidP="001005F4">
            <w:pPr>
              <w:spacing w:before="120" w:after="120"/>
              <w:jc w:val="both"/>
              <w:rPr>
                <w:rFonts w:ascii="Arial" w:hAnsi="Arial" w:cs="Arial"/>
                <w:b/>
              </w:rPr>
            </w:pPr>
            <w:r w:rsidRPr="00A406E5">
              <w:rPr>
                <w:rFonts w:ascii="Arial" w:hAnsi="Arial" w:cs="Arial"/>
                <w:b/>
              </w:rPr>
              <w:t xml:space="preserve">Alternative submission method (if applicable): </w:t>
            </w:r>
          </w:p>
          <w:p w:rsidR="00B9044B" w:rsidRPr="00A406E5" w:rsidRDefault="00B9044B" w:rsidP="001005F4">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50%.  Over one week late, 0%</w:t>
            </w:r>
            <w:r w:rsidRPr="00A406E5">
              <w:rPr>
                <w:rFonts w:ascii="Arial" w:hAnsi="Arial" w:cs="Arial"/>
              </w:rPr>
              <w:t>.  Only the Extenuating Circumstances Panel may approve a change to submission dates.</w:t>
            </w:r>
          </w:p>
        </w:tc>
      </w:tr>
      <w:tr w:rsidR="00B9044B" w:rsidRPr="00A406E5" w:rsidTr="001005F4">
        <w:tc>
          <w:tcPr>
            <w:tcW w:w="2093" w:type="dxa"/>
            <w:shd w:val="pct15" w:color="auto" w:fill="auto"/>
          </w:tcPr>
          <w:p w:rsidR="00B9044B" w:rsidRPr="00A406E5" w:rsidRDefault="00B9044B" w:rsidP="001005F4">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rsidR="00B9044B" w:rsidRPr="00A406E5" w:rsidRDefault="00B9044B" w:rsidP="001005F4">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rsidR="00B9044B" w:rsidRDefault="00B9044B"/>
    <w:p w:rsidR="00B9044B" w:rsidRDefault="00B9044B"/>
    <w:p w:rsidR="00964A6D" w:rsidRDefault="006B64DD">
      <w:bookmarkStart w:id="0" w:name="_GoBack"/>
      <w:bookmarkEnd w:id="0"/>
      <w:r>
        <w:lastRenderedPageBreak/>
        <w:t>This essay explores and investigates the importance of literacy within a secondary school’</w:t>
      </w:r>
      <w:r w:rsidR="0099701C">
        <w:t xml:space="preserve">s curriculum. The school used will be fully anonymised throughout the entire essay and in place of its title, named ‘School X’. </w:t>
      </w:r>
      <w:r>
        <w:t>Improving standards in literacy has become increasingly important in Wales over the last decade</w:t>
      </w:r>
      <w:r w:rsidR="00D93B2E">
        <w:t xml:space="preserve"> as </w:t>
      </w:r>
      <w:r w:rsidR="0099701C">
        <w:t xml:space="preserve">Wales consistently obtains low scores or falls below the other nations of the United Kingdom in both national </w:t>
      </w:r>
      <w:r w:rsidR="0099701C" w:rsidRPr="00C246CD">
        <w:rPr>
          <w:color w:val="171717" w:themeColor="background2" w:themeShade="1A"/>
        </w:rPr>
        <w:t xml:space="preserve">and international testing. An example of this being the nation’s </w:t>
      </w:r>
      <w:r w:rsidR="0088625E" w:rsidRPr="00C246CD">
        <w:rPr>
          <w:color w:val="171717" w:themeColor="background2" w:themeShade="1A"/>
        </w:rPr>
        <w:t xml:space="preserve">2015 </w:t>
      </w:r>
      <w:r w:rsidR="0099701C" w:rsidRPr="00C246CD">
        <w:rPr>
          <w:color w:val="171717" w:themeColor="background2" w:themeShade="1A"/>
        </w:rPr>
        <w:t xml:space="preserve">reading </w:t>
      </w:r>
      <w:r w:rsidR="0088625E" w:rsidRPr="00C246CD">
        <w:rPr>
          <w:color w:val="171717" w:themeColor="background2" w:themeShade="1A"/>
        </w:rPr>
        <w:t>scores in the Programme of International Student Assessment [PISA]</w:t>
      </w:r>
      <w:r w:rsidR="00C246CD" w:rsidRPr="00C246CD">
        <w:rPr>
          <w:color w:val="171717" w:themeColor="background2" w:themeShade="1A"/>
        </w:rPr>
        <w:t xml:space="preserve"> </w:t>
      </w:r>
      <w:r w:rsidR="0088625E" w:rsidRPr="00C246CD">
        <w:rPr>
          <w:color w:val="171717" w:themeColor="background2" w:themeShade="1A"/>
        </w:rPr>
        <w:t xml:space="preserve">where results were lower than both the rest of the UK and the </w:t>
      </w:r>
      <w:r w:rsidR="00FC48D5" w:rsidRPr="00C246CD">
        <w:rPr>
          <w:color w:val="171717" w:themeColor="background2" w:themeShade="1A"/>
        </w:rPr>
        <w:t xml:space="preserve">calculated </w:t>
      </w:r>
      <w:r w:rsidR="0088625E" w:rsidRPr="00C246CD">
        <w:rPr>
          <w:color w:val="171717" w:themeColor="background2" w:themeShade="1A"/>
        </w:rPr>
        <w:t>average of the seventy two other participating countries</w:t>
      </w:r>
      <w:r w:rsidR="00C246CD" w:rsidRPr="00C246CD">
        <w:rPr>
          <w:color w:val="171717" w:themeColor="background2" w:themeShade="1A"/>
        </w:rPr>
        <w:t xml:space="preserve"> (Organisation for Economic Co-operation and Development, 2015)</w:t>
      </w:r>
      <w:r w:rsidR="0088625E" w:rsidRPr="00C246CD">
        <w:rPr>
          <w:color w:val="171717" w:themeColor="background2" w:themeShade="1A"/>
        </w:rPr>
        <w:t xml:space="preserve">. </w:t>
      </w:r>
      <w:r w:rsidR="00FC48D5" w:rsidRPr="00C246CD">
        <w:rPr>
          <w:color w:val="171717" w:themeColor="background2" w:themeShade="1A"/>
        </w:rPr>
        <w:t xml:space="preserve">The </w:t>
      </w:r>
      <w:r w:rsidR="00FC48D5">
        <w:t xml:space="preserve">need for literacy support and improvement in Wales has been recognised by the Welsh Government and the Literacy and Numeracy Framework [LNF] was released as a result of </w:t>
      </w:r>
      <w:r w:rsidR="00FC48D5" w:rsidRPr="003F5B00">
        <w:rPr>
          <w:color w:val="171717" w:themeColor="background2" w:themeShade="1A"/>
        </w:rPr>
        <w:t xml:space="preserve">this (Welsh Government, 2013). </w:t>
      </w:r>
      <w:r w:rsidR="00FC48D5">
        <w:t xml:space="preserve">At a school level, throughout PTE1 at School X, </w:t>
      </w:r>
      <w:r w:rsidR="0006739C">
        <w:t xml:space="preserve">implementing aspects of literacy outlined in the LNF was expected in all lessons whilst being monitored and guided by the subject mentor. The importance of deploying literacy based activities was evident instantly at both subject and whole school levels, paying particular attention to assessments and literacy marking. New ideas and relevant literature were discussed in several staff briefings and it became clear that issues surrounding literacy </w:t>
      </w:r>
      <w:r w:rsidR="00345AF3">
        <w:t>were being tackled through a who</w:t>
      </w:r>
      <w:r w:rsidR="0006739C">
        <w:t>le school approach. This essay will make reference to both the school’s and departmental improvement plans as well as the most recent Estyn report</w:t>
      </w:r>
      <w:r w:rsidR="006F2433">
        <w:t xml:space="preserve"> of School X</w:t>
      </w:r>
      <w:r w:rsidR="0006739C">
        <w:t>. These specifically outline targets, actions</w:t>
      </w:r>
      <w:r w:rsidR="00345AF3">
        <w:t>,</w:t>
      </w:r>
      <w:r w:rsidR="0006739C">
        <w:t xml:space="preserve"> and in some cas</w:t>
      </w:r>
      <w:r w:rsidR="006F2433">
        <w:t>es, a success criteria that can be, will be and already is</w:t>
      </w:r>
      <w:r w:rsidR="0006739C">
        <w:t xml:space="preserve"> be</w:t>
      </w:r>
      <w:r w:rsidR="006F2433">
        <w:t>ing</w:t>
      </w:r>
      <w:r w:rsidR="0006739C">
        <w:t xml:space="preserve"> used to better achieve the target/Estyn recommendation. Following this, re</w:t>
      </w:r>
      <w:r w:rsidR="00703378">
        <w:t xml:space="preserve">commendations using literature and </w:t>
      </w:r>
      <w:r w:rsidR="0006739C">
        <w:t xml:space="preserve">best practise will be made to help drive the </w:t>
      </w:r>
      <w:r w:rsidR="00964A6D">
        <w:t xml:space="preserve">new and </w:t>
      </w:r>
      <w:r w:rsidR="0006739C">
        <w:t xml:space="preserve">existing initiatives forward. </w:t>
      </w:r>
      <w:r w:rsidR="006F2433">
        <w:br/>
      </w:r>
      <w:r w:rsidR="00FC48D5">
        <w:br/>
      </w:r>
      <w:r w:rsidR="006F2433">
        <w:t xml:space="preserve">School X is an </w:t>
      </w:r>
      <w:r w:rsidR="00E31451">
        <w:t>E</w:t>
      </w:r>
      <w:r w:rsidR="006F2433">
        <w:t>nglish medium</w:t>
      </w:r>
      <w:r w:rsidR="00E31451">
        <w:t>, co-educational</w:t>
      </w:r>
      <w:r w:rsidR="006F2433">
        <w:t xml:space="preserve"> secondary (11-19) school with 871 pupils</w:t>
      </w:r>
      <w:r w:rsidR="00E31451">
        <w:t xml:space="preserve"> and over seventy staff</w:t>
      </w:r>
      <w:r w:rsidR="006F2433">
        <w:t xml:space="preserve"> located</w:t>
      </w:r>
      <w:r w:rsidR="00E31451">
        <w:t xml:space="preserve"> in</w:t>
      </w:r>
      <w:r w:rsidR="006F2433">
        <w:t xml:space="preserve"> Wales</w:t>
      </w:r>
      <w:r w:rsidR="009356F0" w:rsidRPr="00304BDE">
        <w:rPr>
          <w:color w:val="171717" w:themeColor="background2" w:themeShade="1A"/>
        </w:rPr>
        <w:t xml:space="preserve"> (Welsh Government, 2018)</w:t>
      </w:r>
      <w:r w:rsidR="006F2433" w:rsidRPr="00304BDE">
        <w:rPr>
          <w:color w:val="171717" w:themeColor="background2" w:themeShade="1A"/>
        </w:rPr>
        <w:t xml:space="preserve">. </w:t>
      </w:r>
      <w:r w:rsidR="009356F0" w:rsidRPr="00304BDE">
        <w:rPr>
          <w:color w:val="171717" w:themeColor="background2" w:themeShade="1A"/>
        </w:rPr>
        <w:t xml:space="preserve">The </w:t>
      </w:r>
      <w:r w:rsidR="009356F0">
        <w:t>school which is deemed to be a high achiever with over eighty percent of students regularly achieving the level two threshold by the end of key stage four [KS4] (including English, Welsh and Maths) is a pioneer school involved in the design and development of the new curriculu</w:t>
      </w:r>
      <w:r w:rsidR="009356F0" w:rsidRPr="005F0DE2">
        <w:rPr>
          <w:color w:val="171717" w:themeColor="background2" w:themeShade="1A"/>
        </w:rPr>
        <w:t xml:space="preserve">m (School X Website, 2018). </w:t>
      </w:r>
      <w:r w:rsidR="006F2433" w:rsidRPr="005F0DE2">
        <w:rPr>
          <w:color w:val="171717" w:themeColor="background2" w:themeShade="1A"/>
        </w:rPr>
        <w:t>7</w:t>
      </w:r>
      <w:r w:rsidR="006F2433">
        <w:t>.6% of attending pupils are currently eligible for free school meals which is 2.4% and 9% below the local authority and Welsh national averages respectivel</w:t>
      </w:r>
      <w:r w:rsidR="006F2433" w:rsidRPr="00304BDE">
        <w:rPr>
          <w:color w:val="171717" w:themeColor="background2" w:themeShade="1A"/>
        </w:rPr>
        <w:t>y (Welsh Government, 2018).</w:t>
      </w:r>
      <w:r w:rsidR="00964A6D" w:rsidRPr="00304BDE">
        <w:rPr>
          <w:color w:val="171717" w:themeColor="background2" w:themeShade="1A"/>
        </w:rPr>
        <w:t xml:space="preserve"> </w:t>
      </w:r>
      <w:r w:rsidR="00964A6D">
        <w:t>In regards to special educational needs [SEN] the school are below the local authority [LA] and national averages for pupils who are categorised as school action but slightly above for those categorised as school action plus. The number of pupils who are statemented (1.3%) are higher than the local authority average by 0.3% but lower than</w:t>
      </w:r>
      <w:r w:rsidR="00344966">
        <w:t xml:space="preserve"> the national average of 2.3%. The school was recently inspected by Estyn in 2018 and received results of good in standards, teaching and learning experiences and leadership and management. Both well-being and attitudes to learning and care support and guidance were deemed to be excellent (Estyn, 2018). The inspection recommendations largely informed School X’s short term targets and long term plans for the future. </w:t>
      </w:r>
    </w:p>
    <w:p w:rsidR="001200F9" w:rsidRDefault="00636A24">
      <w:r>
        <w:t>School X’s Departmental Improvement Plan [DIP]</w:t>
      </w:r>
      <w:r w:rsidR="00344966">
        <w:t xml:space="preserve"> (Appendix 1) </w:t>
      </w:r>
      <w:r w:rsidR="0098706F">
        <w:t>is structured in line with the template used by all departments. The DIP must comment on five individual aspects that range from focussing on embedding the LNF and digital competence framework [DCF] within all schemes of work to addressing the gender gap (if existing) in the subject</w:t>
      </w:r>
      <w:r w:rsidR="00F855B4">
        <w:t>’</w:t>
      </w:r>
      <w:r w:rsidR="0098706F">
        <w:t>s GCSE results. The department has divided the improvement plan into key stages three four and five</w:t>
      </w:r>
      <w:r w:rsidR="004A7AEB">
        <w:t>. It</w:t>
      </w:r>
      <w:r w:rsidR="0098706F">
        <w:t xml:space="preserve"> subsequently</w:t>
      </w:r>
      <w:r w:rsidR="00F855B4">
        <w:t xml:space="preserve"> prioritises and</w:t>
      </w:r>
      <w:r w:rsidR="0098706F">
        <w:t xml:space="preserve"> addresses</w:t>
      </w:r>
      <w:r w:rsidR="00A314B2">
        <w:t xml:space="preserve"> the </w:t>
      </w:r>
      <w:r w:rsidR="00F855B4">
        <w:t xml:space="preserve">specific </w:t>
      </w:r>
      <w:r w:rsidR="00A314B2">
        <w:t>developments/targets</w:t>
      </w:r>
      <w:r w:rsidR="00F855B4">
        <w:t xml:space="preserve"> for the particular key stage</w:t>
      </w:r>
      <w:r w:rsidR="00A314B2">
        <w:t xml:space="preserve"> and the actions that need to be taken to meet them. Improvement is measured against a success criteria and a date for </w:t>
      </w:r>
      <w:r w:rsidR="00F855B4">
        <w:t xml:space="preserve">completion is provided. </w:t>
      </w:r>
      <w:r w:rsidR="00916F7B">
        <w:t>When considering key stage 3 [KS3] one of the main areas for improvement outlined in the DIP is to create new end of topic assessments that correspond w</w:t>
      </w:r>
      <w:r w:rsidR="00B57F35">
        <w:t>ith the new 2018 schemes of work</w:t>
      </w:r>
      <w:r w:rsidR="00916F7B">
        <w:t xml:space="preserve"> [SOW]. It is also expected that a piece of literacy work, whether it be an extended piece of writing or </w:t>
      </w:r>
      <w:r w:rsidR="00916F7B">
        <w:lastRenderedPageBreak/>
        <w:t xml:space="preserve">an ‘exam style’ question will be undertaken and marked appropriately against the new literacy marking grids. Following the deployment of this year’s DIP, students are now assessed more regularly and therefore there are more opportunities to literacy mark and give relevant meaningful feedback. It is expected that </w:t>
      </w:r>
      <w:r w:rsidR="00B57F35">
        <w:t xml:space="preserve">student’s current attainment levels will improve by July 2019 and that their literacy skills will have developed further. For both key stages four and five [KS4, KS5] incorporating more past paper questions and mark schemes into the current schemes of work is a priority. </w:t>
      </w:r>
      <w:r w:rsidR="00F45333">
        <w:t xml:space="preserve">It is hoped that students will be positively impacted by this as they will have a greater understanding of exam terminology/vocabulary and grasp how best to apply their knowledge to the upcoming exams. All past paper questions will be shared with learners via School X’s shared area and progress will be monitored/checked against learner’s existing attainment levels and their personal Fischer Family Trust [FFT] targets. </w:t>
      </w:r>
    </w:p>
    <w:p w:rsidR="00466026" w:rsidRDefault="001200F9">
      <w:pPr>
        <w:rPr>
          <w:color w:val="FF0000"/>
        </w:rPr>
      </w:pPr>
      <w:r>
        <w:t xml:space="preserve">It is clear from the DIP that improving literacy is a focus for the department this academic year. It has also become evident through classroom observations that a concerted effort is being made to integrate literacy based activities from both the LNF and the school’s literacy framework into every lesson taught. This can range from a simple topic relevant vocabulary starter to a reading current newspaper article or creating a piece of </w:t>
      </w:r>
      <w:r w:rsidR="005008CC">
        <w:t xml:space="preserve">descriptive writing. The departmental drive to improve literacy stems from a whole school initiative to collectively raise literacy standards following the recent Estyn inspection </w:t>
      </w:r>
      <w:r w:rsidR="005008CC" w:rsidRPr="005F0DE2">
        <w:rPr>
          <w:color w:val="171717" w:themeColor="background2" w:themeShade="1A"/>
        </w:rPr>
        <w:t xml:space="preserve">report (Estyn, 2018). </w:t>
      </w:r>
      <w:r w:rsidR="005008CC">
        <w:t xml:space="preserve">The report’s recommendations outlined that the variation in the quality of teaching and assessment, including in relation to the provision of literacy needed to be reduced. This recommendation, </w:t>
      </w:r>
      <w:r w:rsidR="00DF0FE1">
        <w:t>consequently resulted in there being a literacy focus on the third strand of the School’s Improvement Plan [SIP]</w:t>
      </w:r>
      <w:r w:rsidR="00344966">
        <w:t xml:space="preserve"> (Appendix 2)</w:t>
      </w:r>
      <w:r w:rsidR="00DF0FE1">
        <w:t>. The five strands of development outlined in the SIP are derived from the five Estyn inspection areas. The focus on literacy can be seen in the SIP below the ‘Teaching and Learning’ development strand. The SIP reasserts the</w:t>
      </w:r>
      <w:r w:rsidR="00FD462A">
        <w:t xml:space="preserve"> necessity for </w:t>
      </w:r>
      <w:r w:rsidR="00DF0FE1">
        <w:t xml:space="preserve">consistency and high standards in the deliverance of literacy across all subjects. It also acknowledges the responsibility of all School X’s teachers to embrace and use the </w:t>
      </w:r>
      <w:r w:rsidR="005F0DE2">
        <w:t>‘</w:t>
      </w:r>
      <w:r w:rsidR="00DF0FE1">
        <w:t xml:space="preserve">twelve </w:t>
      </w:r>
      <w:r w:rsidR="00DF0FE1" w:rsidRPr="005F0DE2">
        <w:rPr>
          <w:color w:val="171717" w:themeColor="background2" w:themeShade="1A"/>
        </w:rPr>
        <w:t>pedagogical principles</w:t>
      </w:r>
      <w:r w:rsidR="005F0DE2" w:rsidRPr="005F0DE2">
        <w:rPr>
          <w:color w:val="171717" w:themeColor="background2" w:themeShade="1A"/>
        </w:rPr>
        <w:t>’</w:t>
      </w:r>
      <w:r w:rsidR="00DF0FE1" w:rsidRPr="005F0DE2">
        <w:rPr>
          <w:color w:val="171717" w:themeColor="background2" w:themeShade="1A"/>
        </w:rPr>
        <w:t xml:space="preserve"> </w:t>
      </w:r>
      <w:r w:rsidR="005F0DE2" w:rsidRPr="005F0DE2">
        <w:rPr>
          <w:color w:val="171717" w:themeColor="background2" w:themeShade="1A"/>
        </w:rPr>
        <w:t xml:space="preserve">(Donaldson, 2015) </w:t>
      </w:r>
      <w:r w:rsidR="00DF0FE1" w:rsidRPr="005F0DE2">
        <w:rPr>
          <w:color w:val="171717" w:themeColor="background2" w:themeShade="1A"/>
        </w:rPr>
        <w:t xml:space="preserve">in their lessons to improve the quality of teaching and learning. </w:t>
      </w:r>
      <w:r w:rsidR="00873029" w:rsidRPr="005F0DE2">
        <w:rPr>
          <w:color w:val="171717" w:themeColor="background2" w:themeShade="1A"/>
        </w:rPr>
        <w:t>Donaldson’s twelve principles</w:t>
      </w:r>
      <w:r w:rsidR="00846160" w:rsidRPr="005F0DE2">
        <w:rPr>
          <w:color w:val="171717" w:themeColor="background2" w:themeShade="1A"/>
        </w:rPr>
        <w:t>,</w:t>
      </w:r>
      <w:r w:rsidR="00873029" w:rsidRPr="005F0DE2">
        <w:rPr>
          <w:color w:val="171717" w:themeColor="background2" w:themeShade="1A"/>
        </w:rPr>
        <w:t xml:space="preserve"> </w:t>
      </w:r>
      <w:r w:rsidR="00846160" w:rsidRPr="005F0DE2">
        <w:rPr>
          <w:color w:val="171717" w:themeColor="background2" w:themeShade="1A"/>
        </w:rPr>
        <w:t>when broken down individually, indicate</w:t>
      </w:r>
      <w:r w:rsidR="00873029" w:rsidRPr="005F0DE2">
        <w:rPr>
          <w:color w:val="171717" w:themeColor="background2" w:themeShade="1A"/>
        </w:rPr>
        <w:t xml:space="preserve"> that “good teaching </w:t>
      </w:r>
      <w:r w:rsidR="00846160" w:rsidRPr="005F0DE2">
        <w:rPr>
          <w:color w:val="171717" w:themeColor="background2" w:themeShade="1A"/>
        </w:rPr>
        <w:t xml:space="preserve">and learning regularly </w:t>
      </w:r>
      <w:r w:rsidR="00846160">
        <w:t>reinforces cross-curriculum responsibilities, including, literacy, numeracy and digital competence, and provides opportunities to practise them</w:t>
      </w:r>
      <w:r w:rsidR="00846160" w:rsidRPr="005F0DE2">
        <w:rPr>
          <w:color w:val="171717" w:themeColor="background2" w:themeShade="1A"/>
        </w:rPr>
        <w:t xml:space="preserve">” </w:t>
      </w:r>
      <w:r w:rsidR="005F0DE2" w:rsidRPr="005F0DE2">
        <w:rPr>
          <w:color w:val="171717" w:themeColor="background2" w:themeShade="1A"/>
        </w:rPr>
        <w:t>(2015</w:t>
      </w:r>
      <w:r w:rsidR="00846160" w:rsidRPr="005F0DE2">
        <w:rPr>
          <w:color w:val="171717" w:themeColor="background2" w:themeShade="1A"/>
        </w:rPr>
        <w:t xml:space="preserve">). </w:t>
      </w:r>
      <w:r w:rsidR="00A305EB">
        <w:rPr>
          <w:color w:val="0D0D0D" w:themeColor="text1" w:themeTint="F2"/>
        </w:rPr>
        <w:t>The tea</w:t>
      </w:r>
      <w:r w:rsidR="009C6974">
        <w:rPr>
          <w:color w:val="0D0D0D" w:themeColor="text1" w:themeTint="F2"/>
        </w:rPr>
        <w:t xml:space="preserve">ching and learning strand also plans to revise the current assessment for learning [AFL] policy with an increased focus on the LNF. It is also expected that the LNF will be used more effectively when developing new lessons and resources. </w:t>
      </w:r>
    </w:p>
    <w:p w:rsidR="00F3425A" w:rsidRPr="00F3425A" w:rsidRDefault="00345AF3" w:rsidP="00FA3935">
      <w:pPr>
        <w:shd w:val="clear" w:color="auto" w:fill="FFFFFF"/>
        <w:spacing w:after="0" w:line="240" w:lineRule="auto"/>
        <w:textAlignment w:val="baseline"/>
        <w:rPr>
          <w:color w:val="0D0D0D" w:themeColor="text1" w:themeTint="F2"/>
        </w:rPr>
      </w:pPr>
      <w:r>
        <w:rPr>
          <w:color w:val="0D0D0D" w:themeColor="text1" w:themeTint="F2"/>
        </w:rPr>
        <w:t>In order to raise standards collectively,</w:t>
      </w:r>
      <w:r w:rsidR="00215E80">
        <w:rPr>
          <w:color w:val="0D0D0D" w:themeColor="text1" w:themeTint="F2"/>
        </w:rPr>
        <w:t xml:space="preserve"> irrespective of the final goal, </w:t>
      </w:r>
      <w:r>
        <w:rPr>
          <w:color w:val="0D0D0D" w:themeColor="text1" w:themeTint="F2"/>
        </w:rPr>
        <w:t>h</w:t>
      </w:r>
      <w:r w:rsidR="00466026">
        <w:rPr>
          <w:color w:val="0D0D0D" w:themeColor="text1" w:themeTint="F2"/>
        </w:rPr>
        <w:t xml:space="preserve">ighly effective strategic direction </w:t>
      </w:r>
      <w:r>
        <w:rPr>
          <w:color w:val="0D0D0D" w:themeColor="text1" w:themeTint="F2"/>
        </w:rPr>
        <w:t xml:space="preserve">is needed to both guide and support staff </w:t>
      </w:r>
      <w:r w:rsidR="00215E80">
        <w:rPr>
          <w:color w:val="0D0D0D" w:themeColor="text1" w:themeTint="F2"/>
        </w:rPr>
        <w:t xml:space="preserve">in getting there. </w:t>
      </w:r>
      <w:r w:rsidR="00F32A04">
        <w:rPr>
          <w:color w:val="0D0D0D" w:themeColor="text1" w:themeTint="F2"/>
        </w:rPr>
        <w:t>The role of strategic planning, in relation to education is to recognise where the school currently is, where it needs to be and what needs to be done to get there</w:t>
      </w:r>
      <w:r w:rsidR="005F0DE2">
        <w:rPr>
          <w:color w:val="0D0D0D" w:themeColor="text1" w:themeTint="F2"/>
        </w:rPr>
        <w:t xml:space="preserve"> </w:t>
      </w:r>
      <w:r w:rsidR="005F0DE2" w:rsidRPr="005F0DE2">
        <w:rPr>
          <w:color w:val="171717" w:themeColor="background2" w:themeShade="1A"/>
        </w:rPr>
        <w:t>(Collins, 2012)</w:t>
      </w:r>
      <w:r w:rsidR="009F3A37" w:rsidRPr="005F0DE2">
        <w:rPr>
          <w:color w:val="171717" w:themeColor="background2" w:themeShade="1A"/>
        </w:rPr>
        <w:t xml:space="preserve">. </w:t>
      </w:r>
      <w:r w:rsidR="009F3A37">
        <w:rPr>
          <w:color w:val="0D0D0D" w:themeColor="text1" w:themeTint="F2"/>
        </w:rPr>
        <w:t>All developmental targets for any educational organization, regardless of</w:t>
      </w:r>
      <w:r w:rsidR="00FA3935">
        <w:rPr>
          <w:color w:val="0D0D0D" w:themeColor="text1" w:themeTint="F2"/>
        </w:rPr>
        <w:t xml:space="preserve"> varying circumstances,</w:t>
      </w:r>
      <w:r w:rsidR="009F3A37">
        <w:rPr>
          <w:color w:val="0D0D0D" w:themeColor="text1" w:themeTint="F2"/>
        </w:rPr>
        <w:t xml:space="preserve"> for example age of learners</w:t>
      </w:r>
      <w:r w:rsidR="00B3071F">
        <w:rPr>
          <w:color w:val="0D0D0D" w:themeColor="text1" w:themeTint="F2"/>
        </w:rPr>
        <w:t xml:space="preserve"> could significantly benefit from being planned strategically. </w:t>
      </w:r>
      <w:r w:rsidR="00B3071F" w:rsidRPr="005F0DE2">
        <w:rPr>
          <w:color w:val="171717" w:themeColor="background2" w:themeShade="1A"/>
        </w:rPr>
        <w:t>Chang</w:t>
      </w:r>
      <w:r w:rsidR="00DA0454" w:rsidRPr="005F0DE2">
        <w:rPr>
          <w:color w:val="171717" w:themeColor="background2" w:themeShade="1A"/>
        </w:rPr>
        <w:t xml:space="preserve"> (</w:t>
      </w:r>
      <w:r w:rsidR="005F0DE2" w:rsidRPr="005F0DE2">
        <w:rPr>
          <w:color w:val="171717" w:themeColor="background2" w:themeShade="1A"/>
        </w:rPr>
        <w:t>2008</w:t>
      </w:r>
      <w:r w:rsidR="00DA0454" w:rsidRPr="005F0DE2">
        <w:rPr>
          <w:color w:val="171717" w:themeColor="background2" w:themeShade="1A"/>
        </w:rPr>
        <w:t>)</w:t>
      </w:r>
      <w:r w:rsidR="00B3071F" w:rsidRPr="005F0DE2">
        <w:rPr>
          <w:color w:val="171717" w:themeColor="background2" w:themeShade="1A"/>
        </w:rPr>
        <w:t xml:space="preserve">, </w:t>
      </w:r>
      <w:r w:rsidR="00B3071F">
        <w:rPr>
          <w:color w:val="0D0D0D" w:themeColor="text1" w:themeTint="F2"/>
        </w:rPr>
        <w:t xml:space="preserve">who further breaks down the </w:t>
      </w:r>
      <w:r w:rsidR="00FA3935">
        <w:rPr>
          <w:color w:val="0D0D0D" w:themeColor="text1" w:themeTint="F2"/>
        </w:rPr>
        <w:t>strategic planning process into input, process (or throughput) and output/outcome addresses the necessity for the input to be relevant to the needs of the output</w:t>
      </w:r>
      <w:r w:rsidR="005F0DE2">
        <w:rPr>
          <w:color w:val="0D0D0D" w:themeColor="text1" w:themeTint="F2"/>
        </w:rPr>
        <w:t xml:space="preserve"> in order for it to be achieved.</w:t>
      </w:r>
      <w:r w:rsidR="00FA3935" w:rsidRPr="00FA3935">
        <w:rPr>
          <w:color w:val="FF0000"/>
        </w:rPr>
        <w:t xml:space="preserve"> </w:t>
      </w:r>
      <w:r w:rsidR="00E86CC9">
        <w:rPr>
          <w:color w:val="0D0D0D" w:themeColor="text1" w:themeTint="F2"/>
        </w:rPr>
        <w:t>Elements of Chang’s (</w:t>
      </w:r>
      <w:r w:rsidR="005F0DE2">
        <w:rPr>
          <w:color w:val="0D0D0D" w:themeColor="text1" w:themeTint="F2"/>
        </w:rPr>
        <w:t>2008</w:t>
      </w:r>
      <w:r w:rsidR="00E86CC9">
        <w:rPr>
          <w:color w:val="0D0D0D" w:themeColor="text1" w:themeTint="F2"/>
        </w:rPr>
        <w:t xml:space="preserve">) ideas can clearly be seen in School X’s DIP </w:t>
      </w:r>
      <w:r w:rsidR="001569E8">
        <w:rPr>
          <w:color w:val="0D0D0D" w:themeColor="text1" w:themeTint="F2"/>
        </w:rPr>
        <w:t>where</w:t>
      </w:r>
      <w:r w:rsidR="00503F62">
        <w:rPr>
          <w:color w:val="0D0D0D" w:themeColor="text1" w:themeTint="F2"/>
        </w:rPr>
        <w:t xml:space="preserve"> for example,</w:t>
      </w:r>
      <w:r w:rsidR="001569E8">
        <w:rPr>
          <w:color w:val="0D0D0D" w:themeColor="text1" w:themeTint="F2"/>
        </w:rPr>
        <w:t xml:space="preserve"> </w:t>
      </w:r>
      <w:r w:rsidR="00503F62">
        <w:rPr>
          <w:color w:val="0D0D0D" w:themeColor="text1" w:themeTint="F2"/>
        </w:rPr>
        <w:t>the departments ‘action’ colu</w:t>
      </w:r>
      <w:r w:rsidR="00C4169E">
        <w:rPr>
          <w:color w:val="0D0D0D" w:themeColor="text1" w:themeTint="F2"/>
        </w:rPr>
        <w:t>mn mirrors the idea of ‘process</w:t>
      </w:r>
      <w:r w:rsidR="00503F62">
        <w:rPr>
          <w:color w:val="0D0D0D" w:themeColor="text1" w:themeTint="F2"/>
        </w:rPr>
        <w:t xml:space="preserve">. Again, from an educational perspective, strategic planning method familiar within the school setting is the ‘typical’ classroom based planning process of analysing, planning, implementing </w:t>
      </w:r>
      <w:r w:rsidR="00F3425A">
        <w:rPr>
          <w:color w:val="0D0D0D" w:themeColor="text1" w:themeTint="F2"/>
        </w:rPr>
        <w:t>and evaluating</w:t>
      </w:r>
      <w:r w:rsidR="00503F62">
        <w:rPr>
          <w:color w:val="0D0D0D" w:themeColor="text1" w:themeTint="F2"/>
        </w:rPr>
        <w:t xml:space="preserve"> </w:t>
      </w:r>
      <w:r w:rsidR="00F036EB" w:rsidRPr="00F036EB">
        <w:rPr>
          <w:color w:val="171717" w:themeColor="background2" w:themeShade="1A"/>
        </w:rPr>
        <w:t>(Chang, 2008</w:t>
      </w:r>
      <w:r w:rsidR="00503F62" w:rsidRPr="00F036EB">
        <w:rPr>
          <w:color w:val="171717" w:themeColor="background2" w:themeShade="1A"/>
        </w:rPr>
        <w:t xml:space="preserve">). </w:t>
      </w:r>
      <w:r w:rsidR="00F3425A">
        <w:rPr>
          <w:color w:val="0D0D0D" w:themeColor="text1" w:themeTint="F2"/>
        </w:rPr>
        <w:t xml:space="preserve">This cyclic approach is again mirrored in the school’s DIP where it is clear what the plan is, how it will be implemented and how the department will know it has worked. </w:t>
      </w:r>
      <w:r w:rsidR="00867559" w:rsidRPr="00F036EB">
        <w:rPr>
          <w:color w:val="171717" w:themeColor="background2" w:themeShade="1A"/>
        </w:rPr>
        <w:t>Rutherford</w:t>
      </w:r>
      <w:r w:rsidR="00F036EB" w:rsidRPr="00F036EB">
        <w:rPr>
          <w:color w:val="171717" w:themeColor="background2" w:themeShade="1A"/>
        </w:rPr>
        <w:t xml:space="preserve"> (2009)</w:t>
      </w:r>
      <w:r w:rsidR="00867559" w:rsidRPr="00F036EB">
        <w:rPr>
          <w:color w:val="171717" w:themeColor="background2" w:themeShade="1A"/>
        </w:rPr>
        <w:t xml:space="preserve"> </w:t>
      </w:r>
      <w:r w:rsidR="00867559">
        <w:rPr>
          <w:color w:val="171717" w:themeColor="background2" w:themeShade="1A"/>
        </w:rPr>
        <w:t>in agreement with Chang, affirms the importance of</w:t>
      </w:r>
      <w:r w:rsidR="00F3425A">
        <w:rPr>
          <w:color w:val="171717" w:themeColor="background2" w:themeShade="1A"/>
        </w:rPr>
        <w:t xml:space="preserve"> the role of strategic planning in </w:t>
      </w:r>
      <w:r w:rsidR="00867559">
        <w:rPr>
          <w:color w:val="171717" w:themeColor="background2" w:themeShade="1A"/>
        </w:rPr>
        <w:t xml:space="preserve">investigating and analysing the context of ‘the change’ that needed to be made before beginning the change process (2009). However, she emphasises that </w:t>
      </w:r>
      <w:r w:rsidR="00867559">
        <w:rPr>
          <w:color w:val="171717" w:themeColor="background2" w:themeShade="1A"/>
        </w:rPr>
        <w:lastRenderedPageBreak/>
        <w:t>failure to involve all relevant parties/stakeholders/staff members in the analysis could negatively impact the output as “</w:t>
      </w:r>
      <w:r w:rsidR="00867559">
        <w:rPr>
          <w:i/>
          <w:color w:val="171717" w:themeColor="background2" w:themeShade="1A"/>
        </w:rPr>
        <w:t xml:space="preserve">the shared responsibility of a problem is imperative if all parties are to share responsibility for its resolution” </w:t>
      </w:r>
      <w:r w:rsidR="00867559" w:rsidRPr="00F036EB">
        <w:rPr>
          <w:color w:val="171717" w:themeColor="background2" w:themeShade="1A"/>
        </w:rPr>
        <w:t xml:space="preserve">(Joyner, 1998). </w:t>
      </w:r>
      <w:r w:rsidR="00F3425A">
        <w:rPr>
          <w:color w:val="0D0D0D" w:themeColor="text1" w:themeTint="F2"/>
        </w:rPr>
        <w:t>As seen on the DIP, both members of the department have</w:t>
      </w:r>
      <w:r w:rsidR="00DB5291">
        <w:rPr>
          <w:color w:val="0D0D0D" w:themeColor="text1" w:themeTint="F2"/>
        </w:rPr>
        <w:t xml:space="preserve"> </w:t>
      </w:r>
      <w:r w:rsidR="00F3425A">
        <w:rPr>
          <w:color w:val="0D0D0D" w:themeColor="text1" w:themeTint="F2"/>
        </w:rPr>
        <w:t>developed the targets collaboratively and share responsibility for reaching the outcomes.</w:t>
      </w:r>
      <w:r w:rsidR="00F3425A">
        <w:rPr>
          <w:color w:val="0D0D0D" w:themeColor="text1" w:themeTint="F2"/>
        </w:rPr>
        <w:br/>
      </w:r>
    </w:p>
    <w:p w:rsidR="0034520C" w:rsidRDefault="00867559" w:rsidP="00FA3935">
      <w:pPr>
        <w:shd w:val="clear" w:color="auto" w:fill="FFFFFF"/>
        <w:spacing w:after="0" w:line="240" w:lineRule="auto"/>
        <w:textAlignment w:val="baseline"/>
        <w:rPr>
          <w:color w:val="0D0D0D" w:themeColor="text1" w:themeTint="F2"/>
        </w:rPr>
      </w:pPr>
      <w:r w:rsidRPr="00BC6159">
        <w:rPr>
          <w:color w:val="171717" w:themeColor="background2" w:themeShade="1A"/>
        </w:rPr>
        <w:t xml:space="preserve">Hopkins, </w:t>
      </w:r>
      <w:r w:rsidR="00F3425A" w:rsidRPr="00BC6159">
        <w:rPr>
          <w:color w:val="171717" w:themeColor="background2" w:themeShade="1A"/>
        </w:rPr>
        <w:t>asserts the necessity of a leadership team in the strategic planning process</w:t>
      </w:r>
      <w:r w:rsidRPr="00BC6159">
        <w:rPr>
          <w:color w:val="171717" w:themeColor="background2" w:themeShade="1A"/>
        </w:rPr>
        <w:t xml:space="preserve">, particularly when standing on committees or boards </w:t>
      </w:r>
      <w:r w:rsidR="0032308D" w:rsidRPr="00BC6159">
        <w:rPr>
          <w:color w:val="171717" w:themeColor="background2" w:themeShade="1A"/>
        </w:rPr>
        <w:t>for initiatives that are going to be trialled or carried out by a whole organisation</w:t>
      </w:r>
      <w:r w:rsidR="00BC6159" w:rsidRPr="00BC6159">
        <w:rPr>
          <w:color w:val="171717" w:themeColor="background2" w:themeShade="1A"/>
        </w:rPr>
        <w:t xml:space="preserve"> (1998</w:t>
      </w:r>
      <w:r w:rsidR="0032308D" w:rsidRPr="00BC6159">
        <w:rPr>
          <w:color w:val="171717" w:themeColor="background2" w:themeShade="1A"/>
        </w:rPr>
        <w:t xml:space="preserve">). </w:t>
      </w:r>
      <w:r w:rsidR="0032308D">
        <w:rPr>
          <w:color w:val="0D0D0D" w:themeColor="text1" w:themeTint="F2"/>
        </w:rPr>
        <w:t xml:space="preserve">In a school environment it is possible that ‘cliques’ or departments with a vested interest in a particular topic or strategy would not only benefit but also potentially significantly hinder the effectiveness of the output </w:t>
      </w:r>
      <w:r w:rsidR="00FE2F54" w:rsidRPr="00FE2F54">
        <w:rPr>
          <w:color w:val="171717" w:themeColor="background2" w:themeShade="1A"/>
        </w:rPr>
        <w:t>(Rutherford, 2009</w:t>
      </w:r>
      <w:r w:rsidR="0032308D" w:rsidRPr="00FE2F54">
        <w:rPr>
          <w:color w:val="171717" w:themeColor="background2" w:themeShade="1A"/>
        </w:rPr>
        <w:t xml:space="preserve">). </w:t>
      </w:r>
      <w:r w:rsidR="0034520C">
        <w:rPr>
          <w:color w:val="0D0D0D" w:themeColor="text1" w:themeTint="F2"/>
        </w:rPr>
        <w:t xml:space="preserve">In this instance, a leadership team can utilize the strategic planning process to </w:t>
      </w:r>
      <w:r w:rsidR="0032308D">
        <w:rPr>
          <w:color w:val="0D0D0D" w:themeColor="text1" w:themeTint="F2"/>
        </w:rPr>
        <w:t>fairly distribute ownership of a plan</w:t>
      </w:r>
      <w:r w:rsidR="00773344">
        <w:rPr>
          <w:color w:val="0D0D0D" w:themeColor="text1" w:themeTint="F2"/>
        </w:rPr>
        <w:t xml:space="preserve"> amongst staff</w:t>
      </w:r>
      <w:r w:rsidR="0034520C">
        <w:rPr>
          <w:color w:val="0D0D0D" w:themeColor="text1" w:themeTint="F2"/>
        </w:rPr>
        <w:t xml:space="preserve">. This </w:t>
      </w:r>
      <w:r w:rsidR="0032308D">
        <w:rPr>
          <w:color w:val="0D0D0D" w:themeColor="text1" w:themeTint="F2"/>
        </w:rPr>
        <w:t>ensure</w:t>
      </w:r>
      <w:r w:rsidR="0034520C">
        <w:rPr>
          <w:color w:val="0D0D0D" w:themeColor="text1" w:themeTint="F2"/>
        </w:rPr>
        <w:t>s</w:t>
      </w:r>
      <w:r w:rsidR="0032308D">
        <w:rPr>
          <w:color w:val="0D0D0D" w:themeColor="text1" w:themeTint="F2"/>
        </w:rPr>
        <w:t xml:space="preserve"> that it is analysed, implemented and tested with an element of impartiality whereby the process of ‘getting from A to B’ is understood and agreed by all.</w:t>
      </w:r>
      <w:r w:rsidR="0034520C">
        <w:rPr>
          <w:color w:val="0D0D0D" w:themeColor="text1" w:themeTint="F2"/>
        </w:rPr>
        <w:t xml:space="preserve"> </w:t>
      </w:r>
      <w:r w:rsidR="00773344">
        <w:rPr>
          <w:color w:val="0D0D0D" w:themeColor="text1" w:themeTint="F2"/>
        </w:rPr>
        <w:t>With the start of the new Welsh curriculum fast approaching, col</w:t>
      </w:r>
      <w:r w:rsidR="0034520C">
        <w:rPr>
          <w:color w:val="0D0D0D" w:themeColor="text1" w:themeTint="F2"/>
        </w:rPr>
        <w:t>laborating on strategic plans</w:t>
      </w:r>
      <w:r w:rsidR="00773344">
        <w:rPr>
          <w:color w:val="0D0D0D" w:themeColor="text1" w:themeTint="F2"/>
        </w:rPr>
        <w:t xml:space="preserve"> </w:t>
      </w:r>
      <w:r w:rsidR="008E779D">
        <w:rPr>
          <w:color w:val="0D0D0D" w:themeColor="text1" w:themeTint="F2"/>
        </w:rPr>
        <w:t>arguably could be seen as</w:t>
      </w:r>
      <w:r w:rsidR="00773344">
        <w:rPr>
          <w:color w:val="0D0D0D" w:themeColor="text1" w:themeTint="F2"/>
        </w:rPr>
        <w:t xml:space="preserve"> more essential than ever</w:t>
      </w:r>
      <w:r w:rsidR="008E779D">
        <w:rPr>
          <w:color w:val="0D0D0D" w:themeColor="text1" w:themeTint="F2"/>
        </w:rPr>
        <w:t xml:space="preserve"> before. </w:t>
      </w:r>
      <w:r w:rsidR="008148DD">
        <w:rPr>
          <w:color w:val="0D0D0D" w:themeColor="text1" w:themeTint="F2"/>
        </w:rPr>
        <w:t xml:space="preserve">For example, at a department level, with the impending amalgamation of the humanities’ ‘traditional’ subjects into one area of learning </w:t>
      </w:r>
      <w:r w:rsidR="0034520C">
        <w:rPr>
          <w:color w:val="0D0D0D" w:themeColor="text1" w:themeTint="F2"/>
        </w:rPr>
        <w:t xml:space="preserve">the role of a strategic plan would be to ensure that a multiple pronged approach was taken to ‘fairly’ plan for the teaching team. </w:t>
      </w:r>
      <w:r w:rsidR="00773344">
        <w:rPr>
          <w:color w:val="0D0D0D" w:themeColor="text1" w:themeTint="F2"/>
        </w:rPr>
        <w:t xml:space="preserve">Knight, who </w:t>
      </w:r>
      <w:r w:rsidR="00FE0C36">
        <w:rPr>
          <w:color w:val="0D0D0D" w:themeColor="text1" w:themeTint="F2"/>
        </w:rPr>
        <w:t xml:space="preserve">largely </w:t>
      </w:r>
      <w:r w:rsidR="00773344">
        <w:rPr>
          <w:color w:val="0D0D0D" w:themeColor="text1" w:themeTint="F2"/>
        </w:rPr>
        <w:t>agrees with the collaborative approach</w:t>
      </w:r>
      <w:r w:rsidR="00FE0C36">
        <w:rPr>
          <w:color w:val="0D0D0D" w:themeColor="text1" w:themeTint="F2"/>
        </w:rPr>
        <w:t xml:space="preserve"> suggests that these plans can be significantly enhanced by conducting a ‘SWOT analysis’</w:t>
      </w:r>
      <w:r w:rsidR="000C0DA3">
        <w:rPr>
          <w:color w:val="0D0D0D" w:themeColor="text1" w:themeTint="F2"/>
        </w:rPr>
        <w:t xml:space="preserve"> </w:t>
      </w:r>
      <w:r w:rsidR="000C0DA3" w:rsidRPr="00FE2F54">
        <w:rPr>
          <w:color w:val="171717" w:themeColor="background2" w:themeShade="1A"/>
        </w:rPr>
        <w:t xml:space="preserve">(1997). </w:t>
      </w:r>
      <w:r w:rsidR="000C0DA3">
        <w:rPr>
          <w:color w:val="0D0D0D" w:themeColor="text1" w:themeTint="F2"/>
        </w:rPr>
        <w:t>This is the process whereby strengths, weaknesses, opportunities and threats are all considered thoroughly before, during and throughout the entire plan.</w:t>
      </w:r>
    </w:p>
    <w:p w:rsidR="0034520C" w:rsidRPr="00FE2F54" w:rsidRDefault="0034520C" w:rsidP="00FA3935">
      <w:pPr>
        <w:shd w:val="clear" w:color="auto" w:fill="FFFFFF"/>
        <w:spacing w:after="0" w:line="240" w:lineRule="auto"/>
        <w:textAlignment w:val="baseline"/>
        <w:rPr>
          <w:color w:val="171717" w:themeColor="background2" w:themeShade="1A"/>
        </w:rPr>
      </w:pPr>
    </w:p>
    <w:p w:rsidR="00057499" w:rsidRPr="006A2F5E" w:rsidRDefault="000C0DA3" w:rsidP="00FA3935">
      <w:pPr>
        <w:shd w:val="clear" w:color="auto" w:fill="FFFFFF"/>
        <w:spacing w:after="0" w:line="240" w:lineRule="auto"/>
        <w:textAlignment w:val="baseline"/>
        <w:rPr>
          <w:color w:val="0D0D0D" w:themeColor="text1" w:themeTint="F2"/>
        </w:rPr>
      </w:pPr>
      <w:r w:rsidRPr="00FE2F54">
        <w:rPr>
          <w:color w:val="171717" w:themeColor="background2" w:themeShade="1A"/>
        </w:rPr>
        <w:t xml:space="preserve">Along with </w:t>
      </w:r>
      <w:proofErr w:type="spellStart"/>
      <w:r w:rsidRPr="00FE2F54">
        <w:rPr>
          <w:color w:val="171717" w:themeColor="background2" w:themeShade="1A"/>
        </w:rPr>
        <w:t>Grise</w:t>
      </w:r>
      <w:proofErr w:type="spellEnd"/>
      <w:r w:rsidRPr="00FE2F54">
        <w:rPr>
          <w:color w:val="171717" w:themeColor="background2" w:themeShade="1A"/>
        </w:rPr>
        <w:t xml:space="preserve"> and Kaufman </w:t>
      </w:r>
      <w:r w:rsidR="008D48E1" w:rsidRPr="00FE2F54">
        <w:rPr>
          <w:color w:val="171717" w:themeColor="background2" w:themeShade="1A"/>
        </w:rPr>
        <w:t xml:space="preserve">(1995), Knight (1997) </w:t>
      </w:r>
      <w:r w:rsidR="008D48E1">
        <w:rPr>
          <w:color w:val="0D0D0D" w:themeColor="text1" w:themeTint="F2"/>
        </w:rPr>
        <w:t xml:space="preserve">agrees that in order to achieve all objectives set out, strategic plans </w:t>
      </w:r>
      <w:r w:rsidR="0034520C">
        <w:rPr>
          <w:color w:val="0D0D0D" w:themeColor="text1" w:themeTint="F2"/>
        </w:rPr>
        <w:t xml:space="preserve">work best when they are adaptable and able to adjust to meet new </w:t>
      </w:r>
      <w:r w:rsidR="00392FFC">
        <w:rPr>
          <w:color w:val="0D0D0D" w:themeColor="text1" w:themeTint="F2"/>
        </w:rPr>
        <w:t>circumstances. Strategic planning is also used to efficiently utilize resources in order to effectively produce the outcome. A</w:t>
      </w:r>
      <w:r w:rsidR="0000581F">
        <w:rPr>
          <w:color w:val="0D0D0D" w:themeColor="text1" w:themeTint="F2"/>
        </w:rPr>
        <w:t xml:space="preserve">ny member of teaching staff may have to ‘move outside their comfort zone’ </w:t>
      </w:r>
      <w:r w:rsidR="00CF3AC3">
        <w:rPr>
          <w:color w:val="0D0D0D" w:themeColor="text1" w:themeTint="F2"/>
        </w:rPr>
        <w:t>in order to reach the aspired end point</w:t>
      </w:r>
      <w:r w:rsidR="00392FFC">
        <w:rPr>
          <w:color w:val="0D0D0D" w:themeColor="text1" w:themeTint="F2"/>
        </w:rPr>
        <w:t xml:space="preserve"> if for example regularly used resources became unavailable to them</w:t>
      </w:r>
      <w:r w:rsidR="00CF3AC3">
        <w:rPr>
          <w:color w:val="0D0D0D" w:themeColor="text1" w:themeTint="F2"/>
        </w:rPr>
        <w:t>.</w:t>
      </w:r>
      <w:r w:rsidR="006A2F5E">
        <w:rPr>
          <w:color w:val="0D0D0D" w:themeColor="text1" w:themeTint="F2"/>
        </w:rPr>
        <w:t xml:space="preserve"> </w:t>
      </w:r>
      <w:r w:rsidR="001C4A52">
        <w:rPr>
          <w:color w:val="0D0D0D" w:themeColor="text1" w:themeTint="F2"/>
        </w:rPr>
        <w:t xml:space="preserve">Common barriers that can occur in a school setting such as a </w:t>
      </w:r>
      <w:r w:rsidR="00CF3AC3">
        <w:rPr>
          <w:color w:val="0D0D0D" w:themeColor="text1" w:themeTint="F2"/>
        </w:rPr>
        <w:t>budget cut</w:t>
      </w:r>
      <w:r w:rsidR="001C4A52">
        <w:rPr>
          <w:color w:val="0D0D0D" w:themeColor="text1" w:themeTint="F2"/>
        </w:rPr>
        <w:t>,</w:t>
      </w:r>
      <w:r w:rsidR="00CF3AC3">
        <w:rPr>
          <w:color w:val="0D0D0D" w:themeColor="text1" w:themeTint="F2"/>
        </w:rPr>
        <w:t xml:space="preserve"> could leave a department </w:t>
      </w:r>
      <w:r w:rsidR="00A56623">
        <w:rPr>
          <w:color w:val="0D0D0D" w:themeColor="text1" w:themeTint="F2"/>
        </w:rPr>
        <w:t xml:space="preserve">with </w:t>
      </w:r>
      <w:r w:rsidR="001C4A52">
        <w:rPr>
          <w:color w:val="0D0D0D" w:themeColor="text1" w:themeTint="F2"/>
        </w:rPr>
        <w:t>limited resources</w:t>
      </w:r>
      <w:r w:rsidR="006A2F5E">
        <w:rPr>
          <w:color w:val="0D0D0D" w:themeColor="text1" w:themeTint="F2"/>
        </w:rPr>
        <w:t>,</w:t>
      </w:r>
      <w:r w:rsidR="001C4A52">
        <w:rPr>
          <w:color w:val="0D0D0D" w:themeColor="text1" w:themeTint="F2"/>
        </w:rPr>
        <w:t xml:space="preserve"> which as a result, hinder the ‘process path’</w:t>
      </w:r>
      <w:r w:rsidR="00A72548">
        <w:rPr>
          <w:color w:val="0D0D0D" w:themeColor="text1" w:themeTint="F2"/>
        </w:rPr>
        <w:t xml:space="preserve"> between the input and o</w:t>
      </w:r>
      <w:r w:rsidR="00A56623">
        <w:rPr>
          <w:color w:val="0D0D0D" w:themeColor="text1" w:themeTint="F2"/>
        </w:rPr>
        <w:t>utput. However, Rutherford (2009</w:t>
      </w:r>
      <w:r w:rsidR="00A72548">
        <w:rPr>
          <w:color w:val="0D0D0D" w:themeColor="text1" w:themeTint="F2"/>
        </w:rPr>
        <w:t xml:space="preserve">) </w:t>
      </w:r>
      <w:r w:rsidR="006A2F5E">
        <w:rPr>
          <w:color w:val="0D0D0D" w:themeColor="text1" w:themeTint="F2"/>
        </w:rPr>
        <w:t xml:space="preserve">deems the strategic planning </w:t>
      </w:r>
      <w:r w:rsidR="009D5C61">
        <w:rPr>
          <w:color w:val="0D0D0D" w:themeColor="text1" w:themeTint="F2"/>
        </w:rPr>
        <w:t>‘change process’ as invaluable in developing as a teacher</w:t>
      </w:r>
      <w:r w:rsidR="006A2F5E">
        <w:rPr>
          <w:color w:val="0D0D0D" w:themeColor="text1" w:themeTint="F2"/>
        </w:rPr>
        <w:t xml:space="preserve">. Due to the ‘change process’ </w:t>
      </w:r>
      <w:r w:rsidR="009D5C61">
        <w:rPr>
          <w:color w:val="0D0D0D" w:themeColor="text1" w:themeTint="F2"/>
        </w:rPr>
        <w:t xml:space="preserve">there is a constant need to update, shift and in some cases steer away from somewhat conventional and traditional teaching methods, that today, may not be the best or most effective way of reaching the output. In conjunction with this </w:t>
      </w:r>
      <w:proofErr w:type="spellStart"/>
      <w:r w:rsidR="009D5C61">
        <w:rPr>
          <w:color w:val="0D0D0D" w:themeColor="text1" w:themeTint="F2"/>
        </w:rPr>
        <w:t>Grise</w:t>
      </w:r>
      <w:proofErr w:type="spellEnd"/>
      <w:r w:rsidR="009D5C61">
        <w:rPr>
          <w:color w:val="0D0D0D" w:themeColor="text1" w:themeTint="F2"/>
        </w:rPr>
        <w:t xml:space="preserve"> and Kaufman </w:t>
      </w:r>
      <w:r w:rsidR="00BE09B5">
        <w:rPr>
          <w:color w:val="0D0D0D" w:themeColor="text1" w:themeTint="F2"/>
        </w:rPr>
        <w:t>(1995) illuminate that by remaining within the comfort zone, one only increases their efficiency in accomplishing outmoded, unfinished or even wrong destinations; essentially “</w:t>
      </w:r>
      <w:r w:rsidR="00BE09B5" w:rsidRPr="00BE09B5">
        <w:rPr>
          <w:i/>
          <w:color w:val="0D0D0D" w:themeColor="text1" w:themeTint="F2"/>
        </w:rPr>
        <w:t>getting better and better at doing what should not be done at all</w:t>
      </w:r>
      <w:r w:rsidR="00BE09B5" w:rsidRPr="00FE2F54">
        <w:rPr>
          <w:color w:val="171717" w:themeColor="background2" w:themeShade="1A"/>
        </w:rPr>
        <w:t xml:space="preserve">” (Drucker, 1973). </w:t>
      </w:r>
      <w:r w:rsidR="006A2F5E" w:rsidRPr="00FE2F54">
        <w:rPr>
          <w:color w:val="171717" w:themeColor="background2" w:themeShade="1A"/>
        </w:rPr>
        <w:t xml:space="preserve">Strategic </w:t>
      </w:r>
      <w:r w:rsidR="006A2F5E">
        <w:rPr>
          <w:color w:val="0D0D0D" w:themeColor="text1" w:themeTint="F2"/>
        </w:rPr>
        <w:t xml:space="preserve">planning can be used to trial, test and implement new </w:t>
      </w:r>
      <w:r w:rsidR="00632AE9">
        <w:rPr>
          <w:color w:val="0D0D0D" w:themeColor="text1" w:themeTint="F2"/>
        </w:rPr>
        <w:t xml:space="preserve">teaching methods. It allows a teacher to constantly evolve and continuously develop their skills in a cyclic motion, where through trial and error, their teaching is advanced. </w:t>
      </w:r>
    </w:p>
    <w:p w:rsidR="00632AE9" w:rsidRDefault="00632AE9" w:rsidP="00FA3935">
      <w:pPr>
        <w:shd w:val="clear" w:color="auto" w:fill="FFFFFF"/>
        <w:spacing w:after="0" w:line="240" w:lineRule="auto"/>
        <w:textAlignment w:val="baseline"/>
        <w:rPr>
          <w:color w:val="FF0000"/>
        </w:rPr>
      </w:pPr>
    </w:p>
    <w:p w:rsidR="00632AE9" w:rsidRPr="00BF57FC" w:rsidRDefault="00632AE9" w:rsidP="00FA3935">
      <w:pPr>
        <w:shd w:val="clear" w:color="auto" w:fill="FFFFFF"/>
        <w:spacing w:after="0" w:line="240" w:lineRule="auto"/>
        <w:textAlignment w:val="baseline"/>
        <w:rPr>
          <w:color w:val="0D0D0D" w:themeColor="text1" w:themeTint="F2"/>
        </w:rPr>
      </w:pPr>
      <w:r>
        <w:rPr>
          <w:color w:val="0D0D0D" w:themeColor="text1" w:themeTint="F2"/>
        </w:rPr>
        <w:t xml:space="preserve">Drawing on the previously mentioned ideas of collaborative planning, </w:t>
      </w:r>
      <w:proofErr w:type="spellStart"/>
      <w:r w:rsidRPr="00651C1B">
        <w:rPr>
          <w:color w:val="171717" w:themeColor="background2" w:themeShade="1A"/>
        </w:rPr>
        <w:t>Fullan</w:t>
      </w:r>
      <w:proofErr w:type="spellEnd"/>
      <w:r w:rsidRPr="00651C1B">
        <w:rPr>
          <w:color w:val="171717" w:themeColor="background2" w:themeShade="1A"/>
        </w:rPr>
        <w:t xml:space="preserve"> (1997) </w:t>
      </w:r>
      <w:r>
        <w:rPr>
          <w:color w:val="0D0D0D" w:themeColor="text1" w:themeTint="F2"/>
        </w:rPr>
        <w:t>advise</w:t>
      </w:r>
      <w:r w:rsidR="00651C1B">
        <w:rPr>
          <w:color w:val="0D0D0D" w:themeColor="text1" w:themeTint="F2"/>
        </w:rPr>
        <w:t>s</w:t>
      </w:r>
      <w:r>
        <w:rPr>
          <w:color w:val="0D0D0D" w:themeColor="text1" w:themeTint="F2"/>
        </w:rPr>
        <w:t xml:space="preserve"> that before a change begins there must be an agreement amongst staff as to whether the outcomes in question are desirable and relational to the pre-set goals. </w:t>
      </w:r>
      <w:r w:rsidR="00AF5CF6">
        <w:rPr>
          <w:color w:val="0D0D0D" w:themeColor="text1" w:themeTint="F2"/>
        </w:rPr>
        <w:t xml:space="preserve">Any plan can be flawed or rendered useless based on whether or not the desired goals </w:t>
      </w:r>
      <w:r w:rsidR="00651C1B">
        <w:rPr>
          <w:color w:val="0D0D0D" w:themeColor="text1" w:themeTint="F2"/>
        </w:rPr>
        <w:t>can be implemented (</w:t>
      </w:r>
      <w:proofErr w:type="spellStart"/>
      <w:r w:rsidR="00651C1B">
        <w:rPr>
          <w:color w:val="0D0D0D" w:themeColor="text1" w:themeTint="F2"/>
        </w:rPr>
        <w:t>Fullan</w:t>
      </w:r>
      <w:proofErr w:type="spellEnd"/>
      <w:r w:rsidR="00651C1B">
        <w:rPr>
          <w:color w:val="0D0D0D" w:themeColor="text1" w:themeTint="F2"/>
        </w:rPr>
        <w:t xml:space="preserve">, </w:t>
      </w:r>
      <w:r w:rsidR="00AF5CF6">
        <w:rPr>
          <w:color w:val="0D0D0D" w:themeColor="text1" w:themeTint="F2"/>
        </w:rPr>
        <w:t>1997). A well-orchestrated strategic plan can be</w:t>
      </w:r>
      <w:r w:rsidR="00BF57FC">
        <w:rPr>
          <w:color w:val="0D0D0D" w:themeColor="text1" w:themeTint="F2"/>
        </w:rPr>
        <w:t xml:space="preserve"> a valuable asset used</w:t>
      </w:r>
      <w:r w:rsidR="00AF5CF6">
        <w:rPr>
          <w:color w:val="0D0D0D" w:themeColor="text1" w:themeTint="F2"/>
        </w:rPr>
        <w:t xml:space="preserve"> to engage and fully involve staff members</w:t>
      </w:r>
      <w:r w:rsidR="00BF57FC">
        <w:rPr>
          <w:color w:val="0D0D0D" w:themeColor="text1" w:themeTint="F2"/>
        </w:rPr>
        <w:t xml:space="preserve"> in whole school ‘</w:t>
      </w:r>
      <w:r w:rsidR="00BF57FC" w:rsidRPr="00651C1B">
        <w:rPr>
          <w:color w:val="171717" w:themeColor="background2" w:themeShade="1A"/>
        </w:rPr>
        <w:t>processes’</w:t>
      </w:r>
      <w:r w:rsidR="00AF5CF6" w:rsidRPr="00651C1B">
        <w:rPr>
          <w:color w:val="171717" w:themeColor="background2" w:themeShade="1A"/>
        </w:rPr>
        <w:t xml:space="preserve">. </w:t>
      </w:r>
      <w:r w:rsidR="00BF57FC" w:rsidRPr="00651C1B">
        <w:rPr>
          <w:color w:val="171717" w:themeColor="background2" w:themeShade="1A"/>
        </w:rPr>
        <w:t xml:space="preserve">Berman and McLaughlin (1976) </w:t>
      </w:r>
      <w:r w:rsidR="00BF57FC">
        <w:rPr>
          <w:color w:val="0D0D0D" w:themeColor="text1" w:themeTint="F2"/>
        </w:rPr>
        <w:t>argue that a successful implementation of a strategic plan is more likely to occur when a critical mass of support and commitment to the outcomes has been developed. Strategies presented to staff need to be diverse and well matched to the actual needs of the school or department in order to generate backing. School X needs to eliminate the inconsistencies in the deliverance of l</w:t>
      </w:r>
      <w:r w:rsidR="00E6526E">
        <w:rPr>
          <w:color w:val="0D0D0D" w:themeColor="text1" w:themeTint="F2"/>
        </w:rPr>
        <w:t>iteracy amongst teaching staff. T</w:t>
      </w:r>
      <w:r w:rsidR="00BF57FC">
        <w:rPr>
          <w:color w:val="0D0D0D" w:themeColor="text1" w:themeTint="F2"/>
        </w:rPr>
        <w:t xml:space="preserve">he DIP </w:t>
      </w:r>
      <w:r w:rsidR="00E6526E">
        <w:rPr>
          <w:color w:val="0D0D0D" w:themeColor="text1" w:themeTint="F2"/>
        </w:rPr>
        <w:t xml:space="preserve">(which has been constructed collaboratively) strategically plans to address the issue as a department rather </w:t>
      </w:r>
      <w:r w:rsidR="00E6526E">
        <w:rPr>
          <w:color w:val="0D0D0D" w:themeColor="text1" w:themeTint="F2"/>
        </w:rPr>
        <w:lastRenderedPageBreak/>
        <w:t xml:space="preserve">than as individuals, as this will address the inconsistencies staff are more likely to follow through with the plans. This should result in the inconsistencies being diminished as literacy will be delivered and assessed in the same way, using the same resources. An organizations capacity to progress is directly dependant on the organizations willingness and readiness to engage in the change process </w:t>
      </w:r>
      <w:r w:rsidR="00AC0535">
        <w:rPr>
          <w:color w:val="0D0D0D" w:themeColor="text1" w:themeTint="F2"/>
        </w:rPr>
        <w:t xml:space="preserve">(Rutherford, 2007). Therefore, for a strategic plan to thrive at its optimum effectiveness, there must be a common desire for the goals to be achieved. </w:t>
      </w:r>
    </w:p>
    <w:p w:rsidR="00F3425A" w:rsidRDefault="00F3425A" w:rsidP="00FA3935">
      <w:pPr>
        <w:shd w:val="clear" w:color="auto" w:fill="FFFFFF"/>
        <w:spacing w:after="0" w:line="240" w:lineRule="auto"/>
        <w:textAlignment w:val="baseline"/>
        <w:rPr>
          <w:color w:val="0D0D0D" w:themeColor="text1" w:themeTint="F2"/>
        </w:rPr>
      </w:pPr>
    </w:p>
    <w:p w:rsidR="00C0698F" w:rsidRDefault="00AC0535" w:rsidP="00FA3935">
      <w:pPr>
        <w:shd w:val="clear" w:color="auto" w:fill="FFFFFF"/>
        <w:spacing w:after="0" w:line="240" w:lineRule="auto"/>
        <w:textAlignment w:val="baseline"/>
        <w:rPr>
          <w:color w:val="171717" w:themeColor="background2" w:themeShade="1A"/>
        </w:rPr>
      </w:pPr>
      <w:r w:rsidRPr="00FE2F54">
        <w:rPr>
          <w:color w:val="171717" w:themeColor="background2" w:themeShade="1A"/>
        </w:rPr>
        <w:t>Knight (</w:t>
      </w:r>
      <w:r w:rsidR="00FE2F54" w:rsidRPr="00FE2F54">
        <w:rPr>
          <w:color w:val="171717" w:themeColor="background2" w:themeShade="1A"/>
        </w:rPr>
        <w:t>1997</w:t>
      </w:r>
      <w:r w:rsidRPr="00FE2F54">
        <w:rPr>
          <w:color w:val="171717" w:themeColor="background2" w:themeShade="1A"/>
        </w:rPr>
        <w:t xml:space="preserve">), </w:t>
      </w:r>
      <w:r>
        <w:rPr>
          <w:color w:val="171717" w:themeColor="background2" w:themeShade="1A"/>
        </w:rPr>
        <w:t>offering an</w:t>
      </w:r>
      <w:r w:rsidR="002C14C1">
        <w:rPr>
          <w:color w:val="171717" w:themeColor="background2" w:themeShade="1A"/>
        </w:rPr>
        <w:t xml:space="preserve"> almost</w:t>
      </w:r>
      <w:r>
        <w:rPr>
          <w:color w:val="171717" w:themeColor="background2" w:themeShade="1A"/>
        </w:rPr>
        <w:t xml:space="preserve"> opposing view, states that </w:t>
      </w:r>
      <w:r w:rsidR="002C14C1">
        <w:rPr>
          <w:color w:val="171717" w:themeColor="background2" w:themeShade="1A"/>
        </w:rPr>
        <w:t>the role of the strategic plan can be better achieved if there are multiple ways of reaching the objectives as there is likely to be more cooperation. “</w:t>
      </w:r>
      <w:r w:rsidR="002C14C1">
        <w:rPr>
          <w:i/>
          <w:color w:val="171717" w:themeColor="background2" w:themeShade="1A"/>
        </w:rPr>
        <w:t xml:space="preserve">If the goals implicit in a project’s design are not congruent with those of the project participants then the innovation is likely to be symbolically implemented or not implemented at all” </w:t>
      </w:r>
      <w:r w:rsidR="002C14C1" w:rsidRPr="002C14C1">
        <w:rPr>
          <w:color w:val="171717" w:themeColor="background2" w:themeShade="1A"/>
        </w:rPr>
        <w:t>(Berman and McLaughlin, 1976).</w:t>
      </w:r>
      <w:r w:rsidR="002C14C1">
        <w:rPr>
          <w:i/>
          <w:color w:val="171717" w:themeColor="background2" w:themeShade="1A"/>
        </w:rPr>
        <w:t xml:space="preserve"> </w:t>
      </w:r>
      <w:r w:rsidR="002C14C1">
        <w:rPr>
          <w:color w:val="171717" w:themeColor="background2" w:themeShade="1A"/>
        </w:rPr>
        <w:t>If the plans put in place still fail to succeed, Knight’s (1997) penultimate step in his six part systems analysis breakdown</w:t>
      </w:r>
      <w:r w:rsidR="004D2206">
        <w:rPr>
          <w:color w:val="171717" w:themeColor="background2" w:themeShade="1A"/>
        </w:rPr>
        <w:t>,</w:t>
      </w:r>
      <w:r w:rsidR="002C14C1">
        <w:rPr>
          <w:color w:val="171717" w:themeColor="background2" w:themeShade="1A"/>
        </w:rPr>
        <w:t xml:space="preserve"> highlights the importance of having a contingency plan. Again, drawing on his previously mentioned ideas, if there are multiple routes to reach the output then theoretically, a contingency plan should already exist. If this approach hasn’t been taken, then it is advis</w:t>
      </w:r>
      <w:r w:rsidR="00E56BFE">
        <w:rPr>
          <w:color w:val="171717" w:themeColor="background2" w:themeShade="1A"/>
        </w:rPr>
        <w:t xml:space="preserve">able that a contingency plan is created. To summarize, it is clear that strategic plans are invaluable within a school and commonly used on a daily basis. There appears to be no correct way of strategic planning, however, goals are more likely to be achieved if; all relevant parties are consulted; it is personal and specific to the school or organization and the plan is adaptable. </w:t>
      </w:r>
    </w:p>
    <w:p w:rsidR="00C649A8" w:rsidRPr="00C649A8" w:rsidRDefault="00C649A8" w:rsidP="00FA3935">
      <w:pPr>
        <w:shd w:val="clear" w:color="auto" w:fill="FFFFFF"/>
        <w:spacing w:after="0" w:line="240" w:lineRule="auto"/>
        <w:textAlignment w:val="baseline"/>
        <w:rPr>
          <w:color w:val="171717" w:themeColor="background2" w:themeShade="1A"/>
        </w:rPr>
      </w:pPr>
    </w:p>
    <w:p w:rsidR="008D7B36" w:rsidRDefault="00E56BFE">
      <w:r>
        <w:t>Currently, School X’s strategic plans, as mentioned when introducing the DIP and SIP</w:t>
      </w:r>
      <w:r w:rsidR="009539EB">
        <w:t>,</w:t>
      </w:r>
      <w:r>
        <w:t xml:space="preserve"> </w:t>
      </w:r>
      <w:r w:rsidR="00507161">
        <w:t xml:space="preserve">all contain a literacy focus of some sort. </w:t>
      </w:r>
      <w:r w:rsidR="00D15657">
        <w:t xml:space="preserve">Movements to improve school age literacy over the last two decades began with the ‘new’ Labour government in 1997 when the ‘National Literacy Project’ was deployed (Department for Education and Employment 1997). However, flaws with the model quickly developed as it was predominantly aimed at and based on the English primary school (Lewis and Wray, 2014). Although the report had a less detailed focus on the secondary school, several recommendations were set out with the expectation that they would be implemented over the next two years (1998/1999). One of the main arguments outlined in the report, even then, was that literacy should be a shared responsibility amongst teaching staff across all subjects and not exclusively the responsibility of the English and </w:t>
      </w:r>
      <w:proofErr w:type="gramStart"/>
      <w:r w:rsidR="00D15657">
        <w:t>learning</w:t>
      </w:r>
      <w:proofErr w:type="gramEnd"/>
      <w:r w:rsidR="00D15657">
        <w:t xml:space="preserve"> support departments (DFEE, 1997). </w:t>
      </w:r>
      <w:r w:rsidR="008D7B36">
        <w:t>In more recent years, it has been made apparent that there is still a general reluctance and element of ‘foot-dragging’ when it comes to incorporating literacy into subjects that are not English</w:t>
      </w:r>
      <w:r w:rsidR="00305420">
        <w:t>.</w:t>
      </w:r>
      <w:r w:rsidR="008D7B36">
        <w:t xml:space="preserve"> </w:t>
      </w:r>
      <w:r w:rsidR="00305420">
        <w:t>This shared responsibility is being ignored across the United Kingdom</w:t>
      </w:r>
      <w:r w:rsidR="00C11E3A">
        <w:t xml:space="preserve"> (O</w:t>
      </w:r>
      <w:r w:rsidR="00305420">
        <w:t>fsted, 2013)</w:t>
      </w:r>
      <w:r w:rsidR="008D7B36">
        <w:t xml:space="preserve">. </w:t>
      </w:r>
    </w:p>
    <w:p w:rsidR="00E409CD" w:rsidRPr="005206BA" w:rsidRDefault="00732E97">
      <w:pPr>
        <w:rPr>
          <w:color w:val="0D0D0D" w:themeColor="text1" w:themeTint="F2"/>
        </w:rPr>
      </w:pPr>
      <w:r>
        <w:t>I</w:t>
      </w:r>
      <w:r w:rsidR="00D15657">
        <w:t xml:space="preserve">n Wales there is still a nationwide requirement to raise literacy standards within and across the entire curriculum. </w:t>
      </w:r>
      <w:r w:rsidR="008D7B36">
        <w:t>The Welsh Government envision</w:t>
      </w:r>
      <w:r w:rsidR="00F55EF8">
        <w:t xml:space="preserve"> literacy and numeracy </w:t>
      </w:r>
      <w:r w:rsidR="00D15657">
        <w:t>at the core of all learning in W</w:t>
      </w:r>
      <w:r w:rsidR="00F55EF8">
        <w:t>elsh schools</w:t>
      </w:r>
      <w:r w:rsidR="00C0698F">
        <w:t xml:space="preserve"> and developed the Literacy and Numeracy Framework [LNF] in order to do this</w:t>
      </w:r>
      <w:r w:rsidR="00CF30A1">
        <w:t xml:space="preserve"> (Welsh Government, 2013)</w:t>
      </w:r>
      <w:r w:rsidR="00C0698F">
        <w:t xml:space="preserve">. </w:t>
      </w:r>
      <w:r w:rsidR="00B627DA">
        <w:t>Following the introduction of the</w:t>
      </w:r>
      <w:r w:rsidR="00C0698F">
        <w:t xml:space="preserve"> LNF </w:t>
      </w:r>
      <w:r w:rsidR="00B738FD">
        <w:t xml:space="preserve">in 2013, </w:t>
      </w:r>
      <w:r w:rsidR="00B627DA">
        <w:t xml:space="preserve">teachers in Wales are required to </w:t>
      </w:r>
      <w:r w:rsidR="00B738FD">
        <w:t xml:space="preserve">develop subject content that ensures that all pupils taught by them are presented with opportunities to develop skills outlined in the </w:t>
      </w:r>
      <w:r w:rsidR="00B738FD" w:rsidRPr="00651C1B">
        <w:rPr>
          <w:color w:val="171717" w:themeColor="background2" w:themeShade="1A"/>
        </w:rPr>
        <w:t xml:space="preserve">framework (Welsh Government, 2013). </w:t>
      </w:r>
      <w:r w:rsidR="008D7B36">
        <w:rPr>
          <w:color w:val="171717" w:themeColor="background2" w:themeShade="1A"/>
        </w:rPr>
        <w:t xml:space="preserve">The framework is a tool that can be used by teachers, illustrating what could and should be included within lessons and schemes of work they design. </w:t>
      </w:r>
      <w:r w:rsidR="00820A72" w:rsidRPr="00651C1B">
        <w:rPr>
          <w:color w:val="171717" w:themeColor="background2" w:themeShade="1A"/>
        </w:rPr>
        <w:t xml:space="preserve">It </w:t>
      </w:r>
      <w:r w:rsidR="00820A72">
        <w:t xml:space="preserve">is expected that reading, writing and </w:t>
      </w:r>
      <w:proofErr w:type="spellStart"/>
      <w:r w:rsidR="00820A72">
        <w:t>oracy</w:t>
      </w:r>
      <w:proofErr w:type="spellEnd"/>
      <w:r w:rsidR="00820A72">
        <w:t xml:space="preserve"> will improve across the curriculum when literacy is appropriately integrated into lesson content; regardle</w:t>
      </w:r>
      <w:r w:rsidR="00CF30A1">
        <w:t>ss of the subject being taught.</w:t>
      </w:r>
      <w:r w:rsidR="00FA12A5">
        <w:t xml:space="preserve"> This is of increasing importance as</w:t>
      </w:r>
      <w:r w:rsidR="00FA12A5">
        <w:rPr>
          <w:color w:val="171717" w:themeColor="background2" w:themeShade="1A"/>
        </w:rPr>
        <w:t xml:space="preserve"> </w:t>
      </w:r>
      <w:r w:rsidR="00CC0CA9">
        <w:t>students are now more likely to struggle with the literacy demands of a ‘complex technological society’</w:t>
      </w:r>
      <w:r w:rsidR="00FA12A5">
        <w:t xml:space="preserve"> (Lewis and Wray, </w:t>
      </w:r>
      <w:r w:rsidR="00FA12A5" w:rsidRPr="00477D53">
        <w:rPr>
          <w:color w:val="0D0D0D" w:themeColor="text1" w:themeTint="F2"/>
        </w:rPr>
        <w:t>2014)</w:t>
      </w:r>
      <w:r w:rsidR="00CC0CA9" w:rsidRPr="00477D53">
        <w:rPr>
          <w:color w:val="0D0D0D" w:themeColor="text1" w:themeTint="F2"/>
        </w:rPr>
        <w:t xml:space="preserve">. </w:t>
      </w:r>
      <w:r w:rsidR="005206BA" w:rsidRPr="00477D53">
        <w:rPr>
          <w:color w:val="0D0D0D" w:themeColor="text1" w:themeTint="F2"/>
        </w:rPr>
        <w:t xml:space="preserve">Estyn (2015) report </w:t>
      </w:r>
      <w:r w:rsidR="005206BA">
        <w:rPr>
          <w:color w:val="0D0D0D" w:themeColor="text1" w:themeTint="F2"/>
        </w:rPr>
        <w:t>that although students may do well in English and Welsh examinations, transferring the skills to other subject and contexts does not always occur.</w:t>
      </w:r>
      <w:r w:rsidR="00E409CD">
        <w:rPr>
          <w:color w:val="0D0D0D" w:themeColor="text1" w:themeTint="F2"/>
        </w:rPr>
        <w:t xml:space="preserve"> </w:t>
      </w:r>
    </w:p>
    <w:p w:rsidR="004B1902" w:rsidRDefault="00E409CD">
      <w:pPr>
        <w:rPr>
          <w:color w:val="0D0D0D" w:themeColor="text1" w:themeTint="F2"/>
        </w:rPr>
      </w:pPr>
      <w:r>
        <w:rPr>
          <w:color w:val="171717" w:themeColor="background2" w:themeShade="1A"/>
        </w:rPr>
        <w:lastRenderedPageBreak/>
        <w:t xml:space="preserve">A common issue with improving literacy standards in secondary schools has been the lack of data. This makes it difficult to pinpoint and address common issues or ‘gaps in the knowledge’ amongst a class, year group, school, constituency or even nation. Lewis and Wray (2014) </w:t>
      </w:r>
      <w:r w:rsidR="002725D3">
        <w:rPr>
          <w:color w:val="171717" w:themeColor="background2" w:themeShade="1A"/>
        </w:rPr>
        <w:t>recognise the difficulty in comparing literacy standards</w:t>
      </w:r>
      <w:r w:rsidR="001D6DA8">
        <w:rPr>
          <w:color w:val="171717" w:themeColor="background2" w:themeShade="1A"/>
        </w:rPr>
        <w:t xml:space="preserve"> and areas for improvement over</w:t>
      </w:r>
      <w:r w:rsidR="002725D3">
        <w:rPr>
          <w:color w:val="171717" w:themeColor="background2" w:themeShade="1A"/>
        </w:rPr>
        <w:t xml:space="preserve">time as there are </w:t>
      </w:r>
      <w:r w:rsidR="001D6DA8">
        <w:rPr>
          <w:color w:val="171717" w:themeColor="background2" w:themeShade="1A"/>
        </w:rPr>
        <w:t>concerns when regarding</w:t>
      </w:r>
      <w:r w:rsidR="002725D3">
        <w:rPr>
          <w:color w:val="171717" w:themeColor="background2" w:themeShade="1A"/>
        </w:rPr>
        <w:t xml:space="preserve"> what is actually being compared</w:t>
      </w:r>
      <w:r w:rsidR="001D6DA8">
        <w:rPr>
          <w:color w:val="171717" w:themeColor="background2" w:themeShade="1A"/>
        </w:rPr>
        <w:t>. L</w:t>
      </w:r>
      <w:r w:rsidR="002725D3">
        <w:rPr>
          <w:color w:val="171717" w:themeColor="background2" w:themeShade="1A"/>
        </w:rPr>
        <w:t xml:space="preserve">iteracy has been </w:t>
      </w:r>
      <w:r w:rsidR="001D6DA8">
        <w:rPr>
          <w:color w:val="171717" w:themeColor="background2" w:themeShade="1A"/>
        </w:rPr>
        <w:t xml:space="preserve">interpreted, </w:t>
      </w:r>
      <w:r w:rsidR="002725D3">
        <w:rPr>
          <w:color w:val="171717" w:themeColor="background2" w:themeShade="1A"/>
        </w:rPr>
        <w:t>taught, tested and measured through different methods</w:t>
      </w:r>
      <w:r w:rsidR="001D6DA8">
        <w:rPr>
          <w:color w:val="171717" w:themeColor="background2" w:themeShade="1A"/>
        </w:rPr>
        <w:t xml:space="preserve"> across schools</w:t>
      </w:r>
      <w:r w:rsidR="002725D3">
        <w:rPr>
          <w:color w:val="171717" w:themeColor="background2" w:themeShade="1A"/>
        </w:rPr>
        <w:t xml:space="preserve"> for a number of years. </w:t>
      </w:r>
      <w:r w:rsidR="001D6DA8">
        <w:rPr>
          <w:color w:val="171717" w:themeColor="background2" w:themeShade="1A"/>
        </w:rPr>
        <w:t>In an attempt to standardise and track both literacy and numeracy</w:t>
      </w:r>
      <w:r w:rsidR="008761C3">
        <w:rPr>
          <w:color w:val="171717" w:themeColor="background2" w:themeShade="1A"/>
        </w:rPr>
        <w:t xml:space="preserve"> performance across Wales the National Literacy and Numeracy Tests were rolled out in 2013 so accurate comparisons could be made between </w:t>
      </w:r>
      <w:r w:rsidR="008761C3" w:rsidRPr="00527B73">
        <w:rPr>
          <w:color w:val="0D0D0D" w:themeColor="text1" w:themeTint="F2"/>
        </w:rPr>
        <w:t>scores (Welsh Government, 2013).</w:t>
      </w:r>
      <w:r w:rsidR="00784AB2" w:rsidRPr="00527B73">
        <w:rPr>
          <w:color w:val="0D0D0D" w:themeColor="text1" w:themeTint="F2"/>
        </w:rPr>
        <w:t xml:space="preserve"> </w:t>
      </w:r>
      <w:r w:rsidR="00A211F3" w:rsidRPr="00527B73">
        <w:rPr>
          <w:color w:val="0D0D0D" w:themeColor="text1" w:themeTint="F2"/>
        </w:rPr>
        <w:t xml:space="preserve">As </w:t>
      </w:r>
      <w:r w:rsidR="00A211F3">
        <w:rPr>
          <w:color w:val="0D0D0D" w:themeColor="text1" w:themeTint="F2"/>
        </w:rPr>
        <w:t>well as partaking in these national test</w:t>
      </w:r>
      <w:r w:rsidR="00A211F3" w:rsidRPr="00477D53">
        <w:rPr>
          <w:color w:val="0D0D0D" w:themeColor="text1" w:themeTint="F2"/>
        </w:rPr>
        <w:t xml:space="preserve">, Estyn (2015) argue </w:t>
      </w:r>
      <w:r w:rsidR="00A211F3">
        <w:rPr>
          <w:color w:val="0D0D0D" w:themeColor="text1" w:themeTint="F2"/>
        </w:rPr>
        <w:t xml:space="preserve">that still, more individualised data is needed. In their KS3 interim report it is recommended that school’s should also track and monitor the progress of their pupils literacy progress – particularly of those who are more able and those who are part of literacy intervention schemes (Estyn, 2015). The tracking of literacy was deemed underdeveloped in most Welsh schools although progress was tracked appropriately in most other subjects. </w:t>
      </w:r>
      <w:r w:rsidR="004B1902">
        <w:rPr>
          <w:color w:val="0D0D0D" w:themeColor="text1" w:themeTint="F2"/>
        </w:rPr>
        <w:t xml:space="preserve">Improving the tracking and monitoring of literacy will not only allow schools to recognise weaknesses in an individual’s grasp of literacy but also to understand and become aware of areas in their delivery of literacy that require improvement.  </w:t>
      </w:r>
    </w:p>
    <w:p w:rsidR="009539EB" w:rsidRDefault="004B1902">
      <w:pPr>
        <w:rPr>
          <w:color w:val="0D0D0D" w:themeColor="text1" w:themeTint="F2"/>
        </w:rPr>
      </w:pPr>
      <w:r>
        <w:rPr>
          <w:color w:val="0D0D0D" w:themeColor="text1" w:themeTint="F2"/>
        </w:rPr>
        <w:t xml:space="preserve">A national priority that first came to light in 2010 when the ‘Developing higher order literacy skills across the curriculum’ was introduced by what was then called ‘The Welsh Assembly Government’ was the lack of ‘depth’ in classroom based </w:t>
      </w:r>
      <w:r w:rsidRPr="00121257">
        <w:rPr>
          <w:color w:val="0D0D0D" w:themeColor="text1" w:themeTint="F2"/>
        </w:rPr>
        <w:t>literacy (Welsh Assembly Government, 2010). Estyn</w:t>
      </w:r>
      <w:r w:rsidR="00B16F89">
        <w:rPr>
          <w:color w:val="0D0D0D" w:themeColor="text1" w:themeTint="F2"/>
        </w:rPr>
        <w:t xml:space="preserve"> </w:t>
      </w:r>
      <w:r w:rsidR="00C66980">
        <w:rPr>
          <w:color w:val="0D0D0D" w:themeColor="text1" w:themeTint="F2"/>
        </w:rPr>
        <w:t>(2015)</w:t>
      </w:r>
      <w:r>
        <w:rPr>
          <w:color w:val="0D0D0D" w:themeColor="text1" w:themeTint="F2"/>
        </w:rPr>
        <w:t xml:space="preserve"> have since</w:t>
      </w:r>
      <w:r w:rsidR="00527B73">
        <w:rPr>
          <w:color w:val="0D0D0D" w:themeColor="text1" w:themeTint="F2"/>
        </w:rPr>
        <w:t xml:space="preserve"> expanded on this and</w:t>
      </w:r>
      <w:r>
        <w:rPr>
          <w:color w:val="0D0D0D" w:themeColor="text1" w:themeTint="F2"/>
        </w:rPr>
        <w:t xml:space="preserve"> reported that the efforts being made to include higher-order </w:t>
      </w:r>
      <w:r w:rsidR="00527B73" w:rsidRPr="00527B73">
        <w:rPr>
          <w:color w:val="0D0D0D" w:themeColor="text1" w:themeTint="F2"/>
        </w:rPr>
        <w:t>(Bloom, 1956</w:t>
      </w:r>
      <w:r w:rsidRPr="00527B73">
        <w:rPr>
          <w:color w:val="0D0D0D" w:themeColor="text1" w:themeTint="F2"/>
        </w:rPr>
        <w:t xml:space="preserve">) </w:t>
      </w:r>
      <w:r w:rsidR="00C66980" w:rsidRPr="00527B73">
        <w:rPr>
          <w:color w:val="0D0D0D" w:themeColor="text1" w:themeTint="F2"/>
        </w:rPr>
        <w:t xml:space="preserve">reading </w:t>
      </w:r>
      <w:r w:rsidR="00C66980">
        <w:rPr>
          <w:color w:val="0D0D0D" w:themeColor="text1" w:themeTint="F2"/>
        </w:rPr>
        <w:t>and writing skills are still not of enough challenge. Lack of development in some areas has been attributed to the swift introduction of the LNF which resulted in schools being left with little time to prepare well enough for it (Estyn, 2015). Drawing back on the issues and flaws surrounding strategic planning, if staff are left with little time to process new information, then they will fail to fully engage with the ‘change process’ and ‘the change’ being implemented; which in this case would be the requirements of the LNF (</w:t>
      </w:r>
      <w:proofErr w:type="spellStart"/>
      <w:r w:rsidR="00C66980">
        <w:rPr>
          <w:color w:val="0D0D0D" w:themeColor="text1" w:themeTint="F2"/>
        </w:rPr>
        <w:t>Stringfield</w:t>
      </w:r>
      <w:proofErr w:type="spellEnd"/>
      <w:r w:rsidR="00C66980">
        <w:rPr>
          <w:color w:val="0D0D0D" w:themeColor="text1" w:themeTint="F2"/>
        </w:rPr>
        <w:t xml:space="preserve"> and Ross, 1977). Without enthusiasm, willingness to participate and commitment, it is highly likely that ‘the change’ will not be carried out to its full potential (Berman and </w:t>
      </w:r>
      <w:proofErr w:type="spellStart"/>
      <w:r w:rsidR="00C66980">
        <w:rPr>
          <w:color w:val="0D0D0D" w:themeColor="text1" w:themeTint="F2"/>
        </w:rPr>
        <w:t>Mclaughlin</w:t>
      </w:r>
      <w:proofErr w:type="spellEnd"/>
      <w:r w:rsidR="00C66980">
        <w:rPr>
          <w:color w:val="0D0D0D" w:themeColor="text1" w:themeTint="F2"/>
        </w:rPr>
        <w:t xml:space="preserve">, 1976). </w:t>
      </w:r>
      <w:r w:rsidR="009539EB">
        <w:rPr>
          <w:color w:val="0D0D0D" w:themeColor="text1" w:themeTint="F2"/>
        </w:rPr>
        <w:t xml:space="preserve">It was advised both in 2010 and 2013 that school’s senior leadership teams appoint a literacy co-ordinator to not only track progress but also to </w:t>
      </w:r>
      <w:proofErr w:type="gramStart"/>
      <w:r w:rsidR="009539EB">
        <w:rPr>
          <w:color w:val="0D0D0D" w:themeColor="text1" w:themeTint="F2"/>
        </w:rPr>
        <w:t>advise</w:t>
      </w:r>
      <w:proofErr w:type="gramEnd"/>
      <w:r w:rsidR="009539EB">
        <w:rPr>
          <w:color w:val="0D0D0D" w:themeColor="text1" w:themeTint="F2"/>
        </w:rPr>
        <w:t xml:space="preserve"> and support teaching staff in the deliverance of literacy and ensure consistency in this deliverance across all subjects (Welsh Government, 2010 and 2015). </w:t>
      </w:r>
      <w:r w:rsidR="002E30E9">
        <w:rPr>
          <w:color w:val="0D0D0D" w:themeColor="text1" w:themeTint="F2"/>
        </w:rPr>
        <w:t xml:space="preserve">Barriers to accessing, understanding and correctly delivering the LNF have also been recognised by the Welsh Government. The framework is now fully interactive online and is underpinned with substantial exemplar materials for all subjects. The e-links provided literally map out the lesson into bitesize steps and come together with all the resources needed so teachers can deliver these literacy support materials with ease. </w:t>
      </w:r>
      <w:r w:rsidR="00D72980">
        <w:rPr>
          <w:color w:val="0D0D0D" w:themeColor="text1" w:themeTint="F2"/>
        </w:rPr>
        <w:t xml:space="preserve">Examples available range from developing and presenting a balanced argument on climate change in Geography to writing reflectively on life in space in Science. </w:t>
      </w:r>
    </w:p>
    <w:p w:rsidR="006C4949" w:rsidRDefault="007372BC">
      <w:pPr>
        <w:rPr>
          <w:color w:val="0D0D0D" w:themeColor="text1" w:themeTint="F2"/>
        </w:rPr>
      </w:pPr>
      <w:r>
        <w:rPr>
          <w:color w:val="0D0D0D" w:themeColor="text1" w:themeTint="F2"/>
        </w:rPr>
        <w:t xml:space="preserve">As previously examined, the variation in the quality of teaching and assessment in relation to the provision for literacy in School X was criticised in the recent inspection report (Estyn, 2018). </w:t>
      </w:r>
      <w:r w:rsidR="00EE1C6D">
        <w:rPr>
          <w:color w:val="0D0D0D" w:themeColor="text1" w:themeTint="F2"/>
        </w:rPr>
        <w:t xml:space="preserve">In their National Literacy and Numeracy programme, the Welsh Government state that to make sense of the world young people need an understanding of written language and how to communicate it accurately, fluently and </w:t>
      </w:r>
      <w:r w:rsidR="00EE1C6D" w:rsidRPr="00392B1E">
        <w:rPr>
          <w:color w:val="0D0D0D" w:themeColor="text1" w:themeTint="F2"/>
        </w:rPr>
        <w:t xml:space="preserve">persuasively (Welsh Government, 2012). The </w:t>
      </w:r>
      <w:r w:rsidR="00EE1C6D">
        <w:rPr>
          <w:color w:val="0D0D0D" w:themeColor="text1" w:themeTint="F2"/>
        </w:rPr>
        <w:t>inspection report noted that some learners did not understand their intended audience, so therefore, did not write appropriately when addressing them; learners made incorrect language choices and wrote in the wrong tone (Estyn, 2018).</w:t>
      </w:r>
      <w:r w:rsidR="0010205C">
        <w:rPr>
          <w:color w:val="0D0D0D" w:themeColor="text1" w:themeTint="F2"/>
        </w:rPr>
        <w:t xml:space="preserve"> In response to this, School X’s literacy co-ordinator, who was appointed in line with 2010’s Welsh Government guidelines by having sufficient status and experience (Head of English), tackled the issues highlighted in the report head on at the start of the 2018/2019 academic year. The </w:t>
      </w:r>
      <w:r w:rsidR="0010205C">
        <w:rPr>
          <w:color w:val="0D0D0D" w:themeColor="text1" w:themeTint="F2"/>
        </w:rPr>
        <w:lastRenderedPageBreak/>
        <w:t>first ‘Continuing Professional Development’ [CPD] session on literacy, developed by the literacy co-ordinator explored ‘Pre-Writing’ and how to d</w:t>
      </w:r>
      <w:r w:rsidR="00740920">
        <w:rPr>
          <w:color w:val="0D0D0D" w:themeColor="text1" w:themeTint="F2"/>
        </w:rPr>
        <w:t xml:space="preserve">eliver it. Teaching staff were shown how </w:t>
      </w:r>
      <w:r w:rsidR="0010205C">
        <w:rPr>
          <w:color w:val="0D0D0D" w:themeColor="text1" w:themeTint="F2"/>
        </w:rPr>
        <w:t>to make learners aware of the purpose, audience</w:t>
      </w:r>
      <w:r w:rsidR="00740920">
        <w:rPr>
          <w:color w:val="0D0D0D" w:themeColor="text1" w:themeTint="F2"/>
        </w:rPr>
        <w:t xml:space="preserve">, form and tone of writing tasks and how to ensure that learners fully understood these four concepts before they began writing.  </w:t>
      </w:r>
      <w:r w:rsidR="006C4949">
        <w:rPr>
          <w:color w:val="0D0D0D" w:themeColor="text1" w:themeTint="F2"/>
        </w:rPr>
        <w:t xml:space="preserve">All departments will trial this in one of their new mid-term literacy assessments which were incorporated into all schemes of work across all subject for the 2018/2019 academic year. </w:t>
      </w:r>
      <w:r w:rsidR="001B2D9B">
        <w:rPr>
          <w:color w:val="0D0D0D" w:themeColor="text1" w:themeTint="F2"/>
        </w:rPr>
        <w:t>This idea, came from the School X’s recently formed ‘Literacy Development Plan’ [LDP] (</w:t>
      </w:r>
      <w:r w:rsidR="001B2D9B" w:rsidRPr="00392B1E">
        <w:rPr>
          <w:color w:val="0D0D0D" w:themeColor="text1" w:themeTint="F2"/>
        </w:rPr>
        <w:t>Appendix 3</w:t>
      </w:r>
      <w:r w:rsidR="001B2D9B">
        <w:rPr>
          <w:color w:val="0D0D0D" w:themeColor="text1" w:themeTint="F2"/>
        </w:rPr>
        <w:t>) which was a product of the SIP. To ensure there is consistency from one department to another</w:t>
      </w:r>
      <w:r w:rsidR="00353CEE">
        <w:rPr>
          <w:color w:val="0D0D0D" w:themeColor="text1" w:themeTint="F2"/>
        </w:rPr>
        <w:t>,</w:t>
      </w:r>
      <w:r w:rsidR="001B2D9B">
        <w:rPr>
          <w:color w:val="0D0D0D" w:themeColor="text1" w:themeTint="F2"/>
        </w:rPr>
        <w:t xml:space="preserve"> </w:t>
      </w:r>
      <w:r w:rsidR="00353CEE">
        <w:rPr>
          <w:color w:val="0D0D0D" w:themeColor="text1" w:themeTint="F2"/>
        </w:rPr>
        <w:t xml:space="preserve">all new schemes of work created will be subject to both a literacy and numeracy audit by the relevant co-ordinators to ensure that appropriate levels of skills outlined in the LNF are incorporated. Again, for the same reasons, all mid-term literacy assessment proposals must be overseen by the literacy co-ordinator and senior management. </w:t>
      </w:r>
      <w:r w:rsidR="00393FC1">
        <w:rPr>
          <w:color w:val="0D0D0D" w:themeColor="text1" w:themeTint="F2"/>
        </w:rPr>
        <w:t xml:space="preserve">This emulates </w:t>
      </w:r>
      <w:r w:rsidR="00757D23">
        <w:rPr>
          <w:color w:val="0D0D0D" w:themeColor="text1" w:themeTint="F2"/>
        </w:rPr>
        <w:t>Joyner</w:t>
      </w:r>
      <w:r w:rsidR="00393FC1">
        <w:rPr>
          <w:color w:val="0D0D0D" w:themeColor="text1" w:themeTint="F2"/>
        </w:rPr>
        <w:t>’s</w:t>
      </w:r>
      <w:r w:rsidR="00757D23">
        <w:rPr>
          <w:color w:val="0D0D0D" w:themeColor="text1" w:themeTint="F2"/>
        </w:rPr>
        <w:t xml:space="preserve"> </w:t>
      </w:r>
      <w:r w:rsidR="00393FC1">
        <w:rPr>
          <w:color w:val="0D0D0D" w:themeColor="text1" w:themeTint="F2"/>
        </w:rPr>
        <w:t>(</w:t>
      </w:r>
      <w:r w:rsidR="00757D23">
        <w:rPr>
          <w:color w:val="0D0D0D" w:themeColor="text1" w:themeTint="F2"/>
        </w:rPr>
        <w:t>1998</w:t>
      </w:r>
      <w:r w:rsidR="00393FC1">
        <w:rPr>
          <w:color w:val="0D0D0D" w:themeColor="text1" w:themeTint="F2"/>
        </w:rPr>
        <w:t xml:space="preserve">) recognition of the importance of sharing the responsibility of a problem if all are to share responsibility of its resolution. </w:t>
      </w:r>
    </w:p>
    <w:p w:rsidR="006C4949" w:rsidRDefault="006C4949">
      <w:pPr>
        <w:rPr>
          <w:color w:val="0D0D0D" w:themeColor="text1" w:themeTint="F2"/>
        </w:rPr>
      </w:pPr>
      <w:r>
        <w:rPr>
          <w:color w:val="0D0D0D" w:themeColor="text1" w:themeTint="F2"/>
        </w:rPr>
        <w:t>Estyn (2018) also commented on the learner’s lack of proof reading and inability to edit well enough as well as the lack of sufficient feedback and guidance they were provided wit</w:t>
      </w:r>
      <w:r w:rsidR="00B16F89">
        <w:rPr>
          <w:color w:val="0D0D0D" w:themeColor="text1" w:themeTint="F2"/>
        </w:rPr>
        <w:t xml:space="preserve">h on how to improve their work. School X have acted upon these comments, which are evidently linked in some way, by developing a new school literacy marking policy. This marking policy will also assist in addressing the pupil’s “underdeveloped punctuation, grammar and spelling” (Estyn, 2018). </w:t>
      </w:r>
      <w:r w:rsidR="007116B1">
        <w:rPr>
          <w:color w:val="0D0D0D" w:themeColor="text1" w:themeTint="F2"/>
        </w:rPr>
        <w:t>The new literacy marking policy (named in Appendix 3) which will be used to assess all written work, including the mid-term literacy assessments will illustrate the abilities and progress of each pupil individually. Weaknesses in a pupil’s grasp of literacy will come to light and with appropriate feedback, the relevant steps can be taken for improvements and progress to be made (Welsh Government, 2015) (Estyn, 2018). As well as highlighting mistakes in written work for example, capital letter faults, misspellings and misused or missing punctuation, the literacy marking policy emphasises that meaningful comments/feedback should also be given (Estyn, 2019). Appropriate feedback (when given), will notify learners as to where they went wrong and demonstrate where ‘edits’ (Estyn, 2018) need to be made. When learners receive regular feedback, they become more self-aware and recognise the common m</w:t>
      </w:r>
      <w:r w:rsidR="00586CC4">
        <w:rPr>
          <w:color w:val="0D0D0D" w:themeColor="text1" w:themeTint="F2"/>
        </w:rPr>
        <w:t xml:space="preserve">istakes that they make. Effective feedback leads to learning gains (Black and </w:t>
      </w:r>
      <w:proofErr w:type="spellStart"/>
      <w:r w:rsidR="00586CC4">
        <w:rPr>
          <w:color w:val="0D0D0D" w:themeColor="text1" w:themeTint="F2"/>
        </w:rPr>
        <w:t>Wiliam</w:t>
      </w:r>
      <w:proofErr w:type="spellEnd"/>
      <w:r w:rsidR="00586CC4">
        <w:rPr>
          <w:color w:val="0D0D0D" w:themeColor="text1" w:themeTint="F2"/>
        </w:rPr>
        <w:t xml:space="preserve">, 1998) and over time, with the right support, learners will become better at noticing the areas for improvement within their own work (Nichol and </w:t>
      </w:r>
      <w:r w:rsidR="00586CC4" w:rsidRPr="00586CC4">
        <w:rPr>
          <w:rFonts w:cs="Arial"/>
          <w:color w:val="222222"/>
          <w:shd w:val="clear" w:color="auto" w:fill="FFFFFF"/>
        </w:rPr>
        <w:t>Macfarlane</w:t>
      </w:r>
      <w:r w:rsidR="00586CC4" w:rsidRPr="00586CC4">
        <w:rPr>
          <w:rFonts w:cs="Cambria Math"/>
          <w:color w:val="222222"/>
          <w:shd w:val="clear" w:color="auto" w:fill="FFFFFF"/>
        </w:rPr>
        <w:t>‐</w:t>
      </w:r>
      <w:r w:rsidR="00586CC4" w:rsidRPr="00586CC4">
        <w:rPr>
          <w:rFonts w:cs="Arial"/>
          <w:color w:val="222222"/>
          <w:shd w:val="clear" w:color="auto" w:fill="FFFFFF"/>
        </w:rPr>
        <w:t>Dick</w:t>
      </w:r>
      <w:r w:rsidR="00586CC4">
        <w:rPr>
          <w:rFonts w:ascii="Arial" w:hAnsi="Arial" w:cs="Arial"/>
          <w:color w:val="222222"/>
          <w:sz w:val="20"/>
          <w:szCs w:val="20"/>
          <w:shd w:val="clear" w:color="auto" w:fill="FFFFFF"/>
        </w:rPr>
        <w:t>, 2006)</w:t>
      </w:r>
      <w:r w:rsidR="00586CC4">
        <w:rPr>
          <w:color w:val="0D0D0D" w:themeColor="text1" w:themeTint="F2"/>
        </w:rPr>
        <w:t xml:space="preserve">, providing that sufficient time is set aside for proof-reading (Estyn, 2015 and 2018). In addition to this, following the completion and marking of the mid-term literacy assessments, observations have been made where time has been set aside for pupils to reflect on and act upon feedback with a red </w:t>
      </w:r>
      <w:r w:rsidR="00586CC4" w:rsidRPr="00392B1E">
        <w:rPr>
          <w:color w:val="0D0D0D" w:themeColor="text1" w:themeTint="F2"/>
        </w:rPr>
        <w:t xml:space="preserve">pen (Ofsted, 2013). </w:t>
      </w:r>
      <w:r w:rsidR="00586CC4">
        <w:rPr>
          <w:color w:val="0D0D0D" w:themeColor="text1" w:themeTint="F2"/>
        </w:rPr>
        <w:t xml:space="preserve">This actively </w:t>
      </w:r>
      <w:r w:rsidR="00A134D7">
        <w:rPr>
          <w:color w:val="0D0D0D" w:themeColor="text1" w:themeTint="F2"/>
        </w:rPr>
        <w:t xml:space="preserve">motivates and </w:t>
      </w:r>
      <w:r w:rsidR="00586CC4">
        <w:rPr>
          <w:color w:val="0D0D0D" w:themeColor="text1" w:themeTint="F2"/>
        </w:rPr>
        <w:t>encourages learners t</w:t>
      </w:r>
      <w:r w:rsidR="00A134D7">
        <w:rPr>
          <w:color w:val="0D0D0D" w:themeColor="text1" w:themeTint="F2"/>
        </w:rPr>
        <w:t xml:space="preserve">o improve their work as they know that next time, by doing what is advised by the class teacher, their level should increase (McMillan and Hearn, 2008). </w:t>
      </w:r>
    </w:p>
    <w:p w:rsidR="009806CB" w:rsidRDefault="00A134D7">
      <w:pPr>
        <w:rPr>
          <w:color w:val="0D0D0D" w:themeColor="text1" w:themeTint="F2"/>
        </w:rPr>
      </w:pPr>
      <w:r>
        <w:rPr>
          <w:color w:val="0D0D0D" w:themeColor="text1" w:themeTint="F2"/>
        </w:rPr>
        <w:t xml:space="preserve">The literacy marking guide, is now glued into the front of all subject’s exercise books and used for the new drive on peer and self-assessment. It was decided to use the guide on all levels for consistency (Estyn, 2018) and to ensure that learners fully grasped the abbreviations being used, for example sp. in place of spelling. By allowing pupil’s to peer literacy mark, their own skills will also develop (Black and </w:t>
      </w:r>
      <w:proofErr w:type="spellStart"/>
      <w:r>
        <w:rPr>
          <w:color w:val="0D0D0D" w:themeColor="text1" w:themeTint="F2"/>
        </w:rPr>
        <w:t>Wiliam</w:t>
      </w:r>
      <w:proofErr w:type="spellEnd"/>
      <w:r>
        <w:rPr>
          <w:color w:val="0D0D0D" w:themeColor="text1" w:themeTint="F2"/>
        </w:rPr>
        <w:t xml:space="preserve">, 1998) as they correct grammar faults and </w:t>
      </w:r>
      <w:r w:rsidRPr="00392B1E">
        <w:rPr>
          <w:color w:val="0D0D0D" w:themeColor="text1" w:themeTint="F2"/>
        </w:rPr>
        <w:t xml:space="preserve">misspelled words; this is an added opportunity for learners to learn from each other (Kennedy, 2010). </w:t>
      </w:r>
      <w:r w:rsidR="00D93B2E" w:rsidRPr="00392B1E">
        <w:rPr>
          <w:color w:val="0D0D0D" w:themeColor="text1" w:themeTint="F2"/>
        </w:rPr>
        <w:t xml:space="preserve">Reflecting once again on Estyn’s (2018) comments on the variation and consistency </w:t>
      </w:r>
      <w:r w:rsidR="00D93B2E">
        <w:rPr>
          <w:color w:val="0D0D0D" w:themeColor="text1" w:themeTint="F2"/>
        </w:rPr>
        <w:t>in the quality of teaching and assessing literacy,</w:t>
      </w:r>
      <w:r w:rsidR="00E821C3">
        <w:rPr>
          <w:color w:val="0D0D0D" w:themeColor="text1" w:themeTint="F2"/>
        </w:rPr>
        <w:t xml:space="preserve"> the new marking policy allows any issues or inconsistencies in the assessment of literacy to come to light during book scrutiny. Scrutinizing books more on a frequent and regular basis will also highlight any “</w:t>
      </w:r>
      <w:r w:rsidR="00E821C3" w:rsidRPr="00E821C3">
        <w:rPr>
          <w:i/>
          <w:color w:val="0D0D0D" w:themeColor="text1" w:themeTint="F2"/>
        </w:rPr>
        <w:t>variations in the progressive development of literacy across the curriculum</w:t>
      </w:r>
      <w:r w:rsidR="00E821C3">
        <w:rPr>
          <w:color w:val="0D0D0D" w:themeColor="text1" w:themeTint="F2"/>
        </w:rPr>
        <w:t xml:space="preserve">” (Estyn, 2018). </w:t>
      </w:r>
      <w:r w:rsidR="005528C5">
        <w:rPr>
          <w:color w:val="0D0D0D" w:themeColor="text1" w:themeTint="F2"/>
        </w:rPr>
        <w:t xml:space="preserve">At </w:t>
      </w:r>
      <w:r w:rsidR="00B0078D">
        <w:rPr>
          <w:color w:val="0D0D0D" w:themeColor="text1" w:themeTint="F2"/>
        </w:rPr>
        <w:t xml:space="preserve">a department level, as well as participating in all other school literacy initiatives, as </w:t>
      </w:r>
      <w:r w:rsidR="00B0078D">
        <w:rPr>
          <w:color w:val="0D0D0D" w:themeColor="text1" w:themeTint="F2"/>
        </w:rPr>
        <w:lastRenderedPageBreak/>
        <w:t xml:space="preserve">referenced in the DIP, the department aims to provide more past paper questions and exam style questions on School X’s pupil shared area. </w:t>
      </w:r>
      <w:r w:rsidR="009907AB">
        <w:rPr>
          <w:color w:val="0D0D0D" w:themeColor="text1" w:themeTint="F2"/>
        </w:rPr>
        <w:t xml:space="preserve">Following a </w:t>
      </w:r>
      <w:r w:rsidR="0060530C">
        <w:rPr>
          <w:color w:val="0D0D0D" w:themeColor="text1" w:themeTint="F2"/>
        </w:rPr>
        <w:t xml:space="preserve">twilight CPD session on exam vocabulary and terminology which mirrors Estyn’s (2015) </w:t>
      </w:r>
      <w:r w:rsidR="00173AF1">
        <w:rPr>
          <w:color w:val="0D0D0D" w:themeColor="text1" w:themeTint="F2"/>
        </w:rPr>
        <w:t>interim recommendation “train teachers to plan more challenging opportunities in all subjects to develop pupil’s higher order reading and writing skills”.  Subsequent to this a concerted effort to familiarise learners with these terms has been obse</w:t>
      </w:r>
      <w:r w:rsidR="005D2C46">
        <w:rPr>
          <w:color w:val="0D0D0D" w:themeColor="text1" w:themeTint="F2"/>
        </w:rPr>
        <w:t xml:space="preserve">rved within the department. Topic relevant vocabulary has also </w:t>
      </w:r>
      <w:r w:rsidR="0051717D">
        <w:rPr>
          <w:color w:val="0D0D0D" w:themeColor="text1" w:themeTint="F2"/>
        </w:rPr>
        <w:t>been added to the department’s questioning desk mats</w:t>
      </w:r>
      <w:r w:rsidR="005967E7">
        <w:rPr>
          <w:color w:val="0D0D0D" w:themeColor="text1" w:themeTint="F2"/>
        </w:rPr>
        <w:t>,</w:t>
      </w:r>
      <w:r w:rsidR="0051717D">
        <w:rPr>
          <w:color w:val="0D0D0D" w:themeColor="text1" w:themeTint="F2"/>
        </w:rPr>
        <w:t xml:space="preserve"> where</w:t>
      </w:r>
      <w:r w:rsidR="005967E7">
        <w:rPr>
          <w:color w:val="0D0D0D" w:themeColor="text1" w:themeTint="F2"/>
        </w:rPr>
        <w:t>,</w:t>
      </w:r>
      <w:r w:rsidR="0051717D">
        <w:rPr>
          <w:color w:val="0D0D0D" w:themeColor="text1" w:themeTint="F2"/>
        </w:rPr>
        <w:t xml:space="preserve"> paired with Bloom’s (1956) higher-order question template makes for a continually developing literacy based learning environment (Estyn, 2015). </w:t>
      </w:r>
      <w:r w:rsidR="009806CB">
        <w:rPr>
          <w:color w:val="0D0D0D" w:themeColor="text1" w:themeTint="F2"/>
        </w:rPr>
        <w:t xml:space="preserve">The departments all new schemes of work were also designed with higher-order learning in mind. Every lesson has a literacy focus which ranges from short vocabulary activities to longer pieces of extended writing, for example, Year 9 recently completed a newspaper report on life and living conditions in Greenland. </w:t>
      </w:r>
    </w:p>
    <w:p w:rsidR="009806CB" w:rsidRDefault="009806CB">
      <w:pPr>
        <w:rPr>
          <w:color w:val="0D0D0D" w:themeColor="text1" w:themeTint="F2"/>
        </w:rPr>
      </w:pPr>
      <w:r>
        <w:rPr>
          <w:color w:val="0D0D0D" w:themeColor="text1" w:themeTint="F2"/>
        </w:rPr>
        <w:t>Although the DIP</w:t>
      </w:r>
      <w:r w:rsidR="00881DC2">
        <w:rPr>
          <w:color w:val="0D0D0D" w:themeColor="text1" w:themeTint="F2"/>
        </w:rPr>
        <w:t xml:space="preserve"> provides more strategic detail than the SIP and is closer in line with traditional ideas of strategic planning, it could still arguably benef</w:t>
      </w:r>
      <w:r w:rsidR="008E0AB9">
        <w:rPr>
          <w:color w:val="0D0D0D" w:themeColor="text1" w:themeTint="F2"/>
        </w:rPr>
        <w:t>it from some additions. One recommendation</w:t>
      </w:r>
      <w:r w:rsidR="00881DC2">
        <w:rPr>
          <w:color w:val="0D0D0D" w:themeColor="text1" w:themeTint="F2"/>
        </w:rPr>
        <w:t>, taken from Knight’s (1997) paper would be to offer multiple routes or ‘actions’ that will all lead to the same final outcome. This would also offer support and options to ‘non-specialist’ teachers who deliver several subjects across multiple departments. A department naturally has a vested interest in the subject they teach, which would heavily inform the process by which they achieve their targets, Rutherford’s (2009)</w:t>
      </w:r>
      <w:r w:rsidR="00186CA9">
        <w:rPr>
          <w:color w:val="0D0D0D" w:themeColor="text1" w:themeTint="F2"/>
        </w:rPr>
        <w:t xml:space="preserve"> ideas demonstrate that improvements may be made if different approaches are trialled. Moving outside the geographical comfort zone may benefit the department as by taking new ideas/strategies on board, personal professional development is enhanced as the team learn from each other (Kennedy, 2010). Another small departmental recommendation that would underpin the key stage four and five developmental objectives would be to provide learners with topic glossaries at the start of each new scheme of work. Familiarising learners with topic relevant terminology will develop a fuller understanding of word meanings; this will result in students being more likely to use them in examinations (Estyn, 2011). </w:t>
      </w:r>
      <w:r w:rsidR="008E0AB9">
        <w:rPr>
          <w:color w:val="0D0D0D" w:themeColor="text1" w:themeTint="F2"/>
        </w:rPr>
        <w:t xml:space="preserve">Lewis and Wray (2010) expand on this by asserting that it should never be assumed that essential vocabulary has been covered in primary or previous years of secondary schooling. Making links once again with Estyn’s (2018) comments made in regards to the assessment of literacy, learners should be encouraged through feedback to ‘enhance’ </w:t>
      </w:r>
      <w:r w:rsidR="00805770">
        <w:rPr>
          <w:color w:val="0D0D0D" w:themeColor="text1" w:themeTint="F2"/>
        </w:rPr>
        <w:t>and ‘advance’ both every day and topic relevant vocabulary (E.g. changing “lots of people live there” to “densely populated” in Geography). A final departmental recommendation, mirrored in the LDP, would be to independently track the literacy progress of all learners</w:t>
      </w:r>
      <w:r w:rsidR="00B853C8">
        <w:rPr>
          <w:color w:val="0D0D0D" w:themeColor="text1" w:themeTint="F2"/>
        </w:rPr>
        <w:t xml:space="preserve"> although</w:t>
      </w:r>
      <w:r w:rsidR="00805770">
        <w:rPr>
          <w:color w:val="0D0D0D" w:themeColor="text1" w:themeTint="F2"/>
        </w:rPr>
        <w:t xml:space="preserve"> this is difficult due to only one literacy mid-term assessment taking place so far</w:t>
      </w:r>
      <w:r w:rsidR="00B853C8">
        <w:rPr>
          <w:color w:val="0D0D0D" w:themeColor="text1" w:themeTint="F2"/>
        </w:rPr>
        <w:t xml:space="preserve">. </w:t>
      </w:r>
      <w:r w:rsidR="00805770">
        <w:rPr>
          <w:color w:val="0D0D0D" w:themeColor="text1" w:themeTint="F2"/>
        </w:rPr>
        <w:t xml:space="preserve">However, </w:t>
      </w:r>
      <w:r w:rsidR="00B853C8">
        <w:rPr>
          <w:color w:val="0D0D0D" w:themeColor="text1" w:themeTint="F2"/>
        </w:rPr>
        <w:t xml:space="preserve">in line with the LDP and Estyn’s (2018) recommendations tracking is becoming increasingly important in both the school and the nation and is an essential tool in the mapping and tracking of literacy (Estyn, 2011 and 2015). </w:t>
      </w:r>
    </w:p>
    <w:p w:rsidR="00B853C8" w:rsidRDefault="00B853C8">
      <w:pPr>
        <w:rPr>
          <w:color w:val="0D0D0D" w:themeColor="text1" w:themeTint="F2"/>
        </w:rPr>
      </w:pPr>
      <w:r>
        <w:rPr>
          <w:color w:val="0D0D0D" w:themeColor="text1" w:themeTint="F2"/>
        </w:rPr>
        <w:t>Researching meth</w:t>
      </w:r>
      <w:r w:rsidR="00B4690E">
        <w:rPr>
          <w:color w:val="0D0D0D" w:themeColor="text1" w:themeTint="F2"/>
        </w:rPr>
        <w:t>ods of best practise (Of</w:t>
      </w:r>
      <w:r>
        <w:rPr>
          <w:color w:val="0D0D0D" w:themeColor="text1" w:themeTint="F2"/>
        </w:rPr>
        <w:t xml:space="preserve">sted, 2013) has illustrated the benefits of a school housing a fully functional and active library and librarian. School X is currently affiliated with the local library but this is not fully accessible to learners during school hours as it is off-site, therefore a better provision for reading would be the first whole school recommendation. An ‘in-house’ library would </w:t>
      </w:r>
      <w:r w:rsidRPr="00392B1E">
        <w:rPr>
          <w:color w:val="0D0D0D" w:themeColor="text1" w:themeTint="F2"/>
        </w:rPr>
        <w:t xml:space="preserve">pave the way for reading schemes such as ‘Accelerated Reader’ and ‘Drop Everything and Read’ [DEAR] (Gardiner, 2003). </w:t>
      </w:r>
      <w:r>
        <w:rPr>
          <w:color w:val="0D0D0D" w:themeColor="text1" w:themeTint="F2"/>
        </w:rPr>
        <w:t>A thirty minute daily reading session that allows learners to read a book of their choice</w:t>
      </w:r>
      <w:r w:rsidR="00B4690E">
        <w:rPr>
          <w:color w:val="0D0D0D" w:themeColor="text1" w:themeTint="F2"/>
        </w:rPr>
        <w:t xml:space="preserve"> benefits all aspects of literacy and should be encouraged (Estyn, 2011)(Gardiner, 2003)(Welsh Government, 2010). There are spacing limitations at School X so at present establishing a school library would be difficult. The literacy co-ordinator is attempting to overcome these barriers by strategizing a ‘book box’ scheme in all class rooms (Appendix 3) which will be trialled in term 3b. It is also planned that ‘tutor time’ will be used to imbed these sessions as recommended by Estyn (2011 and 2015) and the Welsh Government (2010). This new reading initiative motivates other </w:t>
      </w:r>
      <w:r w:rsidR="00B4690E">
        <w:rPr>
          <w:color w:val="0D0D0D" w:themeColor="text1" w:themeTint="F2"/>
        </w:rPr>
        <w:lastRenderedPageBreak/>
        <w:t>recommendations such as a school book club and making links with the existing sixth form mentoring/reading scheme that has recently been established. Small group guided reading with peers, teachers and senior students could significantly enhance the reading age/ability of lower able students (Estyn, 2015</w:t>
      </w:r>
      <w:proofErr w:type="gramStart"/>
      <w:r w:rsidR="00B4690E">
        <w:rPr>
          <w:color w:val="0D0D0D" w:themeColor="text1" w:themeTint="F2"/>
        </w:rPr>
        <w:t>)(</w:t>
      </w:r>
      <w:proofErr w:type="gramEnd"/>
      <w:r w:rsidR="00B4690E">
        <w:rPr>
          <w:color w:val="0D0D0D" w:themeColor="text1" w:themeTint="F2"/>
        </w:rPr>
        <w:t xml:space="preserve">Welsh Government, 2010)(Kennedy, 2010). A ‘literacy leader’ programme could also potentially stem from this (Ofsted, 2013). </w:t>
      </w:r>
    </w:p>
    <w:p w:rsidR="00B4690E" w:rsidRDefault="00F0611B">
      <w:pPr>
        <w:rPr>
          <w:color w:val="0D0D0D" w:themeColor="text1" w:themeTint="F2"/>
        </w:rPr>
      </w:pPr>
      <w:r>
        <w:rPr>
          <w:color w:val="0D0D0D" w:themeColor="text1" w:themeTint="F2"/>
        </w:rPr>
        <w:t xml:space="preserve">The thirty minutes tutor time at School X could also be used more efficiently in the deliverance of literacy. Meaningful tasks, on a range of topics such as current events predominantly take up tutor time. However, it could be argued that an opportunity to improve and enhance literacy has been missed here. Referring back to Ofsted’s (2013) methods of best practise a ‘Question of the Week’ could be used to raise debates and contribute to collaborative class discussion (Welsh Government, 2013)(Estyn, 2011 and 2015). One final recommendation in line with Estyn’s (2018) inspection report would be for senior leadership to insist that a literacy target was included in all staff’s individual improvement plans [IIP]. Estyn (2018) commented that activities linked to self-evaluation were not rigorous enough to lead to sustained improvement. As improvement </w:t>
      </w:r>
      <w:r w:rsidR="00A07A56">
        <w:rPr>
          <w:color w:val="0D0D0D" w:themeColor="text1" w:themeTint="F2"/>
        </w:rPr>
        <w:t xml:space="preserve">plans are strongly linked to the issues identified through self-evaluation (Chang, 2008)(Knight, 1997), through better structuring and expectations from next year, not only for literacy but all other development strands, the IIPs could better inform DIPs and the SIP. </w:t>
      </w:r>
    </w:p>
    <w:p w:rsidR="003F553D" w:rsidRDefault="003F553D">
      <w:pPr>
        <w:rPr>
          <w:color w:val="0D0D0D" w:themeColor="text1" w:themeTint="F2"/>
        </w:rPr>
      </w:pPr>
      <w:r>
        <w:rPr>
          <w:color w:val="0D0D0D" w:themeColor="text1" w:themeTint="F2"/>
        </w:rPr>
        <w:t>To conclude, it is clear through the DIP, SIP and LDP that School X’s staff are aware of their responsibility to effectively deliver and teach literacy t</w:t>
      </w:r>
      <w:r w:rsidR="00C4169E">
        <w:rPr>
          <w:color w:val="0D0D0D" w:themeColor="text1" w:themeTint="F2"/>
        </w:rPr>
        <w:t>o a high standard and are responding to the 2018 Estyn inspection report with literacy at the heart of the curriculum (Welsh Government, 2010). The school has already deployed several strategies to tackle this contemporary issue in secondary education and future plans to further develop literacy within the school are fast approaching. It is clear that through strategic planning, utilizing resources and collaboration (Rutherford, 2009) the national issues surrounding literacy can be addressed and targeted appropriately. Now that the LNF (Welsh Government, 2013) has evolved into a fully interactive resource bank and is much more accessible, its incorporation into classrooms both in School X and nationwide should increase in time for the new curriculum (Donaldson, 2015). School X’s literacy skills of higher-order (Welsh Government, 2010</w:t>
      </w:r>
      <w:proofErr w:type="gramStart"/>
      <w:r w:rsidR="00C4169E">
        <w:rPr>
          <w:color w:val="0D0D0D" w:themeColor="text1" w:themeTint="F2"/>
        </w:rPr>
        <w:t>)(</w:t>
      </w:r>
      <w:proofErr w:type="gramEnd"/>
      <w:r w:rsidR="00C4169E">
        <w:rPr>
          <w:color w:val="0D0D0D" w:themeColor="text1" w:themeTint="F2"/>
        </w:rPr>
        <w:t xml:space="preserve">Bloom, 1956) should better prepare learners for the National Reading Tests and GCSE/A Level examinations. Through appropriate tracking this progress can be mapped and scrutinized to ensure continual and cyclic professional development and consistency in deliverance of literacy amongst teaching staff (Estyn, 2018). </w:t>
      </w:r>
    </w:p>
    <w:p w:rsidR="000B6B57" w:rsidRDefault="000B6B57">
      <w:pPr>
        <w:rPr>
          <w:color w:val="0D0D0D" w:themeColor="text1" w:themeTint="F2"/>
        </w:rPr>
      </w:pPr>
    </w:p>
    <w:p w:rsidR="000B6B57" w:rsidRDefault="000B6B57">
      <w:pPr>
        <w:rPr>
          <w:color w:val="0D0D0D" w:themeColor="text1" w:themeTint="F2"/>
        </w:rPr>
      </w:pPr>
    </w:p>
    <w:p w:rsidR="000B6B57" w:rsidRDefault="000B6B57">
      <w:pPr>
        <w:rPr>
          <w:color w:val="0D0D0D" w:themeColor="text1" w:themeTint="F2"/>
        </w:rPr>
      </w:pPr>
    </w:p>
    <w:p w:rsidR="000B6B57" w:rsidRDefault="000B6B57">
      <w:pPr>
        <w:rPr>
          <w:color w:val="0D0D0D" w:themeColor="text1" w:themeTint="F2"/>
        </w:rPr>
      </w:pPr>
    </w:p>
    <w:p w:rsidR="000B6B57" w:rsidRDefault="000B6B57">
      <w:pPr>
        <w:rPr>
          <w:color w:val="0D0D0D" w:themeColor="text1" w:themeTint="F2"/>
        </w:rPr>
      </w:pPr>
    </w:p>
    <w:p w:rsidR="000B6B57" w:rsidRDefault="000B6B57">
      <w:pPr>
        <w:rPr>
          <w:color w:val="0D0D0D" w:themeColor="text1" w:themeTint="F2"/>
        </w:rPr>
      </w:pPr>
    </w:p>
    <w:p w:rsidR="000B6B57" w:rsidRDefault="000B6B57">
      <w:pPr>
        <w:rPr>
          <w:color w:val="0D0D0D" w:themeColor="text1" w:themeTint="F2"/>
        </w:rPr>
      </w:pPr>
    </w:p>
    <w:p w:rsidR="000B6B57" w:rsidRDefault="000B6B57">
      <w:pPr>
        <w:rPr>
          <w:color w:val="0D0D0D" w:themeColor="text1" w:themeTint="F2"/>
        </w:rPr>
      </w:pPr>
    </w:p>
    <w:p w:rsidR="000B6B57" w:rsidRDefault="000B6B57">
      <w:pPr>
        <w:rPr>
          <w:color w:val="0D0D0D" w:themeColor="text1" w:themeTint="F2"/>
        </w:rPr>
      </w:pPr>
    </w:p>
    <w:p w:rsidR="000B6B57" w:rsidRDefault="000B6B57">
      <w:pPr>
        <w:rPr>
          <w:color w:val="0D0D0D" w:themeColor="text1" w:themeTint="F2"/>
        </w:rPr>
      </w:pPr>
    </w:p>
    <w:p w:rsidR="000B6B57" w:rsidRPr="002247AE" w:rsidRDefault="000B6B57" w:rsidP="000B6B57">
      <w:pPr>
        <w:rPr>
          <w:b/>
          <w:u w:val="single"/>
        </w:rPr>
      </w:pPr>
      <w:r w:rsidRPr="002247AE">
        <w:rPr>
          <w:b/>
          <w:u w:val="single"/>
        </w:rPr>
        <w:lastRenderedPageBreak/>
        <w:t>References</w:t>
      </w:r>
    </w:p>
    <w:p w:rsidR="000B6B57" w:rsidRPr="002247AE" w:rsidRDefault="000B6B57" w:rsidP="000B6B57">
      <w:r w:rsidRPr="002247AE">
        <w:t xml:space="preserve">Berman, P., &amp; McLaughlin, M. (1976). Implementation of educational innovation. </w:t>
      </w:r>
      <w:r w:rsidRPr="002247AE">
        <w:rPr>
          <w:i/>
        </w:rPr>
        <w:t>The Educational Forum</w:t>
      </w:r>
      <w:r w:rsidRPr="002247AE">
        <w:t>, 40.</w:t>
      </w:r>
    </w:p>
    <w:p w:rsidR="000B6B57" w:rsidRPr="002247AE" w:rsidRDefault="000B6B57" w:rsidP="000B6B57">
      <w:r w:rsidRPr="002247AE">
        <w:t xml:space="preserve">Black, P. &amp; </w:t>
      </w:r>
      <w:proofErr w:type="spellStart"/>
      <w:r w:rsidRPr="002247AE">
        <w:t>Wiliam</w:t>
      </w:r>
      <w:proofErr w:type="spellEnd"/>
      <w:r w:rsidRPr="002247AE">
        <w:t>, D. (1998) Assessment and classroom learning</w:t>
      </w:r>
      <w:r w:rsidRPr="002247AE">
        <w:rPr>
          <w:i/>
        </w:rPr>
        <w:t>, Assessment in Education</w:t>
      </w:r>
      <w:r w:rsidRPr="002247AE">
        <w:t>, 5(1), 7–74.</w:t>
      </w:r>
    </w:p>
    <w:p w:rsidR="000B6B57" w:rsidRPr="002247AE" w:rsidRDefault="000B6B57" w:rsidP="000B6B57">
      <w:r w:rsidRPr="002247AE">
        <w:t xml:space="preserve">Bloom, B.S., (1956), </w:t>
      </w:r>
      <w:r w:rsidRPr="002247AE">
        <w:rPr>
          <w:i/>
        </w:rPr>
        <w:t xml:space="preserve">Taxonomy of Educational Objectives: Handbook 1-Cognitive Domain, </w:t>
      </w:r>
      <w:r w:rsidRPr="002247AE">
        <w:t xml:space="preserve">New York: Longmans Green. </w:t>
      </w:r>
    </w:p>
    <w:p w:rsidR="000B6B57" w:rsidRPr="002247AE" w:rsidRDefault="000B6B57" w:rsidP="000B6B57">
      <w:pPr>
        <w:rPr>
          <w:rFonts w:cs="Arial"/>
          <w:color w:val="222222"/>
          <w:shd w:val="clear" w:color="auto" w:fill="FFFFFF"/>
        </w:rPr>
      </w:pPr>
      <w:r w:rsidRPr="002247AE">
        <w:rPr>
          <w:rFonts w:cs="Arial"/>
          <w:color w:val="222222"/>
          <w:shd w:val="clear" w:color="auto" w:fill="FFFFFF"/>
        </w:rPr>
        <w:t>Chang, G.C., 2008. Strategic planning in education: Some concepts and methods. In </w:t>
      </w:r>
      <w:r w:rsidRPr="002247AE">
        <w:rPr>
          <w:rFonts w:cs="Arial"/>
          <w:i/>
          <w:iCs/>
          <w:color w:val="222222"/>
          <w:shd w:val="clear" w:color="auto" w:fill="FFFFFF"/>
        </w:rPr>
        <w:t xml:space="preserve">Directions in educational planning: symposium to honour the work of Françoise </w:t>
      </w:r>
      <w:proofErr w:type="spellStart"/>
      <w:r w:rsidRPr="002247AE">
        <w:rPr>
          <w:rFonts w:cs="Arial"/>
          <w:i/>
          <w:iCs/>
          <w:color w:val="222222"/>
          <w:shd w:val="clear" w:color="auto" w:fill="FFFFFF"/>
        </w:rPr>
        <w:t>Caillods</w:t>
      </w:r>
      <w:proofErr w:type="spellEnd"/>
      <w:r w:rsidRPr="002247AE">
        <w:rPr>
          <w:rFonts w:cs="Arial"/>
          <w:color w:val="222222"/>
          <w:shd w:val="clear" w:color="auto" w:fill="FFFFFF"/>
        </w:rPr>
        <w:t>.</w:t>
      </w:r>
    </w:p>
    <w:p w:rsidR="000B6B57" w:rsidRPr="002247AE" w:rsidRDefault="000B6B57" w:rsidP="000B6B57">
      <w:pPr>
        <w:rPr>
          <w:rFonts w:cs="Arial"/>
          <w:color w:val="222222"/>
          <w:shd w:val="clear" w:color="auto" w:fill="FFFFFF"/>
        </w:rPr>
      </w:pPr>
      <w:r w:rsidRPr="002247AE">
        <w:rPr>
          <w:rFonts w:cs="Arial"/>
          <w:color w:val="222222"/>
          <w:shd w:val="clear" w:color="auto" w:fill="FFFFFF"/>
        </w:rPr>
        <w:t xml:space="preserve">Collins, R (2012) Strategic Planning for School Improvement. Brisbane: Robyn Collins. </w:t>
      </w:r>
    </w:p>
    <w:p w:rsidR="000B6B57" w:rsidRPr="002247AE" w:rsidRDefault="000B6B57" w:rsidP="000B6B57">
      <w:r w:rsidRPr="002247AE">
        <w:t>Department for Education and Employment (1997</w:t>
      </w:r>
      <w:r w:rsidRPr="002247AE">
        <w:rPr>
          <w:i/>
        </w:rPr>
        <w:t xml:space="preserve">) </w:t>
      </w:r>
      <w:proofErr w:type="gramStart"/>
      <w:r w:rsidRPr="002247AE">
        <w:rPr>
          <w:i/>
        </w:rPr>
        <w:t>The</w:t>
      </w:r>
      <w:proofErr w:type="gramEnd"/>
      <w:r w:rsidRPr="002247AE">
        <w:rPr>
          <w:i/>
        </w:rPr>
        <w:t xml:space="preserve"> Implementation of the National Literacy Strategy</w:t>
      </w:r>
      <w:r w:rsidRPr="002247AE">
        <w:t>. London: Her Majesty’s Stationery Office</w:t>
      </w:r>
    </w:p>
    <w:p w:rsidR="000B6B57" w:rsidRPr="002247AE" w:rsidRDefault="000B6B57" w:rsidP="000B6B57">
      <w:pPr>
        <w:rPr>
          <w:rFonts w:cs="Arial"/>
          <w:color w:val="222222"/>
          <w:shd w:val="clear" w:color="auto" w:fill="FFFFFF"/>
        </w:rPr>
      </w:pPr>
      <w:r w:rsidRPr="002247AE">
        <w:rPr>
          <w:rFonts w:cs="Arial"/>
          <w:color w:val="222222"/>
          <w:shd w:val="clear" w:color="auto" w:fill="FFFFFF"/>
        </w:rPr>
        <w:t>Donaldson, G., 2015. Successful futures: independent review of curriculum and assessment arrangements in Wales: February 2015.</w:t>
      </w:r>
    </w:p>
    <w:p w:rsidR="000B6B57" w:rsidRDefault="000B6B57" w:rsidP="000B6B57">
      <w:pPr>
        <w:rPr>
          <w:rFonts w:cs="Arial"/>
          <w:color w:val="222222"/>
          <w:shd w:val="clear" w:color="auto" w:fill="FFFFFF"/>
        </w:rPr>
      </w:pPr>
      <w:r w:rsidRPr="002247AE">
        <w:rPr>
          <w:rFonts w:cs="Arial"/>
          <w:color w:val="222222"/>
          <w:shd w:val="clear" w:color="auto" w:fill="FFFFFF"/>
        </w:rPr>
        <w:t xml:space="preserve">Drucker, P. F. (1973). </w:t>
      </w:r>
      <w:r w:rsidRPr="002247AE">
        <w:rPr>
          <w:rFonts w:cs="Arial"/>
          <w:i/>
          <w:color w:val="222222"/>
          <w:shd w:val="clear" w:color="auto" w:fill="FFFFFF"/>
        </w:rPr>
        <w:t>Management: Tasks, Responsibilities, Practises</w:t>
      </w:r>
      <w:r w:rsidRPr="002247AE">
        <w:rPr>
          <w:rFonts w:cs="Arial"/>
          <w:color w:val="222222"/>
          <w:shd w:val="clear" w:color="auto" w:fill="FFFFFF"/>
        </w:rPr>
        <w:t>. New York: Harper &amp; Row.</w:t>
      </w:r>
    </w:p>
    <w:p w:rsidR="000B6B57" w:rsidRPr="002247AE" w:rsidRDefault="000B6B57" w:rsidP="000B6B57">
      <w:pPr>
        <w:rPr>
          <w:rFonts w:cs="Arial"/>
          <w:color w:val="222222"/>
          <w:shd w:val="clear" w:color="auto" w:fill="FFFFFF"/>
        </w:rPr>
      </w:pPr>
      <w:r w:rsidRPr="002247AE">
        <w:rPr>
          <w:rFonts w:cs="Arial"/>
          <w:color w:val="000000"/>
          <w:shd w:val="clear" w:color="auto" w:fill="FFFFFF"/>
        </w:rPr>
        <w:t>Estyn (2011). </w:t>
      </w:r>
      <w:r w:rsidRPr="002247AE">
        <w:rPr>
          <w:rFonts w:cs="Arial"/>
          <w:i/>
          <w:iCs/>
          <w:color w:val="000000"/>
          <w:shd w:val="clear" w:color="auto" w:fill="FFFFFF"/>
        </w:rPr>
        <w:t>A strategy and guidance for inspecting literacy for pupils aged 3 to 18</w:t>
      </w:r>
      <w:r w:rsidRPr="002247AE">
        <w:rPr>
          <w:rFonts w:cs="Arial"/>
          <w:color w:val="000000"/>
          <w:shd w:val="clear" w:color="auto" w:fill="FFFFFF"/>
        </w:rPr>
        <w:t>. Cardiff: Estyn.</w:t>
      </w:r>
    </w:p>
    <w:p w:rsidR="000B6B57" w:rsidRPr="002247AE" w:rsidRDefault="000B6B57" w:rsidP="000B6B57">
      <w:pPr>
        <w:rPr>
          <w:b/>
          <w:u w:val="single"/>
        </w:rPr>
      </w:pPr>
      <w:r w:rsidRPr="002247AE">
        <w:rPr>
          <w:rFonts w:cs="Arial"/>
          <w:color w:val="000000"/>
          <w:shd w:val="clear" w:color="auto" w:fill="FFFFFF"/>
        </w:rPr>
        <w:t>Estyn (2015). </w:t>
      </w:r>
      <w:r w:rsidRPr="002247AE">
        <w:rPr>
          <w:rFonts w:cs="Arial"/>
          <w:i/>
          <w:iCs/>
          <w:color w:val="000000"/>
          <w:shd w:val="clear" w:color="auto" w:fill="FFFFFF"/>
        </w:rPr>
        <w:t>Literacy in Key Stage 3: An Interim Report</w:t>
      </w:r>
      <w:r w:rsidRPr="002247AE">
        <w:rPr>
          <w:rFonts w:cs="Arial"/>
          <w:color w:val="000000"/>
          <w:shd w:val="clear" w:color="auto" w:fill="FFFFFF"/>
        </w:rPr>
        <w:t>. Cardiff: Estyn.</w:t>
      </w:r>
    </w:p>
    <w:p w:rsidR="000B6B57" w:rsidRPr="002247AE" w:rsidRDefault="000B6B57" w:rsidP="000B6B57">
      <w:r w:rsidRPr="002247AE">
        <w:t xml:space="preserve">Estyn. </w:t>
      </w:r>
      <w:r w:rsidRPr="002247AE">
        <w:rPr>
          <w:i/>
        </w:rPr>
        <w:t xml:space="preserve">A Report on School X. </w:t>
      </w:r>
      <w:r w:rsidRPr="002247AE">
        <w:t xml:space="preserve">2018. Estyn Publication. </w:t>
      </w:r>
    </w:p>
    <w:p w:rsidR="000B6B57" w:rsidRPr="002247AE" w:rsidRDefault="000B6B57" w:rsidP="000B6B57">
      <w:proofErr w:type="spellStart"/>
      <w:r w:rsidRPr="002247AE">
        <w:t>Fullan</w:t>
      </w:r>
      <w:proofErr w:type="spellEnd"/>
      <w:r w:rsidRPr="002247AE">
        <w:t xml:space="preserve">, M. (1997). The complexity of the change process. In M. </w:t>
      </w:r>
      <w:proofErr w:type="spellStart"/>
      <w:r w:rsidRPr="002247AE">
        <w:t>Fullan</w:t>
      </w:r>
      <w:proofErr w:type="spellEnd"/>
      <w:r w:rsidRPr="002247AE">
        <w:t xml:space="preserve"> (Ed.),</w:t>
      </w:r>
      <w:r w:rsidRPr="002247AE">
        <w:rPr>
          <w:i/>
        </w:rPr>
        <w:t xml:space="preserve"> </w:t>
      </w:r>
      <w:proofErr w:type="gramStart"/>
      <w:r w:rsidRPr="002247AE">
        <w:rPr>
          <w:i/>
        </w:rPr>
        <w:t>The</w:t>
      </w:r>
      <w:proofErr w:type="gramEnd"/>
      <w:r w:rsidRPr="002247AE">
        <w:rPr>
          <w:i/>
        </w:rPr>
        <w:t xml:space="preserve"> Challenge of School Change: A Collection of Articles</w:t>
      </w:r>
      <w:r w:rsidRPr="002247AE">
        <w:t xml:space="preserve"> (pp. 33-56). Arlington Heights, IL: IRI/Skylight Training and Publishing.</w:t>
      </w:r>
    </w:p>
    <w:p w:rsidR="000B6B57" w:rsidRPr="002247AE" w:rsidRDefault="000B6B57" w:rsidP="000B6B57">
      <w:r w:rsidRPr="002247AE">
        <w:t>Gardiner, T., 2003. A Daily DEAR Program: Drop Everything, and Read</w:t>
      </w:r>
      <w:proofErr w:type="gramStart"/>
      <w:r w:rsidRPr="002247AE">
        <w:t>!.</w:t>
      </w:r>
      <w:proofErr w:type="gramEnd"/>
      <w:r w:rsidRPr="002247AE">
        <w:t xml:space="preserve"> </w:t>
      </w:r>
    </w:p>
    <w:p w:rsidR="000B6B57" w:rsidRPr="002247AE" w:rsidRDefault="000B6B57" w:rsidP="000B6B57">
      <w:proofErr w:type="spellStart"/>
      <w:r w:rsidRPr="002247AE">
        <w:t>Grise</w:t>
      </w:r>
      <w:proofErr w:type="spellEnd"/>
      <w:r w:rsidRPr="002247AE">
        <w:t xml:space="preserve">, P. and Kaufman, R. (1995) Auditing Your Educational Strategic Plan – Making a Good Thing Better. California: Corwin Press, Inc. </w:t>
      </w:r>
    </w:p>
    <w:p w:rsidR="000B6B57" w:rsidRPr="002247AE" w:rsidRDefault="000B6B57" w:rsidP="000B6B57">
      <w:r w:rsidRPr="002247AE">
        <w:rPr>
          <w:rFonts w:cs="Arial"/>
          <w:color w:val="222222"/>
          <w:shd w:val="clear" w:color="auto" w:fill="FFFFFF"/>
        </w:rPr>
        <w:t>Hopkins, D., 1998. Development planning for pupil achievement. </w:t>
      </w:r>
      <w:r w:rsidRPr="002247AE">
        <w:rPr>
          <w:rFonts w:cs="Arial"/>
          <w:i/>
          <w:iCs/>
          <w:color w:val="222222"/>
          <w:shd w:val="clear" w:color="auto" w:fill="FFFFFF"/>
        </w:rPr>
        <w:t>School Leadership &amp; Management</w:t>
      </w:r>
      <w:r w:rsidRPr="002247AE">
        <w:rPr>
          <w:rFonts w:cs="Arial"/>
          <w:color w:val="222222"/>
          <w:shd w:val="clear" w:color="auto" w:fill="FFFFFF"/>
        </w:rPr>
        <w:t>, </w:t>
      </w:r>
      <w:r w:rsidRPr="002247AE">
        <w:rPr>
          <w:rFonts w:cs="Arial"/>
          <w:i/>
          <w:iCs/>
          <w:color w:val="222222"/>
          <w:shd w:val="clear" w:color="auto" w:fill="FFFFFF"/>
        </w:rPr>
        <w:t>18</w:t>
      </w:r>
      <w:r w:rsidRPr="002247AE">
        <w:rPr>
          <w:rFonts w:cs="Arial"/>
          <w:color w:val="222222"/>
          <w:shd w:val="clear" w:color="auto" w:fill="FFFFFF"/>
        </w:rPr>
        <w:t>(3), pp.409-424.</w:t>
      </w:r>
    </w:p>
    <w:p w:rsidR="000B6B57" w:rsidRPr="002247AE" w:rsidRDefault="000B6B57" w:rsidP="000B6B57">
      <w:r w:rsidRPr="002247AE">
        <w:t xml:space="preserve">Joyner, E. (1998). Large-scale change: The Comer perspective. In A. Hargreaves (Ed.), </w:t>
      </w:r>
      <w:r w:rsidRPr="002247AE">
        <w:rPr>
          <w:i/>
        </w:rPr>
        <w:t>International Handbook of Educational Change</w:t>
      </w:r>
      <w:r w:rsidRPr="002247AE">
        <w:t xml:space="preserve"> (pp. 855-875). Boston: Kluwer Academic Publishers.</w:t>
      </w:r>
    </w:p>
    <w:p w:rsidR="000B6B57" w:rsidRPr="002247AE" w:rsidRDefault="000B6B57" w:rsidP="000B6B57">
      <w:r w:rsidRPr="002247AE">
        <w:rPr>
          <w:rFonts w:cs="Arial"/>
          <w:color w:val="222222"/>
          <w:shd w:val="clear" w:color="auto" w:fill="FFFFFF"/>
        </w:rPr>
        <w:t>Kennedy, E., 2010. Improving literacy achievement in a high</w:t>
      </w:r>
      <w:r w:rsidRPr="002247AE">
        <w:rPr>
          <w:rFonts w:cs="Cambria Math"/>
          <w:color w:val="222222"/>
          <w:shd w:val="clear" w:color="auto" w:fill="FFFFFF"/>
        </w:rPr>
        <w:t>‐</w:t>
      </w:r>
      <w:r w:rsidRPr="002247AE">
        <w:rPr>
          <w:rFonts w:cs="Arial"/>
          <w:color w:val="222222"/>
          <w:shd w:val="clear" w:color="auto" w:fill="FFFFFF"/>
        </w:rPr>
        <w:t>poverty school: Empowering classroom teachers through professional development. </w:t>
      </w:r>
      <w:r w:rsidRPr="002247AE">
        <w:rPr>
          <w:rFonts w:cs="Arial"/>
          <w:i/>
          <w:iCs/>
          <w:color w:val="222222"/>
          <w:shd w:val="clear" w:color="auto" w:fill="FFFFFF"/>
        </w:rPr>
        <w:t>Reading Research Quarterly</w:t>
      </w:r>
      <w:r w:rsidRPr="002247AE">
        <w:rPr>
          <w:rFonts w:cs="Arial"/>
          <w:color w:val="222222"/>
          <w:shd w:val="clear" w:color="auto" w:fill="FFFFFF"/>
        </w:rPr>
        <w:t>, </w:t>
      </w:r>
      <w:r w:rsidRPr="002247AE">
        <w:rPr>
          <w:rFonts w:cs="Arial"/>
          <w:i/>
          <w:iCs/>
          <w:color w:val="222222"/>
          <w:shd w:val="clear" w:color="auto" w:fill="FFFFFF"/>
        </w:rPr>
        <w:t>45</w:t>
      </w:r>
      <w:r w:rsidRPr="002247AE">
        <w:rPr>
          <w:rFonts w:cs="Arial"/>
          <w:color w:val="222222"/>
          <w:shd w:val="clear" w:color="auto" w:fill="FFFFFF"/>
        </w:rPr>
        <w:t>(4), pp.384-387.</w:t>
      </w:r>
    </w:p>
    <w:p w:rsidR="000B6B57" w:rsidRPr="002247AE" w:rsidRDefault="000B6B57" w:rsidP="000B6B57">
      <w:r w:rsidRPr="002247AE">
        <w:t xml:space="preserve">Knight, J. (1997) Strategic Planning for School Managers. Great Britain: </w:t>
      </w:r>
      <w:proofErr w:type="spellStart"/>
      <w:r w:rsidRPr="002247AE">
        <w:t>Kogan</w:t>
      </w:r>
      <w:proofErr w:type="spellEnd"/>
      <w:r w:rsidRPr="002247AE">
        <w:t xml:space="preserve"> Page.</w:t>
      </w:r>
    </w:p>
    <w:p w:rsidR="000B6B57" w:rsidRPr="002247AE" w:rsidRDefault="000B6B57" w:rsidP="000B6B57">
      <w:pPr>
        <w:rPr>
          <w:rFonts w:cs="Arial"/>
          <w:color w:val="222222"/>
          <w:shd w:val="clear" w:color="auto" w:fill="FFFFFF"/>
        </w:rPr>
      </w:pPr>
      <w:r w:rsidRPr="002247AE">
        <w:rPr>
          <w:rFonts w:cs="Arial"/>
          <w:color w:val="222222"/>
          <w:shd w:val="clear" w:color="auto" w:fill="FFFFFF"/>
        </w:rPr>
        <w:t>Lewis, M. and Wray, D., 2014. </w:t>
      </w:r>
      <w:r w:rsidRPr="002247AE">
        <w:rPr>
          <w:rFonts w:cs="Arial"/>
          <w:i/>
          <w:iCs/>
          <w:color w:val="222222"/>
          <w:shd w:val="clear" w:color="auto" w:fill="FFFFFF"/>
        </w:rPr>
        <w:t>Literacy in the secondary school</w:t>
      </w:r>
      <w:r w:rsidRPr="002247AE">
        <w:rPr>
          <w:rFonts w:cs="Arial"/>
          <w:color w:val="222222"/>
          <w:shd w:val="clear" w:color="auto" w:fill="FFFFFF"/>
        </w:rPr>
        <w:t>. David Fulton Publishers.</w:t>
      </w:r>
    </w:p>
    <w:p w:rsidR="000B6B57" w:rsidRPr="002247AE" w:rsidRDefault="000B6B57" w:rsidP="000B6B57">
      <w:pPr>
        <w:rPr>
          <w:rFonts w:cs="Arial"/>
          <w:color w:val="222222"/>
          <w:shd w:val="clear" w:color="auto" w:fill="FFFFFF"/>
        </w:rPr>
      </w:pPr>
      <w:r w:rsidRPr="002247AE">
        <w:rPr>
          <w:rFonts w:cs="Arial"/>
          <w:color w:val="222222"/>
          <w:shd w:val="clear" w:color="auto" w:fill="FFFFFF"/>
        </w:rPr>
        <w:t>McMillan, J.H. and Hearn, J., 2008. Student self-assessment: The key to stronger student motivation and higher achievement. </w:t>
      </w:r>
      <w:r w:rsidRPr="002247AE">
        <w:rPr>
          <w:rFonts w:cs="Arial"/>
          <w:i/>
          <w:iCs/>
          <w:color w:val="222222"/>
          <w:shd w:val="clear" w:color="auto" w:fill="FFFFFF"/>
        </w:rPr>
        <w:t>Educational Horizons</w:t>
      </w:r>
      <w:r w:rsidRPr="002247AE">
        <w:rPr>
          <w:rFonts w:cs="Arial"/>
          <w:color w:val="222222"/>
          <w:shd w:val="clear" w:color="auto" w:fill="FFFFFF"/>
        </w:rPr>
        <w:t>, </w:t>
      </w:r>
      <w:r w:rsidRPr="002247AE">
        <w:rPr>
          <w:rFonts w:cs="Arial"/>
          <w:i/>
          <w:iCs/>
          <w:color w:val="222222"/>
          <w:shd w:val="clear" w:color="auto" w:fill="FFFFFF"/>
        </w:rPr>
        <w:t>87</w:t>
      </w:r>
      <w:r w:rsidRPr="002247AE">
        <w:rPr>
          <w:rFonts w:cs="Arial"/>
          <w:color w:val="222222"/>
          <w:shd w:val="clear" w:color="auto" w:fill="FFFFFF"/>
        </w:rPr>
        <w:t>(1), pp.40-49.</w:t>
      </w:r>
    </w:p>
    <w:p w:rsidR="000B6B57" w:rsidRPr="002247AE" w:rsidRDefault="000B6B57" w:rsidP="000B6B57">
      <w:pPr>
        <w:rPr>
          <w:rFonts w:cs="Arial"/>
          <w:color w:val="222222"/>
          <w:shd w:val="clear" w:color="auto" w:fill="FFFFFF"/>
        </w:rPr>
      </w:pPr>
      <w:r w:rsidRPr="002247AE">
        <w:rPr>
          <w:rFonts w:cs="Arial"/>
          <w:color w:val="222222"/>
          <w:shd w:val="clear" w:color="auto" w:fill="FFFFFF"/>
        </w:rPr>
        <w:t>Nicol, D.J. and Macfarlane</w:t>
      </w:r>
      <w:r w:rsidRPr="002247AE">
        <w:rPr>
          <w:rFonts w:cs="Cambria Math"/>
          <w:color w:val="222222"/>
          <w:shd w:val="clear" w:color="auto" w:fill="FFFFFF"/>
        </w:rPr>
        <w:t>‐</w:t>
      </w:r>
      <w:r w:rsidRPr="002247AE">
        <w:rPr>
          <w:rFonts w:cs="Arial"/>
          <w:color w:val="222222"/>
          <w:shd w:val="clear" w:color="auto" w:fill="FFFFFF"/>
        </w:rPr>
        <w:t>Dick, D., 2006. Formative assessment and self</w:t>
      </w:r>
      <w:r w:rsidRPr="002247AE">
        <w:rPr>
          <w:rFonts w:cs="Cambria Math"/>
          <w:color w:val="222222"/>
          <w:shd w:val="clear" w:color="auto" w:fill="FFFFFF"/>
        </w:rPr>
        <w:t>‐</w:t>
      </w:r>
      <w:r w:rsidRPr="002247AE">
        <w:rPr>
          <w:rFonts w:cs="Arial"/>
          <w:color w:val="222222"/>
          <w:shd w:val="clear" w:color="auto" w:fill="FFFFFF"/>
        </w:rPr>
        <w:t>regulated learning: A model and seven principles of good feedback practice. </w:t>
      </w:r>
      <w:r w:rsidRPr="002247AE">
        <w:rPr>
          <w:rFonts w:cs="Arial"/>
          <w:i/>
          <w:iCs/>
          <w:color w:val="222222"/>
          <w:shd w:val="clear" w:color="auto" w:fill="FFFFFF"/>
        </w:rPr>
        <w:t>Studies in higher education</w:t>
      </w:r>
      <w:r w:rsidRPr="002247AE">
        <w:rPr>
          <w:rFonts w:cs="Arial"/>
          <w:color w:val="222222"/>
          <w:shd w:val="clear" w:color="auto" w:fill="FFFFFF"/>
        </w:rPr>
        <w:t>, </w:t>
      </w:r>
      <w:r w:rsidRPr="002247AE">
        <w:rPr>
          <w:rFonts w:cs="Arial"/>
          <w:i/>
          <w:iCs/>
          <w:color w:val="222222"/>
          <w:shd w:val="clear" w:color="auto" w:fill="FFFFFF"/>
        </w:rPr>
        <w:t>31</w:t>
      </w:r>
      <w:r w:rsidRPr="002247AE">
        <w:rPr>
          <w:rFonts w:cs="Arial"/>
          <w:color w:val="222222"/>
          <w:shd w:val="clear" w:color="auto" w:fill="FFFFFF"/>
        </w:rPr>
        <w:t>(2), pp.199-218.</w:t>
      </w:r>
    </w:p>
    <w:p w:rsidR="000B6B57" w:rsidRPr="002247AE" w:rsidRDefault="000B6B57" w:rsidP="000B6B57">
      <w:pPr>
        <w:rPr>
          <w:rFonts w:cs="Arial"/>
          <w:color w:val="222222"/>
          <w:shd w:val="clear" w:color="auto" w:fill="FFFFFF"/>
        </w:rPr>
      </w:pPr>
      <w:r w:rsidRPr="002247AE">
        <w:rPr>
          <w:rFonts w:cs="Arial"/>
          <w:color w:val="000000"/>
          <w:shd w:val="clear" w:color="auto" w:fill="FFFFFF"/>
        </w:rPr>
        <w:t>Ofsted (2013). </w:t>
      </w:r>
      <w:r w:rsidRPr="002247AE">
        <w:rPr>
          <w:rFonts w:cs="Arial"/>
          <w:i/>
          <w:iCs/>
          <w:color w:val="000000"/>
          <w:shd w:val="clear" w:color="auto" w:fill="FFFFFF"/>
        </w:rPr>
        <w:t>Improving Literacy in Secondary Sc</w:t>
      </w:r>
      <w:r>
        <w:rPr>
          <w:rFonts w:cs="Arial"/>
          <w:i/>
          <w:iCs/>
          <w:color w:val="000000"/>
          <w:shd w:val="clear" w:color="auto" w:fill="FFFFFF"/>
        </w:rPr>
        <w:t>hools: A Shared Responsibility</w:t>
      </w:r>
      <w:r w:rsidRPr="002247AE">
        <w:rPr>
          <w:rFonts w:cs="Arial"/>
          <w:color w:val="000000"/>
          <w:shd w:val="clear" w:color="auto" w:fill="FFFFFF"/>
        </w:rPr>
        <w:t>. Manchester: Ofsted.</w:t>
      </w:r>
    </w:p>
    <w:p w:rsidR="000B6B57" w:rsidRPr="002247AE" w:rsidRDefault="000B6B57" w:rsidP="000B6B57">
      <w:pPr>
        <w:rPr>
          <w:rFonts w:cs="Arial"/>
          <w:color w:val="000000"/>
          <w:shd w:val="clear" w:color="auto" w:fill="FFFFFF"/>
        </w:rPr>
      </w:pPr>
      <w:r w:rsidRPr="002247AE">
        <w:rPr>
          <w:rFonts w:cs="Arial"/>
          <w:color w:val="000000"/>
          <w:shd w:val="clear" w:color="auto" w:fill="FFFFFF"/>
        </w:rPr>
        <w:lastRenderedPageBreak/>
        <w:t>Organisation for Economic Co-operation and Development (2015). </w:t>
      </w:r>
      <w:r w:rsidRPr="002247AE">
        <w:rPr>
          <w:rFonts w:cs="Arial"/>
          <w:i/>
          <w:iCs/>
          <w:color w:val="000000"/>
          <w:shd w:val="clear" w:color="auto" w:fill="FFFFFF"/>
        </w:rPr>
        <w:t>PISA 2015 Results in Focus</w:t>
      </w:r>
      <w:r w:rsidRPr="002247AE">
        <w:rPr>
          <w:rFonts w:cs="Arial"/>
          <w:color w:val="000000"/>
          <w:shd w:val="clear" w:color="auto" w:fill="FFFFFF"/>
        </w:rPr>
        <w:t>. [</w:t>
      </w:r>
      <w:proofErr w:type="gramStart"/>
      <w:r w:rsidRPr="002247AE">
        <w:rPr>
          <w:rFonts w:cs="Arial"/>
          <w:color w:val="000000"/>
          <w:shd w:val="clear" w:color="auto" w:fill="FFFFFF"/>
        </w:rPr>
        <w:t>online</w:t>
      </w:r>
      <w:proofErr w:type="gramEnd"/>
      <w:r w:rsidRPr="002247AE">
        <w:rPr>
          <w:rFonts w:cs="Arial"/>
          <w:color w:val="000000"/>
          <w:shd w:val="clear" w:color="auto" w:fill="FFFFFF"/>
        </w:rPr>
        <w:t>] Oecd.org. Available at: https://www.oecd.org/pisa/pisa-2015-results-in-focus.pdf [Accessed 12 Jan. 2019].</w:t>
      </w:r>
    </w:p>
    <w:p w:rsidR="000B6B57" w:rsidRPr="002247AE" w:rsidRDefault="000B6B57" w:rsidP="000B6B57">
      <w:pPr>
        <w:rPr>
          <w:rFonts w:cs="Arial"/>
          <w:color w:val="000000"/>
          <w:shd w:val="clear" w:color="auto" w:fill="FFFFFF"/>
        </w:rPr>
      </w:pPr>
      <w:r w:rsidRPr="002247AE">
        <w:rPr>
          <w:rFonts w:cs="Arial"/>
          <w:color w:val="222222"/>
          <w:shd w:val="clear" w:color="auto" w:fill="FFFFFF"/>
        </w:rPr>
        <w:t>Rutherford, C., 2009. Planning to change: Strategic planning and comprehensive school reform. </w:t>
      </w:r>
      <w:r w:rsidRPr="002247AE">
        <w:rPr>
          <w:rFonts w:cs="Arial"/>
          <w:i/>
          <w:iCs/>
          <w:color w:val="222222"/>
          <w:shd w:val="clear" w:color="auto" w:fill="FFFFFF"/>
        </w:rPr>
        <w:t>Educational Planning</w:t>
      </w:r>
      <w:r w:rsidRPr="002247AE">
        <w:rPr>
          <w:rFonts w:cs="Arial"/>
          <w:color w:val="222222"/>
          <w:shd w:val="clear" w:color="auto" w:fill="FFFFFF"/>
        </w:rPr>
        <w:t>, </w:t>
      </w:r>
      <w:r w:rsidRPr="002247AE">
        <w:rPr>
          <w:rFonts w:cs="Arial"/>
          <w:i/>
          <w:iCs/>
          <w:color w:val="222222"/>
          <w:shd w:val="clear" w:color="auto" w:fill="FFFFFF"/>
        </w:rPr>
        <w:t>18</w:t>
      </w:r>
      <w:r w:rsidRPr="002247AE">
        <w:rPr>
          <w:rFonts w:cs="Arial"/>
          <w:color w:val="222222"/>
          <w:shd w:val="clear" w:color="auto" w:fill="FFFFFF"/>
        </w:rPr>
        <w:t>(1), pp.1-10.</w:t>
      </w:r>
    </w:p>
    <w:p w:rsidR="000B6B57" w:rsidRPr="002247AE" w:rsidRDefault="000B6B57" w:rsidP="000B6B57">
      <w:pPr>
        <w:rPr>
          <w:rFonts w:cs="Arial"/>
          <w:color w:val="000000"/>
          <w:shd w:val="clear" w:color="auto" w:fill="FFFFFF"/>
        </w:rPr>
      </w:pPr>
      <w:r w:rsidRPr="002247AE">
        <w:rPr>
          <w:rFonts w:cs="Arial"/>
          <w:color w:val="000000"/>
          <w:shd w:val="clear" w:color="auto" w:fill="FFFFFF"/>
        </w:rPr>
        <w:t xml:space="preserve">School X (2019). </w:t>
      </w:r>
      <w:r w:rsidRPr="002247AE">
        <w:rPr>
          <w:rFonts w:cs="Arial"/>
          <w:i/>
          <w:color w:val="000000"/>
          <w:shd w:val="clear" w:color="auto" w:fill="FFFFFF"/>
        </w:rPr>
        <w:t>School X Website</w:t>
      </w:r>
      <w:r w:rsidRPr="002247AE">
        <w:rPr>
          <w:rFonts w:cs="Arial"/>
          <w:color w:val="000000"/>
          <w:shd w:val="clear" w:color="auto" w:fill="FFFFFF"/>
        </w:rPr>
        <w:t>. [</w:t>
      </w:r>
      <w:proofErr w:type="gramStart"/>
      <w:r w:rsidRPr="002247AE">
        <w:rPr>
          <w:rFonts w:cs="Arial"/>
          <w:color w:val="000000"/>
          <w:shd w:val="clear" w:color="auto" w:fill="FFFFFF"/>
        </w:rPr>
        <w:t>online</w:t>
      </w:r>
      <w:proofErr w:type="gramEnd"/>
      <w:r w:rsidRPr="002247AE">
        <w:rPr>
          <w:rFonts w:cs="Arial"/>
          <w:color w:val="000000"/>
          <w:shd w:val="clear" w:color="auto" w:fill="FFFFFF"/>
        </w:rPr>
        <w:t xml:space="preserve">] [Accessed 12 Jan. 2019]. </w:t>
      </w:r>
    </w:p>
    <w:p w:rsidR="000B6B57" w:rsidRPr="002247AE" w:rsidRDefault="000B6B57" w:rsidP="000B6B57">
      <w:proofErr w:type="spellStart"/>
      <w:r w:rsidRPr="002247AE">
        <w:t>Stringfield</w:t>
      </w:r>
      <w:proofErr w:type="spellEnd"/>
      <w:r w:rsidRPr="002247AE">
        <w:t xml:space="preserve">, S., &amp; Ross, S. M. (1977). A "reflection" at mile three of a marathon: The Memphis restructuring initiative in mid-strive. </w:t>
      </w:r>
      <w:r w:rsidRPr="002247AE">
        <w:rPr>
          <w:i/>
        </w:rPr>
        <w:t>School Effectiveness and School Improvement</w:t>
      </w:r>
      <w:r w:rsidRPr="002247AE">
        <w:t>, 8(2), 151-160.</w:t>
      </w:r>
    </w:p>
    <w:p w:rsidR="000B6B57" w:rsidRDefault="000B6B57" w:rsidP="000B6B57">
      <w:pPr>
        <w:rPr>
          <w:rFonts w:cs="Arial"/>
          <w:color w:val="000000"/>
          <w:shd w:val="clear" w:color="auto" w:fill="FFFFFF"/>
        </w:rPr>
      </w:pPr>
      <w:r w:rsidRPr="002247AE">
        <w:rPr>
          <w:rFonts w:cs="Arial"/>
          <w:color w:val="000000"/>
          <w:shd w:val="clear" w:color="auto" w:fill="FFFFFF"/>
        </w:rPr>
        <w:t>The Welsh Assembly Government (2010). </w:t>
      </w:r>
      <w:r w:rsidRPr="002247AE">
        <w:rPr>
          <w:rFonts w:cs="Arial"/>
          <w:i/>
          <w:iCs/>
          <w:color w:val="000000"/>
          <w:shd w:val="clear" w:color="auto" w:fill="FFFFFF"/>
        </w:rPr>
        <w:t>Developing higher-order literacy skills across the curriculum</w:t>
      </w:r>
      <w:r w:rsidRPr="002247AE">
        <w:rPr>
          <w:rFonts w:cs="Arial"/>
          <w:color w:val="000000"/>
          <w:shd w:val="clear" w:color="auto" w:fill="FFFFFF"/>
        </w:rPr>
        <w:t>. Cardiff: The Welsh Assembly Government.</w:t>
      </w:r>
    </w:p>
    <w:p w:rsidR="000B6B57" w:rsidRPr="00DE7DBC" w:rsidRDefault="000B6B57" w:rsidP="000B6B57">
      <w:pPr>
        <w:rPr>
          <w:b/>
          <w:u w:val="single"/>
        </w:rPr>
      </w:pPr>
      <w:r w:rsidRPr="00DE7DBC">
        <w:rPr>
          <w:rFonts w:cs="Arial"/>
          <w:color w:val="000000"/>
          <w:shd w:val="clear" w:color="auto" w:fill="FFFFFF"/>
        </w:rPr>
        <w:t>Welsh Government (2012). </w:t>
      </w:r>
      <w:r w:rsidRPr="00DE7DBC">
        <w:rPr>
          <w:rFonts w:cs="Arial"/>
          <w:i/>
          <w:iCs/>
          <w:color w:val="000000"/>
          <w:shd w:val="clear" w:color="auto" w:fill="FFFFFF"/>
        </w:rPr>
        <w:t>National Literacy and Numeracy Programme - A Strategic Action Plan</w:t>
      </w:r>
      <w:r w:rsidRPr="00DE7DBC">
        <w:rPr>
          <w:rFonts w:cs="Arial"/>
          <w:color w:val="000000"/>
          <w:shd w:val="clear" w:color="auto" w:fill="FFFFFF"/>
        </w:rPr>
        <w:t>. Cardiff: Welsh Government.</w:t>
      </w:r>
    </w:p>
    <w:p w:rsidR="000B6B57" w:rsidRPr="002247AE" w:rsidRDefault="000B6B57" w:rsidP="000B6B57">
      <w:pPr>
        <w:rPr>
          <w:rFonts w:cs="Arial"/>
          <w:color w:val="000000"/>
          <w:shd w:val="clear" w:color="auto" w:fill="FFFFFF"/>
        </w:rPr>
      </w:pPr>
      <w:r w:rsidRPr="002247AE">
        <w:rPr>
          <w:rFonts w:cs="Arial"/>
          <w:color w:val="000000"/>
          <w:shd w:val="clear" w:color="auto" w:fill="FFFFFF"/>
        </w:rPr>
        <w:t>Welsh Government (2013). </w:t>
      </w:r>
      <w:r w:rsidRPr="002247AE">
        <w:rPr>
          <w:rFonts w:cs="Arial"/>
          <w:i/>
          <w:iCs/>
          <w:color w:val="000000"/>
          <w:shd w:val="clear" w:color="auto" w:fill="FFFFFF"/>
        </w:rPr>
        <w:t>Literacy and Numeracy Framework</w:t>
      </w:r>
      <w:r w:rsidRPr="002247AE">
        <w:rPr>
          <w:rFonts w:cs="Arial"/>
          <w:color w:val="000000"/>
          <w:shd w:val="clear" w:color="auto" w:fill="FFFFFF"/>
        </w:rPr>
        <w:t>. Cardiff: Welsh Government.</w:t>
      </w:r>
    </w:p>
    <w:p w:rsidR="000B6B57" w:rsidRPr="002247AE" w:rsidRDefault="000B6B57" w:rsidP="000B6B57">
      <w:pPr>
        <w:rPr>
          <w:b/>
          <w:u w:val="single"/>
        </w:rPr>
      </w:pPr>
      <w:r w:rsidRPr="002247AE">
        <w:rPr>
          <w:rFonts w:cs="Arial"/>
          <w:color w:val="000000"/>
          <w:shd w:val="clear" w:color="auto" w:fill="FFFFFF"/>
        </w:rPr>
        <w:t>Welsh Government (2018). </w:t>
      </w:r>
      <w:r w:rsidRPr="002247AE">
        <w:rPr>
          <w:rFonts w:cs="Arial"/>
          <w:i/>
          <w:iCs/>
          <w:color w:val="000000"/>
          <w:shd w:val="clear" w:color="auto" w:fill="FFFFFF"/>
        </w:rPr>
        <w:t xml:space="preserve">My Local School data on School X | </w:t>
      </w:r>
      <w:proofErr w:type="spellStart"/>
      <w:r w:rsidRPr="002247AE">
        <w:rPr>
          <w:rFonts w:cs="Arial"/>
          <w:i/>
          <w:iCs/>
          <w:color w:val="000000"/>
          <w:shd w:val="clear" w:color="auto" w:fill="FFFFFF"/>
        </w:rPr>
        <w:t>beta.gov.wales</w:t>
      </w:r>
      <w:proofErr w:type="spellEnd"/>
      <w:r w:rsidRPr="002247AE">
        <w:rPr>
          <w:rFonts w:cs="Arial"/>
          <w:color w:val="000000"/>
          <w:shd w:val="clear" w:color="auto" w:fill="FFFFFF"/>
        </w:rPr>
        <w:t>. [</w:t>
      </w:r>
      <w:proofErr w:type="gramStart"/>
      <w:r w:rsidRPr="002247AE">
        <w:rPr>
          <w:rFonts w:cs="Arial"/>
          <w:color w:val="000000"/>
          <w:shd w:val="clear" w:color="auto" w:fill="FFFFFF"/>
        </w:rPr>
        <w:t>online</w:t>
      </w:r>
      <w:proofErr w:type="gramEnd"/>
      <w:r w:rsidRPr="002247AE">
        <w:rPr>
          <w:rFonts w:cs="Arial"/>
          <w:color w:val="000000"/>
          <w:shd w:val="clear" w:color="auto" w:fill="FFFFFF"/>
        </w:rPr>
        <w:t xml:space="preserve">] </w:t>
      </w:r>
      <w:proofErr w:type="spellStart"/>
      <w:r w:rsidRPr="002247AE">
        <w:rPr>
          <w:rFonts w:cs="Arial"/>
          <w:color w:val="000000"/>
          <w:shd w:val="clear" w:color="auto" w:fill="FFFFFF"/>
        </w:rPr>
        <w:t>beta.gov.wales</w:t>
      </w:r>
      <w:proofErr w:type="spellEnd"/>
      <w:r w:rsidRPr="002247AE">
        <w:rPr>
          <w:rFonts w:cs="Arial"/>
          <w:color w:val="000000"/>
          <w:shd w:val="clear" w:color="auto" w:fill="FFFFFF"/>
        </w:rPr>
        <w:t>. Available at: https://beta.gov.wales/my-local-school-guide (Link not to School X data) [Accessed 12 Jan. 2019].</w:t>
      </w:r>
    </w:p>
    <w:p w:rsidR="000B6B57" w:rsidRDefault="000B6B57">
      <w:pPr>
        <w:rPr>
          <w:color w:val="0D0D0D" w:themeColor="text1" w:themeTint="F2"/>
        </w:rPr>
      </w:pPr>
    </w:p>
    <w:p w:rsidR="000B6B57" w:rsidRDefault="000B6B57">
      <w:pPr>
        <w:rPr>
          <w:color w:val="0D0D0D" w:themeColor="text1" w:themeTint="F2"/>
        </w:rPr>
      </w:pPr>
    </w:p>
    <w:p w:rsidR="000B6B57" w:rsidRDefault="000B6B57">
      <w:pPr>
        <w:rPr>
          <w:color w:val="0D0D0D" w:themeColor="text1" w:themeTint="F2"/>
        </w:rPr>
      </w:pPr>
    </w:p>
    <w:p w:rsidR="000B6B57" w:rsidRDefault="000B6B57">
      <w:pPr>
        <w:rPr>
          <w:color w:val="0D0D0D" w:themeColor="text1" w:themeTint="F2"/>
        </w:rPr>
      </w:pPr>
    </w:p>
    <w:p w:rsidR="000B6B57" w:rsidRDefault="000B6B57">
      <w:pPr>
        <w:rPr>
          <w:color w:val="0D0D0D" w:themeColor="text1" w:themeTint="F2"/>
        </w:rPr>
      </w:pPr>
    </w:p>
    <w:p w:rsidR="000B6B57" w:rsidRDefault="000B6B57">
      <w:pPr>
        <w:rPr>
          <w:color w:val="0D0D0D" w:themeColor="text1" w:themeTint="F2"/>
        </w:rPr>
      </w:pPr>
    </w:p>
    <w:p w:rsidR="000B6B57" w:rsidRDefault="000B6B57">
      <w:pPr>
        <w:rPr>
          <w:color w:val="0D0D0D" w:themeColor="text1" w:themeTint="F2"/>
        </w:rPr>
      </w:pPr>
    </w:p>
    <w:p w:rsidR="000B6B57" w:rsidRDefault="000B6B57">
      <w:pPr>
        <w:rPr>
          <w:color w:val="0D0D0D" w:themeColor="text1" w:themeTint="F2"/>
        </w:rPr>
      </w:pPr>
    </w:p>
    <w:p w:rsidR="000B6B57" w:rsidRDefault="000B6B57">
      <w:pPr>
        <w:rPr>
          <w:color w:val="0D0D0D" w:themeColor="text1" w:themeTint="F2"/>
        </w:rPr>
      </w:pPr>
    </w:p>
    <w:p w:rsidR="000B6B57" w:rsidRDefault="000B6B57">
      <w:pPr>
        <w:rPr>
          <w:color w:val="0D0D0D" w:themeColor="text1" w:themeTint="F2"/>
        </w:rPr>
      </w:pPr>
    </w:p>
    <w:p w:rsidR="000B6B57" w:rsidRDefault="000B6B57">
      <w:pPr>
        <w:rPr>
          <w:color w:val="0D0D0D" w:themeColor="text1" w:themeTint="F2"/>
        </w:rPr>
      </w:pPr>
    </w:p>
    <w:p w:rsidR="000B6B57" w:rsidRDefault="000B6B57">
      <w:pPr>
        <w:rPr>
          <w:color w:val="0D0D0D" w:themeColor="text1" w:themeTint="F2"/>
        </w:rPr>
      </w:pPr>
    </w:p>
    <w:p w:rsidR="000B6B57" w:rsidRDefault="000B6B57">
      <w:pPr>
        <w:rPr>
          <w:color w:val="0D0D0D" w:themeColor="text1" w:themeTint="F2"/>
        </w:rPr>
      </w:pPr>
    </w:p>
    <w:p w:rsidR="000B6B57" w:rsidRDefault="000B6B57">
      <w:pPr>
        <w:rPr>
          <w:color w:val="0D0D0D" w:themeColor="text1" w:themeTint="F2"/>
        </w:rPr>
      </w:pPr>
    </w:p>
    <w:p w:rsidR="000B6B57" w:rsidRDefault="000B6B57">
      <w:pPr>
        <w:rPr>
          <w:color w:val="0D0D0D" w:themeColor="text1" w:themeTint="F2"/>
        </w:rPr>
      </w:pPr>
    </w:p>
    <w:p w:rsidR="000B6B57" w:rsidRDefault="000B6B57">
      <w:pPr>
        <w:rPr>
          <w:color w:val="0D0D0D" w:themeColor="text1" w:themeTint="F2"/>
        </w:rPr>
      </w:pPr>
    </w:p>
    <w:p w:rsidR="000B6B57" w:rsidRDefault="000B6B57">
      <w:pPr>
        <w:rPr>
          <w:color w:val="0D0D0D" w:themeColor="text1" w:themeTint="F2"/>
        </w:rPr>
      </w:pPr>
    </w:p>
    <w:p w:rsidR="000B6B57" w:rsidRDefault="000B6B57">
      <w:pPr>
        <w:rPr>
          <w:color w:val="0D0D0D" w:themeColor="text1" w:themeTint="F2"/>
        </w:rPr>
      </w:pPr>
    </w:p>
    <w:p w:rsidR="000B6B57" w:rsidRDefault="000B6B57">
      <w:pPr>
        <w:rPr>
          <w:b/>
          <w:color w:val="0D0D0D" w:themeColor="text1" w:themeTint="F2"/>
          <w:u w:val="single"/>
        </w:rPr>
      </w:pPr>
      <w:r w:rsidRPr="000B6B57">
        <w:rPr>
          <w:b/>
          <w:color w:val="0D0D0D" w:themeColor="text1" w:themeTint="F2"/>
          <w:u w:val="single"/>
        </w:rPr>
        <w:lastRenderedPageBreak/>
        <w:t>APPENDICES</w:t>
      </w:r>
    </w:p>
    <w:p w:rsidR="000B6B57" w:rsidRPr="000B6B57" w:rsidRDefault="000B6B57">
      <w:pPr>
        <w:rPr>
          <w:color w:val="0D0D0D" w:themeColor="text1" w:themeTint="F2"/>
        </w:rPr>
      </w:pPr>
      <w:r w:rsidRPr="000B6B57">
        <w:rPr>
          <w:color w:val="0D0D0D" w:themeColor="text1" w:themeTint="F2"/>
        </w:rPr>
        <w:t>Appendix 1 – Departmental Improvement Plan</w:t>
      </w:r>
      <w:r>
        <w:rPr>
          <w:color w:val="0D0D0D" w:themeColor="text1" w:themeTint="F2"/>
        </w:rPr>
        <w:br/>
        <w:t>Appendix 2 – School Improvement Plan</w:t>
      </w:r>
      <w:r>
        <w:rPr>
          <w:color w:val="0D0D0D" w:themeColor="text1" w:themeTint="F2"/>
        </w:rPr>
        <w:br/>
        <w:t xml:space="preserve">Appendix 3 – Literacy Development Plan </w:t>
      </w:r>
    </w:p>
    <w:sectPr w:rsidR="000B6B57" w:rsidRPr="000B6B57">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28C5" w:rsidRDefault="005528C5" w:rsidP="00880FB6">
      <w:pPr>
        <w:spacing w:after="0" w:line="240" w:lineRule="auto"/>
      </w:pPr>
      <w:r>
        <w:separator/>
      </w:r>
    </w:p>
  </w:endnote>
  <w:endnote w:type="continuationSeparator" w:id="0">
    <w:p w:rsidR="005528C5" w:rsidRDefault="005528C5" w:rsidP="00880F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28C5" w:rsidRDefault="005528C5" w:rsidP="00880FB6">
      <w:pPr>
        <w:spacing w:after="0" w:line="240" w:lineRule="auto"/>
      </w:pPr>
      <w:r>
        <w:separator/>
      </w:r>
    </w:p>
  </w:footnote>
  <w:footnote w:type="continuationSeparator" w:id="0">
    <w:p w:rsidR="005528C5" w:rsidRDefault="005528C5" w:rsidP="00880FB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6B57" w:rsidRDefault="000B6B57">
    <w:pPr>
      <w:pStyle w:val="Header"/>
    </w:pPr>
    <w:r>
      <w:t xml:space="preserve">1805147 </w:t>
    </w:r>
  </w:p>
  <w:p w:rsidR="005528C5" w:rsidRDefault="005528C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0F25B8"/>
    <w:multiLevelType w:val="multilevel"/>
    <w:tmpl w:val="8854A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37D5"/>
    <w:rsid w:val="0000581F"/>
    <w:rsid w:val="00040D18"/>
    <w:rsid w:val="00057499"/>
    <w:rsid w:val="0006739C"/>
    <w:rsid w:val="00074C15"/>
    <w:rsid w:val="000B0A91"/>
    <w:rsid w:val="000B6B57"/>
    <w:rsid w:val="000C0DA3"/>
    <w:rsid w:val="0010205C"/>
    <w:rsid w:val="00104A47"/>
    <w:rsid w:val="001200F9"/>
    <w:rsid w:val="00121257"/>
    <w:rsid w:val="001569E8"/>
    <w:rsid w:val="00173AF1"/>
    <w:rsid w:val="0017519B"/>
    <w:rsid w:val="00186CA9"/>
    <w:rsid w:val="001B2D9B"/>
    <w:rsid w:val="001C4A52"/>
    <w:rsid w:val="001D6DA8"/>
    <w:rsid w:val="00200759"/>
    <w:rsid w:val="00215E80"/>
    <w:rsid w:val="00271588"/>
    <w:rsid w:val="002725D3"/>
    <w:rsid w:val="002737D5"/>
    <w:rsid w:val="002A5B6D"/>
    <w:rsid w:val="002B67DF"/>
    <w:rsid w:val="002C14C1"/>
    <w:rsid w:val="002E30E9"/>
    <w:rsid w:val="00304BDE"/>
    <w:rsid w:val="00305420"/>
    <w:rsid w:val="0032308D"/>
    <w:rsid w:val="00336861"/>
    <w:rsid w:val="00344966"/>
    <w:rsid w:val="0034520C"/>
    <w:rsid w:val="00345AF3"/>
    <w:rsid w:val="00353CEE"/>
    <w:rsid w:val="00392B1E"/>
    <w:rsid w:val="00392FFC"/>
    <w:rsid w:val="00393FC1"/>
    <w:rsid w:val="003B223B"/>
    <w:rsid w:val="003C2644"/>
    <w:rsid w:val="003F553D"/>
    <w:rsid w:val="003F5B00"/>
    <w:rsid w:val="0041382D"/>
    <w:rsid w:val="00456168"/>
    <w:rsid w:val="00466026"/>
    <w:rsid w:val="00477D53"/>
    <w:rsid w:val="00493F55"/>
    <w:rsid w:val="004A7AEB"/>
    <w:rsid w:val="004B1902"/>
    <w:rsid w:val="004D2206"/>
    <w:rsid w:val="004E30F3"/>
    <w:rsid w:val="005008CC"/>
    <w:rsid w:val="00503F62"/>
    <w:rsid w:val="00507161"/>
    <w:rsid w:val="0051717D"/>
    <w:rsid w:val="005206BA"/>
    <w:rsid w:val="00527B73"/>
    <w:rsid w:val="00544D18"/>
    <w:rsid w:val="005528C5"/>
    <w:rsid w:val="00553960"/>
    <w:rsid w:val="00586CC4"/>
    <w:rsid w:val="00594DDA"/>
    <w:rsid w:val="005967E7"/>
    <w:rsid w:val="005A5A60"/>
    <w:rsid w:val="005A787D"/>
    <w:rsid w:val="005D2C46"/>
    <w:rsid w:val="005F0DE2"/>
    <w:rsid w:val="005F276E"/>
    <w:rsid w:val="0060530C"/>
    <w:rsid w:val="00632AE9"/>
    <w:rsid w:val="00636A24"/>
    <w:rsid w:val="00651C1B"/>
    <w:rsid w:val="006660B1"/>
    <w:rsid w:val="00683246"/>
    <w:rsid w:val="006A2F5E"/>
    <w:rsid w:val="006B64DD"/>
    <w:rsid w:val="006C4949"/>
    <w:rsid w:val="006F0A3C"/>
    <w:rsid w:val="006F184A"/>
    <w:rsid w:val="006F2433"/>
    <w:rsid w:val="00703378"/>
    <w:rsid w:val="007116B1"/>
    <w:rsid w:val="00731FF3"/>
    <w:rsid w:val="00732E97"/>
    <w:rsid w:val="007353F9"/>
    <w:rsid w:val="007372BC"/>
    <w:rsid w:val="00740920"/>
    <w:rsid w:val="00757D23"/>
    <w:rsid w:val="00773344"/>
    <w:rsid w:val="00784AB2"/>
    <w:rsid w:val="007A12C5"/>
    <w:rsid w:val="007B2B17"/>
    <w:rsid w:val="007B6BD6"/>
    <w:rsid w:val="00805770"/>
    <w:rsid w:val="008148DD"/>
    <w:rsid w:val="00820A72"/>
    <w:rsid w:val="00846160"/>
    <w:rsid w:val="00867559"/>
    <w:rsid w:val="00873029"/>
    <w:rsid w:val="008761C3"/>
    <w:rsid w:val="00880FB6"/>
    <w:rsid w:val="00881DC2"/>
    <w:rsid w:val="0088625E"/>
    <w:rsid w:val="008D48E1"/>
    <w:rsid w:val="008D7B36"/>
    <w:rsid w:val="008E0AB9"/>
    <w:rsid w:val="008E779D"/>
    <w:rsid w:val="00916F7B"/>
    <w:rsid w:val="009233DA"/>
    <w:rsid w:val="009356F0"/>
    <w:rsid w:val="009539EB"/>
    <w:rsid w:val="00964A6D"/>
    <w:rsid w:val="009806CB"/>
    <w:rsid w:val="0098706F"/>
    <w:rsid w:val="009907AB"/>
    <w:rsid w:val="0099701C"/>
    <w:rsid w:val="009C6974"/>
    <w:rsid w:val="009D5C61"/>
    <w:rsid w:val="009F3A37"/>
    <w:rsid w:val="00A07A56"/>
    <w:rsid w:val="00A134D7"/>
    <w:rsid w:val="00A211F3"/>
    <w:rsid w:val="00A305EB"/>
    <w:rsid w:val="00A314B2"/>
    <w:rsid w:val="00A328D0"/>
    <w:rsid w:val="00A54346"/>
    <w:rsid w:val="00A56623"/>
    <w:rsid w:val="00A72548"/>
    <w:rsid w:val="00A930CD"/>
    <w:rsid w:val="00AA1677"/>
    <w:rsid w:val="00AC0535"/>
    <w:rsid w:val="00AC2E2D"/>
    <w:rsid w:val="00AF5CF6"/>
    <w:rsid w:val="00B0078D"/>
    <w:rsid w:val="00B16F89"/>
    <w:rsid w:val="00B3071F"/>
    <w:rsid w:val="00B4690E"/>
    <w:rsid w:val="00B57F35"/>
    <w:rsid w:val="00B627DA"/>
    <w:rsid w:val="00B738FD"/>
    <w:rsid w:val="00B853C8"/>
    <w:rsid w:val="00B9044B"/>
    <w:rsid w:val="00BC6159"/>
    <w:rsid w:val="00BE09B5"/>
    <w:rsid w:val="00BE4AB3"/>
    <w:rsid w:val="00BF57FC"/>
    <w:rsid w:val="00C024F9"/>
    <w:rsid w:val="00C0698F"/>
    <w:rsid w:val="00C11E3A"/>
    <w:rsid w:val="00C246CD"/>
    <w:rsid w:val="00C4169E"/>
    <w:rsid w:val="00C649A8"/>
    <w:rsid w:val="00C66980"/>
    <w:rsid w:val="00CC04B1"/>
    <w:rsid w:val="00CC0CA9"/>
    <w:rsid w:val="00CF30A1"/>
    <w:rsid w:val="00CF3AC3"/>
    <w:rsid w:val="00D15657"/>
    <w:rsid w:val="00D72980"/>
    <w:rsid w:val="00D93B2E"/>
    <w:rsid w:val="00DA0454"/>
    <w:rsid w:val="00DB5291"/>
    <w:rsid w:val="00DC2D56"/>
    <w:rsid w:val="00DC7B3C"/>
    <w:rsid w:val="00DF0FE1"/>
    <w:rsid w:val="00E27FA3"/>
    <w:rsid w:val="00E31451"/>
    <w:rsid w:val="00E409CD"/>
    <w:rsid w:val="00E56BFE"/>
    <w:rsid w:val="00E6526E"/>
    <w:rsid w:val="00E821C3"/>
    <w:rsid w:val="00E86CC9"/>
    <w:rsid w:val="00EE1C6D"/>
    <w:rsid w:val="00EE5B97"/>
    <w:rsid w:val="00F036EB"/>
    <w:rsid w:val="00F0611B"/>
    <w:rsid w:val="00F32A04"/>
    <w:rsid w:val="00F33ABB"/>
    <w:rsid w:val="00F3425A"/>
    <w:rsid w:val="00F43864"/>
    <w:rsid w:val="00F45333"/>
    <w:rsid w:val="00F55EF8"/>
    <w:rsid w:val="00F7759D"/>
    <w:rsid w:val="00F855B4"/>
    <w:rsid w:val="00FA12A5"/>
    <w:rsid w:val="00FA2108"/>
    <w:rsid w:val="00FA3935"/>
    <w:rsid w:val="00FC48D5"/>
    <w:rsid w:val="00FD462A"/>
    <w:rsid w:val="00FD4950"/>
    <w:rsid w:val="00FE0C36"/>
    <w:rsid w:val="00FE2F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B19038DD-6408-4766-833D-9BECA09EB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qFormat/>
    <w:rsid w:val="00B9044B"/>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B9044B"/>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880FB6"/>
    <w:pPr>
      <w:tabs>
        <w:tab w:val="center" w:pos="4513"/>
        <w:tab w:val="right" w:pos="9026"/>
      </w:tabs>
      <w:spacing w:after="0" w:line="240" w:lineRule="auto"/>
    </w:pPr>
  </w:style>
  <w:style w:type="character" w:customStyle="1" w:styleId="HeaderChar">
    <w:name w:val="Header Char"/>
    <w:basedOn w:val="DefaultParagraphFont"/>
    <w:link w:val="Header"/>
    <w:rsid w:val="00880FB6"/>
  </w:style>
  <w:style w:type="paragraph" w:styleId="Footer">
    <w:name w:val="footer"/>
    <w:basedOn w:val="Normal"/>
    <w:link w:val="FooterChar"/>
    <w:uiPriority w:val="99"/>
    <w:unhideWhenUsed/>
    <w:rsid w:val="00880F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0FB6"/>
  </w:style>
  <w:style w:type="character" w:customStyle="1" w:styleId="Heading2Char">
    <w:name w:val="Heading 2 Char"/>
    <w:basedOn w:val="DefaultParagraphFont"/>
    <w:link w:val="Heading2"/>
    <w:rsid w:val="00B9044B"/>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B9044B"/>
    <w:rPr>
      <w:rFonts w:ascii="Times New Roman" w:eastAsia="Times New Roman" w:hAnsi="Times New Roman" w:cs="Times New Roman"/>
      <w:sz w:val="4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7629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7374</TotalTime>
  <Pages>12</Pages>
  <Words>5930</Words>
  <Characters>33804</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Leonie Barnett</dc:creator>
  <cp:keywords/>
  <dc:description/>
  <cp:lastModifiedBy>Leonie Barnett</cp:lastModifiedBy>
  <cp:revision>100</cp:revision>
  <dcterms:created xsi:type="dcterms:W3CDTF">2019-01-22T18:50:00Z</dcterms:created>
  <dcterms:modified xsi:type="dcterms:W3CDTF">2019-01-28T17:13:00Z</dcterms:modified>
</cp:coreProperties>
</file>