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3CDD" w:rsidRDefault="00333CDD" w:rsidP="003B1292">
      <w:pPr>
        <w:spacing w:line="360" w:lineRule="auto"/>
        <w:rPr>
          <w:rFonts w:ascii="Arial" w:hAnsi="Arial" w:cs="Arial"/>
        </w:rPr>
      </w:pPr>
    </w:p>
    <w:p w:rsidR="00333CDD" w:rsidRPr="00333CDD" w:rsidRDefault="00333CDD" w:rsidP="00333CDD">
      <w:pPr>
        <w:jc w:val="center"/>
        <w:rPr>
          <w:rFonts w:ascii="Arial" w:eastAsia="Calibri" w:hAnsi="Arial" w:cs="Arial"/>
          <w:b/>
          <w:bCs/>
          <w:lang w:val="en-GB"/>
        </w:rPr>
      </w:pPr>
      <w:r w:rsidRPr="00333CDD">
        <w:rPr>
          <w:rFonts w:ascii="Arial" w:eastAsia="Calibri" w:hAnsi="Arial" w:cs="Arial"/>
          <w:b/>
          <w:bCs/>
          <w:lang w:val="en-GB"/>
        </w:rPr>
        <w:t xml:space="preserve">Component </w:t>
      </w:r>
      <w:r>
        <w:rPr>
          <w:rFonts w:ascii="Arial" w:eastAsia="Calibri" w:hAnsi="Arial" w:cs="Arial"/>
          <w:b/>
          <w:bCs/>
          <w:lang w:val="en-GB"/>
        </w:rPr>
        <w:t>2</w:t>
      </w:r>
      <w:r w:rsidRPr="00333CDD">
        <w:rPr>
          <w:rFonts w:ascii="Arial" w:eastAsia="Calibri" w:hAnsi="Arial" w:cs="Arial"/>
          <w:b/>
          <w:bCs/>
          <w:lang w:val="en-GB"/>
        </w:rPr>
        <w:t xml:space="preserve"> - Report</w:t>
      </w:r>
    </w:p>
    <w:p w:rsidR="00333CDD" w:rsidRPr="00333CDD" w:rsidRDefault="00333CDD" w:rsidP="00333CDD">
      <w:pPr>
        <w:jc w:val="center"/>
        <w:rPr>
          <w:rFonts w:ascii="Arial" w:eastAsia="Calibri" w:hAnsi="Arial" w:cs="Arial"/>
          <w:lang w:val="en-GB"/>
        </w:rPr>
      </w:pPr>
      <w:r w:rsidRPr="00333CDD">
        <w:rPr>
          <w:rFonts w:ascii="Arial" w:eastAsia="Calibri" w:hAnsi="Arial" w:cs="Arial"/>
          <w:lang w:val="en-GB"/>
        </w:rPr>
        <w:t xml:space="preserve">Student Name: Martin </w:t>
      </w:r>
      <w:proofErr w:type="spellStart"/>
      <w:r w:rsidRPr="00333CDD">
        <w:rPr>
          <w:rFonts w:ascii="Arial" w:eastAsia="Calibri" w:hAnsi="Arial" w:cs="Arial"/>
          <w:lang w:val="en-GB"/>
        </w:rPr>
        <w:t>Kehayov</w:t>
      </w:r>
      <w:proofErr w:type="spellEnd"/>
    </w:p>
    <w:p w:rsidR="00333CDD" w:rsidRPr="00333CDD" w:rsidRDefault="00333CDD" w:rsidP="00333CDD">
      <w:pPr>
        <w:jc w:val="center"/>
        <w:rPr>
          <w:rFonts w:ascii="Arial" w:eastAsia="Calibri" w:hAnsi="Arial" w:cs="Arial"/>
          <w:lang w:val="en-GB"/>
        </w:rPr>
      </w:pPr>
      <w:r w:rsidRPr="00333CDD">
        <w:rPr>
          <w:rFonts w:ascii="Arial" w:eastAsia="Calibri" w:hAnsi="Arial" w:cs="Arial"/>
          <w:lang w:val="en-GB"/>
        </w:rPr>
        <w:t>Student Number: 2209792</w:t>
      </w:r>
    </w:p>
    <w:p w:rsidR="00333CDD" w:rsidRPr="00333CDD" w:rsidRDefault="00333CDD" w:rsidP="00333CDD">
      <w:pPr>
        <w:jc w:val="center"/>
        <w:rPr>
          <w:rFonts w:ascii="Arial" w:eastAsia="Calibri" w:hAnsi="Arial" w:cs="Arial"/>
          <w:lang w:val="en-GB"/>
        </w:rPr>
      </w:pPr>
      <w:r w:rsidRPr="00333CDD">
        <w:rPr>
          <w:rFonts w:ascii="Arial" w:eastAsia="Calibri" w:hAnsi="Arial" w:cs="Arial"/>
          <w:lang w:val="en-GB"/>
        </w:rPr>
        <w:t xml:space="preserve">Lecturer Name: </w:t>
      </w:r>
      <w:proofErr w:type="spellStart"/>
      <w:r>
        <w:rPr>
          <w:rFonts w:ascii="Arial" w:eastAsia="Calibri" w:hAnsi="Arial" w:cs="Arial"/>
          <w:lang w:val="en-GB"/>
        </w:rPr>
        <w:t>Efua</w:t>
      </w:r>
      <w:proofErr w:type="spellEnd"/>
      <w:r>
        <w:rPr>
          <w:rFonts w:ascii="Arial" w:eastAsia="Calibri" w:hAnsi="Arial" w:cs="Arial"/>
          <w:lang w:val="en-GB"/>
        </w:rPr>
        <w:t xml:space="preserve"> Adams</w:t>
      </w:r>
    </w:p>
    <w:p w:rsidR="00333CDD" w:rsidRPr="00333CDD" w:rsidRDefault="00333CDD" w:rsidP="00333CDD">
      <w:pPr>
        <w:jc w:val="center"/>
        <w:rPr>
          <w:rFonts w:ascii="Arial" w:eastAsia="Calibri" w:hAnsi="Arial" w:cs="Arial"/>
          <w:b/>
          <w:lang w:val="en-GB"/>
        </w:rPr>
      </w:pPr>
      <w:r w:rsidRPr="00333CDD">
        <w:rPr>
          <w:rFonts w:ascii="Arial" w:eastAsia="Calibri" w:hAnsi="Arial" w:cs="Arial"/>
          <w:b/>
          <w:lang w:val="en-GB"/>
        </w:rPr>
        <w:t xml:space="preserve"> </w:t>
      </w:r>
      <w:r>
        <w:rPr>
          <w:rFonts w:ascii="Arial" w:eastAsia="Calibri" w:hAnsi="Arial" w:cs="Arial"/>
          <w:b/>
          <w:lang w:val="en-GB"/>
        </w:rPr>
        <w:t>LCBB4002</w:t>
      </w:r>
    </w:p>
    <w:p w:rsidR="00333CDD" w:rsidRDefault="00333CDD" w:rsidP="00333CDD">
      <w:pPr>
        <w:jc w:val="center"/>
        <w:rPr>
          <w:rFonts w:ascii="Arial" w:eastAsia="Calibri" w:hAnsi="Arial" w:cs="Arial"/>
          <w:b/>
          <w:bCs/>
          <w:lang w:val="en-GB"/>
        </w:rPr>
      </w:pPr>
      <w:r>
        <w:rPr>
          <w:rFonts w:ascii="Arial" w:eastAsia="Calibri" w:hAnsi="Arial" w:cs="Arial"/>
          <w:b/>
          <w:bCs/>
          <w:lang w:val="en-GB"/>
        </w:rPr>
        <w:t xml:space="preserve">Community Engagement </w:t>
      </w:r>
    </w:p>
    <w:p w:rsidR="00333CDD" w:rsidRPr="00333CDD" w:rsidRDefault="00333CDD" w:rsidP="00333CDD">
      <w:pPr>
        <w:jc w:val="center"/>
        <w:rPr>
          <w:rFonts w:ascii="Arial" w:eastAsia="Calibri" w:hAnsi="Arial" w:cs="Arial"/>
          <w:b/>
          <w:bCs/>
          <w:lang w:val="en-GB"/>
        </w:rPr>
      </w:pPr>
      <w:r>
        <w:rPr>
          <w:rFonts w:ascii="Arial" w:eastAsia="Calibri" w:hAnsi="Arial" w:cs="Arial"/>
          <w:b/>
          <w:bCs/>
          <w:lang w:val="en-GB"/>
        </w:rPr>
        <w:t xml:space="preserve">Gambling </w:t>
      </w:r>
      <w:proofErr w:type="gramStart"/>
      <w:r>
        <w:rPr>
          <w:rFonts w:ascii="Arial" w:eastAsia="Calibri" w:hAnsi="Arial" w:cs="Arial"/>
          <w:b/>
          <w:bCs/>
          <w:lang w:val="en-GB"/>
        </w:rPr>
        <w:t>Responsibly</w:t>
      </w:r>
      <w:proofErr w:type="gramEnd"/>
      <w:r>
        <w:rPr>
          <w:rFonts w:ascii="Arial" w:eastAsia="Calibri" w:hAnsi="Arial" w:cs="Arial"/>
          <w:b/>
          <w:bCs/>
          <w:lang w:val="en-GB"/>
        </w:rPr>
        <w:t xml:space="preserve"> project</w:t>
      </w:r>
    </w:p>
    <w:p w:rsidR="00333CDD" w:rsidRDefault="00333CDD" w:rsidP="003B1292">
      <w:pPr>
        <w:spacing w:line="360" w:lineRule="auto"/>
        <w:rPr>
          <w:rFonts w:ascii="Arial" w:hAnsi="Arial" w:cs="Arial"/>
        </w:rPr>
      </w:pPr>
    </w:p>
    <w:p w:rsidR="00333CDD" w:rsidRPr="00333CDD" w:rsidRDefault="00333CDD" w:rsidP="003B1292">
      <w:pPr>
        <w:spacing w:line="360" w:lineRule="auto"/>
        <w:rPr>
          <w:rFonts w:ascii="Arial" w:hAnsi="Arial" w:cs="Arial"/>
          <w:b/>
          <w:lang w:val="en-US"/>
        </w:rPr>
      </w:pPr>
      <w:r w:rsidRPr="00333CDD">
        <w:rPr>
          <w:rFonts w:ascii="Arial" w:hAnsi="Arial" w:cs="Arial"/>
          <w:b/>
          <w:lang w:val="en-US"/>
        </w:rPr>
        <w:t>Introduction</w:t>
      </w:r>
    </w:p>
    <w:p w:rsidR="00F447D2" w:rsidRDefault="003B1292" w:rsidP="003B1292">
      <w:pPr>
        <w:spacing w:line="360" w:lineRule="auto"/>
        <w:rPr>
          <w:rFonts w:ascii="Arial" w:hAnsi="Arial" w:cs="Arial"/>
          <w:lang w:val="en-US"/>
        </w:rPr>
      </w:pPr>
      <w:r w:rsidRPr="003B1292">
        <w:rPr>
          <w:rFonts w:ascii="Arial" w:hAnsi="Arial" w:cs="Arial"/>
        </w:rPr>
        <w:t>Gambling addiction is a serious problem that affects a significant portion of the population in the United Kingdom. According to the Gambling Commission, around 430,000 adults in the UK are classified as problem gamblers, with an additional 2 million at risk of developing a gambling problem</w:t>
      </w:r>
      <w:r w:rsidRPr="003B1292">
        <w:t xml:space="preserve"> </w:t>
      </w:r>
      <w:r w:rsidRPr="003B1292">
        <w:rPr>
          <w:rFonts w:ascii="Arial" w:hAnsi="Arial" w:cs="Arial"/>
        </w:rPr>
        <w:t>(Davies, 2017)</w:t>
      </w:r>
      <w:r>
        <w:rPr>
          <w:rFonts w:ascii="Arial" w:hAnsi="Arial" w:cs="Arial"/>
        </w:rPr>
        <w:t>.</w:t>
      </w:r>
      <w:r w:rsidRPr="003B1292">
        <w:rPr>
          <w:rFonts w:ascii="Arial" w:hAnsi="Arial" w:cs="Arial"/>
        </w:rPr>
        <w:t xml:space="preserve"> In response to this issue, the British government initiated a project to help people addicted to gambling.</w:t>
      </w:r>
      <w:r>
        <w:rPr>
          <w:rFonts w:ascii="Arial" w:hAnsi="Arial" w:cs="Arial"/>
          <w:lang w:val="en-US"/>
        </w:rPr>
        <w:t xml:space="preserve">  </w:t>
      </w:r>
      <w:r w:rsidRPr="003B1292">
        <w:rPr>
          <w:rFonts w:ascii="Arial" w:hAnsi="Arial" w:cs="Arial"/>
          <w:lang w:val="en-US"/>
        </w:rPr>
        <w:t>One of the largest ga</w:t>
      </w:r>
      <w:r>
        <w:rPr>
          <w:rFonts w:ascii="Arial" w:hAnsi="Arial" w:cs="Arial"/>
          <w:lang w:val="en-US"/>
        </w:rPr>
        <w:t>mbling markets in the globe, which</w:t>
      </w:r>
      <w:r w:rsidRPr="003B1292">
        <w:rPr>
          <w:rFonts w:ascii="Arial" w:hAnsi="Arial" w:cs="Arial"/>
          <w:lang w:val="en-US"/>
        </w:rPr>
        <w:t xml:space="preserve"> UK </w:t>
      </w:r>
      <w:r>
        <w:rPr>
          <w:rFonts w:ascii="Arial" w:hAnsi="Arial" w:cs="Arial"/>
          <w:lang w:val="en-US"/>
        </w:rPr>
        <w:t xml:space="preserve">have, </w:t>
      </w:r>
      <w:r w:rsidRPr="003B1292">
        <w:rPr>
          <w:rFonts w:ascii="Arial" w:hAnsi="Arial" w:cs="Arial"/>
          <w:lang w:val="en-US"/>
        </w:rPr>
        <w:t xml:space="preserve">will make £14.2 billion in profit in 2020. Previous studies have demonstrated that there are numerous negative effects of gaming. In </w:t>
      </w:r>
      <w:r>
        <w:rPr>
          <w:rFonts w:ascii="Arial" w:hAnsi="Arial" w:cs="Arial"/>
          <w:lang w:val="en-US"/>
        </w:rPr>
        <w:t>addition, gambling does not only affect people’s personal lives, but their families,</w:t>
      </w:r>
      <w:r w:rsidRPr="003B1292">
        <w:rPr>
          <w:rFonts w:ascii="Arial" w:hAnsi="Arial" w:cs="Arial"/>
          <w:lang w:val="en-US"/>
        </w:rPr>
        <w:t xml:space="preserve"> clo</w:t>
      </w:r>
      <w:r w:rsidR="004E27B9">
        <w:rPr>
          <w:rFonts w:ascii="Arial" w:hAnsi="Arial" w:cs="Arial"/>
          <w:lang w:val="en-US"/>
        </w:rPr>
        <w:t>se friends, and larger society</w:t>
      </w:r>
      <w:r w:rsidRPr="003B1292">
        <w:rPr>
          <w:rFonts w:ascii="Arial" w:hAnsi="Arial" w:cs="Arial"/>
          <w:lang w:val="en-US"/>
        </w:rPr>
        <w:t>. It was necessary to completely comprehend the extent to which gambling is a public health issue, the types of people for whom it is a problem, and the range of potential harms.</w:t>
      </w:r>
      <w:r>
        <w:rPr>
          <w:rFonts w:ascii="Arial" w:hAnsi="Arial" w:cs="Arial"/>
          <w:lang w:val="en-US"/>
        </w:rPr>
        <w:t xml:space="preserve"> </w:t>
      </w:r>
      <w:r w:rsidR="004E27B9" w:rsidRPr="004E27B9">
        <w:rPr>
          <w:rFonts w:ascii="Arial" w:hAnsi="Arial" w:cs="Arial"/>
          <w:lang w:val="en-US"/>
        </w:rPr>
        <w:t>(GOV.UK, 2023)</w:t>
      </w:r>
      <w:r w:rsidR="004E27B9">
        <w:rPr>
          <w:rFonts w:ascii="Arial" w:hAnsi="Arial" w:cs="Arial"/>
          <w:lang w:val="en-US"/>
        </w:rPr>
        <w:t xml:space="preserve"> </w:t>
      </w:r>
    </w:p>
    <w:p w:rsidR="004E27B9" w:rsidRDefault="004E27B9" w:rsidP="003B1292">
      <w:pPr>
        <w:spacing w:line="360" w:lineRule="auto"/>
        <w:rPr>
          <w:rFonts w:ascii="Arial" w:hAnsi="Arial" w:cs="Arial"/>
          <w:lang w:val="en-US"/>
        </w:rPr>
      </w:pPr>
    </w:p>
    <w:p w:rsidR="004E27B9" w:rsidRPr="004E27B9" w:rsidRDefault="004E27B9" w:rsidP="004E27B9">
      <w:pPr>
        <w:spacing w:line="360" w:lineRule="auto"/>
        <w:rPr>
          <w:rFonts w:ascii="Arial" w:hAnsi="Arial" w:cs="Arial"/>
        </w:rPr>
      </w:pPr>
      <w:r w:rsidRPr="004E27B9">
        <w:rPr>
          <w:rFonts w:ascii="Arial" w:hAnsi="Arial" w:cs="Arial"/>
        </w:rPr>
        <w:t xml:space="preserve">The British government has recently </w:t>
      </w:r>
      <w:r>
        <w:rPr>
          <w:rFonts w:ascii="Arial" w:hAnsi="Arial" w:cs="Arial"/>
          <w:lang w:val="en-US"/>
        </w:rPr>
        <w:t>decided to launch</w:t>
      </w:r>
      <w:r w:rsidRPr="004E27B9">
        <w:rPr>
          <w:rFonts w:ascii="Arial" w:hAnsi="Arial" w:cs="Arial"/>
        </w:rPr>
        <w:t xml:space="preserve"> a new program aimed at helping individuals who struggle with gambling addiction. The program, called "Gambling Responsibly," is a comprehensive and coordinated approach to tackling the issue of gambling addiction and reducing the harm caused by the problem.</w:t>
      </w:r>
      <w:r>
        <w:rPr>
          <w:rFonts w:ascii="Arial" w:hAnsi="Arial" w:cs="Arial"/>
          <w:lang w:val="en-US"/>
        </w:rPr>
        <w:t xml:space="preserve"> </w:t>
      </w:r>
      <w:r w:rsidRPr="004E27B9">
        <w:rPr>
          <w:rFonts w:ascii="Arial" w:hAnsi="Arial" w:cs="Arial"/>
        </w:rPr>
        <w:t>The background of the Gambling Responsibly program can be traced back to the growing concern around the issue of gambling addiction in the UK. In recent years, there has been a significant increase in the number of people experiencing gambling addiction</w:t>
      </w:r>
      <w:r>
        <w:rPr>
          <w:rFonts w:ascii="Arial" w:hAnsi="Arial" w:cs="Arial"/>
        </w:rPr>
        <w:t>.</w:t>
      </w:r>
    </w:p>
    <w:p w:rsidR="004E27B9" w:rsidRPr="004E27B9" w:rsidRDefault="004E27B9" w:rsidP="004E27B9">
      <w:pPr>
        <w:spacing w:line="360" w:lineRule="auto"/>
        <w:rPr>
          <w:rFonts w:ascii="Arial" w:hAnsi="Arial" w:cs="Arial"/>
        </w:rPr>
      </w:pPr>
      <w:r w:rsidRPr="004E27B9">
        <w:rPr>
          <w:rFonts w:ascii="Arial" w:hAnsi="Arial" w:cs="Arial"/>
        </w:rPr>
        <w:t xml:space="preserve">The issue has been compounded by the rise of online gambling, which has made it easier for individuals to access gambling services and has led to an increase in the number of people experiencing gambling addiction. There have also been concerns raised around the lack of </w:t>
      </w:r>
      <w:r w:rsidRPr="004E27B9">
        <w:rPr>
          <w:rFonts w:ascii="Arial" w:hAnsi="Arial" w:cs="Arial"/>
        </w:rPr>
        <w:lastRenderedPageBreak/>
        <w:t>support available for individuals with gambling addiction, with many individuals struggling to access the support they need to overcome the problem.</w:t>
      </w:r>
    </w:p>
    <w:p w:rsidR="004E27B9" w:rsidRPr="00D34868" w:rsidRDefault="004E27B9" w:rsidP="004E27B9">
      <w:pPr>
        <w:spacing w:line="360" w:lineRule="auto"/>
        <w:rPr>
          <w:rFonts w:ascii="Arial" w:hAnsi="Arial" w:cs="Arial"/>
          <w:lang w:val="en-US"/>
        </w:rPr>
      </w:pPr>
      <w:r w:rsidRPr="004E27B9">
        <w:rPr>
          <w:rFonts w:ascii="Arial" w:hAnsi="Arial" w:cs="Arial"/>
        </w:rPr>
        <w:t>In response to these concerns, the UK government has taken a number of steps to address the issue of gambling addiction. In 2018, the government introduced a number of new measures aimed at reducing the harm caused by problem gambling, including a reduction in the maximum stake for fixed-odds betting terminals and increased funding for support services.</w:t>
      </w:r>
      <w:r w:rsidR="00D34868" w:rsidRPr="00D34868">
        <w:t xml:space="preserve"> </w:t>
      </w:r>
      <w:r w:rsidR="00D34868" w:rsidRPr="00D34868">
        <w:rPr>
          <w:rFonts w:ascii="Arial" w:hAnsi="Arial" w:cs="Arial"/>
        </w:rPr>
        <w:t>(Selbie, 2018)</w:t>
      </w:r>
      <w:r w:rsidR="00D34868">
        <w:rPr>
          <w:rFonts w:ascii="Arial" w:hAnsi="Arial" w:cs="Arial"/>
          <w:lang w:val="en-US"/>
        </w:rPr>
        <w:t xml:space="preserve"> </w:t>
      </w:r>
    </w:p>
    <w:p w:rsidR="004E27B9" w:rsidRPr="004E27B9" w:rsidRDefault="004E27B9" w:rsidP="004E27B9">
      <w:pPr>
        <w:spacing w:line="360" w:lineRule="auto"/>
        <w:rPr>
          <w:rFonts w:ascii="Arial" w:hAnsi="Arial" w:cs="Arial"/>
        </w:rPr>
      </w:pPr>
      <w:r w:rsidRPr="004E27B9">
        <w:rPr>
          <w:rFonts w:ascii="Arial" w:hAnsi="Arial" w:cs="Arial"/>
        </w:rPr>
        <w:t xml:space="preserve">However, it was recognized that more needed to be done to tackle the issue of gambling addiction and reduce the harm caused by the problem. The Gambling Responsibly program </w:t>
      </w:r>
      <w:r w:rsidR="00D34868">
        <w:rPr>
          <w:rFonts w:ascii="Arial" w:hAnsi="Arial" w:cs="Arial"/>
          <w:lang w:val="en-US"/>
        </w:rPr>
        <w:t>will be</w:t>
      </w:r>
      <w:r w:rsidRPr="004E27B9">
        <w:rPr>
          <w:rFonts w:ascii="Arial" w:hAnsi="Arial" w:cs="Arial"/>
        </w:rPr>
        <w:t xml:space="preserve"> developed as a comprehensive and coordinated approach to addressing the issue, bringing together a range of different initiatives and support services to provide individuals with the help and support they need.</w:t>
      </w:r>
    </w:p>
    <w:p w:rsidR="00333CDD" w:rsidRPr="00333CDD" w:rsidRDefault="00333CDD" w:rsidP="004E27B9">
      <w:pPr>
        <w:spacing w:line="360" w:lineRule="auto"/>
        <w:rPr>
          <w:rFonts w:ascii="Arial" w:hAnsi="Arial" w:cs="Arial"/>
          <w:b/>
          <w:lang w:val="en-US"/>
        </w:rPr>
      </w:pPr>
      <w:r w:rsidRPr="00333CDD">
        <w:rPr>
          <w:rFonts w:ascii="Arial" w:hAnsi="Arial" w:cs="Arial"/>
          <w:b/>
          <w:lang w:val="en-US"/>
        </w:rPr>
        <w:t>Main body</w:t>
      </w:r>
    </w:p>
    <w:p w:rsidR="004E27B9" w:rsidRPr="004E27B9" w:rsidRDefault="004E27B9" w:rsidP="004E27B9">
      <w:pPr>
        <w:spacing w:line="360" w:lineRule="auto"/>
        <w:rPr>
          <w:rFonts w:ascii="Arial" w:hAnsi="Arial" w:cs="Arial"/>
        </w:rPr>
      </w:pPr>
      <w:r w:rsidRPr="004E27B9">
        <w:rPr>
          <w:rFonts w:ascii="Arial" w:hAnsi="Arial" w:cs="Arial"/>
        </w:rPr>
        <w:t xml:space="preserve">The program </w:t>
      </w:r>
      <w:r w:rsidR="00D34868">
        <w:rPr>
          <w:rFonts w:ascii="Arial" w:hAnsi="Arial" w:cs="Arial"/>
          <w:lang w:val="en-US"/>
        </w:rPr>
        <w:t>will be</w:t>
      </w:r>
      <w:r w:rsidRPr="004E27B9">
        <w:rPr>
          <w:rFonts w:ascii="Arial" w:hAnsi="Arial" w:cs="Arial"/>
        </w:rPr>
        <w:t xml:space="preserve"> developed in consultation with a range of different stakeholders, including individuals with lived experience of gambling addiction, support organizations, and healthcare professionals. By engaging with these stakeholders and taking a collaborative approach, the government </w:t>
      </w:r>
      <w:r w:rsidR="00D34868">
        <w:rPr>
          <w:rFonts w:ascii="Arial" w:hAnsi="Arial" w:cs="Arial"/>
          <w:lang w:val="en-US"/>
        </w:rPr>
        <w:t>will be</w:t>
      </w:r>
      <w:r w:rsidRPr="004E27B9">
        <w:rPr>
          <w:rFonts w:ascii="Arial" w:hAnsi="Arial" w:cs="Arial"/>
        </w:rPr>
        <w:t xml:space="preserve"> able to develop a program that </w:t>
      </w:r>
      <w:r w:rsidR="00D34868">
        <w:rPr>
          <w:rFonts w:ascii="Arial" w:hAnsi="Arial" w:cs="Arial"/>
          <w:lang w:val="en-US"/>
        </w:rPr>
        <w:t xml:space="preserve">is going to be </w:t>
      </w:r>
      <w:r w:rsidRPr="004E27B9">
        <w:rPr>
          <w:rFonts w:ascii="Arial" w:hAnsi="Arial" w:cs="Arial"/>
        </w:rPr>
        <w:t>informed by the needs and perspectives of those directly affected by the problem.</w:t>
      </w:r>
    </w:p>
    <w:p w:rsidR="004E27B9" w:rsidRDefault="004E27B9" w:rsidP="004E27B9">
      <w:pPr>
        <w:spacing w:line="360" w:lineRule="auto"/>
        <w:rPr>
          <w:rFonts w:ascii="Arial" w:hAnsi="Arial" w:cs="Arial"/>
          <w:lang w:val="en-US"/>
        </w:rPr>
      </w:pPr>
      <w:r w:rsidRPr="004E27B9">
        <w:rPr>
          <w:rFonts w:ascii="Arial" w:hAnsi="Arial" w:cs="Arial"/>
        </w:rPr>
        <w:t>Overall, the Gambling Responsibly program</w:t>
      </w:r>
      <w:r w:rsidR="00D34868">
        <w:rPr>
          <w:rFonts w:ascii="Arial" w:hAnsi="Arial" w:cs="Arial"/>
          <w:lang w:val="en-US"/>
        </w:rPr>
        <w:t xml:space="preserve"> will </w:t>
      </w:r>
      <w:r w:rsidR="00D34868">
        <w:rPr>
          <w:rFonts w:ascii="Arial" w:hAnsi="Arial" w:cs="Arial"/>
        </w:rPr>
        <w:t>represent</w:t>
      </w:r>
      <w:r w:rsidRPr="004E27B9">
        <w:rPr>
          <w:rFonts w:ascii="Arial" w:hAnsi="Arial" w:cs="Arial"/>
        </w:rPr>
        <w:t xml:space="preserve"> a significant step forward in the UK's efforts to tackle the issue of gambling addiction and reduce the harm caused by the problem. By taking a comprehensive and coordinated approach, the program aims to provide individuals with the help and support they need to overcome their addiction and reduce the social and economic costs of the problem</w:t>
      </w:r>
      <w:r w:rsidR="000D6BC4">
        <w:rPr>
          <w:rFonts w:ascii="Arial" w:hAnsi="Arial" w:cs="Arial"/>
          <w:lang w:val="en-US"/>
        </w:rPr>
        <w:t>.</w:t>
      </w:r>
      <w:r w:rsidR="004B5C24">
        <w:rPr>
          <w:rFonts w:ascii="Arial" w:hAnsi="Arial" w:cs="Arial"/>
          <w:lang w:val="en-US"/>
        </w:rPr>
        <w:t xml:space="preserve"> </w:t>
      </w:r>
    </w:p>
    <w:p w:rsidR="004B5C24" w:rsidRPr="00034D44" w:rsidRDefault="004B5C24" w:rsidP="004B5C24">
      <w:pPr>
        <w:spacing w:line="360" w:lineRule="auto"/>
        <w:rPr>
          <w:rFonts w:ascii="Arial" w:hAnsi="Arial" w:cs="Arial"/>
          <w:lang w:val="en-US"/>
        </w:rPr>
      </w:pPr>
      <w:r>
        <w:rPr>
          <w:rFonts w:ascii="Arial" w:hAnsi="Arial" w:cs="Arial"/>
          <w:lang w:val="en-US"/>
        </w:rPr>
        <w:t>When it comes to social media. The project can</w:t>
      </w:r>
      <w:r w:rsidRPr="004B5C24">
        <w:rPr>
          <w:rFonts w:ascii="Arial" w:hAnsi="Arial" w:cs="Arial"/>
        </w:rPr>
        <w:t xml:space="preserve"> engage the </w:t>
      </w:r>
      <w:r>
        <w:rPr>
          <w:rFonts w:ascii="Arial" w:hAnsi="Arial" w:cs="Arial"/>
          <w:lang w:val="en-US"/>
        </w:rPr>
        <w:t>in</w:t>
      </w:r>
      <w:r>
        <w:rPr>
          <w:rFonts w:ascii="Arial" w:hAnsi="Arial" w:cs="Arial"/>
        </w:rPr>
        <w:t xml:space="preserve"> a variety of strategies. Some possible approaches are</w:t>
      </w:r>
      <w:r>
        <w:rPr>
          <w:rFonts w:ascii="Arial" w:hAnsi="Arial" w:cs="Arial"/>
          <w:lang w:val="en-US"/>
        </w:rPr>
        <w:t xml:space="preserve">: </w:t>
      </w:r>
      <w:r w:rsidRPr="004B5C24">
        <w:rPr>
          <w:rFonts w:ascii="Arial" w:hAnsi="Arial" w:cs="Arial"/>
        </w:rPr>
        <w:t>run</w:t>
      </w:r>
      <w:proofErr w:type="spellStart"/>
      <w:r>
        <w:rPr>
          <w:rFonts w:ascii="Arial" w:hAnsi="Arial" w:cs="Arial"/>
          <w:lang w:val="en-US"/>
        </w:rPr>
        <w:t>ning</w:t>
      </w:r>
      <w:proofErr w:type="spellEnd"/>
      <w:r>
        <w:rPr>
          <w:rFonts w:ascii="Arial" w:hAnsi="Arial" w:cs="Arial"/>
          <w:lang w:val="en-US"/>
        </w:rPr>
        <w:t xml:space="preserve"> a</w:t>
      </w:r>
      <w:r w:rsidRPr="004B5C24">
        <w:rPr>
          <w:rFonts w:ascii="Arial" w:hAnsi="Arial" w:cs="Arial"/>
        </w:rPr>
        <w:t xml:space="preserve"> social media campaigns aimed at raising awareness about the risks of gambling addiction and promoting responsible gambling practices. For example, they can create short videos or infographics that highlight the warning signs of gambling addiction and share them on social media platforms like Facebook, Twitter, and Instagram.</w:t>
      </w:r>
      <w:r w:rsidR="00034D44">
        <w:rPr>
          <w:rFonts w:ascii="Arial" w:hAnsi="Arial" w:cs="Arial"/>
          <w:lang w:val="en-US"/>
        </w:rPr>
        <w:t xml:space="preserve"> What is more, </w:t>
      </w:r>
      <w:proofErr w:type="gramStart"/>
      <w:r w:rsidR="00034D44" w:rsidRPr="00034D44">
        <w:rPr>
          <w:rFonts w:ascii="Arial" w:hAnsi="Arial" w:cs="Arial"/>
        </w:rPr>
        <w:t>The</w:t>
      </w:r>
      <w:proofErr w:type="gramEnd"/>
      <w:r w:rsidR="00034D44" w:rsidRPr="00034D44">
        <w:rPr>
          <w:rFonts w:ascii="Arial" w:hAnsi="Arial" w:cs="Arial"/>
        </w:rPr>
        <w:t xml:space="preserve"> project can partner with social media influencers who have large followings and are interested in promoting responsible gambling. The influencers can create sponsored posts or videos that encourage their followers to gamble responsibly and seek help if they have a problem.</w:t>
      </w:r>
      <w:r w:rsidR="00034D44">
        <w:rPr>
          <w:rFonts w:ascii="Arial" w:hAnsi="Arial" w:cs="Arial"/>
          <w:lang w:val="en-US"/>
        </w:rPr>
        <w:t xml:space="preserve"> </w:t>
      </w:r>
      <w:r w:rsidR="00034D44" w:rsidRPr="00034D44">
        <w:rPr>
          <w:rFonts w:ascii="Arial" w:hAnsi="Arial" w:cs="Arial"/>
        </w:rPr>
        <w:t>The project can</w:t>
      </w:r>
      <w:r w:rsidR="00034D44">
        <w:rPr>
          <w:rFonts w:ascii="Arial" w:hAnsi="Arial" w:cs="Arial"/>
          <w:lang w:val="en-US"/>
        </w:rPr>
        <w:t xml:space="preserve"> also</w:t>
      </w:r>
      <w:r w:rsidR="00034D44" w:rsidRPr="00034D44">
        <w:rPr>
          <w:rFonts w:ascii="Arial" w:hAnsi="Arial" w:cs="Arial"/>
        </w:rPr>
        <w:t xml:space="preserve"> create online support groups on social media platforms like Facebook or WhatsApp, where individuals struggling with gambling addiction can connect with others who are going through similar experiences. The support </w:t>
      </w:r>
      <w:r w:rsidR="00034D44" w:rsidRPr="00034D44">
        <w:rPr>
          <w:rFonts w:ascii="Arial" w:hAnsi="Arial" w:cs="Arial"/>
        </w:rPr>
        <w:lastRenderedPageBreak/>
        <w:t>groups can be moderated by professionals who can offer advice and support to participants.</w:t>
      </w:r>
      <w:r w:rsidR="00034D44">
        <w:rPr>
          <w:rFonts w:ascii="Arial" w:hAnsi="Arial" w:cs="Arial"/>
          <w:lang w:val="en-US"/>
        </w:rPr>
        <w:t xml:space="preserve"> Last but not least, </w:t>
      </w:r>
      <w:r w:rsidR="00034D44">
        <w:rPr>
          <w:rFonts w:ascii="Arial" w:hAnsi="Arial" w:cs="Arial"/>
        </w:rPr>
        <w:t>t</w:t>
      </w:r>
      <w:r w:rsidR="00034D44" w:rsidRPr="00034D44">
        <w:rPr>
          <w:rFonts w:ascii="Arial" w:hAnsi="Arial" w:cs="Arial"/>
        </w:rPr>
        <w:t>he project can organize live events on social media platforms like Instagram Live or Facebook Live, where individuals can ask questions and get advice from experts on gambling addiction and responsible gambling practices.</w:t>
      </w:r>
    </w:p>
    <w:p w:rsidR="004B5C24" w:rsidRPr="000D6BC4" w:rsidRDefault="004B5C24" w:rsidP="004E27B9">
      <w:pPr>
        <w:spacing w:line="360" w:lineRule="auto"/>
        <w:rPr>
          <w:rFonts w:ascii="Arial" w:hAnsi="Arial" w:cs="Arial"/>
          <w:lang w:val="en-US"/>
        </w:rPr>
      </w:pPr>
    </w:p>
    <w:p w:rsidR="000D6BC4" w:rsidRPr="000D6BC4" w:rsidRDefault="000D6BC4" w:rsidP="000D6BC4">
      <w:pPr>
        <w:spacing w:line="360" w:lineRule="auto"/>
        <w:rPr>
          <w:rFonts w:ascii="Arial" w:hAnsi="Arial" w:cs="Arial"/>
        </w:rPr>
      </w:pPr>
      <w:r w:rsidRPr="000D6BC4">
        <w:rPr>
          <w:rFonts w:ascii="Arial" w:hAnsi="Arial" w:cs="Arial"/>
        </w:rPr>
        <w:t>The Gambling Responsibly project and the UK cycling and walking lanes project are two very different initiatives that use different strategies for community engagement. However, both initiatives share the goal of improving the health and wellbeing of individuals, albeit in different ways. In this section, we will compare and analyze the community engagement approaches of these two projects and evaluate their best practices.</w:t>
      </w:r>
    </w:p>
    <w:p w:rsidR="000D6BC4" w:rsidRPr="000D6BC4" w:rsidRDefault="000D6BC4" w:rsidP="000D6BC4">
      <w:pPr>
        <w:spacing w:line="360" w:lineRule="auto"/>
        <w:rPr>
          <w:rFonts w:ascii="Arial" w:hAnsi="Arial" w:cs="Arial"/>
        </w:rPr>
      </w:pPr>
      <w:r w:rsidRPr="000D6BC4">
        <w:rPr>
          <w:rFonts w:ascii="Arial" w:hAnsi="Arial" w:cs="Arial"/>
        </w:rPr>
        <w:t>The Gambling Responsibly project has a strong emphasis on community engagement and consulta</w:t>
      </w:r>
      <w:r w:rsidR="004B5C24">
        <w:rPr>
          <w:rFonts w:ascii="Arial" w:hAnsi="Arial" w:cs="Arial"/>
        </w:rPr>
        <w:t>tion. The government is to establish</w:t>
      </w:r>
      <w:r w:rsidRPr="000D6BC4">
        <w:rPr>
          <w:rFonts w:ascii="Arial" w:hAnsi="Arial" w:cs="Arial"/>
        </w:rPr>
        <w:t xml:space="preserve"> a community engagement group that includes representatives from various organizations and communities to provide feedback and input into the development and implementation of the program. This group </w:t>
      </w:r>
      <w:r w:rsidR="004B5C24">
        <w:rPr>
          <w:rFonts w:ascii="Arial" w:hAnsi="Arial" w:cs="Arial"/>
          <w:lang w:val="en-US"/>
        </w:rPr>
        <w:t xml:space="preserve">will </w:t>
      </w:r>
      <w:r w:rsidR="004B5C24">
        <w:rPr>
          <w:rFonts w:ascii="Arial" w:hAnsi="Arial" w:cs="Arial"/>
        </w:rPr>
        <w:t>meet</w:t>
      </w:r>
      <w:r w:rsidRPr="000D6BC4">
        <w:rPr>
          <w:rFonts w:ascii="Arial" w:hAnsi="Arial" w:cs="Arial"/>
        </w:rPr>
        <w:t xml:space="preserve"> regularly with government officials to provide advice and guidance on the program's effectiveness and identify areas for improvement. The program also involves public awareness campaigns aimed at reducing stigma surrounding gambling addiction and promoting responsible gambling.</w:t>
      </w:r>
    </w:p>
    <w:p w:rsidR="000D6BC4" w:rsidRPr="000D6BC4" w:rsidRDefault="000D6BC4" w:rsidP="000D6BC4">
      <w:pPr>
        <w:spacing w:line="360" w:lineRule="auto"/>
        <w:rPr>
          <w:rFonts w:ascii="Arial" w:hAnsi="Arial" w:cs="Arial"/>
        </w:rPr>
      </w:pPr>
      <w:r w:rsidRPr="000D6BC4">
        <w:rPr>
          <w:rFonts w:ascii="Arial" w:hAnsi="Arial" w:cs="Arial"/>
        </w:rPr>
        <w:t>In contrast, the UK cycling and walking lanes project primarily involves infrastructure development to improve public health and reduce congestion. The project involves building new cycling and walking lanes in various locations across the UK. The government consulted with local authorities and community groups to identify locations for the new lanes and ensure that they met the needs of local communities. The project also involves public awareness campaigns aimed at encouraging people to use the new lanes and promoting the health benefits of cycling and walking.</w:t>
      </w:r>
    </w:p>
    <w:p w:rsidR="000D6BC4" w:rsidRPr="000D6BC4" w:rsidRDefault="000D6BC4" w:rsidP="000D6BC4">
      <w:pPr>
        <w:spacing w:line="360" w:lineRule="auto"/>
        <w:rPr>
          <w:rFonts w:ascii="Arial" w:hAnsi="Arial" w:cs="Arial"/>
        </w:rPr>
      </w:pPr>
      <w:r w:rsidRPr="000D6BC4">
        <w:rPr>
          <w:rFonts w:ascii="Arial" w:hAnsi="Arial" w:cs="Arial"/>
        </w:rPr>
        <w:t>One of the key differences between the two projects is the level of stakeholder participation and inclusion. The Gambling Responsibly project actively engages with individuals who have experienced gambling addiction, support organizations, and healthcare professionals, ensuring that their perspectives and needs are reflected in the program. The UK cycling and walking lanes project also engages with local authorities and community groups but does not necessarily involve individuals who will directly benefit from the project.</w:t>
      </w:r>
    </w:p>
    <w:p w:rsidR="000D6BC4" w:rsidRPr="000D6BC4" w:rsidRDefault="000D6BC4" w:rsidP="000D6BC4">
      <w:pPr>
        <w:spacing w:line="360" w:lineRule="auto"/>
        <w:rPr>
          <w:rFonts w:ascii="Arial" w:hAnsi="Arial" w:cs="Arial"/>
        </w:rPr>
      </w:pPr>
      <w:r w:rsidRPr="000D6BC4">
        <w:rPr>
          <w:rFonts w:ascii="Arial" w:hAnsi="Arial" w:cs="Arial"/>
        </w:rPr>
        <w:t xml:space="preserve">Effective communication is critical to the success of both projects. The Gambling Responsibly project uses public awareness campaigns to raise awareness of gambling addiction and promote responsible gambling. The UK cycling and walking lanes project also </w:t>
      </w:r>
      <w:r w:rsidRPr="000D6BC4">
        <w:rPr>
          <w:rFonts w:ascii="Arial" w:hAnsi="Arial" w:cs="Arial"/>
        </w:rPr>
        <w:lastRenderedPageBreak/>
        <w:t>uses public awareness campaigns to promote the health benefits of cycling and walking and encourage people to use the new lanes. Both projects use various communication channels, including social media, to reach a wider audience.</w:t>
      </w:r>
    </w:p>
    <w:p w:rsidR="004B5C24" w:rsidRPr="004B5C24" w:rsidRDefault="000D6BC4" w:rsidP="000D6BC4">
      <w:pPr>
        <w:spacing w:line="360" w:lineRule="auto"/>
        <w:rPr>
          <w:rFonts w:ascii="Arial" w:hAnsi="Arial" w:cs="Arial"/>
          <w:lang w:val="en-US"/>
        </w:rPr>
      </w:pPr>
      <w:r w:rsidRPr="000D6BC4">
        <w:rPr>
          <w:rFonts w:ascii="Arial" w:hAnsi="Arial" w:cs="Arial"/>
        </w:rPr>
        <w:t xml:space="preserve">In terms of what could have been done differently, both projects could have involved more active consultation and participation from the communities they seek to serve. For example, the UK cycling and walking lanes project could have involved more input from individuals who will directly benefit from the new lanes, such as cyclists and pedestrians. The Gambling Responsibly project </w:t>
      </w:r>
      <w:r w:rsidR="004B5C24">
        <w:rPr>
          <w:rFonts w:ascii="Arial" w:hAnsi="Arial" w:cs="Arial"/>
          <w:lang w:val="en-US"/>
        </w:rPr>
        <w:t>will need to</w:t>
      </w:r>
      <w:r w:rsidR="004B5C24">
        <w:rPr>
          <w:rFonts w:ascii="Arial" w:hAnsi="Arial" w:cs="Arial"/>
        </w:rPr>
        <w:t xml:space="preserve"> involve</w:t>
      </w:r>
      <w:r w:rsidRPr="000D6BC4">
        <w:rPr>
          <w:rFonts w:ascii="Arial" w:hAnsi="Arial" w:cs="Arial"/>
        </w:rPr>
        <w:t xml:space="preserve"> more input from individuals with lived experience of gambling addiction to ensure that the program me</w:t>
      </w:r>
      <w:r w:rsidR="004B5C24">
        <w:rPr>
          <w:rFonts w:ascii="Arial" w:hAnsi="Arial" w:cs="Arial"/>
          <w:lang w:val="en-US"/>
        </w:rPr>
        <w:t>e</w:t>
      </w:r>
      <w:r w:rsidRPr="000D6BC4">
        <w:rPr>
          <w:rFonts w:ascii="Arial" w:hAnsi="Arial" w:cs="Arial"/>
        </w:rPr>
        <w:t>t their needs and perspectives.</w:t>
      </w:r>
      <w:r w:rsidR="004B5C24">
        <w:rPr>
          <w:rFonts w:ascii="Arial" w:hAnsi="Arial" w:cs="Arial"/>
          <w:lang w:val="en-US"/>
        </w:rPr>
        <w:t xml:space="preserve">  </w:t>
      </w:r>
    </w:p>
    <w:p w:rsidR="000D6BC4" w:rsidRDefault="00034D44" w:rsidP="000D6BC4">
      <w:pPr>
        <w:spacing w:line="360" w:lineRule="auto"/>
        <w:rPr>
          <w:rFonts w:ascii="Arial" w:hAnsi="Arial" w:cs="Arial"/>
          <w:lang w:val="en-US"/>
        </w:rPr>
      </w:pPr>
      <w:r>
        <w:rPr>
          <w:rFonts w:ascii="Arial" w:hAnsi="Arial" w:cs="Arial"/>
          <w:lang w:val="en-US"/>
        </w:rPr>
        <w:t>In brief</w:t>
      </w:r>
      <w:r w:rsidR="000D6BC4" w:rsidRPr="000D6BC4">
        <w:rPr>
          <w:rFonts w:ascii="Arial" w:hAnsi="Arial" w:cs="Arial"/>
        </w:rPr>
        <w:t>, active consultation, effective communication, stakeholder participation, and inclusion are critical to the success of community engagement initiatives. Both the Gambling Responsibly project and the UK cycling and walking lanes project have used various strategies to engage with their communities, and both have achieved some success in promoting their goals. However, there is always room for improvement, and both projects could have involved more active participation from the communities they seek to serve to ensure that their needs and perspectives were fully reflected.</w:t>
      </w:r>
      <w:r w:rsidR="004B5C24">
        <w:rPr>
          <w:rFonts w:ascii="Arial" w:hAnsi="Arial" w:cs="Arial"/>
          <w:lang w:val="en-US"/>
        </w:rPr>
        <w:t xml:space="preserve"> </w:t>
      </w:r>
      <w:r>
        <w:rPr>
          <w:rFonts w:ascii="Arial" w:hAnsi="Arial" w:cs="Arial"/>
          <w:lang w:val="en-US"/>
        </w:rPr>
        <w:t xml:space="preserve"> </w:t>
      </w:r>
    </w:p>
    <w:p w:rsidR="00034D44" w:rsidRDefault="00034D44" w:rsidP="000D6BC4">
      <w:pPr>
        <w:spacing w:line="360" w:lineRule="auto"/>
        <w:rPr>
          <w:rFonts w:ascii="Arial" w:hAnsi="Arial" w:cs="Arial"/>
          <w:lang w:val="en-US"/>
        </w:rPr>
      </w:pPr>
      <w:r>
        <w:rPr>
          <w:rFonts w:ascii="Arial" w:hAnsi="Arial" w:cs="Arial"/>
          <w:lang w:val="en-US"/>
        </w:rPr>
        <w:t xml:space="preserve">Gambling </w:t>
      </w:r>
      <w:proofErr w:type="gramStart"/>
      <w:r>
        <w:rPr>
          <w:rFonts w:ascii="Arial" w:hAnsi="Arial" w:cs="Arial"/>
          <w:lang w:val="en-US"/>
        </w:rPr>
        <w:t>Responsibly</w:t>
      </w:r>
      <w:proofErr w:type="gramEnd"/>
      <w:r>
        <w:rPr>
          <w:rFonts w:ascii="Arial" w:hAnsi="Arial" w:cs="Arial"/>
          <w:lang w:val="en-US"/>
        </w:rPr>
        <w:t xml:space="preserve"> project can use 3 different ways of community engagement.</w:t>
      </w:r>
      <w:r w:rsidR="00565781" w:rsidRPr="00565781">
        <w:t xml:space="preserve"> </w:t>
      </w:r>
      <w:r w:rsidR="00565781" w:rsidRPr="00565781">
        <w:rPr>
          <w:rFonts w:ascii="Arial" w:hAnsi="Arial" w:cs="Arial"/>
          <w:lang w:val="en-US"/>
        </w:rPr>
        <w:t>(KENDRICK, 2021)</w:t>
      </w:r>
      <w:r w:rsidR="00565781">
        <w:rPr>
          <w:rFonts w:ascii="Arial" w:hAnsi="Arial" w:cs="Arial"/>
          <w:lang w:val="en-US"/>
        </w:rPr>
        <w:t xml:space="preserve"> </w:t>
      </w:r>
    </w:p>
    <w:p w:rsidR="00034D44" w:rsidRDefault="00034D44" w:rsidP="000D6BC4">
      <w:pPr>
        <w:spacing w:line="360" w:lineRule="auto"/>
        <w:rPr>
          <w:rFonts w:ascii="Arial" w:hAnsi="Arial" w:cs="Arial"/>
          <w:lang w:val="en-US"/>
        </w:rPr>
      </w:pPr>
    </w:p>
    <w:p w:rsidR="00034D44" w:rsidRPr="00034D44" w:rsidRDefault="00034D44" w:rsidP="00034D44">
      <w:pPr>
        <w:numPr>
          <w:ilvl w:val="0"/>
          <w:numId w:val="1"/>
        </w:numPr>
        <w:spacing w:line="360" w:lineRule="auto"/>
        <w:rPr>
          <w:rFonts w:ascii="Arial" w:hAnsi="Arial" w:cs="Arial"/>
        </w:rPr>
      </w:pPr>
      <w:r w:rsidRPr="00034D44">
        <w:rPr>
          <w:rFonts w:ascii="Arial" w:hAnsi="Arial" w:cs="Arial"/>
        </w:rPr>
        <w:t>Transitional engagement: This involves one-way communication, where the project team disseminates information to the community about responsible gambling practices and risks associated with gambling addiction. Examples of transitional engagement in the Gambling Responsibly project could include creating educational materials such as brochures, social media posts, and videos to inform the community about the consequences of problem gambling.</w:t>
      </w:r>
    </w:p>
    <w:p w:rsidR="00034D44" w:rsidRPr="00034D44" w:rsidRDefault="00034D44" w:rsidP="00034D44">
      <w:pPr>
        <w:numPr>
          <w:ilvl w:val="0"/>
          <w:numId w:val="1"/>
        </w:numPr>
        <w:spacing w:line="360" w:lineRule="auto"/>
        <w:rPr>
          <w:rFonts w:ascii="Arial" w:hAnsi="Arial" w:cs="Arial"/>
        </w:rPr>
      </w:pPr>
      <w:r w:rsidRPr="00034D44">
        <w:rPr>
          <w:rFonts w:ascii="Arial" w:hAnsi="Arial" w:cs="Arial"/>
        </w:rPr>
        <w:t>Transactional engagement: This approach involves a two-way communication channel between the project team and the community. The project team can engage with the community to gather feedback and insights on the project's interventions and adjust them accordingly. For example, the project team can conduct surveys and focus groups to understand the community's views on the effectiveness of the project's initiatives.</w:t>
      </w:r>
    </w:p>
    <w:p w:rsidR="00034D44" w:rsidRPr="00034D44" w:rsidRDefault="00565781" w:rsidP="00034D44">
      <w:pPr>
        <w:numPr>
          <w:ilvl w:val="0"/>
          <w:numId w:val="1"/>
        </w:numPr>
        <w:spacing w:line="360" w:lineRule="auto"/>
        <w:rPr>
          <w:rFonts w:ascii="Arial" w:hAnsi="Arial" w:cs="Arial"/>
        </w:rPr>
      </w:pPr>
      <w:r>
        <w:rPr>
          <w:rFonts w:ascii="Arial" w:hAnsi="Arial" w:cs="Arial"/>
        </w:rPr>
        <w:t>Transformational engagement, which seems to be the best option,</w:t>
      </w:r>
      <w:r w:rsidR="00034D44" w:rsidRPr="00034D44">
        <w:rPr>
          <w:rFonts w:ascii="Arial" w:hAnsi="Arial" w:cs="Arial"/>
        </w:rPr>
        <w:t xml:space="preserve"> aims to create a sense of ownership and empowerment among community members. Transformational engagement focuses on building relationships and trust between </w:t>
      </w:r>
      <w:r w:rsidR="00034D44" w:rsidRPr="00034D44">
        <w:rPr>
          <w:rFonts w:ascii="Arial" w:hAnsi="Arial" w:cs="Arial"/>
        </w:rPr>
        <w:lastRenderedPageBreak/>
        <w:t>the project team and the community, and involves collaboration and co-creation of solutions. In the Gambling Responsibly project, transformational engagement could involve creating opportunities for community members to take an active role in addressing issues related to gambling addiction. For example, the project team could work with local organizations and institutions to develop initiatives that involve community members in raising awareness about problem gambling and supporting those affected.</w:t>
      </w:r>
    </w:p>
    <w:p w:rsidR="004B5C24" w:rsidRPr="00333CDD" w:rsidRDefault="00333CDD" w:rsidP="000D6BC4">
      <w:pPr>
        <w:spacing w:line="360" w:lineRule="auto"/>
        <w:rPr>
          <w:rFonts w:ascii="Arial" w:hAnsi="Arial" w:cs="Arial"/>
          <w:b/>
          <w:lang w:val="en-US"/>
        </w:rPr>
      </w:pPr>
      <w:r w:rsidRPr="00333CDD">
        <w:rPr>
          <w:rFonts w:ascii="Arial" w:hAnsi="Arial" w:cs="Arial"/>
          <w:b/>
          <w:lang w:val="en-US"/>
        </w:rPr>
        <w:t>Conclusion</w:t>
      </w:r>
    </w:p>
    <w:p w:rsidR="00A40CAB" w:rsidRPr="00A40CAB" w:rsidRDefault="000D6BC4" w:rsidP="00A40CAB">
      <w:pPr>
        <w:spacing w:line="360" w:lineRule="auto"/>
        <w:rPr>
          <w:rFonts w:ascii="Arial" w:hAnsi="Arial" w:cs="Arial"/>
        </w:rPr>
      </w:pPr>
      <w:r>
        <w:rPr>
          <w:rFonts w:ascii="Arial" w:hAnsi="Arial" w:cs="Arial"/>
          <w:lang w:val="en-US"/>
        </w:rPr>
        <w:t xml:space="preserve"> </w:t>
      </w:r>
      <w:r w:rsidR="00A40CAB" w:rsidRPr="00A40CAB">
        <w:rPr>
          <w:rFonts w:ascii="Arial" w:hAnsi="Arial" w:cs="Arial"/>
        </w:rPr>
        <w:t>The community engagement process for the Gambling Responsibly project is a comprehensive approach that involves the use of transitional, transactional, and transformational engagement strategies to address gambling addiction.</w:t>
      </w:r>
    </w:p>
    <w:p w:rsidR="00A40CAB" w:rsidRPr="00A40CAB" w:rsidRDefault="00A40CAB" w:rsidP="00A40CAB">
      <w:pPr>
        <w:spacing w:line="360" w:lineRule="auto"/>
        <w:rPr>
          <w:rFonts w:ascii="Arial" w:hAnsi="Arial" w:cs="Arial"/>
        </w:rPr>
      </w:pPr>
      <w:r w:rsidRPr="00A40CAB">
        <w:rPr>
          <w:rFonts w:ascii="Arial" w:hAnsi="Arial" w:cs="Arial"/>
        </w:rPr>
        <w:t>To begin, the project team will conduct research to understand the needs and concerns of the community regarding gambling addiction. This will involve community mapping and social engagement through social media platforms to gather insights from the community.</w:t>
      </w:r>
    </w:p>
    <w:p w:rsidR="00A40CAB" w:rsidRPr="00A40CAB" w:rsidRDefault="00A40CAB" w:rsidP="00A40CAB">
      <w:pPr>
        <w:spacing w:line="360" w:lineRule="auto"/>
        <w:rPr>
          <w:rFonts w:ascii="Arial" w:hAnsi="Arial" w:cs="Arial"/>
        </w:rPr>
      </w:pPr>
      <w:r w:rsidRPr="00A40CAB">
        <w:rPr>
          <w:rFonts w:ascii="Arial" w:hAnsi="Arial" w:cs="Arial"/>
        </w:rPr>
        <w:t>Once the research is completed, the project team will use transitional engagement to disseminate information about responsible gambling practices and the risks associated with gambling addiction. This will involve creating educational materials such as brochures, social media posts, and videos to inform the community.</w:t>
      </w:r>
    </w:p>
    <w:p w:rsidR="00A40CAB" w:rsidRPr="00A40CAB" w:rsidRDefault="00A40CAB" w:rsidP="00A40CAB">
      <w:pPr>
        <w:spacing w:line="360" w:lineRule="auto"/>
        <w:rPr>
          <w:rFonts w:ascii="Arial" w:hAnsi="Arial" w:cs="Arial"/>
        </w:rPr>
      </w:pPr>
      <w:r w:rsidRPr="00A40CAB">
        <w:rPr>
          <w:rFonts w:ascii="Arial" w:hAnsi="Arial" w:cs="Arial"/>
        </w:rPr>
        <w:t>Transactional engagement will also be used to gather feedback and insights from the community on the effectiveness of the project's interventions. The team will conduct surveys and focus groups to understand the community's views on the effectiveness of the project's initiatives.</w:t>
      </w:r>
    </w:p>
    <w:p w:rsidR="00A40CAB" w:rsidRPr="00A40CAB" w:rsidRDefault="00A40CAB" w:rsidP="00A40CAB">
      <w:pPr>
        <w:spacing w:line="360" w:lineRule="auto"/>
        <w:rPr>
          <w:rFonts w:ascii="Arial" w:hAnsi="Arial" w:cs="Arial"/>
        </w:rPr>
      </w:pPr>
      <w:r w:rsidRPr="00A40CAB">
        <w:rPr>
          <w:rFonts w:ascii="Arial" w:hAnsi="Arial" w:cs="Arial"/>
        </w:rPr>
        <w:t>Lastly, the team will use transformational engagement to create a sense of ownership and empowerment among community members. This will involve working with local organizations and institutions to develop initiatives that involve community members in raising awareness about problem gambling and supporting those affected.</w:t>
      </w:r>
    </w:p>
    <w:p w:rsidR="00A40CAB" w:rsidRPr="00A40CAB" w:rsidRDefault="00A40CAB" w:rsidP="00A40CAB">
      <w:pPr>
        <w:spacing w:line="360" w:lineRule="auto"/>
        <w:rPr>
          <w:rFonts w:ascii="Arial" w:hAnsi="Arial" w:cs="Arial"/>
        </w:rPr>
      </w:pPr>
      <w:r w:rsidRPr="00A40CAB">
        <w:rPr>
          <w:rFonts w:ascii="Arial" w:hAnsi="Arial" w:cs="Arial"/>
        </w:rPr>
        <w:t>Overall, the community engagement process for the Gambling Responsibly project is a comprehensive and holistic approach that involves and empowers the community to address gambling addiction. By using a combination of transitional, transactional, and transformational engagement strategies, the project team aims to create a sustainable and effective community engagement strategy to reduce the impact of gambling addiction on individuals and the community as a whole.</w:t>
      </w:r>
    </w:p>
    <w:p w:rsidR="004E27B9" w:rsidRDefault="00A40CAB" w:rsidP="003B1292">
      <w:pPr>
        <w:spacing w:line="360" w:lineRule="auto"/>
        <w:rPr>
          <w:rFonts w:ascii="Arial" w:hAnsi="Arial" w:cs="Arial"/>
          <w:lang w:val="en-US"/>
        </w:rPr>
      </w:pPr>
      <w:r>
        <w:rPr>
          <w:rFonts w:ascii="Arial" w:hAnsi="Arial" w:cs="Arial"/>
          <w:lang w:val="en-US"/>
        </w:rPr>
        <w:t xml:space="preserve"> </w:t>
      </w:r>
    </w:p>
    <w:p w:rsidR="003A088D" w:rsidRDefault="003A088D" w:rsidP="003B1292">
      <w:pPr>
        <w:spacing w:line="360" w:lineRule="auto"/>
        <w:rPr>
          <w:rFonts w:ascii="Arial" w:hAnsi="Arial" w:cs="Arial"/>
          <w:lang w:val="en-US"/>
        </w:rPr>
      </w:pPr>
    </w:p>
    <w:p w:rsidR="003A088D" w:rsidRDefault="003A088D" w:rsidP="003B1292">
      <w:pPr>
        <w:spacing w:line="360" w:lineRule="auto"/>
        <w:rPr>
          <w:rFonts w:ascii="Arial" w:hAnsi="Arial" w:cs="Arial"/>
          <w:lang w:val="en-US"/>
        </w:rPr>
      </w:pPr>
      <w:r>
        <w:rPr>
          <w:rFonts w:ascii="Arial" w:hAnsi="Arial" w:cs="Arial"/>
          <w:lang w:val="en-US"/>
        </w:rPr>
        <w:t xml:space="preserve">Bibliography </w:t>
      </w:r>
    </w:p>
    <w:p w:rsidR="003A088D" w:rsidRPr="003A088D" w:rsidRDefault="003A088D" w:rsidP="003A088D">
      <w:pPr>
        <w:spacing w:line="360" w:lineRule="auto"/>
        <w:rPr>
          <w:rFonts w:ascii="Arial" w:hAnsi="Arial" w:cs="Arial"/>
        </w:rPr>
      </w:pPr>
      <w:r w:rsidRPr="003A088D">
        <w:rPr>
          <w:rFonts w:ascii="Arial" w:hAnsi="Arial" w:cs="Arial"/>
        </w:rPr>
        <w:t xml:space="preserve">Davies, R. (2017). </w:t>
      </w:r>
      <w:r w:rsidRPr="003A088D">
        <w:rPr>
          <w:rFonts w:ascii="Arial" w:hAnsi="Arial" w:cs="Arial"/>
          <w:i/>
          <w:iCs/>
        </w:rPr>
        <w:t>Number of problem gamblers in the UK rises to more than 400,000</w:t>
      </w:r>
      <w:r w:rsidRPr="003A088D">
        <w:rPr>
          <w:rFonts w:ascii="Arial" w:hAnsi="Arial" w:cs="Arial"/>
        </w:rPr>
        <w:t>. [online] the Guardian. Available at: https://www.theguardian.com/society/2017/aug/24/problem-gamblers-uk-gambling-commission-report.</w:t>
      </w:r>
    </w:p>
    <w:p w:rsidR="003A088D" w:rsidRPr="003A088D" w:rsidRDefault="003A088D" w:rsidP="003A088D">
      <w:pPr>
        <w:spacing w:line="360" w:lineRule="auto"/>
        <w:rPr>
          <w:rFonts w:ascii="Arial" w:hAnsi="Arial" w:cs="Arial"/>
        </w:rPr>
      </w:pPr>
      <w:r w:rsidRPr="003A088D">
        <w:rPr>
          <w:rFonts w:ascii="Arial" w:hAnsi="Arial" w:cs="Arial"/>
        </w:rPr>
        <w:t xml:space="preserve">GOV.UK. (2023). </w:t>
      </w:r>
      <w:r w:rsidRPr="003A088D">
        <w:rPr>
          <w:rFonts w:ascii="Arial" w:hAnsi="Arial" w:cs="Arial"/>
          <w:i/>
          <w:iCs/>
        </w:rPr>
        <w:t>Gambling-related harms evidence review: summary</w:t>
      </w:r>
      <w:r w:rsidRPr="003A088D">
        <w:rPr>
          <w:rFonts w:ascii="Arial" w:hAnsi="Arial" w:cs="Arial"/>
        </w:rPr>
        <w:t>. [online] Available at: https://www.gov.uk/government/publications/gambling-related-harms-evidence-review/gambling-related-harms-evidence-review-summary--2.</w:t>
      </w:r>
    </w:p>
    <w:p w:rsidR="003A088D" w:rsidRPr="003A088D" w:rsidRDefault="003A088D" w:rsidP="003A088D">
      <w:pPr>
        <w:spacing w:line="360" w:lineRule="auto"/>
        <w:rPr>
          <w:rFonts w:ascii="Arial" w:hAnsi="Arial" w:cs="Arial"/>
        </w:rPr>
      </w:pPr>
      <w:r w:rsidRPr="003A088D">
        <w:rPr>
          <w:rFonts w:ascii="Arial" w:hAnsi="Arial" w:cs="Arial"/>
        </w:rPr>
        <w:t xml:space="preserve">KENDRICK, T. (2021). </w:t>
      </w:r>
      <w:r w:rsidRPr="003A088D">
        <w:rPr>
          <w:rFonts w:ascii="Arial" w:hAnsi="Arial" w:cs="Arial"/>
          <w:i/>
          <w:iCs/>
        </w:rPr>
        <w:t>Engaging Your Community Through Active Strategic Marketing</w:t>
      </w:r>
      <w:r w:rsidRPr="003A088D">
        <w:rPr>
          <w:rFonts w:ascii="Arial" w:hAnsi="Arial" w:cs="Arial"/>
        </w:rPr>
        <w:t>.</w:t>
      </w:r>
    </w:p>
    <w:p w:rsidR="003A088D" w:rsidRPr="003A088D" w:rsidRDefault="003A088D" w:rsidP="003A088D">
      <w:pPr>
        <w:spacing w:line="360" w:lineRule="auto"/>
        <w:rPr>
          <w:rFonts w:ascii="Arial" w:hAnsi="Arial" w:cs="Arial"/>
        </w:rPr>
      </w:pPr>
      <w:r w:rsidRPr="003A088D">
        <w:rPr>
          <w:rFonts w:ascii="Arial" w:hAnsi="Arial" w:cs="Arial"/>
        </w:rPr>
        <w:t xml:space="preserve">Providence Projects. (n.d.). </w:t>
      </w:r>
      <w:r w:rsidRPr="003A088D">
        <w:rPr>
          <w:rFonts w:ascii="Arial" w:hAnsi="Arial" w:cs="Arial"/>
          <w:i/>
          <w:iCs/>
        </w:rPr>
        <w:t>Gambling Addiction Facts &amp; Statistics</w:t>
      </w:r>
      <w:r w:rsidRPr="003A088D">
        <w:rPr>
          <w:rFonts w:ascii="Arial" w:hAnsi="Arial" w:cs="Arial"/>
        </w:rPr>
        <w:t>. [online] Available at: https://providenceproject.org/gambling-addiction-treatment/facts-statistics/.</w:t>
      </w:r>
    </w:p>
    <w:p w:rsidR="003A088D" w:rsidRPr="003A088D" w:rsidRDefault="003A088D" w:rsidP="003A088D">
      <w:pPr>
        <w:spacing w:line="360" w:lineRule="auto"/>
        <w:rPr>
          <w:rFonts w:ascii="Arial" w:hAnsi="Arial" w:cs="Arial"/>
        </w:rPr>
      </w:pPr>
      <w:r w:rsidRPr="003A088D">
        <w:rPr>
          <w:rFonts w:ascii="Arial" w:hAnsi="Arial" w:cs="Arial"/>
        </w:rPr>
        <w:t xml:space="preserve">Selbie, D. (2018). </w:t>
      </w:r>
      <w:r w:rsidRPr="003A088D">
        <w:rPr>
          <w:rFonts w:ascii="Arial" w:hAnsi="Arial" w:cs="Arial"/>
          <w:i/>
          <w:iCs/>
        </w:rPr>
        <w:t>PHE priorities in health and care: 2018 to 2019</w:t>
      </w:r>
      <w:r w:rsidRPr="003A088D">
        <w:rPr>
          <w:rFonts w:ascii="Arial" w:hAnsi="Arial" w:cs="Arial"/>
        </w:rPr>
        <w:t>. [online] GOV.UK. Available at: https://www.gov.uk/government/publications/phe-remit-letter-2018-to-2019 [Accessed 29 Mar. 2023].</w:t>
      </w:r>
    </w:p>
    <w:p w:rsidR="003A088D" w:rsidRPr="003A088D" w:rsidRDefault="003A088D" w:rsidP="003A088D">
      <w:pPr>
        <w:spacing w:line="360" w:lineRule="auto"/>
        <w:rPr>
          <w:rFonts w:ascii="Arial" w:hAnsi="Arial" w:cs="Arial"/>
        </w:rPr>
      </w:pPr>
      <w:r w:rsidRPr="003A088D">
        <w:rPr>
          <w:rFonts w:ascii="Arial" w:hAnsi="Arial" w:cs="Arial"/>
        </w:rPr>
        <w:t xml:space="preserve">Statista Research Department (2022). </w:t>
      </w:r>
      <w:r w:rsidRPr="003A088D">
        <w:rPr>
          <w:rFonts w:ascii="Arial" w:hAnsi="Arial" w:cs="Arial"/>
          <w:i/>
          <w:iCs/>
        </w:rPr>
        <w:t>Problem gambling rates in the UK March 2016-18</w:t>
      </w:r>
      <w:r w:rsidRPr="003A088D">
        <w:rPr>
          <w:rFonts w:ascii="Arial" w:hAnsi="Arial" w:cs="Arial"/>
        </w:rPr>
        <w:t>. [online] Statista. Available at: https://www.statista.com/statistics/543465/problem-gamblers-united-kingdom-uk/.</w:t>
      </w:r>
    </w:p>
    <w:p w:rsidR="003A088D" w:rsidRPr="004E27B9" w:rsidRDefault="003A088D" w:rsidP="003B1292">
      <w:pPr>
        <w:spacing w:line="360" w:lineRule="auto"/>
        <w:rPr>
          <w:rFonts w:ascii="Arial" w:hAnsi="Arial" w:cs="Arial"/>
          <w:lang w:val="en-US"/>
        </w:rPr>
      </w:pPr>
      <w:r>
        <w:rPr>
          <w:rFonts w:ascii="Arial" w:hAnsi="Arial" w:cs="Arial"/>
          <w:lang w:val="en-US"/>
        </w:rPr>
        <w:t xml:space="preserve"> </w:t>
      </w:r>
      <w:bookmarkStart w:id="0" w:name="_GoBack"/>
      <w:bookmarkEnd w:id="0"/>
    </w:p>
    <w:sectPr w:rsidR="003A088D" w:rsidRPr="004E27B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110B05"/>
    <w:multiLevelType w:val="multilevel"/>
    <w:tmpl w:val="F34A0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292"/>
    <w:rsid w:val="00034D44"/>
    <w:rsid w:val="000D6BC4"/>
    <w:rsid w:val="00333CDD"/>
    <w:rsid w:val="003A088D"/>
    <w:rsid w:val="003B1292"/>
    <w:rsid w:val="003F5817"/>
    <w:rsid w:val="004B5C24"/>
    <w:rsid w:val="004E27B9"/>
    <w:rsid w:val="00565781"/>
    <w:rsid w:val="009952AB"/>
    <w:rsid w:val="009A3D08"/>
    <w:rsid w:val="00A40CAB"/>
    <w:rsid w:val="00D34868"/>
    <w:rsid w:val="00FE71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6105BC-8091-45AE-8647-7BAF823C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27B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6646571">
      <w:bodyDiv w:val="1"/>
      <w:marLeft w:val="0"/>
      <w:marRight w:val="0"/>
      <w:marTop w:val="0"/>
      <w:marBottom w:val="0"/>
      <w:divBdr>
        <w:top w:val="none" w:sz="0" w:space="0" w:color="auto"/>
        <w:left w:val="none" w:sz="0" w:space="0" w:color="auto"/>
        <w:bottom w:val="none" w:sz="0" w:space="0" w:color="auto"/>
        <w:right w:val="none" w:sz="0" w:space="0" w:color="auto"/>
      </w:divBdr>
      <w:divsChild>
        <w:div w:id="492183375">
          <w:marLeft w:val="0"/>
          <w:marRight w:val="0"/>
          <w:marTop w:val="0"/>
          <w:marBottom w:val="0"/>
          <w:divBdr>
            <w:top w:val="none" w:sz="0" w:space="0" w:color="auto"/>
            <w:left w:val="none" w:sz="0" w:space="0" w:color="auto"/>
            <w:bottom w:val="none" w:sz="0" w:space="0" w:color="auto"/>
            <w:right w:val="none" w:sz="0" w:space="0" w:color="auto"/>
          </w:divBdr>
        </w:div>
      </w:divsChild>
    </w:div>
    <w:div w:id="967659119">
      <w:bodyDiv w:val="1"/>
      <w:marLeft w:val="0"/>
      <w:marRight w:val="0"/>
      <w:marTop w:val="0"/>
      <w:marBottom w:val="0"/>
      <w:divBdr>
        <w:top w:val="none" w:sz="0" w:space="0" w:color="auto"/>
        <w:left w:val="none" w:sz="0" w:space="0" w:color="auto"/>
        <w:bottom w:val="none" w:sz="0" w:space="0" w:color="auto"/>
        <w:right w:val="none" w:sz="0" w:space="0" w:color="auto"/>
      </w:divBdr>
    </w:div>
    <w:div w:id="1455714291">
      <w:bodyDiv w:val="1"/>
      <w:marLeft w:val="0"/>
      <w:marRight w:val="0"/>
      <w:marTop w:val="0"/>
      <w:marBottom w:val="0"/>
      <w:divBdr>
        <w:top w:val="none" w:sz="0" w:space="0" w:color="auto"/>
        <w:left w:val="none" w:sz="0" w:space="0" w:color="auto"/>
        <w:bottom w:val="none" w:sz="0" w:space="0" w:color="auto"/>
        <w:right w:val="none" w:sz="0" w:space="0" w:color="auto"/>
      </w:divBdr>
    </w:div>
    <w:div w:id="1478374611">
      <w:bodyDiv w:val="1"/>
      <w:marLeft w:val="0"/>
      <w:marRight w:val="0"/>
      <w:marTop w:val="0"/>
      <w:marBottom w:val="0"/>
      <w:divBdr>
        <w:top w:val="none" w:sz="0" w:space="0" w:color="auto"/>
        <w:left w:val="none" w:sz="0" w:space="0" w:color="auto"/>
        <w:bottom w:val="none" w:sz="0" w:space="0" w:color="auto"/>
        <w:right w:val="none" w:sz="0" w:space="0" w:color="auto"/>
      </w:divBdr>
    </w:div>
    <w:div w:id="1647852896">
      <w:bodyDiv w:val="1"/>
      <w:marLeft w:val="0"/>
      <w:marRight w:val="0"/>
      <w:marTop w:val="0"/>
      <w:marBottom w:val="0"/>
      <w:divBdr>
        <w:top w:val="none" w:sz="0" w:space="0" w:color="auto"/>
        <w:left w:val="none" w:sz="0" w:space="0" w:color="auto"/>
        <w:bottom w:val="none" w:sz="0" w:space="0" w:color="auto"/>
        <w:right w:val="none" w:sz="0" w:space="0" w:color="auto"/>
      </w:divBdr>
    </w:div>
    <w:div w:id="168512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6</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marti.kehaiov1@gmail.com</dc:creator>
  <cp:keywords/>
  <dc:description/>
  <cp:lastModifiedBy>marti.kehaiov1@gmail.com</cp:lastModifiedBy>
  <cp:revision>5</cp:revision>
  <dcterms:created xsi:type="dcterms:W3CDTF">2023-03-29T16:18:00Z</dcterms:created>
  <dcterms:modified xsi:type="dcterms:W3CDTF">2023-03-31T10:19:00Z</dcterms:modified>
</cp:coreProperties>
</file>