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28A0" w:rsidRDefault="00EC28A0" w:rsidP="00EC28A0">
      <w:pPr>
        <w:jc w:val="center"/>
        <w:rPr>
          <w:rFonts w:ascii="Tahoma" w:hAnsi="Tahoma" w:cs="Tahoma"/>
          <w:b/>
          <w:u w:val="single"/>
        </w:rPr>
      </w:pPr>
    </w:p>
    <w:p w:rsidR="00EC28A0" w:rsidRDefault="00EC28A0" w:rsidP="00EC28A0">
      <w:pPr>
        <w:jc w:val="both"/>
        <w:rPr>
          <w:rFonts w:ascii="Tahoma" w:hAnsi="Tahoma" w:cs="Tahoma"/>
          <w:b/>
          <w:u w:val="single"/>
        </w:rPr>
      </w:pPr>
    </w:p>
    <w:p w:rsidR="00EC28A0" w:rsidRDefault="00EC28A0" w:rsidP="00EC28A0">
      <w:pPr>
        <w:jc w:val="both"/>
        <w:rPr>
          <w:rFonts w:ascii="Tahoma" w:hAnsi="Tahoma" w:cs="Tahoma"/>
          <w:b/>
          <w:u w:val="single"/>
        </w:rPr>
      </w:pPr>
      <w:bookmarkStart w:id="0" w:name="_GoBack"/>
      <w:bookmarkEnd w:id="0"/>
    </w:p>
    <w:p w:rsidR="00EC28A0" w:rsidRDefault="00EC28A0" w:rsidP="00EC28A0">
      <w:pPr>
        <w:jc w:val="both"/>
        <w:rPr>
          <w:rFonts w:ascii="Tahoma" w:hAnsi="Tahoma" w:cs="Tahoma"/>
          <w:b/>
          <w:u w:val="single"/>
        </w:rPr>
      </w:pPr>
      <w:r>
        <w:rPr>
          <w:rFonts w:ascii="Tahoma" w:hAnsi="Tahoma" w:cs="Tahoma"/>
          <w:b/>
          <w:u w:val="single"/>
        </w:rPr>
        <w:t>LEVEL 4 – Student Journal (750 words)</w:t>
      </w:r>
    </w:p>
    <w:p w:rsidR="00EC28A0" w:rsidRPr="003C3341" w:rsidRDefault="00EC28A0" w:rsidP="00EC28A0">
      <w:pPr>
        <w:jc w:val="both"/>
        <w:rPr>
          <w:rFonts w:ascii="Tahoma" w:hAnsi="Tahoma" w:cs="Tahoma"/>
          <w:b/>
          <w:u w:val="single"/>
        </w:rPr>
      </w:pPr>
    </w:p>
    <w:p w:rsidR="00EC28A0" w:rsidRDefault="00EC28A0" w:rsidP="00EC28A0">
      <w:pPr>
        <w:jc w:val="both"/>
        <w:rPr>
          <w:rFonts w:ascii="Tahoma" w:hAnsi="Tahoma" w:cs="Tahoma"/>
        </w:rPr>
      </w:pPr>
      <w:r>
        <w:rPr>
          <w:rFonts w:ascii="Tahoma" w:hAnsi="Tahoma" w:cs="Tahoma"/>
        </w:rPr>
        <w:t xml:space="preserve">You are required to complete a journal entry to capture the learning experience and knowledge you have acquiring during a particular lecture. </w:t>
      </w:r>
      <w:r w:rsidRPr="003C3341">
        <w:rPr>
          <w:rFonts w:ascii="Tahoma" w:hAnsi="Tahoma" w:cs="Tahoma"/>
        </w:rPr>
        <w:t xml:space="preserve"> </w:t>
      </w:r>
      <w:r>
        <w:rPr>
          <w:rFonts w:ascii="Tahoma" w:hAnsi="Tahoma" w:cs="Tahoma"/>
        </w:rPr>
        <w:t>You may choose from the following topics:</w:t>
      </w:r>
    </w:p>
    <w:p w:rsidR="00EC28A0" w:rsidRPr="009061F1" w:rsidRDefault="00EC28A0" w:rsidP="00EC28A0">
      <w:pPr>
        <w:pStyle w:val="NormalWeb"/>
        <w:numPr>
          <w:ilvl w:val="0"/>
          <w:numId w:val="1"/>
        </w:numPr>
        <w:rPr>
          <w:rFonts w:ascii="SymbolMT" w:hAnsi="SymbolMT"/>
        </w:rPr>
      </w:pPr>
      <w:r>
        <w:rPr>
          <w:rFonts w:ascii="Calibri" w:hAnsi="Calibri" w:cs="Calibri"/>
        </w:rPr>
        <w:t xml:space="preserve">Allergies and Intolerances and the importance within the industry </w:t>
      </w:r>
    </w:p>
    <w:p w:rsidR="00EC28A0" w:rsidRDefault="00EC28A0" w:rsidP="00EC28A0">
      <w:pPr>
        <w:pStyle w:val="NormalWeb"/>
        <w:numPr>
          <w:ilvl w:val="0"/>
          <w:numId w:val="1"/>
        </w:numPr>
        <w:rPr>
          <w:rFonts w:ascii="SymbolMT" w:hAnsi="SymbolMT"/>
        </w:rPr>
      </w:pPr>
      <w:r>
        <w:rPr>
          <w:rFonts w:ascii="Calibri" w:hAnsi="Calibri" w:cs="Calibri"/>
        </w:rPr>
        <w:t xml:space="preserve">Ratings, Inspections and Reporting Procedures </w:t>
      </w:r>
    </w:p>
    <w:p w:rsidR="00EC28A0" w:rsidRDefault="00EC28A0" w:rsidP="00EC28A0">
      <w:pPr>
        <w:jc w:val="both"/>
        <w:rPr>
          <w:rFonts w:ascii="Tahoma" w:hAnsi="Tahoma" w:cs="Tahoma"/>
        </w:rPr>
      </w:pPr>
    </w:p>
    <w:p w:rsidR="00EC28A0" w:rsidRPr="003C3341" w:rsidRDefault="00EC28A0" w:rsidP="00EC28A0">
      <w:pPr>
        <w:jc w:val="both"/>
        <w:rPr>
          <w:rFonts w:ascii="Tahoma" w:hAnsi="Tahoma" w:cs="Tahoma"/>
        </w:rPr>
      </w:pPr>
      <w:r>
        <w:rPr>
          <w:rFonts w:ascii="Tahoma" w:hAnsi="Tahoma" w:cs="Tahoma"/>
        </w:rPr>
        <w:t xml:space="preserve">Consider the appropriate lectures. What was the topic and what have you learnt? Provide a </w:t>
      </w:r>
      <w:r w:rsidRPr="00197F4A">
        <w:rPr>
          <w:rFonts w:ascii="Tahoma" w:hAnsi="Tahoma" w:cs="Tahoma"/>
          <w:b/>
          <w:bCs/>
        </w:rPr>
        <w:t>brief summary</w:t>
      </w:r>
      <w:r>
        <w:rPr>
          <w:rFonts w:ascii="Tahoma" w:hAnsi="Tahoma" w:cs="Tahoma"/>
        </w:rPr>
        <w:t xml:space="preserve">. What </w:t>
      </w:r>
      <w:r w:rsidRPr="00C34D09">
        <w:rPr>
          <w:rFonts w:ascii="Tahoma" w:hAnsi="Tahoma" w:cs="Tahoma"/>
          <w:b/>
          <w:bCs/>
        </w:rPr>
        <w:t>new skills / knowledge have you acquired</w:t>
      </w:r>
      <w:r>
        <w:rPr>
          <w:rFonts w:ascii="Tahoma" w:hAnsi="Tahoma" w:cs="Tahoma"/>
        </w:rPr>
        <w:t xml:space="preserve">? How will you </w:t>
      </w:r>
      <w:r w:rsidRPr="00C34D09">
        <w:rPr>
          <w:rFonts w:ascii="Tahoma" w:hAnsi="Tahoma" w:cs="Tahoma"/>
          <w:b/>
          <w:bCs/>
        </w:rPr>
        <w:t>apply your knowledge in the future</w:t>
      </w:r>
      <w:r>
        <w:rPr>
          <w:rFonts w:ascii="Tahoma" w:hAnsi="Tahoma" w:cs="Tahoma"/>
        </w:rPr>
        <w:t xml:space="preserve">? What are your </w:t>
      </w:r>
      <w:r w:rsidRPr="00FB3B29">
        <w:rPr>
          <w:rFonts w:ascii="Tahoma" w:hAnsi="Tahoma" w:cs="Tahoma"/>
          <w:b/>
          <w:bCs/>
        </w:rPr>
        <w:t>personal reflections</w:t>
      </w:r>
      <w:r>
        <w:rPr>
          <w:rFonts w:ascii="Tahoma" w:hAnsi="Tahoma" w:cs="Tahoma"/>
        </w:rPr>
        <w:t xml:space="preserve"> on the subject? Why is this </w:t>
      </w:r>
      <w:r w:rsidRPr="00C34D09">
        <w:rPr>
          <w:rFonts w:ascii="Tahoma" w:hAnsi="Tahoma" w:cs="Tahoma"/>
          <w:b/>
          <w:bCs/>
        </w:rPr>
        <w:t>topic important within the industry</w:t>
      </w:r>
      <w:r>
        <w:rPr>
          <w:rFonts w:ascii="Tahoma" w:hAnsi="Tahoma" w:cs="Tahoma"/>
        </w:rPr>
        <w:t xml:space="preserve">? Provide </w:t>
      </w:r>
      <w:r w:rsidRPr="00FB3B29">
        <w:rPr>
          <w:rFonts w:ascii="Tahoma" w:hAnsi="Tahoma" w:cs="Tahoma"/>
          <w:b/>
          <w:bCs/>
        </w:rPr>
        <w:t>evidence of further reading</w:t>
      </w:r>
      <w:r>
        <w:rPr>
          <w:rFonts w:ascii="Tahoma" w:hAnsi="Tahoma" w:cs="Tahoma"/>
        </w:rPr>
        <w:t>. Include a minimum of 5 references.</w:t>
      </w:r>
    </w:p>
    <w:p w:rsidR="00EC28A0" w:rsidRPr="003C3341" w:rsidRDefault="00EC28A0" w:rsidP="00EC28A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EC28A0" w:rsidRPr="003C3341" w:rsidTr="0047764E">
        <w:tc>
          <w:tcPr>
            <w:tcW w:w="3987" w:type="dxa"/>
            <w:shd w:val="clear" w:color="auto" w:fill="ACB9CA" w:themeFill="text2" w:themeFillTint="66"/>
          </w:tcPr>
          <w:p w:rsidR="00EC28A0" w:rsidRDefault="00EC28A0" w:rsidP="0047764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Pr>
                <w:rFonts w:ascii="Tahoma" w:hAnsi="Tahoma" w:cs="Tahoma"/>
                <w:b/>
                <w:sz w:val="20"/>
                <w:szCs w:val="20"/>
              </w:rPr>
              <w:t xml:space="preserve"> </w:t>
            </w:r>
          </w:p>
          <w:p w:rsidR="00EC28A0" w:rsidRPr="003C3341" w:rsidRDefault="00EC28A0" w:rsidP="0047764E">
            <w:pPr>
              <w:rPr>
                <w:rFonts w:ascii="Tahoma" w:hAnsi="Tahoma" w:cs="Tahoma"/>
                <w:b/>
                <w:sz w:val="20"/>
                <w:szCs w:val="20"/>
              </w:rPr>
            </w:pPr>
          </w:p>
          <w:p w:rsidR="00EC28A0" w:rsidRPr="003C3341" w:rsidRDefault="00EC28A0" w:rsidP="0047764E">
            <w:pPr>
              <w:rPr>
                <w:rFonts w:ascii="Tahoma" w:hAnsi="Tahoma" w:cs="Tahoma"/>
                <w:b/>
                <w:sz w:val="20"/>
                <w:szCs w:val="20"/>
              </w:rPr>
            </w:pPr>
            <w:r>
              <w:rPr>
                <w:rFonts w:ascii="Tahoma" w:hAnsi="Tahoma" w:cs="Tahoma"/>
                <w:b/>
                <w:sz w:val="20"/>
                <w:szCs w:val="20"/>
              </w:rPr>
              <w:t xml:space="preserve">Student Number: </w:t>
            </w:r>
          </w:p>
          <w:p w:rsidR="00EC28A0" w:rsidRPr="003C3341" w:rsidRDefault="00EC28A0" w:rsidP="0047764E">
            <w:pPr>
              <w:rPr>
                <w:rFonts w:ascii="Tahoma" w:hAnsi="Tahoma" w:cs="Tahoma"/>
                <w:b/>
                <w:sz w:val="20"/>
                <w:szCs w:val="20"/>
              </w:rPr>
            </w:pPr>
          </w:p>
        </w:tc>
        <w:tc>
          <w:tcPr>
            <w:tcW w:w="7195" w:type="dxa"/>
            <w:shd w:val="clear" w:color="auto" w:fill="ACB9CA" w:themeFill="text2" w:themeFillTint="66"/>
          </w:tcPr>
          <w:p w:rsidR="00EC28A0" w:rsidRDefault="00EC28A0" w:rsidP="0047764E">
            <w:pPr>
              <w:rPr>
                <w:rFonts w:ascii="Tahoma" w:hAnsi="Tahoma" w:cs="Tahoma"/>
                <w:b/>
                <w:sz w:val="20"/>
                <w:szCs w:val="20"/>
              </w:rPr>
            </w:pPr>
            <w:r>
              <w:rPr>
                <w:rFonts w:ascii="Tahoma" w:hAnsi="Tahoma" w:cs="Tahoma"/>
                <w:b/>
                <w:sz w:val="20"/>
                <w:szCs w:val="20"/>
              </w:rPr>
              <w:t xml:space="preserve">Module: </w:t>
            </w:r>
          </w:p>
          <w:p w:rsidR="00EC28A0" w:rsidRDefault="00EC28A0" w:rsidP="0047764E">
            <w:pPr>
              <w:rPr>
                <w:rFonts w:ascii="Tahoma" w:hAnsi="Tahoma" w:cs="Tahoma"/>
                <w:b/>
                <w:sz w:val="20"/>
                <w:szCs w:val="20"/>
              </w:rPr>
            </w:pPr>
          </w:p>
          <w:p w:rsidR="00EC28A0" w:rsidRPr="003C3341" w:rsidRDefault="00EC28A0" w:rsidP="0047764E">
            <w:pPr>
              <w:rPr>
                <w:rFonts w:ascii="Tahoma" w:hAnsi="Tahoma" w:cs="Tahoma"/>
                <w:b/>
                <w:sz w:val="20"/>
                <w:szCs w:val="20"/>
              </w:rPr>
            </w:pPr>
            <w:r>
              <w:rPr>
                <w:rFonts w:ascii="Tahoma" w:hAnsi="Tahoma" w:cs="Tahoma"/>
                <w:b/>
                <w:sz w:val="20"/>
                <w:szCs w:val="20"/>
              </w:rPr>
              <w:t xml:space="preserve">Lecturer: </w:t>
            </w:r>
          </w:p>
        </w:tc>
      </w:tr>
    </w:tbl>
    <w:p w:rsidR="00EC28A0" w:rsidRPr="003C3341" w:rsidRDefault="00EC28A0" w:rsidP="00EC28A0">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EC28A0" w:rsidRPr="003C3341" w:rsidTr="0047764E">
        <w:tc>
          <w:tcPr>
            <w:tcW w:w="3983" w:type="dxa"/>
            <w:shd w:val="clear" w:color="auto" w:fill="C5E0B3" w:themeFill="accent6" w:themeFillTint="66"/>
          </w:tcPr>
          <w:p w:rsidR="00EC28A0" w:rsidRPr="00946B23" w:rsidRDefault="00EC28A0" w:rsidP="0047764E">
            <w:pPr>
              <w:rPr>
                <w:rFonts w:ascii="Tahoma" w:hAnsi="Tahoma" w:cs="Tahoma"/>
                <w:b/>
                <w:sz w:val="20"/>
                <w:szCs w:val="20"/>
              </w:rPr>
            </w:pPr>
            <w:r>
              <w:rPr>
                <w:rFonts w:ascii="Tahoma" w:hAnsi="Tahoma" w:cs="Tahoma"/>
                <w:b/>
                <w:sz w:val="20"/>
                <w:szCs w:val="20"/>
              </w:rPr>
              <w:t xml:space="preserve">Topic of choice: </w:t>
            </w:r>
          </w:p>
        </w:tc>
        <w:tc>
          <w:tcPr>
            <w:tcW w:w="7199" w:type="dxa"/>
            <w:shd w:val="clear" w:color="auto" w:fill="C5E0B3" w:themeFill="accent6" w:themeFillTint="66"/>
          </w:tcPr>
          <w:p w:rsidR="00EC28A0" w:rsidRDefault="00EC28A0" w:rsidP="0047764E">
            <w:pPr>
              <w:rPr>
                <w:rFonts w:ascii="Tahoma" w:hAnsi="Tahoma" w:cs="Tahoma"/>
                <w:b/>
                <w:sz w:val="20"/>
                <w:szCs w:val="20"/>
              </w:rPr>
            </w:pPr>
          </w:p>
          <w:p w:rsidR="00EC28A0" w:rsidRDefault="00EC28A0" w:rsidP="0047764E">
            <w:pPr>
              <w:jc w:val="center"/>
              <w:rPr>
                <w:rFonts w:ascii="Tahoma" w:hAnsi="Tahoma" w:cs="Tahoma"/>
                <w:b/>
                <w:sz w:val="20"/>
                <w:szCs w:val="20"/>
              </w:rPr>
            </w:pPr>
            <w:r w:rsidRPr="00A23B9A">
              <w:t>Allergies and Intolerances and the importance within the industry</w:t>
            </w:r>
          </w:p>
          <w:p w:rsidR="00EC28A0" w:rsidRPr="003C3341" w:rsidRDefault="00EC28A0" w:rsidP="0047764E">
            <w:pPr>
              <w:jc w:val="center"/>
              <w:rPr>
                <w:rFonts w:ascii="Tahoma" w:hAnsi="Tahoma" w:cs="Tahoma"/>
                <w:b/>
                <w:sz w:val="20"/>
                <w:szCs w:val="20"/>
              </w:rPr>
            </w:pPr>
          </w:p>
        </w:tc>
      </w:tr>
      <w:tr w:rsidR="00EC28A0" w:rsidRPr="003C3341" w:rsidTr="0047764E">
        <w:trPr>
          <w:trHeight w:val="2494"/>
        </w:trPr>
        <w:tc>
          <w:tcPr>
            <w:tcW w:w="11182" w:type="dxa"/>
            <w:gridSpan w:val="2"/>
          </w:tcPr>
          <w:p w:rsidR="00EC28A0" w:rsidRPr="001C1262" w:rsidRDefault="00EC28A0" w:rsidP="0047764E"/>
          <w:p w:rsidR="00EC28A0" w:rsidRPr="001C1262" w:rsidRDefault="00EC28A0" w:rsidP="0047764E">
            <w:pPr>
              <w:spacing w:line="360" w:lineRule="auto"/>
            </w:pPr>
            <w:r w:rsidRPr="001C1262">
              <w:t>The food industry is an ever-going industry and has experienced growth in the past many years. The manufacturers of food need to make sure that the food they are supplying to consumers is free of all sorts of intolerances and inappropriate stuff. This is primarily because, in the form of food, people are in taking different substances that can positively or negatively impact the body or metabolism of an individual. Also, it is a legal and regulatory requirement too (</w:t>
            </w:r>
            <w:r w:rsidRPr="001C1262">
              <w:rPr>
                <w:color w:val="222222"/>
                <w:shd w:val="clear" w:color="auto" w:fill="FFFFFF"/>
              </w:rPr>
              <w:t xml:space="preserve">Popping and Diaz-Amigo, 2018). </w:t>
            </w:r>
            <w:r w:rsidRPr="001C1262">
              <w:t xml:space="preserve">Food allergies usually have when as a result of some food substances reacting to the body of an individual. The substances due to which these allergy reactions happen are called allergens. </w:t>
            </w:r>
          </w:p>
          <w:p w:rsidR="00EC28A0" w:rsidRPr="001C1262" w:rsidRDefault="00EC28A0" w:rsidP="0047764E">
            <w:pPr>
              <w:spacing w:line="360" w:lineRule="auto"/>
            </w:pPr>
            <w:r w:rsidRPr="001C1262">
              <w:t xml:space="preserve">Allergens are not harmful to everyone, but to some extent, they do react in different ways to different individuals (Gomez-Arribas et al., 2018). In some situations, these substances can prove to be deadly for them. In the food industry, the most forms of allergens that have been identified by the food management department are from milk and peanuts and for this reason, when using these substances, the food authority needs to make sure that the individual is not allergic to them, primarily because these allergy reactions are very severe for some. Not just the management, but the individual also needs to identify these allergies, and need to make sure that they are not consuming any substance that can react to them negatively (Bahna and Burkhardt, 2018). </w:t>
            </w:r>
          </w:p>
          <w:p w:rsidR="00EC28A0" w:rsidRPr="001C1262" w:rsidRDefault="00EC28A0" w:rsidP="0047764E">
            <w:pPr>
              <w:spacing w:line="360" w:lineRule="auto"/>
            </w:pPr>
            <w:r w:rsidRPr="001C1262">
              <w:t xml:space="preserve">Understanding food allergies and intolerances is an important aspect, and for this reason, governments and individuals are seen taking measures to acquire this responsibility. Not just on the national level, but many international firms have become a part of campaigns in which food-management authorities along with the </w:t>
            </w:r>
            <w:r w:rsidRPr="001C1262">
              <w:lastRenderedPageBreak/>
              <w:t xml:space="preserve">allergen management department have become a part to understand the requirements for allergy management, and to set up future requirements for the upcoming firms in the industry. Even though it is recognized that allergens are not food hazardous, the food management must understand that the food they produce should be free of all sorts of hazardous elements, including allergens to make the food safe for the consumers to consume. Moreover, the consumers must understand the food elements they are allergic to, and thus, should be avoiding all sorts of substances that they know can prove deadly for them, if consumed (Pacholek et al., 2018). Not just by the consumers, but the manufacturers should make sure from the starting process that the food they are producing is free of all sorts of allergens, to make sure that the food is free of unnecessary allergen substances. This can usually be done with proper management starting from the purchase of raw material for the food, and ending when the food is manufactured for the final customer to consume. Also, the food management department should provide proper training to the team to indulge in the manufacturing process to make sure that the substances used are not hazardous for any consumer. Lastly, the manufacturer should make sure that the ingredients list is present on the final product, to make sure that the final consumer is aware of the ingredients used in the food, and case, they are allergic to any substance, it is important that they should be able to ignore the particular item. </w:t>
            </w:r>
          </w:p>
          <w:p w:rsidR="00EC28A0" w:rsidRPr="001C1262" w:rsidRDefault="00EC28A0" w:rsidP="0047764E">
            <w:pPr>
              <w:spacing w:line="360" w:lineRule="auto"/>
              <w:jc w:val="both"/>
            </w:pPr>
            <w:r w:rsidRPr="001C1262">
              <w:t>Allergies and intolerances for the food industry are important primarily because some sorts of allergies can be so deadly for an individual, for example, the intake of a peanut can chock an individual’s breathing pipe, that he/she can become short of breathing and suffocate themselves. For these reasons, the food industry needs to make sure that the ingredients they are using in manufacturing different items are less allergen (Eren et al., 2021). If in situations where they feel that a substance can be an allergen for an individual, they should mention the ingredients of the product on the packaging to make the individual aware of the items used to make it. Not just this, but the new rules and regulations that have been set up by many governments, agencies, local and international communities, if are followed by this food industry, they can make food items that will not be harmful to many individuals, and they would not have to face any sort of allergic reaction or intolerances in their lives.</w:t>
            </w:r>
          </w:p>
          <w:p w:rsidR="00EC28A0" w:rsidRPr="001C1262" w:rsidRDefault="00EC28A0" w:rsidP="0047764E">
            <w:pPr>
              <w:spacing w:line="360" w:lineRule="auto"/>
              <w:jc w:val="both"/>
            </w:pPr>
          </w:p>
          <w:p w:rsidR="00EC28A0" w:rsidRPr="001C1262" w:rsidRDefault="00EC28A0" w:rsidP="0047764E">
            <w:pPr>
              <w:spacing w:line="360" w:lineRule="auto"/>
              <w:jc w:val="both"/>
            </w:pPr>
          </w:p>
          <w:p w:rsidR="00EC28A0" w:rsidRPr="001C1262" w:rsidRDefault="00EC28A0" w:rsidP="0047764E">
            <w:pPr>
              <w:spacing w:line="360" w:lineRule="auto"/>
              <w:jc w:val="both"/>
            </w:pPr>
          </w:p>
          <w:p w:rsidR="00EC28A0" w:rsidRPr="001C1262" w:rsidRDefault="00EC28A0" w:rsidP="0047764E">
            <w:pPr>
              <w:spacing w:line="360" w:lineRule="auto"/>
              <w:jc w:val="both"/>
            </w:pPr>
          </w:p>
          <w:p w:rsidR="00EC28A0" w:rsidRPr="001C1262" w:rsidRDefault="00EC28A0" w:rsidP="0047764E">
            <w:pPr>
              <w:spacing w:line="360" w:lineRule="auto"/>
              <w:jc w:val="both"/>
            </w:pPr>
          </w:p>
          <w:p w:rsidR="00EC28A0" w:rsidRPr="001C1262" w:rsidRDefault="00EC28A0" w:rsidP="0047764E">
            <w:pPr>
              <w:spacing w:line="360" w:lineRule="auto"/>
              <w:jc w:val="both"/>
            </w:pPr>
          </w:p>
          <w:p w:rsidR="00EC28A0" w:rsidRPr="001C1262" w:rsidRDefault="00EC28A0" w:rsidP="0047764E">
            <w:pPr>
              <w:spacing w:line="360" w:lineRule="auto"/>
              <w:jc w:val="both"/>
            </w:pPr>
          </w:p>
          <w:p w:rsidR="00EC28A0" w:rsidRPr="001C1262" w:rsidRDefault="00EC28A0" w:rsidP="0047764E">
            <w:pPr>
              <w:spacing w:line="360" w:lineRule="auto"/>
              <w:jc w:val="both"/>
            </w:pPr>
          </w:p>
          <w:p w:rsidR="00EC28A0" w:rsidRDefault="00EC28A0" w:rsidP="0047764E">
            <w:pPr>
              <w:spacing w:line="360" w:lineRule="auto"/>
              <w:jc w:val="both"/>
            </w:pPr>
          </w:p>
          <w:p w:rsidR="00EC28A0" w:rsidRPr="001C1262" w:rsidRDefault="00EC28A0" w:rsidP="0047764E">
            <w:pPr>
              <w:spacing w:line="360" w:lineRule="auto"/>
              <w:jc w:val="both"/>
              <w:rPr>
                <w:rFonts w:ascii="Arial" w:hAnsi="Arial" w:cs="Arial"/>
              </w:rPr>
            </w:pPr>
          </w:p>
          <w:p w:rsidR="00EC28A0" w:rsidRPr="003C3341" w:rsidRDefault="00EC28A0" w:rsidP="0047764E">
            <w:pPr>
              <w:jc w:val="both"/>
              <w:rPr>
                <w:rFonts w:ascii="Tahoma" w:hAnsi="Tahoma" w:cs="Tahoma"/>
                <w:sz w:val="20"/>
                <w:szCs w:val="20"/>
              </w:rPr>
            </w:pPr>
          </w:p>
        </w:tc>
      </w:tr>
    </w:tbl>
    <w:p w:rsidR="00EC28A0" w:rsidRDefault="00EC28A0" w:rsidP="00EC28A0">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EC28A0" w:rsidRPr="003C3341" w:rsidTr="0047764E">
        <w:tc>
          <w:tcPr>
            <w:tcW w:w="10910" w:type="dxa"/>
            <w:shd w:val="clear" w:color="auto" w:fill="C5E0B3" w:themeFill="accent6" w:themeFillTint="66"/>
          </w:tcPr>
          <w:p w:rsidR="00EC28A0" w:rsidRPr="00946B23" w:rsidRDefault="00EC28A0" w:rsidP="0047764E">
            <w:pPr>
              <w:rPr>
                <w:rFonts w:ascii="Tahoma" w:hAnsi="Tahoma" w:cs="Tahoma"/>
                <w:b/>
                <w:sz w:val="20"/>
                <w:szCs w:val="20"/>
              </w:rPr>
            </w:pPr>
            <w:r>
              <w:rPr>
                <w:rFonts w:ascii="Tahoma" w:hAnsi="Tahoma" w:cs="Tahoma"/>
                <w:b/>
                <w:sz w:val="20"/>
                <w:szCs w:val="20"/>
              </w:rPr>
              <w:t>REFERENCE LIST (not included in word count)</w:t>
            </w:r>
          </w:p>
        </w:tc>
        <w:tc>
          <w:tcPr>
            <w:tcW w:w="272" w:type="dxa"/>
            <w:shd w:val="clear" w:color="auto" w:fill="C5E0B3" w:themeFill="accent6" w:themeFillTint="66"/>
          </w:tcPr>
          <w:p w:rsidR="00EC28A0" w:rsidRDefault="00EC28A0" w:rsidP="0047764E">
            <w:pPr>
              <w:jc w:val="center"/>
              <w:rPr>
                <w:rFonts w:ascii="Tahoma" w:hAnsi="Tahoma" w:cs="Tahoma"/>
                <w:b/>
                <w:sz w:val="20"/>
                <w:szCs w:val="20"/>
              </w:rPr>
            </w:pPr>
          </w:p>
          <w:p w:rsidR="00EC28A0" w:rsidRPr="003C3341" w:rsidRDefault="00EC28A0" w:rsidP="0047764E">
            <w:pPr>
              <w:jc w:val="center"/>
              <w:rPr>
                <w:rFonts w:ascii="Tahoma" w:hAnsi="Tahoma" w:cs="Tahoma"/>
                <w:b/>
                <w:sz w:val="20"/>
                <w:szCs w:val="20"/>
              </w:rPr>
            </w:pPr>
          </w:p>
        </w:tc>
      </w:tr>
      <w:tr w:rsidR="00EC28A0" w:rsidRPr="003C3341" w:rsidTr="0047764E">
        <w:trPr>
          <w:trHeight w:val="2494"/>
        </w:trPr>
        <w:tc>
          <w:tcPr>
            <w:tcW w:w="11182" w:type="dxa"/>
            <w:gridSpan w:val="2"/>
          </w:tcPr>
          <w:p w:rsidR="00EC28A0" w:rsidRDefault="00EC28A0" w:rsidP="0047764E">
            <w:pPr>
              <w:rPr>
                <w:rFonts w:ascii="Tahoma" w:hAnsi="Tahoma" w:cs="Tahoma"/>
                <w:sz w:val="20"/>
                <w:szCs w:val="20"/>
              </w:rPr>
            </w:pPr>
          </w:p>
          <w:p w:rsidR="00EC28A0" w:rsidRPr="001C1262" w:rsidRDefault="00EC28A0" w:rsidP="0047764E">
            <w:pPr>
              <w:spacing w:line="360" w:lineRule="auto"/>
              <w:jc w:val="both"/>
              <w:rPr>
                <w:color w:val="222222"/>
                <w:shd w:val="clear" w:color="auto" w:fill="FFFFFF"/>
              </w:rPr>
            </w:pPr>
            <w:r w:rsidRPr="001C1262">
              <w:rPr>
                <w:color w:val="222222"/>
                <w:shd w:val="clear" w:color="auto" w:fill="FFFFFF"/>
              </w:rPr>
              <w:t>Bahna, S.L. and Burkhardt, J.G., 2018, January. The dilemma of allergy to food additives. In </w:t>
            </w:r>
            <w:r w:rsidRPr="001C1262">
              <w:rPr>
                <w:i/>
                <w:iCs/>
                <w:color w:val="222222"/>
                <w:shd w:val="clear" w:color="auto" w:fill="FFFFFF"/>
              </w:rPr>
              <w:t>Allergy &amp; Asthma Proceedings</w:t>
            </w:r>
            <w:r w:rsidRPr="001C1262">
              <w:rPr>
                <w:color w:val="222222"/>
                <w:shd w:val="clear" w:color="auto" w:fill="FFFFFF"/>
              </w:rPr>
              <w:t> (Vol. 39, No. 1).</w:t>
            </w:r>
          </w:p>
          <w:p w:rsidR="00EC28A0" w:rsidRPr="001C1262" w:rsidRDefault="00EC28A0" w:rsidP="0047764E">
            <w:pPr>
              <w:spacing w:line="360" w:lineRule="auto"/>
              <w:jc w:val="both"/>
              <w:rPr>
                <w:color w:val="222222"/>
                <w:shd w:val="clear" w:color="auto" w:fill="FFFFFF"/>
              </w:rPr>
            </w:pPr>
            <w:r w:rsidRPr="001C1262">
              <w:rPr>
                <w:color w:val="222222"/>
                <w:shd w:val="clear" w:color="auto" w:fill="FFFFFF"/>
              </w:rPr>
              <w:t>Eren, R., Çetin, M., Eren, A. and Çetin, K., 2021. Food allergy knowledge, attitude, and practices of chefs in resort hotels in Turkey. </w:t>
            </w:r>
            <w:r w:rsidRPr="001C1262">
              <w:rPr>
                <w:i/>
                <w:iCs/>
                <w:color w:val="222222"/>
                <w:shd w:val="clear" w:color="auto" w:fill="FFFFFF"/>
              </w:rPr>
              <w:t>International Journal of Gastronomy and Food Science</w:t>
            </w:r>
            <w:r w:rsidRPr="001C1262">
              <w:rPr>
                <w:color w:val="222222"/>
                <w:shd w:val="clear" w:color="auto" w:fill="FFFFFF"/>
              </w:rPr>
              <w:t>, </w:t>
            </w:r>
            <w:r w:rsidRPr="001C1262">
              <w:rPr>
                <w:i/>
                <w:iCs/>
                <w:color w:val="222222"/>
                <w:shd w:val="clear" w:color="auto" w:fill="FFFFFF"/>
              </w:rPr>
              <w:t>24</w:t>
            </w:r>
            <w:r w:rsidRPr="001C1262">
              <w:rPr>
                <w:color w:val="222222"/>
                <w:shd w:val="clear" w:color="auto" w:fill="FFFFFF"/>
              </w:rPr>
              <w:t>, p.100345.</w:t>
            </w:r>
          </w:p>
          <w:p w:rsidR="00EC28A0" w:rsidRPr="001C1262" w:rsidRDefault="00EC28A0" w:rsidP="0047764E">
            <w:pPr>
              <w:spacing w:line="360" w:lineRule="auto"/>
              <w:jc w:val="both"/>
              <w:rPr>
                <w:color w:val="222222"/>
                <w:shd w:val="clear" w:color="auto" w:fill="FFFFFF"/>
              </w:rPr>
            </w:pPr>
            <w:r w:rsidRPr="001C1262">
              <w:rPr>
                <w:color w:val="222222"/>
                <w:shd w:val="clear" w:color="auto" w:fill="FFFFFF"/>
              </w:rPr>
              <w:t>Gómez-Arribas, L.N., Benito-Peña, E., Hurtado-Sanchez, M.D.C. and Moreno-Bondi, M.C., 2018. Biosensing based on nanoparticles for food allergens detection. </w:t>
            </w:r>
            <w:r w:rsidRPr="001C1262">
              <w:rPr>
                <w:i/>
                <w:iCs/>
                <w:color w:val="222222"/>
                <w:shd w:val="clear" w:color="auto" w:fill="FFFFFF"/>
              </w:rPr>
              <w:t>Sensors</w:t>
            </w:r>
            <w:r w:rsidRPr="001C1262">
              <w:rPr>
                <w:color w:val="222222"/>
                <w:shd w:val="clear" w:color="auto" w:fill="FFFFFF"/>
              </w:rPr>
              <w:t>, </w:t>
            </w:r>
            <w:r w:rsidRPr="001C1262">
              <w:rPr>
                <w:i/>
                <w:iCs/>
                <w:color w:val="222222"/>
                <w:shd w:val="clear" w:color="auto" w:fill="FFFFFF"/>
              </w:rPr>
              <w:t>18</w:t>
            </w:r>
            <w:r w:rsidRPr="001C1262">
              <w:rPr>
                <w:color w:val="222222"/>
                <w:shd w:val="clear" w:color="auto" w:fill="FFFFFF"/>
              </w:rPr>
              <w:t>(4), p.1087.</w:t>
            </w:r>
          </w:p>
          <w:p w:rsidR="00EC28A0" w:rsidRPr="001C1262" w:rsidRDefault="00EC28A0" w:rsidP="0047764E">
            <w:pPr>
              <w:spacing w:line="360" w:lineRule="auto"/>
              <w:jc w:val="both"/>
              <w:rPr>
                <w:color w:val="222222"/>
                <w:shd w:val="clear" w:color="auto" w:fill="FFFFFF"/>
              </w:rPr>
            </w:pPr>
            <w:r w:rsidRPr="001C1262">
              <w:rPr>
                <w:color w:val="222222"/>
                <w:shd w:val="clear" w:color="auto" w:fill="FFFFFF"/>
              </w:rPr>
              <w:t>Pacholek, B., Sady, S. and Kupinska-Adamczyk, E., 2018. Management of food allergens in the food industry. </w:t>
            </w:r>
            <w:r w:rsidRPr="001C1262">
              <w:rPr>
                <w:i/>
                <w:iCs/>
                <w:color w:val="222222"/>
                <w:shd w:val="clear" w:color="auto" w:fill="FFFFFF"/>
              </w:rPr>
              <w:t>Journal of Agribusiness and Rural Development</w:t>
            </w:r>
            <w:r w:rsidRPr="001C1262">
              <w:rPr>
                <w:color w:val="222222"/>
                <w:shd w:val="clear" w:color="auto" w:fill="FFFFFF"/>
              </w:rPr>
              <w:t>, (1 [47]).</w:t>
            </w:r>
          </w:p>
          <w:p w:rsidR="00EC28A0" w:rsidRPr="001C1262" w:rsidRDefault="00EC28A0" w:rsidP="0047764E">
            <w:pPr>
              <w:spacing w:line="360" w:lineRule="auto"/>
              <w:jc w:val="both"/>
            </w:pPr>
            <w:r w:rsidRPr="001C1262">
              <w:rPr>
                <w:color w:val="222222"/>
                <w:shd w:val="clear" w:color="auto" w:fill="FFFFFF"/>
              </w:rPr>
              <w:t>Popping, B. and Diaz-Amigo, C., 2018. European regulations for labeling requirements for food allergens and substances causing intolerances: history and future. </w:t>
            </w:r>
            <w:r w:rsidRPr="001C1262">
              <w:rPr>
                <w:i/>
                <w:iCs/>
                <w:color w:val="222222"/>
                <w:shd w:val="clear" w:color="auto" w:fill="FFFFFF"/>
              </w:rPr>
              <w:t>Journal of AOAC International</w:t>
            </w:r>
            <w:r w:rsidRPr="001C1262">
              <w:rPr>
                <w:color w:val="222222"/>
                <w:shd w:val="clear" w:color="auto" w:fill="FFFFFF"/>
              </w:rPr>
              <w:t>, </w:t>
            </w:r>
            <w:r w:rsidRPr="001C1262">
              <w:rPr>
                <w:i/>
                <w:iCs/>
                <w:color w:val="222222"/>
                <w:shd w:val="clear" w:color="auto" w:fill="FFFFFF"/>
              </w:rPr>
              <w:t>101</w:t>
            </w:r>
            <w:r w:rsidRPr="001C1262">
              <w:rPr>
                <w:color w:val="222222"/>
                <w:shd w:val="clear" w:color="auto" w:fill="FFFFFF"/>
              </w:rPr>
              <w:t xml:space="preserve">(1), pp.2-7. </w:t>
            </w:r>
          </w:p>
          <w:p w:rsidR="00EC28A0" w:rsidRDefault="00EC28A0" w:rsidP="0047764E">
            <w:pPr>
              <w:spacing w:line="360" w:lineRule="auto"/>
              <w:jc w:val="both"/>
              <w:rPr>
                <w:rFonts w:ascii="Arial" w:hAnsi="Arial" w:cs="Arial"/>
              </w:rPr>
            </w:pPr>
          </w:p>
          <w:p w:rsidR="00EC28A0" w:rsidRDefault="00EC28A0" w:rsidP="0047764E">
            <w:pPr>
              <w:spacing w:line="360" w:lineRule="auto"/>
              <w:jc w:val="both"/>
              <w:rPr>
                <w:rFonts w:ascii="Arial" w:hAnsi="Arial" w:cs="Arial"/>
              </w:rPr>
            </w:pPr>
          </w:p>
          <w:p w:rsidR="00EC28A0" w:rsidRDefault="00EC28A0" w:rsidP="0047764E">
            <w:pPr>
              <w:spacing w:line="360" w:lineRule="auto"/>
              <w:jc w:val="both"/>
              <w:rPr>
                <w:rFonts w:ascii="Arial" w:hAnsi="Arial" w:cs="Arial"/>
              </w:rPr>
            </w:pPr>
          </w:p>
          <w:p w:rsidR="00EC28A0" w:rsidRDefault="00EC28A0" w:rsidP="0047764E">
            <w:pPr>
              <w:spacing w:line="360" w:lineRule="auto"/>
              <w:jc w:val="both"/>
              <w:rPr>
                <w:rFonts w:ascii="Arial" w:hAnsi="Arial" w:cs="Arial"/>
              </w:rPr>
            </w:pPr>
          </w:p>
          <w:p w:rsidR="00EC28A0" w:rsidRDefault="00EC28A0" w:rsidP="0047764E">
            <w:pPr>
              <w:spacing w:line="360" w:lineRule="auto"/>
              <w:jc w:val="both"/>
              <w:rPr>
                <w:rFonts w:ascii="Arial" w:hAnsi="Arial" w:cs="Arial"/>
              </w:rPr>
            </w:pPr>
          </w:p>
          <w:p w:rsidR="00EC28A0" w:rsidRDefault="00EC28A0" w:rsidP="0047764E">
            <w:pPr>
              <w:spacing w:line="360" w:lineRule="auto"/>
              <w:jc w:val="both"/>
              <w:rPr>
                <w:rFonts w:ascii="Arial" w:hAnsi="Arial" w:cs="Arial"/>
              </w:rPr>
            </w:pPr>
          </w:p>
          <w:p w:rsidR="00EC28A0" w:rsidRDefault="00EC28A0" w:rsidP="0047764E">
            <w:pPr>
              <w:spacing w:line="360" w:lineRule="auto"/>
              <w:jc w:val="both"/>
              <w:rPr>
                <w:rFonts w:ascii="Arial" w:hAnsi="Arial" w:cs="Arial"/>
              </w:rPr>
            </w:pPr>
          </w:p>
          <w:p w:rsidR="00EC28A0" w:rsidRDefault="00EC28A0" w:rsidP="0047764E">
            <w:pPr>
              <w:spacing w:line="360" w:lineRule="auto"/>
              <w:jc w:val="both"/>
              <w:rPr>
                <w:rFonts w:ascii="Arial" w:hAnsi="Arial" w:cs="Arial"/>
              </w:rPr>
            </w:pPr>
          </w:p>
          <w:p w:rsidR="00EC28A0" w:rsidRDefault="00EC28A0" w:rsidP="0047764E">
            <w:pPr>
              <w:spacing w:line="360" w:lineRule="auto"/>
              <w:jc w:val="both"/>
              <w:rPr>
                <w:rFonts w:ascii="Arial" w:hAnsi="Arial" w:cs="Arial"/>
              </w:rPr>
            </w:pPr>
          </w:p>
          <w:p w:rsidR="00EC28A0" w:rsidRDefault="00EC28A0" w:rsidP="0047764E">
            <w:pPr>
              <w:spacing w:line="360" w:lineRule="auto"/>
              <w:jc w:val="both"/>
              <w:rPr>
                <w:rFonts w:ascii="Arial" w:hAnsi="Arial" w:cs="Arial"/>
              </w:rPr>
            </w:pPr>
          </w:p>
          <w:p w:rsidR="00EC28A0" w:rsidRDefault="00EC28A0" w:rsidP="0047764E">
            <w:pPr>
              <w:spacing w:line="360" w:lineRule="auto"/>
              <w:jc w:val="both"/>
              <w:rPr>
                <w:rFonts w:ascii="Arial" w:hAnsi="Arial" w:cs="Arial"/>
              </w:rPr>
            </w:pPr>
          </w:p>
          <w:p w:rsidR="00EC28A0" w:rsidRDefault="00EC28A0" w:rsidP="0047764E">
            <w:pPr>
              <w:spacing w:line="360" w:lineRule="auto"/>
              <w:jc w:val="both"/>
              <w:rPr>
                <w:rFonts w:ascii="Arial" w:hAnsi="Arial" w:cs="Arial"/>
              </w:rPr>
            </w:pPr>
          </w:p>
          <w:p w:rsidR="00EC28A0" w:rsidRPr="003C3341" w:rsidRDefault="00EC28A0" w:rsidP="0047764E">
            <w:pPr>
              <w:jc w:val="both"/>
              <w:rPr>
                <w:rFonts w:ascii="Tahoma" w:hAnsi="Tahoma" w:cs="Tahoma"/>
                <w:sz w:val="20"/>
                <w:szCs w:val="20"/>
              </w:rPr>
            </w:pPr>
          </w:p>
        </w:tc>
      </w:tr>
    </w:tbl>
    <w:p w:rsidR="00EC28A0" w:rsidRDefault="00EC28A0" w:rsidP="00EC28A0">
      <w:pPr>
        <w:rPr>
          <w:rFonts w:ascii="Tahoma" w:hAnsi="Tahoma" w:cs="Tahoma"/>
          <w:b/>
        </w:rPr>
      </w:pPr>
    </w:p>
    <w:p w:rsidR="00EC28A0" w:rsidRDefault="00EC28A0" w:rsidP="00EC28A0">
      <w:pPr>
        <w:rPr>
          <w:rFonts w:ascii="Tahoma" w:hAnsi="Tahoma" w:cs="Tahoma"/>
          <w:b/>
        </w:rPr>
      </w:pPr>
    </w:p>
    <w:p w:rsidR="00EC28A0" w:rsidRDefault="00EC28A0" w:rsidP="00EC28A0">
      <w:pPr>
        <w:rPr>
          <w:rFonts w:ascii="Tahoma" w:hAnsi="Tahoma" w:cs="Tahoma"/>
          <w:b/>
        </w:rPr>
      </w:pPr>
    </w:p>
    <w:p w:rsidR="00635E51" w:rsidRDefault="00635E51"/>
    <w:sectPr w:rsidR="00635E51" w:rsidSect="00C21568">
      <w:headerReference w:type="default" r:id="rId5"/>
      <w:footerReference w:type="default" r:id="rId6"/>
      <w:pgSz w:w="11906" w:h="16838"/>
      <w:pgMar w:top="360" w:right="357" w:bottom="0" w:left="35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016876"/>
      <w:docPartObj>
        <w:docPartGallery w:val="Page Numbers (Bottom of Page)"/>
        <w:docPartUnique/>
      </w:docPartObj>
    </w:sdtPr>
    <w:sdtEndPr>
      <w:rPr>
        <w:noProof/>
      </w:rPr>
    </w:sdtEndPr>
    <w:sdtContent>
      <w:p w:rsidR="00B44B68" w:rsidRDefault="00EC28A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112CE0" w:rsidRDefault="00EC28A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4E01" w:rsidRPr="001B69C8" w:rsidRDefault="00EC28A0"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9264" behindDoc="0" locked="0" layoutInCell="1" allowOverlap="1" wp14:anchorId="67E9D1A7" wp14:editId="101CD826">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28A0"/>
    <w:rsid w:val="00635E51"/>
    <w:rsid w:val="00EC28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C8C09D0-0077-4D12-9E08-3813E9EC0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28A0"/>
    <w:pPr>
      <w:spacing w:after="0" w:line="240" w:lineRule="auto"/>
    </w:pPr>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C28A0"/>
    <w:pPr>
      <w:tabs>
        <w:tab w:val="center" w:pos="4153"/>
        <w:tab w:val="right" w:pos="8306"/>
      </w:tabs>
    </w:pPr>
  </w:style>
  <w:style w:type="character" w:customStyle="1" w:styleId="HeaderChar">
    <w:name w:val="Header Char"/>
    <w:basedOn w:val="DefaultParagraphFont"/>
    <w:link w:val="Header"/>
    <w:rsid w:val="00EC28A0"/>
    <w:rPr>
      <w:rFonts w:ascii="Times New Roman" w:eastAsia="Times New Roman" w:hAnsi="Times New Roman" w:cs="Times New Roman"/>
      <w:sz w:val="24"/>
      <w:szCs w:val="24"/>
      <w:lang w:val="en-GB" w:eastAsia="en-GB"/>
    </w:rPr>
  </w:style>
  <w:style w:type="paragraph" w:styleId="Footer">
    <w:name w:val="footer"/>
    <w:basedOn w:val="Normal"/>
    <w:link w:val="FooterChar"/>
    <w:uiPriority w:val="99"/>
    <w:rsid w:val="00EC28A0"/>
    <w:pPr>
      <w:tabs>
        <w:tab w:val="center" w:pos="4153"/>
        <w:tab w:val="right" w:pos="8306"/>
      </w:tabs>
    </w:pPr>
  </w:style>
  <w:style w:type="character" w:customStyle="1" w:styleId="FooterChar">
    <w:name w:val="Footer Char"/>
    <w:basedOn w:val="DefaultParagraphFont"/>
    <w:link w:val="Footer"/>
    <w:uiPriority w:val="99"/>
    <w:rsid w:val="00EC28A0"/>
    <w:rPr>
      <w:rFonts w:ascii="Times New Roman" w:eastAsia="Times New Roman" w:hAnsi="Times New Roman" w:cs="Times New Roman"/>
      <w:sz w:val="24"/>
      <w:szCs w:val="24"/>
      <w:lang w:val="en-GB" w:eastAsia="en-GB"/>
    </w:rPr>
  </w:style>
  <w:style w:type="table" w:styleId="TableGrid">
    <w:name w:val="Table Grid"/>
    <w:basedOn w:val="TableNormal"/>
    <w:rsid w:val="00EC28A0"/>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C28A0"/>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922</Words>
  <Characters>5256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Asad</dc:creator>
  <cp:keywords/>
  <dc:description/>
  <cp:lastModifiedBy>Asad</cp:lastModifiedBy>
  <cp:revision>1</cp:revision>
  <dcterms:created xsi:type="dcterms:W3CDTF">2022-02-10T11:17:00Z</dcterms:created>
  <dcterms:modified xsi:type="dcterms:W3CDTF">2022-02-10T11:19:00Z</dcterms:modified>
</cp:coreProperties>
</file>