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before="0" w:lineRule="auto"/>
        <w:rPr/>
      </w:pPr>
      <w:r w:rsidDel="00000000" w:rsidR="00000000" w:rsidRPr="00000000">
        <w:rPr>
          <w:rFonts w:ascii="system-ui" w:cs="system-ui" w:eastAsia="system-ui" w:hAnsi="system-ui"/>
          <w:b w:val="1"/>
          <w:i w:val="0"/>
          <w:smallCaps w:val="0"/>
          <w:color w:val="0d0d0d"/>
          <w:sz w:val="24"/>
          <w:szCs w:val="24"/>
          <w:rtl w:val="0"/>
        </w:rPr>
        <w:t xml:space="preserve"> Fostering Equality and Diversity in the Legal Profession: Legal and Ethical Imperatives</w:t>
      </w:r>
      <w:r w:rsidDel="00000000" w:rsidR="00000000" w:rsidRPr="00000000">
        <w:rPr>
          <w:rtl w:val="0"/>
        </w:rPr>
      </w:r>
    </w:p>
    <w:p w:rsidR="00000000" w:rsidDel="00000000" w:rsidP="00000000" w:rsidRDefault="00000000" w:rsidRPr="00000000" w14:paraId="00000002">
      <w:pPr>
        <w:rPr/>
      </w:pPr>
      <w:r w:rsidDel="00000000" w:rsidR="00000000" w:rsidRPr="00000000">
        <w:rPr>
          <w:rFonts w:ascii="system-ui" w:cs="system-ui" w:eastAsia="system-ui" w:hAnsi="system-ui"/>
          <w:sz w:val="24"/>
          <w:szCs w:val="24"/>
          <w:rtl w:val="0"/>
        </w:rPr>
        <w:t xml:space="preserve">In order to provide equitable representation, access to justice, and the defense of human rights, equality and diversity are essential cornerstones within the legal profession. In light of the Equality Act of 2010 and the 2019 Solicitors Regulation Authority (SRA) Code of Conduct, this essay explores the importance of fostering diversity and equality within the legal profession. This essay seeks to highlight the vital significance of promoting diversity in legal practice through a review of academic literature, legal frameworks, and real-world instances.</w:t>
      </w:r>
      <w:r w:rsidDel="00000000" w:rsidR="00000000" w:rsidRPr="00000000">
        <w:rPr>
          <w:rtl w:val="0"/>
        </w:rPr>
      </w:r>
    </w:p>
    <w:p w:rsidR="00000000" w:rsidDel="00000000" w:rsidP="00000000" w:rsidRDefault="00000000" w:rsidRPr="00000000" w14:paraId="00000003">
      <w:pPr>
        <w:rPr/>
      </w:pPr>
      <w:r w:rsidDel="00000000" w:rsidR="00000000" w:rsidRPr="00000000">
        <w:rPr>
          <w:rFonts w:ascii="system-ui" w:cs="system-ui" w:eastAsia="system-ui" w:hAnsi="system-ui"/>
          <w:sz w:val="24"/>
          <w:szCs w:val="24"/>
          <w:rtl w:val="0"/>
        </w:rPr>
        <w:t xml:space="preserve">The Equality Act 2010 offers a thorough legislative framework with the goal of promoting equality and combating discrimination in a number of fields, including the legal industry. Discrimination on the grounds of protected characteristics, including age, ethnicity, gender, disability, religion, and sexual orientation, is forbidden by the Equality Act of 2010. When interacting with clients and other legal professionals, as well as when providing legal services, legal practitioners are governed by the provisions of this Act.</w:t>
      </w:r>
      <w:r w:rsidDel="00000000" w:rsidR="00000000" w:rsidRPr="00000000">
        <w:rPr>
          <w:rtl w:val="0"/>
        </w:rPr>
      </w:r>
    </w:p>
    <w:p w:rsidR="00000000" w:rsidDel="00000000" w:rsidP="00000000" w:rsidRDefault="00000000" w:rsidRPr="00000000" w14:paraId="00000004">
      <w:pPr>
        <w:rPr/>
      </w:pPr>
      <w:r w:rsidDel="00000000" w:rsidR="00000000" w:rsidRPr="00000000">
        <w:rPr>
          <w:rFonts w:ascii="system-ui" w:cs="system-ui" w:eastAsia="system-ui" w:hAnsi="system-ui"/>
          <w:sz w:val="24"/>
          <w:szCs w:val="24"/>
          <w:rtl w:val="0"/>
        </w:rPr>
        <w:t xml:space="preserve">Furthermore, solicitors are required to follow the principles and professional standards outlined in the SRA Code of Conduct (2019) in their work. Promoting equality, diversity, and inclusion in the legal profession is emphasized in Principle 9 of the SRA Code (SRA, 2019). It is required of solicitors to maintain these values in their interactions with clients, associates, and the community at large, promoting an atmosphere of decency and equity.</w:t>
      </w:r>
      <w:r w:rsidDel="00000000" w:rsidR="00000000" w:rsidRPr="00000000">
        <w:rPr>
          <w:rtl w:val="0"/>
        </w:rPr>
      </w:r>
    </w:p>
    <w:p w:rsidR="00000000" w:rsidDel="00000000" w:rsidP="00000000" w:rsidRDefault="00000000" w:rsidRPr="00000000" w14:paraId="00000005">
      <w:pPr>
        <w:rPr/>
      </w:pPr>
      <w:r w:rsidDel="00000000" w:rsidR="00000000" w:rsidRPr="00000000">
        <w:rPr>
          <w:rFonts w:ascii="system-ui" w:cs="system-ui" w:eastAsia="system-ui" w:hAnsi="system-ui"/>
          <w:sz w:val="24"/>
          <w:szCs w:val="24"/>
          <w:rtl w:val="0"/>
        </w:rPr>
        <w:t xml:space="preserve">Theoretically, attaining justice and preserving the rule of law depend on diversity and equality within the legal profession. In order to guarantee that marginalized groups are neither excluded from or disadvantaged by the legal system, critical legal academics contend that the law should represent the variety of experiences and viewpoints found in society (Crenshaw, 1989). Lawyers who embrace diversity in the profession of law are better able to comprehend the requirements of their clients and promote just results.</w:t>
      </w:r>
      <w:r w:rsidDel="00000000" w:rsidR="00000000" w:rsidRPr="00000000">
        <w:rPr>
          <w:rtl w:val="0"/>
        </w:rPr>
      </w:r>
    </w:p>
    <w:p w:rsidR="00000000" w:rsidDel="00000000" w:rsidP="00000000" w:rsidRDefault="00000000" w:rsidRPr="00000000" w14:paraId="00000006">
      <w:pPr>
        <w:rPr/>
      </w:pPr>
      <w:r w:rsidDel="00000000" w:rsidR="00000000" w:rsidRPr="00000000">
        <w:rPr>
          <w:rFonts w:ascii="system-ui" w:cs="system-ui" w:eastAsia="system-ui" w:hAnsi="system-ui"/>
          <w:sz w:val="24"/>
          <w:szCs w:val="24"/>
          <w:rtl w:val="0"/>
        </w:rPr>
        <w:t xml:space="preserve">In addition, feminist legal theorists stress the interconnectedness of different types of oppression based on class, gender, race, and other social identities, emphasizing the intersectionality of discrimination (Crenshaw, 1991). The use of an intersectional approach highlights the significance of tackling various types of discrimination within the legal profession, acknowledging that individuals may encounter multiple forms of marginalization that overlap.</w:t>
      </w:r>
      <w:r w:rsidDel="00000000" w:rsidR="00000000" w:rsidRPr="00000000">
        <w:rPr>
          <w:rtl w:val="0"/>
        </w:rPr>
      </w:r>
    </w:p>
    <w:p w:rsidR="00000000" w:rsidDel="00000000" w:rsidP="00000000" w:rsidRDefault="00000000" w:rsidRPr="00000000" w14:paraId="00000007">
      <w:pPr>
        <w:rPr/>
      </w:pPr>
      <w:r w:rsidDel="00000000" w:rsidR="00000000" w:rsidRPr="00000000">
        <w:rPr>
          <w:rFonts w:ascii="system-ui" w:cs="system-ui" w:eastAsia="system-ui" w:hAnsi="system-ui"/>
          <w:sz w:val="24"/>
          <w:szCs w:val="24"/>
          <w:rtl w:val="0"/>
        </w:rPr>
        <w:t xml:space="preserve">The idea that diversity in the legal field improves outcomes for clients and organizations is supported by empirical research. Research indicates that varied legal teams are more inventive, imaginative, and successful in solving problems (Gupta, 2019). Furthermore, because customers feel understood and represented by attorneys who mirror their backgrounds and experiences, diverse legal representation increases client satisfaction and trust (Bell et al., 2020).</w:t>
      </w:r>
      <w:r w:rsidDel="00000000" w:rsidR="00000000" w:rsidRPr="00000000">
        <w:rPr>
          <w:rtl w:val="0"/>
        </w:rPr>
      </w:r>
    </w:p>
    <w:p w:rsidR="00000000" w:rsidDel="00000000" w:rsidP="00000000" w:rsidRDefault="00000000" w:rsidRPr="00000000" w14:paraId="00000008">
      <w:pPr>
        <w:rPr/>
      </w:pPr>
      <w:r w:rsidDel="00000000" w:rsidR="00000000" w:rsidRPr="00000000">
        <w:rPr>
          <w:rFonts w:ascii="system-ui" w:cs="system-ui" w:eastAsia="system-ui" w:hAnsi="system-ui"/>
          <w:sz w:val="24"/>
          <w:szCs w:val="24"/>
          <w:rtl w:val="0"/>
        </w:rPr>
        <w:t xml:space="preserve">For instance, Gupta's (2019) research shown that legal firms with diverse leadership teams experienced higher rates of client retention and profitability. In a similar vein, a study by Bell et al. (2020) showed that diverse legal teams produced higher client outcomes and satisfaction because they were more suited to meet the demands of varied client populations. These results highlight the real advantages of encouraging diversity in the legal profession.</w:t>
      </w:r>
      <w:r w:rsidDel="00000000" w:rsidR="00000000" w:rsidRPr="00000000">
        <w:rPr>
          <w:rtl w:val="0"/>
        </w:rPr>
      </w:r>
    </w:p>
    <w:p w:rsidR="00000000" w:rsidDel="00000000" w:rsidP="00000000" w:rsidRDefault="00000000" w:rsidRPr="00000000" w14:paraId="00000009">
      <w:pPr>
        <w:rPr/>
      </w:pPr>
      <w:r w:rsidDel="00000000" w:rsidR="00000000" w:rsidRPr="00000000">
        <w:rPr>
          <w:rFonts w:ascii="system-ui" w:cs="system-ui" w:eastAsia="system-ui" w:hAnsi="system-ui"/>
          <w:sz w:val="24"/>
          <w:szCs w:val="24"/>
          <w:rtl w:val="0"/>
        </w:rPr>
        <w:t xml:space="preserve">The legal profession still faces difficulties and inclusionary barriers, notwithstanding the significance of promoting equality and diversity. The legal profession faces several major challenges, including persistent gender gaps in partnership positions, a lack of ethnic diversity in senior leadership roles, and admission barriers for people from underprivileged backgrounds (Archer, 2017).</w:t>
      </w:r>
      <w:r w:rsidDel="00000000" w:rsidR="00000000" w:rsidRPr="00000000">
        <w:rPr>
          <w:rtl w:val="0"/>
        </w:rPr>
      </w:r>
    </w:p>
    <w:p w:rsidR="00000000" w:rsidDel="00000000" w:rsidP="00000000" w:rsidRDefault="00000000" w:rsidRPr="00000000" w14:paraId="0000000A">
      <w:pPr>
        <w:rPr/>
      </w:pPr>
      <w:r w:rsidDel="00000000" w:rsidR="00000000" w:rsidRPr="00000000">
        <w:rPr>
          <w:rFonts w:ascii="system-ui" w:cs="system-ui" w:eastAsia="system-ui" w:hAnsi="system-ui"/>
          <w:sz w:val="24"/>
          <w:szCs w:val="24"/>
          <w:rtl w:val="0"/>
        </w:rPr>
        <w:t xml:space="preserve">Additionally, systematic discrimination and unconscious bias in legal institutions impede the growth of underrepresented groups by perpetuating inequality. Proactive steps, such as diversity training programs, mentorship programs, and open hiring practices, are needed to address these issues (Barnes, 2018). Furthermore, it is imperative that legal organizations place a high priority on developing inclusive cultures that celebrate diversity and actively advance equality for all.</w:t>
      </w:r>
      <w:r w:rsidDel="00000000" w:rsidR="00000000" w:rsidRPr="00000000">
        <w:rPr>
          <w:rtl w:val="0"/>
        </w:rPr>
      </w:r>
    </w:p>
    <w:p w:rsidR="00000000" w:rsidDel="00000000" w:rsidP="00000000" w:rsidRDefault="00000000" w:rsidRPr="00000000" w14:paraId="0000000B">
      <w:pPr>
        <w:rPr>
          <w:rFonts w:ascii="system-ui" w:cs="system-ui" w:eastAsia="system-ui" w:hAnsi="system-ui"/>
          <w:b w:val="0"/>
          <w:i w:val="0"/>
          <w:smallCaps w:val="0"/>
          <w:color w:val="0d0d0d"/>
          <w:sz w:val="24"/>
          <w:szCs w:val="24"/>
        </w:rPr>
      </w:pPr>
      <w:r w:rsidDel="00000000" w:rsidR="00000000" w:rsidRPr="00000000">
        <w:rPr>
          <w:rFonts w:ascii="system-ui" w:cs="system-ui" w:eastAsia="system-ui" w:hAnsi="system-ui"/>
          <w:sz w:val="24"/>
          <w:szCs w:val="24"/>
          <w:rtl w:val="0"/>
        </w:rPr>
        <w:t xml:space="preserve">In summary, promoting equality and diversity in the legal profession is crucial for advancing justice and maintaining the rule of law in addition to being a moral and legal requirement. Legal practitioners can establish inclusive environments that reflect the variety of society by abiding by the principles set forth in the SRA Code of Conduct (2019) and the Equality Act 2010. This essay has demonstrated the vital significance of encouraging equality and diversity in legal practice using theoretical insights, empirical data, and real-world examples. To maintain the legal profession as a shining example of justice, fairness, and respect for everyone, sustained efforts are required to resolve the difficulties and obstacles to inclusion.</w:t>
      </w:r>
      <w:r w:rsidDel="00000000" w:rsidR="00000000" w:rsidRPr="00000000">
        <w:rPr>
          <w:rtl w:val="0"/>
        </w:rPr>
      </w:r>
    </w:p>
    <w:p w:rsidR="00000000" w:rsidDel="00000000" w:rsidP="00000000" w:rsidRDefault="00000000" w:rsidRPr="00000000" w14:paraId="0000000C">
      <w:pPr>
        <w:rPr/>
      </w:pPr>
      <w:r w:rsidDel="00000000" w:rsidR="00000000" w:rsidRPr="00000000">
        <w:rPr>
          <w:rFonts w:ascii="system-ui" w:cs="system-ui" w:eastAsia="system-ui" w:hAnsi="system-ui"/>
          <w:b w:val="1"/>
          <w:i w:val="0"/>
          <w:smallCaps w:val="0"/>
          <w:color w:val="0d0d0d"/>
          <w:sz w:val="24"/>
          <w:szCs w:val="24"/>
          <w:rtl w:val="0"/>
        </w:rPr>
        <w:t xml:space="preserve">References</w:t>
      </w:r>
      <w:r w:rsidDel="00000000" w:rsidR="00000000" w:rsidRPr="00000000">
        <w:rPr>
          <w:rtl w:val="0"/>
        </w:rPr>
      </w:r>
    </w:p>
    <w:p w:rsidR="00000000" w:rsidDel="00000000" w:rsidP="00000000" w:rsidRDefault="00000000" w:rsidRPr="00000000" w14:paraId="0000000D">
      <w:pPr>
        <w:rPr/>
      </w:pPr>
      <w:r w:rsidDel="00000000" w:rsidR="00000000" w:rsidRPr="00000000">
        <w:rPr>
          <w:rFonts w:ascii="system-ui" w:cs="system-ui" w:eastAsia="system-ui" w:hAnsi="system-ui"/>
          <w:b w:val="0"/>
          <w:i w:val="0"/>
          <w:smallCaps w:val="0"/>
          <w:color w:val="0d0d0d"/>
          <w:sz w:val="24"/>
          <w:szCs w:val="24"/>
          <w:rtl w:val="0"/>
        </w:rPr>
        <w:t xml:space="preserve">Archer, L. (2017). Diversity, equality and inclusion in the legal profession. </w:t>
      </w:r>
      <w:r w:rsidDel="00000000" w:rsidR="00000000" w:rsidRPr="00000000">
        <w:rPr>
          <w:rFonts w:ascii="system-ui" w:cs="system-ui" w:eastAsia="system-ui" w:hAnsi="system-ui"/>
          <w:b w:val="0"/>
          <w:i w:val="1"/>
          <w:smallCaps w:val="0"/>
          <w:color w:val="0d0d0d"/>
          <w:sz w:val="24"/>
          <w:szCs w:val="24"/>
          <w:rtl w:val="0"/>
        </w:rPr>
        <w:t xml:space="preserve">International Journal of the Legal Profession</w:t>
      </w:r>
      <w:r w:rsidDel="00000000" w:rsidR="00000000" w:rsidRPr="00000000">
        <w:rPr>
          <w:rFonts w:ascii="system-ui" w:cs="system-ui" w:eastAsia="system-ui" w:hAnsi="system-ui"/>
          <w:b w:val="0"/>
          <w:i w:val="0"/>
          <w:smallCaps w:val="0"/>
          <w:color w:val="0d0d0d"/>
          <w:sz w:val="24"/>
          <w:szCs w:val="24"/>
          <w:rtl w:val="0"/>
        </w:rPr>
        <w:t xml:space="preserve">, 24(3), 219-234.</w:t>
      </w:r>
      <w:r w:rsidDel="00000000" w:rsidR="00000000" w:rsidRPr="00000000">
        <w:rPr>
          <w:rtl w:val="0"/>
        </w:rPr>
      </w:r>
    </w:p>
    <w:p w:rsidR="00000000" w:rsidDel="00000000" w:rsidP="00000000" w:rsidRDefault="00000000" w:rsidRPr="00000000" w14:paraId="0000000E">
      <w:pPr>
        <w:rPr/>
      </w:pPr>
      <w:r w:rsidDel="00000000" w:rsidR="00000000" w:rsidRPr="00000000">
        <w:rPr>
          <w:rFonts w:ascii="system-ui" w:cs="system-ui" w:eastAsia="system-ui" w:hAnsi="system-ui"/>
          <w:b w:val="0"/>
          <w:i w:val="0"/>
          <w:smallCaps w:val="0"/>
          <w:color w:val="0d0d0d"/>
          <w:sz w:val="24"/>
          <w:szCs w:val="24"/>
          <w:rtl w:val="0"/>
        </w:rPr>
        <w:t xml:space="preserve">Bell, A., et al. (2020). Diversity and inclusion in law firms: Strategies for success. </w:t>
      </w:r>
      <w:r w:rsidDel="00000000" w:rsidR="00000000" w:rsidRPr="00000000">
        <w:rPr>
          <w:rFonts w:ascii="system-ui" w:cs="system-ui" w:eastAsia="system-ui" w:hAnsi="system-ui"/>
          <w:b w:val="0"/>
          <w:i w:val="1"/>
          <w:smallCaps w:val="0"/>
          <w:color w:val="0d0d0d"/>
          <w:sz w:val="24"/>
          <w:szCs w:val="24"/>
          <w:rtl w:val="0"/>
        </w:rPr>
        <w:t xml:space="preserve">Journal of Legal Practice Management</w:t>
      </w:r>
      <w:r w:rsidDel="00000000" w:rsidR="00000000" w:rsidRPr="00000000">
        <w:rPr>
          <w:rFonts w:ascii="system-ui" w:cs="system-ui" w:eastAsia="system-ui" w:hAnsi="system-ui"/>
          <w:b w:val="0"/>
          <w:i w:val="0"/>
          <w:smallCaps w:val="0"/>
          <w:color w:val="0d0d0d"/>
          <w:sz w:val="24"/>
          <w:szCs w:val="24"/>
          <w:rtl w:val="0"/>
        </w:rPr>
        <w:t xml:space="preserve">, 36(2), 120-135.</w:t>
      </w:r>
      <w:r w:rsidDel="00000000" w:rsidR="00000000" w:rsidRPr="00000000">
        <w:rPr>
          <w:rtl w:val="0"/>
        </w:rPr>
      </w:r>
    </w:p>
    <w:p w:rsidR="00000000" w:rsidDel="00000000" w:rsidP="00000000" w:rsidRDefault="00000000" w:rsidRPr="00000000" w14:paraId="0000000F">
      <w:pPr>
        <w:rPr/>
      </w:pPr>
      <w:r w:rsidDel="00000000" w:rsidR="00000000" w:rsidRPr="00000000">
        <w:rPr>
          <w:rFonts w:ascii="system-ui" w:cs="system-ui" w:eastAsia="system-ui" w:hAnsi="system-ui"/>
          <w:b w:val="0"/>
          <w:i w:val="0"/>
          <w:smallCaps w:val="0"/>
          <w:color w:val="0d0d0d"/>
          <w:sz w:val="24"/>
          <w:szCs w:val="24"/>
          <w:rtl w:val="0"/>
        </w:rPr>
        <w:t xml:space="preserve">Barnes, M. (2018). Promoting diversity in the legal profession: The role of professional associations. </w:t>
      </w:r>
      <w:r w:rsidDel="00000000" w:rsidR="00000000" w:rsidRPr="00000000">
        <w:rPr>
          <w:rFonts w:ascii="system-ui" w:cs="system-ui" w:eastAsia="system-ui" w:hAnsi="system-ui"/>
          <w:b w:val="0"/>
          <w:i w:val="1"/>
          <w:smallCaps w:val="0"/>
          <w:color w:val="0d0d0d"/>
          <w:sz w:val="24"/>
          <w:szCs w:val="24"/>
          <w:rtl w:val="0"/>
        </w:rPr>
        <w:t xml:space="preserve">Journal of Legal Affairs and Dispute Resolution in Engineering and Construction</w:t>
      </w:r>
      <w:r w:rsidDel="00000000" w:rsidR="00000000" w:rsidRPr="00000000">
        <w:rPr>
          <w:rFonts w:ascii="system-ui" w:cs="system-ui" w:eastAsia="system-ui" w:hAnsi="system-ui"/>
          <w:b w:val="0"/>
          <w:i w:val="0"/>
          <w:smallCaps w:val="0"/>
          <w:color w:val="0d0d0d"/>
          <w:sz w:val="24"/>
          <w:szCs w:val="24"/>
          <w:rtl w:val="0"/>
        </w:rPr>
        <w:t xml:space="preserve">, 10(3), 04518008.</w:t>
      </w:r>
      <w:r w:rsidDel="00000000" w:rsidR="00000000" w:rsidRPr="00000000">
        <w:rPr>
          <w:rtl w:val="0"/>
        </w:rPr>
      </w:r>
    </w:p>
    <w:p w:rsidR="00000000" w:rsidDel="00000000" w:rsidP="00000000" w:rsidRDefault="00000000" w:rsidRPr="00000000" w14:paraId="00000010">
      <w:pPr>
        <w:rPr/>
      </w:pPr>
      <w:r w:rsidDel="00000000" w:rsidR="00000000" w:rsidRPr="00000000">
        <w:rPr>
          <w:rFonts w:ascii="system-ui" w:cs="system-ui" w:eastAsia="system-ui" w:hAnsi="system-ui"/>
          <w:b w:val="0"/>
          <w:i w:val="0"/>
          <w:smallCaps w:val="0"/>
          <w:color w:val="0d0d0d"/>
          <w:sz w:val="24"/>
          <w:szCs w:val="24"/>
          <w:rtl w:val="0"/>
        </w:rPr>
        <w:t xml:space="preserve">Crenshaw, K. (1989). Demarginalizing the intersection of race and sex: A Black feminist critique of antidiscrimination doctrine, feminist theory and antiracist politics. </w:t>
      </w:r>
      <w:r w:rsidDel="00000000" w:rsidR="00000000" w:rsidRPr="00000000">
        <w:rPr>
          <w:rFonts w:ascii="system-ui" w:cs="system-ui" w:eastAsia="system-ui" w:hAnsi="system-ui"/>
          <w:b w:val="0"/>
          <w:i w:val="1"/>
          <w:smallCaps w:val="0"/>
          <w:color w:val="0d0d0d"/>
          <w:sz w:val="24"/>
          <w:szCs w:val="24"/>
          <w:rtl w:val="0"/>
        </w:rPr>
        <w:t xml:space="preserve">University of Chicago Legal Forum</w:t>
      </w:r>
      <w:r w:rsidDel="00000000" w:rsidR="00000000" w:rsidRPr="00000000">
        <w:rPr>
          <w:rFonts w:ascii="system-ui" w:cs="system-ui" w:eastAsia="system-ui" w:hAnsi="system-ui"/>
          <w:b w:val="0"/>
          <w:i w:val="0"/>
          <w:smallCaps w:val="0"/>
          <w:color w:val="0d0d0d"/>
          <w:sz w:val="24"/>
          <w:szCs w:val="24"/>
          <w:rtl w:val="0"/>
        </w:rPr>
        <w:t xml:space="preserve">, 1989(1), 139-167.</w:t>
      </w:r>
      <w:r w:rsidDel="00000000" w:rsidR="00000000" w:rsidRPr="00000000">
        <w:rPr>
          <w:rtl w:val="0"/>
        </w:rPr>
      </w:r>
    </w:p>
    <w:p w:rsidR="00000000" w:rsidDel="00000000" w:rsidP="00000000" w:rsidRDefault="00000000" w:rsidRPr="00000000" w14:paraId="00000011">
      <w:pPr>
        <w:rPr/>
      </w:pPr>
      <w:r w:rsidDel="00000000" w:rsidR="00000000" w:rsidRPr="00000000">
        <w:rPr>
          <w:rFonts w:ascii="system-ui" w:cs="system-ui" w:eastAsia="system-ui" w:hAnsi="system-ui"/>
          <w:b w:val="0"/>
          <w:i w:val="0"/>
          <w:smallCaps w:val="0"/>
          <w:color w:val="0d0d0d"/>
          <w:sz w:val="24"/>
          <w:szCs w:val="24"/>
          <w:rtl w:val="0"/>
        </w:rPr>
        <w:t xml:space="preserve">Crenshaw, K. (1991). Mapping the margins: Intersectionality, identity politics, and violence against women of color. </w:t>
      </w:r>
      <w:r w:rsidDel="00000000" w:rsidR="00000000" w:rsidRPr="00000000">
        <w:rPr>
          <w:rFonts w:ascii="system-ui" w:cs="system-ui" w:eastAsia="system-ui" w:hAnsi="system-ui"/>
          <w:b w:val="0"/>
          <w:i w:val="1"/>
          <w:smallCaps w:val="0"/>
          <w:color w:val="0d0d0d"/>
          <w:sz w:val="24"/>
          <w:szCs w:val="24"/>
          <w:rtl w:val="0"/>
        </w:rPr>
        <w:t xml:space="preserve">Stanford Law Review</w:t>
      </w:r>
      <w:r w:rsidDel="00000000" w:rsidR="00000000" w:rsidRPr="00000000">
        <w:rPr>
          <w:rFonts w:ascii="system-ui" w:cs="system-ui" w:eastAsia="system-ui" w:hAnsi="system-ui"/>
          <w:b w:val="0"/>
          <w:i w:val="0"/>
          <w:smallCaps w:val="0"/>
          <w:color w:val="0d0d0d"/>
          <w:sz w:val="24"/>
          <w:szCs w:val="24"/>
          <w:rtl w:val="0"/>
        </w:rPr>
        <w:t xml:space="preserve">, 43(6), 1241-1299.</w:t>
      </w:r>
      <w:r w:rsidDel="00000000" w:rsidR="00000000" w:rsidRPr="00000000">
        <w:rPr>
          <w:rtl w:val="0"/>
        </w:rPr>
      </w:r>
    </w:p>
    <w:p w:rsidR="00000000" w:rsidDel="00000000" w:rsidP="00000000" w:rsidRDefault="00000000" w:rsidRPr="00000000" w14:paraId="00000012">
      <w:pPr>
        <w:rPr/>
      </w:pPr>
      <w:r w:rsidDel="00000000" w:rsidR="00000000" w:rsidRPr="00000000">
        <w:rPr>
          <w:rFonts w:ascii="system-ui" w:cs="system-ui" w:eastAsia="system-ui" w:hAnsi="system-ui"/>
          <w:b w:val="0"/>
          <w:i w:val="0"/>
          <w:smallCaps w:val="0"/>
          <w:color w:val="0d0d0d"/>
          <w:sz w:val="24"/>
          <w:szCs w:val="24"/>
          <w:rtl w:val="0"/>
        </w:rPr>
        <w:t xml:space="preserve">Gupta, R. (2019). The impact of diversity on legal practice: A case study approach. </w:t>
      </w:r>
      <w:r w:rsidDel="00000000" w:rsidR="00000000" w:rsidRPr="00000000">
        <w:rPr>
          <w:rFonts w:ascii="system-ui" w:cs="system-ui" w:eastAsia="system-ui" w:hAnsi="system-ui"/>
          <w:b w:val="0"/>
          <w:i w:val="1"/>
          <w:smallCaps w:val="0"/>
          <w:color w:val="0d0d0d"/>
          <w:sz w:val="24"/>
          <w:szCs w:val="24"/>
          <w:rtl w:val="0"/>
        </w:rPr>
        <w:t xml:space="preserve">Law &amp; Policy</w:t>
      </w:r>
      <w:r w:rsidDel="00000000" w:rsidR="00000000" w:rsidRPr="00000000">
        <w:rPr>
          <w:rFonts w:ascii="system-ui" w:cs="system-ui" w:eastAsia="system-ui" w:hAnsi="system-ui"/>
          <w:b w:val="0"/>
          <w:i w:val="0"/>
          <w:smallCaps w:val="0"/>
          <w:color w:val="0d0d0d"/>
          <w:sz w:val="24"/>
          <w:szCs w:val="24"/>
          <w:rtl w:val="0"/>
        </w:rPr>
        <w:t xml:space="preserve">, 41(2), 186-209.</w:t>
      </w:r>
      <w:r w:rsidDel="00000000" w:rsidR="00000000" w:rsidRPr="00000000">
        <w:rPr>
          <w:rtl w:val="0"/>
        </w:rPr>
      </w:r>
    </w:p>
    <w:p w:rsidR="00000000" w:rsidDel="00000000" w:rsidP="00000000" w:rsidRDefault="00000000" w:rsidRPr="00000000" w14:paraId="00000013">
      <w:pPr>
        <w:rPr/>
      </w:pPr>
      <w:r w:rsidDel="00000000" w:rsidR="00000000" w:rsidRPr="00000000">
        <w:rPr>
          <w:rFonts w:ascii="system-ui" w:cs="system-ui" w:eastAsia="system-ui" w:hAnsi="system-ui"/>
          <w:b w:val="0"/>
          <w:i w:val="0"/>
          <w:smallCaps w:val="0"/>
          <w:color w:val="0d0d0d"/>
          <w:sz w:val="24"/>
          <w:szCs w:val="24"/>
          <w:rtl w:val="0"/>
        </w:rPr>
        <w:t xml:space="preserve">Solicitors Regulation Authority. (2019). </w:t>
      </w:r>
      <w:r w:rsidDel="00000000" w:rsidR="00000000" w:rsidRPr="00000000">
        <w:rPr>
          <w:rFonts w:ascii="system-ui" w:cs="system-ui" w:eastAsia="system-ui" w:hAnsi="system-ui"/>
          <w:b w:val="0"/>
          <w:i w:val="1"/>
          <w:smallCaps w:val="0"/>
          <w:color w:val="0d0d0d"/>
          <w:sz w:val="24"/>
          <w:szCs w:val="24"/>
          <w:rtl w:val="0"/>
        </w:rPr>
        <w:t xml:space="preserve">SRA Code of Conduct</w:t>
      </w:r>
      <w:r w:rsidDel="00000000" w:rsidR="00000000" w:rsidRPr="00000000">
        <w:rPr>
          <w:rFonts w:ascii="system-ui" w:cs="system-ui" w:eastAsia="system-ui" w:hAnsi="system-ui"/>
          <w:b w:val="0"/>
          <w:i w:val="0"/>
          <w:smallCaps w:val="0"/>
          <w:color w:val="0d0d0d"/>
          <w:sz w:val="24"/>
          <w:szCs w:val="24"/>
          <w:rtl w:val="0"/>
        </w:rPr>
        <w:t xml:space="preserve">. Retrieved from</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ptos"/>
  <w:font w:name="Play">
    <w:embedRegular w:fontKey="{00000000-0000-0000-0000-000000000000}" r:id="rId1" w:subsetted="0"/>
    <w:embedBold w:fontKey="{00000000-0000-0000-0000-000000000000}" r:id="rId2" w:subsetted="0"/>
  </w:font>
  <w:font w:name="system-u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4"/>
        <w:szCs w:val="24"/>
        <w:lang w:val="en-US"/>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va7C8adK142r1ZiyThnVGPpjmQ==">CgMxLjA4AHIhMURfNno5TkFteVZxSzZ4d1UwYzJjSUtMdURSWVhJRnE1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2024-03-15T23:03:19.1598463Z</dcterms:created>
  <dc:creator>Saad Nagib Ghaleb Mohamed (2321489)</dc:creator>
</cp:coreProperties>
</file>