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01487532"/>
        <w:docPartObj>
          <w:docPartGallery w:val="Cover Pages"/>
          <w:docPartUnique/>
        </w:docPartObj>
      </w:sdtPr>
      <w:sdtContent>
        <w:p w14:paraId="28B3A8D8" w14:textId="77777777" w:rsidR="00E56BF9" w:rsidRDefault="00E56BF9">
          <w:r>
            <w:rPr>
              <w:noProof/>
            </w:rPr>
            <mc:AlternateContent>
              <mc:Choice Requires="wpg">
                <w:drawing>
                  <wp:anchor distT="0" distB="0" distL="114300" distR="114300" simplePos="0" relativeHeight="251662336" behindDoc="0" locked="0" layoutInCell="1" allowOverlap="1" wp14:anchorId="671CEA26" wp14:editId="5B4FB38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2AB891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BA8432D" wp14:editId="2125E11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F599ECC" w14:textId="77777777" w:rsidR="00815F9D" w:rsidRDefault="00815F9D">
                                    <w:pPr>
                                      <w:pStyle w:val="NoSpacing"/>
                                      <w:jc w:val="right"/>
                                      <w:rPr>
                                        <w:color w:val="595959" w:themeColor="text1" w:themeTint="A6"/>
                                        <w:sz w:val="28"/>
                                        <w:szCs w:val="28"/>
                                      </w:rPr>
                                    </w:pPr>
                                    <w:r>
                                      <w:rPr>
                                        <w:color w:val="595959" w:themeColor="text1" w:themeTint="A6"/>
                                        <w:sz w:val="28"/>
                                        <w:szCs w:val="28"/>
                                      </w:rPr>
                                      <w:t>Joe Scott</w:t>
                                    </w:r>
                                  </w:p>
                                </w:sdtContent>
                              </w:sdt>
                              <w:p w14:paraId="5C2DFB15" w14:textId="77777777" w:rsidR="00815F9D" w:rsidRDefault="00815F9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P137237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BA8432D"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F599ECC" w14:textId="77777777" w:rsidR="00815F9D" w:rsidRDefault="00815F9D">
                              <w:pPr>
                                <w:pStyle w:val="NoSpacing"/>
                                <w:jc w:val="right"/>
                                <w:rPr>
                                  <w:color w:val="595959" w:themeColor="text1" w:themeTint="A6"/>
                                  <w:sz w:val="28"/>
                                  <w:szCs w:val="28"/>
                                </w:rPr>
                              </w:pPr>
                              <w:r>
                                <w:rPr>
                                  <w:color w:val="595959" w:themeColor="text1" w:themeTint="A6"/>
                                  <w:sz w:val="28"/>
                                  <w:szCs w:val="28"/>
                                </w:rPr>
                                <w:t>Joe Scott</w:t>
                              </w:r>
                            </w:p>
                          </w:sdtContent>
                        </w:sdt>
                        <w:p w14:paraId="5C2DFB15" w14:textId="77777777" w:rsidR="00815F9D" w:rsidRDefault="00815F9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P137237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5396E6C" wp14:editId="474E061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1CE1A3" w14:textId="77777777" w:rsidR="00815F9D" w:rsidRDefault="00815F9D">
                                <w:pPr>
                                  <w:pStyle w:val="NoSpacing"/>
                                  <w:jc w:val="right"/>
                                  <w:rPr>
                                    <w:color w:val="4472C4" w:themeColor="accent1"/>
                                    <w:sz w:val="28"/>
                                    <w:szCs w:val="28"/>
                                  </w:rPr>
                                </w:pPr>
                                <w:r w:rsidRPr="00E56BF9">
                                  <w:rPr>
                                    <w:b/>
                                    <w:color w:val="4472C4" w:themeColor="accent1"/>
                                    <w:sz w:val="28"/>
                                    <w:szCs w:val="28"/>
                                    <w:lang w:val="en-GB"/>
                                  </w:rPr>
                                  <w:t>M7X00727</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1092CD0" w14:textId="77777777" w:rsidR="00815F9D" w:rsidRDefault="00815F9D">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5396E6C" id="Text Box 153"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A1CE1A3" w14:textId="77777777" w:rsidR="00815F9D" w:rsidRDefault="00815F9D">
                          <w:pPr>
                            <w:pStyle w:val="NoSpacing"/>
                            <w:jc w:val="right"/>
                            <w:rPr>
                              <w:color w:val="4472C4" w:themeColor="accent1"/>
                              <w:sz w:val="28"/>
                              <w:szCs w:val="28"/>
                            </w:rPr>
                          </w:pPr>
                          <w:r w:rsidRPr="00E56BF9">
                            <w:rPr>
                              <w:b/>
                              <w:color w:val="4472C4" w:themeColor="accent1"/>
                              <w:sz w:val="28"/>
                              <w:szCs w:val="28"/>
                              <w:lang w:val="en-GB"/>
                            </w:rPr>
                            <w:t>M7X00727</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1092CD0" w14:textId="77777777" w:rsidR="00815F9D" w:rsidRDefault="00815F9D">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74D816C" wp14:editId="136ABB8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FA1689" w14:textId="77777777" w:rsidR="00815F9D" w:rsidRDefault="00815F9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E56BF9">
                                      <w:rPr>
                                        <w:caps/>
                                        <w:color w:val="4472C4" w:themeColor="accent1"/>
                                        <w:sz w:val="64"/>
                                        <w:szCs w:val="64"/>
                                      </w:rPr>
                                      <w:t>Probability of Detection and Probability of Sizing Analysis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83F6DEC" w14:textId="77777777" w:rsidR="00815F9D" w:rsidRDefault="00815F9D">
                                    <w:pPr>
                                      <w:jc w:val="right"/>
                                      <w:rPr>
                                        <w:smallCaps/>
                                        <w:color w:val="404040" w:themeColor="text1" w:themeTint="BF"/>
                                        <w:sz w:val="36"/>
                                        <w:szCs w:val="36"/>
                                      </w:rPr>
                                    </w:pPr>
                                    <w:r w:rsidRPr="00E56BF9">
                                      <w:rPr>
                                        <w:color w:val="404040" w:themeColor="text1" w:themeTint="BF"/>
                                        <w:sz w:val="36"/>
                                        <w:szCs w:val="36"/>
                                      </w:rPr>
                                      <w:t>NDT Principles, Standards and Applications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74D816C" id="Text Box 154"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FFA1689" w14:textId="77777777" w:rsidR="00815F9D" w:rsidRDefault="00815F9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E56BF9">
                                <w:rPr>
                                  <w:caps/>
                                  <w:color w:val="4472C4" w:themeColor="accent1"/>
                                  <w:sz w:val="64"/>
                                  <w:szCs w:val="64"/>
                                </w:rPr>
                                <w:t>Probability of Detection and Probability of Sizing Analysis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83F6DEC" w14:textId="77777777" w:rsidR="00815F9D" w:rsidRDefault="00815F9D">
                              <w:pPr>
                                <w:jc w:val="right"/>
                                <w:rPr>
                                  <w:smallCaps/>
                                  <w:color w:val="404040" w:themeColor="text1" w:themeTint="BF"/>
                                  <w:sz w:val="36"/>
                                  <w:szCs w:val="36"/>
                                </w:rPr>
                              </w:pPr>
                              <w:r w:rsidRPr="00E56BF9">
                                <w:rPr>
                                  <w:color w:val="404040" w:themeColor="text1" w:themeTint="BF"/>
                                  <w:sz w:val="36"/>
                                  <w:szCs w:val="36"/>
                                </w:rPr>
                                <w:t>NDT Principles, Standards and Applications</w:t>
                              </w:r>
                            </w:p>
                          </w:sdtContent>
                        </w:sdt>
                      </w:txbxContent>
                    </v:textbox>
                    <w10:wrap type="square" anchorx="page" anchory="page"/>
                  </v:shape>
                </w:pict>
              </mc:Fallback>
            </mc:AlternateContent>
          </w:r>
        </w:p>
        <w:p w14:paraId="529BF8F5" w14:textId="77777777" w:rsidR="004C6D85" w:rsidRDefault="00E56BF9">
          <w:r>
            <w:br w:type="page"/>
          </w:r>
        </w:p>
        <w:p w14:paraId="65F62BC8" w14:textId="5CBD1816" w:rsidR="004C6D85" w:rsidRDefault="004C6D85" w:rsidP="004C6D85">
          <w:pPr>
            <w:jc w:val="center"/>
            <w:rPr>
              <w:b/>
              <w:u w:val="single"/>
            </w:rPr>
          </w:pPr>
          <w:r>
            <w:rPr>
              <w:b/>
              <w:u w:val="single"/>
            </w:rPr>
            <w:lastRenderedPageBreak/>
            <w:t>Abstract</w:t>
          </w:r>
        </w:p>
        <w:p w14:paraId="5D51DFDA" w14:textId="39E9D0E8" w:rsidR="004C6D85" w:rsidRPr="004C6D85" w:rsidRDefault="00815F9D" w:rsidP="00815F9D">
          <w:pPr>
            <w:spacing w:line="480" w:lineRule="auto"/>
          </w:pPr>
          <w:r>
            <w:t xml:space="preserve">POD and POS are powerful tools for analysing the accuracy and reliability of a range of different NDT techniques and scanning equipment. They help determine what NDT procedures are best for detecting certain sized defects under different conditions. Where an eddy current probe may highly useful for detecting surface defects, it would be useless at finding defects deep in ferrous materials. POD curves would show this. POD and POS curves are also good at adjusting or calibrating equipment to the right frequencies to find different size defects. In short, POD and POS are vital tools within the NDT industry and are still being developed to this day. </w:t>
          </w:r>
        </w:p>
        <w:p w14:paraId="36B2BD5E" w14:textId="77777777" w:rsidR="004C6D85" w:rsidRDefault="004C6D85"/>
        <w:p w14:paraId="5F2C89E2" w14:textId="77777777" w:rsidR="004C6D85" w:rsidRDefault="004C6D85"/>
        <w:p w14:paraId="3C0B76C1" w14:textId="77777777" w:rsidR="004C6D85" w:rsidRDefault="004C6D85"/>
        <w:p w14:paraId="4EEAF9A5" w14:textId="77777777" w:rsidR="004C6D85" w:rsidRDefault="004C6D85"/>
        <w:p w14:paraId="420FBCAD" w14:textId="77777777" w:rsidR="004C6D85" w:rsidRDefault="004C6D85"/>
        <w:p w14:paraId="77609748" w14:textId="77777777" w:rsidR="004C6D85" w:rsidRDefault="004C6D85"/>
        <w:p w14:paraId="2DEA0DB9" w14:textId="77777777" w:rsidR="004C6D85" w:rsidRDefault="004C6D85"/>
        <w:p w14:paraId="06DEFDDC" w14:textId="77777777" w:rsidR="004C6D85" w:rsidRDefault="004C6D85"/>
        <w:p w14:paraId="097A4FAC" w14:textId="77777777" w:rsidR="004C6D85" w:rsidRDefault="004C6D85"/>
        <w:p w14:paraId="5CD5C707" w14:textId="77777777" w:rsidR="004C6D85" w:rsidRDefault="004C6D85"/>
        <w:p w14:paraId="33D902B1" w14:textId="77777777" w:rsidR="004C6D85" w:rsidRDefault="004C6D85"/>
        <w:p w14:paraId="394356D9" w14:textId="77777777" w:rsidR="004C6D85" w:rsidRDefault="004C6D85"/>
        <w:p w14:paraId="0B34B835" w14:textId="77777777" w:rsidR="004C6D85" w:rsidRDefault="004C6D85"/>
        <w:p w14:paraId="00291B89" w14:textId="77777777" w:rsidR="004C6D85" w:rsidRDefault="004C6D85"/>
        <w:p w14:paraId="0253D93F" w14:textId="77777777" w:rsidR="004C6D85" w:rsidRDefault="004C6D85"/>
        <w:p w14:paraId="5A801960" w14:textId="77777777" w:rsidR="004C6D85" w:rsidRDefault="004C6D85"/>
        <w:p w14:paraId="4A64A3F7" w14:textId="77777777" w:rsidR="004C6D85" w:rsidRDefault="004C6D85"/>
        <w:p w14:paraId="37F2997C" w14:textId="77777777" w:rsidR="004C6D85" w:rsidRDefault="004C6D85"/>
        <w:p w14:paraId="02D1CA6A" w14:textId="443684CA" w:rsidR="004C6D85" w:rsidRDefault="004C6D85"/>
        <w:p w14:paraId="0F611E5E" w14:textId="43B145DB" w:rsidR="00E56BF9" w:rsidRDefault="00815F9D"/>
      </w:sdtContent>
    </w:sdt>
    <w:p w14:paraId="0C33EB9C" w14:textId="10A18000" w:rsidR="00815F9D" w:rsidRDefault="00815F9D">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"Figure" </w:instrText>
      </w:r>
      <w:r>
        <w:fldChar w:fldCharType="separate"/>
      </w:r>
      <w:hyperlink w:anchor="_Toc500857846" w:history="1">
        <w:r w:rsidRPr="007C08E4">
          <w:rPr>
            <w:rStyle w:val="Hyperlink"/>
            <w:noProof/>
          </w:rPr>
          <w:t>Figure 1 – Typical example of a PoD curve (Georgiou, 2006)</w:t>
        </w:r>
        <w:r>
          <w:rPr>
            <w:noProof/>
            <w:webHidden/>
          </w:rPr>
          <w:tab/>
        </w:r>
        <w:r>
          <w:rPr>
            <w:noProof/>
            <w:webHidden/>
          </w:rPr>
          <w:fldChar w:fldCharType="begin"/>
        </w:r>
        <w:r>
          <w:rPr>
            <w:noProof/>
            <w:webHidden/>
          </w:rPr>
          <w:instrText xml:space="preserve"> PAGEREF _Toc500857846 \h </w:instrText>
        </w:r>
        <w:r>
          <w:rPr>
            <w:noProof/>
            <w:webHidden/>
          </w:rPr>
        </w:r>
        <w:r>
          <w:rPr>
            <w:noProof/>
            <w:webHidden/>
          </w:rPr>
          <w:fldChar w:fldCharType="separate"/>
        </w:r>
        <w:r>
          <w:rPr>
            <w:noProof/>
            <w:webHidden/>
          </w:rPr>
          <w:t>9</w:t>
        </w:r>
        <w:r>
          <w:rPr>
            <w:noProof/>
            <w:webHidden/>
          </w:rPr>
          <w:fldChar w:fldCharType="end"/>
        </w:r>
      </w:hyperlink>
    </w:p>
    <w:p w14:paraId="3EE27912" w14:textId="51C2BBEA" w:rsidR="00815F9D" w:rsidRDefault="00815F9D">
      <w:pPr>
        <w:pStyle w:val="TableofFigures"/>
        <w:tabs>
          <w:tab w:val="right" w:leader="dot" w:pos="9016"/>
        </w:tabs>
        <w:rPr>
          <w:rFonts w:asciiTheme="minorHAnsi" w:eastAsiaTheme="minorEastAsia" w:hAnsiTheme="minorHAnsi"/>
          <w:noProof/>
          <w:sz w:val="22"/>
          <w:lang w:eastAsia="en-GB"/>
        </w:rPr>
      </w:pPr>
      <w:hyperlink w:anchor="_Toc500857847" w:history="1">
        <w:r w:rsidRPr="007C08E4">
          <w:rPr>
            <w:rStyle w:val="Hyperlink"/>
            <w:noProof/>
          </w:rPr>
          <w:t>Figure 2 – Example of a highly desirable POD curve (NDT Resource Center)</w:t>
        </w:r>
        <w:r>
          <w:rPr>
            <w:noProof/>
            <w:webHidden/>
          </w:rPr>
          <w:tab/>
        </w:r>
        <w:r>
          <w:rPr>
            <w:noProof/>
            <w:webHidden/>
          </w:rPr>
          <w:fldChar w:fldCharType="begin"/>
        </w:r>
        <w:r>
          <w:rPr>
            <w:noProof/>
            <w:webHidden/>
          </w:rPr>
          <w:instrText xml:space="preserve"> PAGEREF _Toc500857847 \h </w:instrText>
        </w:r>
        <w:r>
          <w:rPr>
            <w:noProof/>
            <w:webHidden/>
          </w:rPr>
        </w:r>
        <w:r>
          <w:rPr>
            <w:noProof/>
            <w:webHidden/>
          </w:rPr>
          <w:fldChar w:fldCharType="separate"/>
        </w:r>
        <w:r>
          <w:rPr>
            <w:noProof/>
            <w:webHidden/>
          </w:rPr>
          <w:t>10</w:t>
        </w:r>
        <w:r>
          <w:rPr>
            <w:noProof/>
            <w:webHidden/>
          </w:rPr>
          <w:fldChar w:fldCharType="end"/>
        </w:r>
      </w:hyperlink>
    </w:p>
    <w:p w14:paraId="114B6BC4" w14:textId="07EF6295" w:rsidR="00815F9D" w:rsidRDefault="00815F9D">
      <w:pPr>
        <w:pStyle w:val="TableofFigures"/>
        <w:tabs>
          <w:tab w:val="right" w:leader="dot" w:pos="9016"/>
        </w:tabs>
        <w:rPr>
          <w:rFonts w:asciiTheme="minorHAnsi" w:eastAsiaTheme="minorEastAsia" w:hAnsiTheme="minorHAnsi"/>
          <w:noProof/>
          <w:sz w:val="22"/>
          <w:lang w:eastAsia="en-GB"/>
        </w:rPr>
      </w:pPr>
      <w:hyperlink w:anchor="_Toc500857848" w:history="1">
        <w:r w:rsidRPr="007C08E4">
          <w:rPr>
            <w:rStyle w:val="Hyperlink"/>
            <w:noProof/>
          </w:rPr>
          <w:t>Figure 3 – Example of a less desirable POD curve</w:t>
        </w:r>
        <w:r>
          <w:rPr>
            <w:noProof/>
            <w:webHidden/>
          </w:rPr>
          <w:tab/>
        </w:r>
        <w:r>
          <w:rPr>
            <w:noProof/>
            <w:webHidden/>
          </w:rPr>
          <w:fldChar w:fldCharType="begin"/>
        </w:r>
        <w:r>
          <w:rPr>
            <w:noProof/>
            <w:webHidden/>
          </w:rPr>
          <w:instrText xml:space="preserve"> PAGEREF _Toc500857848 \h </w:instrText>
        </w:r>
        <w:r>
          <w:rPr>
            <w:noProof/>
            <w:webHidden/>
          </w:rPr>
        </w:r>
        <w:r>
          <w:rPr>
            <w:noProof/>
            <w:webHidden/>
          </w:rPr>
          <w:fldChar w:fldCharType="separate"/>
        </w:r>
        <w:r>
          <w:rPr>
            <w:noProof/>
            <w:webHidden/>
          </w:rPr>
          <w:t>11</w:t>
        </w:r>
        <w:r>
          <w:rPr>
            <w:noProof/>
            <w:webHidden/>
          </w:rPr>
          <w:fldChar w:fldCharType="end"/>
        </w:r>
      </w:hyperlink>
    </w:p>
    <w:p w14:paraId="1571ED43" w14:textId="7165D4D0" w:rsidR="00815F9D" w:rsidRDefault="00815F9D">
      <w:pPr>
        <w:pStyle w:val="TableofFigures"/>
        <w:tabs>
          <w:tab w:val="right" w:leader="dot" w:pos="9016"/>
        </w:tabs>
        <w:rPr>
          <w:rFonts w:asciiTheme="minorHAnsi" w:eastAsiaTheme="minorEastAsia" w:hAnsiTheme="minorHAnsi"/>
          <w:noProof/>
          <w:sz w:val="22"/>
          <w:lang w:eastAsia="en-GB"/>
        </w:rPr>
      </w:pPr>
      <w:hyperlink w:anchor="_Toc500857849" w:history="1">
        <w:r w:rsidRPr="007C08E4">
          <w:rPr>
            <w:rStyle w:val="Hyperlink"/>
            <w:noProof/>
          </w:rPr>
          <w:t>Figure 4 – Example graph showing varying POD curves (Prathamesh Bilgunde, 2017)</w:t>
        </w:r>
        <w:r>
          <w:rPr>
            <w:noProof/>
            <w:webHidden/>
          </w:rPr>
          <w:tab/>
        </w:r>
        <w:r>
          <w:rPr>
            <w:noProof/>
            <w:webHidden/>
          </w:rPr>
          <w:fldChar w:fldCharType="begin"/>
        </w:r>
        <w:r>
          <w:rPr>
            <w:noProof/>
            <w:webHidden/>
          </w:rPr>
          <w:instrText xml:space="preserve"> PAGEREF _Toc500857849 \h </w:instrText>
        </w:r>
        <w:r>
          <w:rPr>
            <w:noProof/>
            <w:webHidden/>
          </w:rPr>
        </w:r>
        <w:r>
          <w:rPr>
            <w:noProof/>
            <w:webHidden/>
          </w:rPr>
          <w:fldChar w:fldCharType="separate"/>
        </w:r>
        <w:r>
          <w:rPr>
            <w:noProof/>
            <w:webHidden/>
          </w:rPr>
          <w:t>11</w:t>
        </w:r>
        <w:r>
          <w:rPr>
            <w:noProof/>
            <w:webHidden/>
          </w:rPr>
          <w:fldChar w:fldCharType="end"/>
        </w:r>
      </w:hyperlink>
    </w:p>
    <w:p w14:paraId="4EA7D983" w14:textId="77685CC2" w:rsidR="00815F9D" w:rsidRDefault="00815F9D">
      <w:pPr>
        <w:pStyle w:val="TableofFigures"/>
        <w:tabs>
          <w:tab w:val="right" w:leader="dot" w:pos="9016"/>
        </w:tabs>
        <w:rPr>
          <w:rFonts w:asciiTheme="minorHAnsi" w:eastAsiaTheme="minorEastAsia" w:hAnsiTheme="minorHAnsi"/>
          <w:noProof/>
          <w:sz w:val="22"/>
          <w:lang w:eastAsia="en-GB"/>
        </w:rPr>
      </w:pPr>
      <w:hyperlink w:anchor="_Toc500857850" w:history="1">
        <w:r w:rsidRPr="007C08E4">
          <w:rPr>
            <w:rStyle w:val="Hyperlink"/>
            <w:noProof/>
          </w:rPr>
          <w:t>Figure 5 – Typical PoS plot (Visser, 2002)</w:t>
        </w:r>
        <w:r>
          <w:rPr>
            <w:noProof/>
            <w:webHidden/>
          </w:rPr>
          <w:tab/>
        </w:r>
        <w:r>
          <w:rPr>
            <w:noProof/>
            <w:webHidden/>
          </w:rPr>
          <w:fldChar w:fldCharType="begin"/>
        </w:r>
        <w:r>
          <w:rPr>
            <w:noProof/>
            <w:webHidden/>
          </w:rPr>
          <w:instrText xml:space="preserve"> PAGEREF _Toc500857850 \h </w:instrText>
        </w:r>
        <w:r>
          <w:rPr>
            <w:noProof/>
            <w:webHidden/>
          </w:rPr>
        </w:r>
        <w:r>
          <w:rPr>
            <w:noProof/>
            <w:webHidden/>
          </w:rPr>
          <w:fldChar w:fldCharType="separate"/>
        </w:r>
        <w:r>
          <w:rPr>
            <w:noProof/>
            <w:webHidden/>
          </w:rPr>
          <w:t>12</w:t>
        </w:r>
        <w:r>
          <w:rPr>
            <w:noProof/>
            <w:webHidden/>
          </w:rPr>
          <w:fldChar w:fldCharType="end"/>
        </w:r>
      </w:hyperlink>
    </w:p>
    <w:p w14:paraId="18505CF2" w14:textId="1BC448BF" w:rsidR="00815F9D" w:rsidRDefault="00815F9D">
      <w:pPr>
        <w:pStyle w:val="TableofFigures"/>
        <w:tabs>
          <w:tab w:val="right" w:leader="dot" w:pos="9016"/>
        </w:tabs>
        <w:rPr>
          <w:rFonts w:asciiTheme="minorHAnsi" w:eastAsiaTheme="minorEastAsia" w:hAnsiTheme="minorHAnsi"/>
          <w:noProof/>
          <w:sz w:val="22"/>
          <w:lang w:eastAsia="en-GB"/>
        </w:rPr>
      </w:pPr>
      <w:hyperlink w:anchor="_Toc500857851" w:history="1">
        <w:r w:rsidRPr="007C08E4">
          <w:rPr>
            <w:rStyle w:val="Hyperlink"/>
            <w:noProof/>
          </w:rPr>
          <w:t>Figure 6 – Graph showing number of hits for each operator</w:t>
        </w:r>
        <w:r>
          <w:rPr>
            <w:noProof/>
            <w:webHidden/>
          </w:rPr>
          <w:tab/>
        </w:r>
        <w:r>
          <w:rPr>
            <w:noProof/>
            <w:webHidden/>
          </w:rPr>
          <w:fldChar w:fldCharType="begin"/>
        </w:r>
        <w:r>
          <w:rPr>
            <w:noProof/>
            <w:webHidden/>
          </w:rPr>
          <w:instrText xml:space="preserve"> PAGEREF _Toc500857851 \h </w:instrText>
        </w:r>
        <w:r>
          <w:rPr>
            <w:noProof/>
            <w:webHidden/>
          </w:rPr>
        </w:r>
        <w:r>
          <w:rPr>
            <w:noProof/>
            <w:webHidden/>
          </w:rPr>
          <w:fldChar w:fldCharType="separate"/>
        </w:r>
        <w:r>
          <w:rPr>
            <w:noProof/>
            <w:webHidden/>
          </w:rPr>
          <w:t>15</w:t>
        </w:r>
        <w:r>
          <w:rPr>
            <w:noProof/>
            <w:webHidden/>
          </w:rPr>
          <w:fldChar w:fldCharType="end"/>
        </w:r>
      </w:hyperlink>
    </w:p>
    <w:p w14:paraId="5E0A6809" w14:textId="61E92029" w:rsidR="00815F9D" w:rsidRDefault="00815F9D">
      <w:pPr>
        <w:pStyle w:val="TableofFigures"/>
        <w:tabs>
          <w:tab w:val="right" w:leader="dot" w:pos="9016"/>
        </w:tabs>
        <w:rPr>
          <w:rFonts w:asciiTheme="minorHAnsi" w:eastAsiaTheme="minorEastAsia" w:hAnsiTheme="minorHAnsi"/>
          <w:noProof/>
          <w:sz w:val="22"/>
          <w:lang w:eastAsia="en-GB"/>
        </w:rPr>
      </w:pPr>
      <w:hyperlink w:anchor="_Toc500857852" w:history="1">
        <w:r w:rsidRPr="007C08E4">
          <w:rPr>
            <w:rStyle w:val="Hyperlink"/>
            <w:noProof/>
          </w:rPr>
          <w:t>Figure 7 – Graph showing mean hits for each operator</w:t>
        </w:r>
        <w:r>
          <w:rPr>
            <w:noProof/>
            <w:webHidden/>
          </w:rPr>
          <w:tab/>
        </w:r>
        <w:r>
          <w:rPr>
            <w:noProof/>
            <w:webHidden/>
          </w:rPr>
          <w:fldChar w:fldCharType="begin"/>
        </w:r>
        <w:r>
          <w:rPr>
            <w:noProof/>
            <w:webHidden/>
          </w:rPr>
          <w:instrText xml:space="preserve"> PAGEREF _Toc500857852 \h </w:instrText>
        </w:r>
        <w:r>
          <w:rPr>
            <w:noProof/>
            <w:webHidden/>
          </w:rPr>
        </w:r>
        <w:r>
          <w:rPr>
            <w:noProof/>
            <w:webHidden/>
          </w:rPr>
          <w:fldChar w:fldCharType="separate"/>
        </w:r>
        <w:r>
          <w:rPr>
            <w:noProof/>
            <w:webHidden/>
          </w:rPr>
          <w:t>16</w:t>
        </w:r>
        <w:r>
          <w:rPr>
            <w:noProof/>
            <w:webHidden/>
          </w:rPr>
          <w:fldChar w:fldCharType="end"/>
        </w:r>
      </w:hyperlink>
    </w:p>
    <w:p w14:paraId="5045FCFB" w14:textId="3040BA83" w:rsidR="00815F9D" w:rsidRDefault="00815F9D">
      <w:pPr>
        <w:pStyle w:val="TableofFigures"/>
        <w:tabs>
          <w:tab w:val="right" w:leader="dot" w:pos="9016"/>
        </w:tabs>
        <w:rPr>
          <w:rFonts w:asciiTheme="minorHAnsi" w:eastAsiaTheme="minorEastAsia" w:hAnsiTheme="minorHAnsi"/>
          <w:noProof/>
          <w:sz w:val="22"/>
          <w:lang w:eastAsia="en-GB"/>
        </w:rPr>
      </w:pPr>
      <w:hyperlink w:anchor="_Toc500857853" w:history="1">
        <w:r w:rsidRPr="007C08E4">
          <w:rPr>
            <w:rStyle w:val="Hyperlink"/>
            <w:noProof/>
          </w:rPr>
          <w:t>Figure 8 – Graph comparing the POD curves of the worst and best operator</w:t>
        </w:r>
        <w:r>
          <w:rPr>
            <w:noProof/>
            <w:webHidden/>
          </w:rPr>
          <w:tab/>
        </w:r>
        <w:r>
          <w:rPr>
            <w:noProof/>
            <w:webHidden/>
          </w:rPr>
          <w:fldChar w:fldCharType="begin"/>
        </w:r>
        <w:r>
          <w:rPr>
            <w:noProof/>
            <w:webHidden/>
          </w:rPr>
          <w:instrText xml:space="preserve"> PAGEREF _Toc500857853 \h </w:instrText>
        </w:r>
        <w:r>
          <w:rPr>
            <w:noProof/>
            <w:webHidden/>
          </w:rPr>
        </w:r>
        <w:r>
          <w:rPr>
            <w:noProof/>
            <w:webHidden/>
          </w:rPr>
          <w:fldChar w:fldCharType="separate"/>
        </w:r>
        <w:r>
          <w:rPr>
            <w:noProof/>
            <w:webHidden/>
          </w:rPr>
          <w:t>17</w:t>
        </w:r>
        <w:r>
          <w:rPr>
            <w:noProof/>
            <w:webHidden/>
          </w:rPr>
          <w:fldChar w:fldCharType="end"/>
        </w:r>
      </w:hyperlink>
    </w:p>
    <w:p w14:paraId="28070F9D" w14:textId="67C4E8B8" w:rsidR="00815F9D" w:rsidRDefault="00815F9D">
      <w:pPr>
        <w:pStyle w:val="TableofFigures"/>
        <w:tabs>
          <w:tab w:val="right" w:leader="dot" w:pos="9016"/>
        </w:tabs>
        <w:rPr>
          <w:rFonts w:asciiTheme="minorHAnsi" w:eastAsiaTheme="minorEastAsia" w:hAnsiTheme="minorHAnsi"/>
          <w:noProof/>
          <w:sz w:val="22"/>
          <w:lang w:eastAsia="en-GB"/>
        </w:rPr>
      </w:pPr>
      <w:hyperlink w:anchor="_Toc500857854" w:history="1">
        <w:r w:rsidRPr="007C08E4">
          <w:rPr>
            <w:rStyle w:val="Hyperlink"/>
            <w:noProof/>
          </w:rPr>
          <w:t>Figure 9 – Graph comparing the POD curves of ops 7 and 8</w:t>
        </w:r>
        <w:r>
          <w:rPr>
            <w:noProof/>
            <w:webHidden/>
          </w:rPr>
          <w:tab/>
        </w:r>
        <w:r>
          <w:rPr>
            <w:noProof/>
            <w:webHidden/>
          </w:rPr>
          <w:fldChar w:fldCharType="begin"/>
        </w:r>
        <w:r>
          <w:rPr>
            <w:noProof/>
            <w:webHidden/>
          </w:rPr>
          <w:instrText xml:space="preserve"> PAGEREF _Toc500857854 \h </w:instrText>
        </w:r>
        <w:r>
          <w:rPr>
            <w:noProof/>
            <w:webHidden/>
          </w:rPr>
        </w:r>
        <w:r>
          <w:rPr>
            <w:noProof/>
            <w:webHidden/>
          </w:rPr>
          <w:fldChar w:fldCharType="separate"/>
        </w:r>
        <w:r>
          <w:rPr>
            <w:noProof/>
            <w:webHidden/>
          </w:rPr>
          <w:t>17</w:t>
        </w:r>
        <w:r>
          <w:rPr>
            <w:noProof/>
            <w:webHidden/>
          </w:rPr>
          <w:fldChar w:fldCharType="end"/>
        </w:r>
      </w:hyperlink>
    </w:p>
    <w:p w14:paraId="31EEB920" w14:textId="52A5A60C" w:rsidR="00815F9D" w:rsidRDefault="00815F9D">
      <w:pPr>
        <w:pStyle w:val="TableofFigures"/>
        <w:tabs>
          <w:tab w:val="right" w:leader="dot" w:pos="9016"/>
        </w:tabs>
        <w:rPr>
          <w:rFonts w:asciiTheme="minorHAnsi" w:eastAsiaTheme="minorEastAsia" w:hAnsiTheme="minorHAnsi"/>
          <w:noProof/>
          <w:sz w:val="22"/>
          <w:lang w:eastAsia="en-GB"/>
        </w:rPr>
      </w:pPr>
      <w:hyperlink w:anchor="_Toc500857855" w:history="1">
        <w:r w:rsidRPr="007C08E4">
          <w:rPr>
            <w:rStyle w:val="Hyperlink"/>
            <w:noProof/>
          </w:rPr>
          <w:t>Figure 10 – Graph showing the mean POD curve of operators 1-10</w:t>
        </w:r>
        <w:r>
          <w:rPr>
            <w:noProof/>
            <w:webHidden/>
          </w:rPr>
          <w:tab/>
        </w:r>
        <w:r>
          <w:rPr>
            <w:noProof/>
            <w:webHidden/>
          </w:rPr>
          <w:fldChar w:fldCharType="begin"/>
        </w:r>
        <w:r>
          <w:rPr>
            <w:noProof/>
            <w:webHidden/>
          </w:rPr>
          <w:instrText xml:space="preserve"> PAGEREF _Toc500857855 \h </w:instrText>
        </w:r>
        <w:r>
          <w:rPr>
            <w:noProof/>
            <w:webHidden/>
          </w:rPr>
        </w:r>
        <w:r>
          <w:rPr>
            <w:noProof/>
            <w:webHidden/>
          </w:rPr>
          <w:fldChar w:fldCharType="separate"/>
        </w:r>
        <w:r>
          <w:rPr>
            <w:noProof/>
            <w:webHidden/>
          </w:rPr>
          <w:t>18</w:t>
        </w:r>
        <w:r>
          <w:rPr>
            <w:noProof/>
            <w:webHidden/>
          </w:rPr>
          <w:fldChar w:fldCharType="end"/>
        </w:r>
      </w:hyperlink>
    </w:p>
    <w:p w14:paraId="2E40D838" w14:textId="02B2043A" w:rsidR="00815F9D" w:rsidRDefault="00815F9D">
      <w:pPr>
        <w:pStyle w:val="TableofFigures"/>
        <w:tabs>
          <w:tab w:val="right" w:leader="dot" w:pos="9016"/>
        </w:tabs>
        <w:rPr>
          <w:rFonts w:asciiTheme="minorHAnsi" w:eastAsiaTheme="minorEastAsia" w:hAnsiTheme="minorHAnsi"/>
          <w:noProof/>
          <w:sz w:val="22"/>
          <w:lang w:eastAsia="en-GB"/>
        </w:rPr>
      </w:pPr>
      <w:hyperlink w:anchor="_Toc500857856" w:history="1">
        <w:r w:rsidRPr="007C08E4">
          <w:rPr>
            <w:rStyle w:val="Hyperlink"/>
            <w:noProof/>
          </w:rPr>
          <w:t>Figure 11 – Graph showing the standard deviation range for each operator</w:t>
        </w:r>
        <w:r>
          <w:rPr>
            <w:noProof/>
            <w:webHidden/>
          </w:rPr>
          <w:tab/>
        </w:r>
        <w:r>
          <w:rPr>
            <w:noProof/>
            <w:webHidden/>
          </w:rPr>
          <w:fldChar w:fldCharType="begin"/>
        </w:r>
        <w:r>
          <w:rPr>
            <w:noProof/>
            <w:webHidden/>
          </w:rPr>
          <w:instrText xml:space="preserve"> PAGEREF _Toc500857856 \h </w:instrText>
        </w:r>
        <w:r>
          <w:rPr>
            <w:noProof/>
            <w:webHidden/>
          </w:rPr>
        </w:r>
        <w:r>
          <w:rPr>
            <w:noProof/>
            <w:webHidden/>
          </w:rPr>
          <w:fldChar w:fldCharType="separate"/>
        </w:r>
        <w:r>
          <w:rPr>
            <w:noProof/>
            <w:webHidden/>
          </w:rPr>
          <w:t>19</w:t>
        </w:r>
        <w:r>
          <w:rPr>
            <w:noProof/>
            <w:webHidden/>
          </w:rPr>
          <w:fldChar w:fldCharType="end"/>
        </w:r>
      </w:hyperlink>
    </w:p>
    <w:p w14:paraId="08B39CC9" w14:textId="4D713B06" w:rsidR="00815F9D" w:rsidRDefault="00815F9D">
      <w:pPr>
        <w:pStyle w:val="TableofFigures"/>
        <w:tabs>
          <w:tab w:val="right" w:leader="dot" w:pos="9016"/>
        </w:tabs>
        <w:rPr>
          <w:rFonts w:asciiTheme="minorHAnsi" w:eastAsiaTheme="minorEastAsia" w:hAnsiTheme="minorHAnsi"/>
          <w:noProof/>
          <w:sz w:val="22"/>
          <w:lang w:eastAsia="en-GB"/>
        </w:rPr>
      </w:pPr>
      <w:hyperlink w:anchor="_Toc500857857" w:history="1">
        <w:r w:rsidRPr="007C08E4">
          <w:rPr>
            <w:rStyle w:val="Hyperlink"/>
            <w:noProof/>
          </w:rPr>
          <w:t>Figure 12 – Graph showing the Coefficient of determination for each operator</w:t>
        </w:r>
        <w:r>
          <w:rPr>
            <w:noProof/>
            <w:webHidden/>
          </w:rPr>
          <w:tab/>
        </w:r>
        <w:r>
          <w:rPr>
            <w:noProof/>
            <w:webHidden/>
          </w:rPr>
          <w:fldChar w:fldCharType="begin"/>
        </w:r>
        <w:r>
          <w:rPr>
            <w:noProof/>
            <w:webHidden/>
          </w:rPr>
          <w:instrText xml:space="preserve"> PAGEREF _Toc500857857 \h </w:instrText>
        </w:r>
        <w:r>
          <w:rPr>
            <w:noProof/>
            <w:webHidden/>
          </w:rPr>
        </w:r>
        <w:r>
          <w:rPr>
            <w:noProof/>
            <w:webHidden/>
          </w:rPr>
          <w:fldChar w:fldCharType="separate"/>
        </w:r>
        <w:r>
          <w:rPr>
            <w:noProof/>
            <w:webHidden/>
          </w:rPr>
          <w:t>20</w:t>
        </w:r>
        <w:r>
          <w:rPr>
            <w:noProof/>
            <w:webHidden/>
          </w:rPr>
          <w:fldChar w:fldCharType="end"/>
        </w:r>
      </w:hyperlink>
    </w:p>
    <w:p w14:paraId="6D928696" w14:textId="1A16C57B" w:rsidR="00815F9D" w:rsidRDefault="00815F9D">
      <w:pPr>
        <w:pStyle w:val="TableofFigures"/>
        <w:tabs>
          <w:tab w:val="right" w:leader="dot" w:pos="9016"/>
        </w:tabs>
        <w:rPr>
          <w:rFonts w:asciiTheme="minorHAnsi" w:eastAsiaTheme="minorEastAsia" w:hAnsiTheme="minorHAnsi"/>
          <w:noProof/>
          <w:sz w:val="22"/>
          <w:lang w:eastAsia="en-GB"/>
        </w:rPr>
      </w:pPr>
      <w:hyperlink w:anchor="_Toc500857858" w:history="1">
        <w:r w:rsidRPr="007C08E4">
          <w:rPr>
            <w:rStyle w:val="Hyperlink"/>
            <w:noProof/>
          </w:rPr>
          <w:t>Figure 13 – Graph showing PoS for operator 2</w:t>
        </w:r>
        <w:r>
          <w:rPr>
            <w:noProof/>
            <w:webHidden/>
          </w:rPr>
          <w:tab/>
        </w:r>
        <w:r>
          <w:rPr>
            <w:noProof/>
            <w:webHidden/>
          </w:rPr>
          <w:fldChar w:fldCharType="begin"/>
        </w:r>
        <w:r>
          <w:rPr>
            <w:noProof/>
            <w:webHidden/>
          </w:rPr>
          <w:instrText xml:space="preserve"> PAGEREF _Toc500857858 \h </w:instrText>
        </w:r>
        <w:r>
          <w:rPr>
            <w:noProof/>
            <w:webHidden/>
          </w:rPr>
        </w:r>
        <w:r>
          <w:rPr>
            <w:noProof/>
            <w:webHidden/>
          </w:rPr>
          <w:fldChar w:fldCharType="separate"/>
        </w:r>
        <w:r>
          <w:rPr>
            <w:noProof/>
            <w:webHidden/>
          </w:rPr>
          <w:t>20</w:t>
        </w:r>
        <w:r>
          <w:rPr>
            <w:noProof/>
            <w:webHidden/>
          </w:rPr>
          <w:fldChar w:fldCharType="end"/>
        </w:r>
      </w:hyperlink>
    </w:p>
    <w:p w14:paraId="294211D8" w14:textId="65D3579F" w:rsidR="00815F9D" w:rsidRDefault="00815F9D">
      <w:pPr>
        <w:pStyle w:val="TableofFigures"/>
        <w:tabs>
          <w:tab w:val="right" w:leader="dot" w:pos="9016"/>
        </w:tabs>
        <w:rPr>
          <w:rFonts w:asciiTheme="minorHAnsi" w:eastAsiaTheme="minorEastAsia" w:hAnsiTheme="minorHAnsi"/>
          <w:noProof/>
          <w:sz w:val="22"/>
          <w:lang w:eastAsia="en-GB"/>
        </w:rPr>
      </w:pPr>
      <w:hyperlink w:anchor="_Toc500857859" w:history="1">
        <w:r w:rsidRPr="007C08E4">
          <w:rPr>
            <w:rStyle w:val="Hyperlink"/>
            <w:noProof/>
          </w:rPr>
          <w:t>Figure 14 – Graph showing PoS for operator 7</w:t>
        </w:r>
        <w:r>
          <w:rPr>
            <w:noProof/>
            <w:webHidden/>
          </w:rPr>
          <w:tab/>
        </w:r>
        <w:r>
          <w:rPr>
            <w:noProof/>
            <w:webHidden/>
          </w:rPr>
          <w:fldChar w:fldCharType="begin"/>
        </w:r>
        <w:r>
          <w:rPr>
            <w:noProof/>
            <w:webHidden/>
          </w:rPr>
          <w:instrText xml:space="preserve"> PAGEREF _Toc500857859 \h </w:instrText>
        </w:r>
        <w:r>
          <w:rPr>
            <w:noProof/>
            <w:webHidden/>
          </w:rPr>
        </w:r>
        <w:r>
          <w:rPr>
            <w:noProof/>
            <w:webHidden/>
          </w:rPr>
          <w:fldChar w:fldCharType="separate"/>
        </w:r>
        <w:r>
          <w:rPr>
            <w:noProof/>
            <w:webHidden/>
          </w:rPr>
          <w:t>21</w:t>
        </w:r>
        <w:r>
          <w:rPr>
            <w:noProof/>
            <w:webHidden/>
          </w:rPr>
          <w:fldChar w:fldCharType="end"/>
        </w:r>
      </w:hyperlink>
    </w:p>
    <w:p w14:paraId="66B34DEE" w14:textId="61F73E4B" w:rsidR="00815F9D" w:rsidRDefault="00815F9D">
      <w:pPr>
        <w:pStyle w:val="TableofFigures"/>
        <w:tabs>
          <w:tab w:val="right" w:leader="dot" w:pos="9016"/>
        </w:tabs>
        <w:rPr>
          <w:rFonts w:asciiTheme="minorHAnsi" w:eastAsiaTheme="minorEastAsia" w:hAnsiTheme="minorHAnsi"/>
          <w:noProof/>
          <w:sz w:val="22"/>
          <w:lang w:eastAsia="en-GB"/>
        </w:rPr>
      </w:pPr>
      <w:hyperlink w:anchor="_Toc500857860" w:history="1">
        <w:r w:rsidRPr="007C08E4">
          <w:rPr>
            <w:rStyle w:val="Hyperlink"/>
            <w:noProof/>
          </w:rPr>
          <w:t>Figure 15 – graph showing PoS for operator 8</w:t>
        </w:r>
        <w:r>
          <w:rPr>
            <w:noProof/>
            <w:webHidden/>
          </w:rPr>
          <w:tab/>
        </w:r>
        <w:r>
          <w:rPr>
            <w:noProof/>
            <w:webHidden/>
          </w:rPr>
          <w:fldChar w:fldCharType="begin"/>
        </w:r>
        <w:r>
          <w:rPr>
            <w:noProof/>
            <w:webHidden/>
          </w:rPr>
          <w:instrText xml:space="preserve"> PAGEREF _Toc500857860 \h </w:instrText>
        </w:r>
        <w:r>
          <w:rPr>
            <w:noProof/>
            <w:webHidden/>
          </w:rPr>
        </w:r>
        <w:r>
          <w:rPr>
            <w:noProof/>
            <w:webHidden/>
          </w:rPr>
          <w:fldChar w:fldCharType="separate"/>
        </w:r>
        <w:r>
          <w:rPr>
            <w:noProof/>
            <w:webHidden/>
          </w:rPr>
          <w:t>21</w:t>
        </w:r>
        <w:r>
          <w:rPr>
            <w:noProof/>
            <w:webHidden/>
          </w:rPr>
          <w:fldChar w:fldCharType="end"/>
        </w:r>
      </w:hyperlink>
    </w:p>
    <w:p w14:paraId="07C181B9" w14:textId="111CF9FC" w:rsidR="00815F9D" w:rsidRDefault="00815F9D">
      <w:pPr>
        <w:pStyle w:val="TableofFigures"/>
        <w:tabs>
          <w:tab w:val="right" w:leader="dot" w:pos="9016"/>
        </w:tabs>
        <w:rPr>
          <w:rFonts w:asciiTheme="minorHAnsi" w:eastAsiaTheme="minorEastAsia" w:hAnsiTheme="minorHAnsi"/>
          <w:noProof/>
          <w:sz w:val="22"/>
          <w:lang w:eastAsia="en-GB"/>
        </w:rPr>
      </w:pPr>
      <w:hyperlink w:anchor="_Toc500857861" w:history="1">
        <w:r w:rsidRPr="007C08E4">
          <w:rPr>
            <w:rStyle w:val="Hyperlink"/>
            <w:noProof/>
          </w:rPr>
          <w:t>Figure 16 – Graph showing PoS for operator 10</w:t>
        </w:r>
        <w:r>
          <w:rPr>
            <w:noProof/>
            <w:webHidden/>
          </w:rPr>
          <w:tab/>
        </w:r>
        <w:r>
          <w:rPr>
            <w:noProof/>
            <w:webHidden/>
          </w:rPr>
          <w:fldChar w:fldCharType="begin"/>
        </w:r>
        <w:r>
          <w:rPr>
            <w:noProof/>
            <w:webHidden/>
          </w:rPr>
          <w:instrText xml:space="preserve"> PAGEREF _Toc500857861 \h </w:instrText>
        </w:r>
        <w:r>
          <w:rPr>
            <w:noProof/>
            <w:webHidden/>
          </w:rPr>
        </w:r>
        <w:r>
          <w:rPr>
            <w:noProof/>
            <w:webHidden/>
          </w:rPr>
          <w:fldChar w:fldCharType="separate"/>
        </w:r>
        <w:r>
          <w:rPr>
            <w:noProof/>
            <w:webHidden/>
          </w:rPr>
          <w:t>22</w:t>
        </w:r>
        <w:r>
          <w:rPr>
            <w:noProof/>
            <w:webHidden/>
          </w:rPr>
          <w:fldChar w:fldCharType="end"/>
        </w:r>
      </w:hyperlink>
    </w:p>
    <w:p w14:paraId="259A5D04" w14:textId="5C0548B2" w:rsidR="00815F9D" w:rsidRDefault="00815F9D">
      <w:pPr>
        <w:pStyle w:val="TableofFigures"/>
        <w:tabs>
          <w:tab w:val="right" w:leader="dot" w:pos="9016"/>
        </w:tabs>
        <w:rPr>
          <w:rFonts w:asciiTheme="minorHAnsi" w:eastAsiaTheme="minorEastAsia" w:hAnsiTheme="minorHAnsi"/>
          <w:noProof/>
          <w:sz w:val="22"/>
          <w:lang w:eastAsia="en-GB"/>
        </w:rPr>
      </w:pPr>
      <w:hyperlink w:anchor="_Toc500857862" w:history="1">
        <w:r w:rsidRPr="007C08E4">
          <w:rPr>
            <w:rStyle w:val="Hyperlink"/>
            <w:noProof/>
          </w:rPr>
          <w:t>Figure 17 – Graph showing the mean average POS for operators 1-10</w:t>
        </w:r>
        <w:r>
          <w:rPr>
            <w:noProof/>
            <w:webHidden/>
          </w:rPr>
          <w:tab/>
        </w:r>
        <w:r>
          <w:rPr>
            <w:noProof/>
            <w:webHidden/>
          </w:rPr>
          <w:fldChar w:fldCharType="begin"/>
        </w:r>
        <w:r>
          <w:rPr>
            <w:noProof/>
            <w:webHidden/>
          </w:rPr>
          <w:instrText xml:space="preserve"> PAGEREF _Toc500857862 \h </w:instrText>
        </w:r>
        <w:r>
          <w:rPr>
            <w:noProof/>
            <w:webHidden/>
          </w:rPr>
        </w:r>
        <w:r>
          <w:rPr>
            <w:noProof/>
            <w:webHidden/>
          </w:rPr>
          <w:fldChar w:fldCharType="separate"/>
        </w:r>
        <w:r>
          <w:rPr>
            <w:noProof/>
            <w:webHidden/>
          </w:rPr>
          <w:t>23</w:t>
        </w:r>
        <w:r>
          <w:rPr>
            <w:noProof/>
            <w:webHidden/>
          </w:rPr>
          <w:fldChar w:fldCharType="end"/>
        </w:r>
      </w:hyperlink>
    </w:p>
    <w:p w14:paraId="1BD6C2F5" w14:textId="0E356B5C" w:rsidR="00A82676" w:rsidRDefault="00815F9D">
      <w:r>
        <w:fldChar w:fldCharType="end"/>
      </w:r>
    </w:p>
    <w:p w14:paraId="5A63738D" w14:textId="3454CECD" w:rsidR="00DF0106" w:rsidRDefault="00DF0106"/>
    <w:p w14:paraId="53C44000" w14:textId="49DC9590" w:rsidR="00DF0106" w:rsidRDefault="00DF0106">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"Equation" </w:instrText>
      </w:r>
      <w:r>
        <w:fldChar w:fldCharType="separate"/>
      </w:r>
      <w:hyperlink w:anchor="_Toc500754498" w:history="1">
        <w:r w:rsidRPr="00482207">
          <w:rPr>
            <w:rStyle w:val="Hyperlink"/>
            <w:noProof/>
          </w:rPr>
          <w:t>Equation 1 – POD Model - (Georgiou, 2006)</w:t>
        </w:r>
        <w:r>
          <w:rPr>
            <w:noProof/>
            <w:webHidden/>
          </w:rPr>
          <w:tab/>
        </w:r>
        <w:r>
          <w:rPr>
            <w:noProof/>
            <w:webHidden/>
          </w:rPr>
          <w:fldChar w:fldCharType="begin"/>
        </w:r>
        <w:r>
          <w:rPr>
            <w:noProof/>
            <w:webHidden/>
          </w:rPr>
          <w:instrText xml:space="preserve"> PAGEREF _Toc500754498 \h </w:instrText>
        </w:r>
        <w:r>
          <w:rPr>
            <w:noProof/>
            <w:webHidden/>
          </w:rPr>
        </w:r>
        <w:r>
          <w:rPr>
            <w:noProof/>
            <w:webHidden/>
          </w:rPr>
          <w:fldChar w:fldCharType="separate"/>
        </w:r>
        <w:r>
          <w:rPr>
            <w:noProof/>
            <w:webHidden/>
          </w:rPr>
          <w:t>8</w:t>
        </w:r>
        <w:r>
          <w:rPr>
            <w:noProof/>
            <w:webHidden/>
          </w:rPr>
          <w:fldChar w:fldCharType="end"/>
        </w:r>
      </w:hyperlink>
    </w:p>
    <w:p w14:paraId="2AD82528" w14:textId="2132CB56" w:rsidR="00DF0106" w:rsidRDefault="00815F9D">
      <w:pPr>
        <w:pStyle w:val="TableofFigures"/>
        <w:tabs>
          <w:tab w:val="right" w:leader="dot" w:pos="9016"/>
        </w:tabs>
        <w:rPr>
          <w:rFonts w:asciiTheme="minorHAnsi" w:eastAsiaTheme="minorEastAsia" w:hAnsiTheme="minorHAnsi"/>
          <w:noProof/>
          <w:sz w:val="22"/>
          <w:lang w:eastAsia="en-GB"/>
        </w:rPr>
      </w:pPr>
      <w:hyperlink w:anchor="_Toc500754499" w:history="1">
        <w:r w:rsidR="00DF0106" w:rsidRPr="00482207">
          <w:rPr>
            <w:rStyle w:val="Hyperlink"/>
            <w:noProof/>
          </w:rPr>
          <w:t>Equation 2 – For upper limit</w:t>
        </w:r>
        <w:r w:rsidR="00DF0106">
          <w:rPr>
            <w:noProof/>
            <w:webHidden/>
          </w:rPr>
          <w:tab/>
        </w:r>
        <w:r w:rsidR="00DF0106">
          <w:rPr>
            <w:noProof/>
            <w:webHidden/>
          </w:rPr>
          <w:fldChar w:fldCharType="begin"/>
        </w:r>
        <w:r w:rsidR="00DF0106">
          <w:rPr>
            <w:noProof/>
            <w:webHidden/>
          </w:rPr>
          <w:instrText xml:space="preserve"> PAGEREF _Toc500754499 \h </w:instrText>
        </w:r>
        <w:r w:rsidR="00DF0106">
          <w:rPr>
            <w:noProof/>
            <w:webHidden/>
          </w:rPr>
        </w:r>
        <w:r w:rsidR="00DF0106">
          <w:rPr>
            <w:noProof/>
            <w:webHidden/>
          </w:rPr>
          <w:fldChar w:fldCharType="separate"/>
        </w:r>
        <w:r w:rsidR="00DF0106">
          <w:rPr>
            <w:noProof/>
            <w:webHidden/>
          </w:rPr>
          <w:t>12</w:t>
        </w:r>
        <w:r w:rsidR="00DF0106">
          <w:rPr>
            <w:noProof/>
            <w:webHidden/>
          </w:rPr>
          <w:fldChar w:fldCharType="end"/>
        </w:r>
      </w:hyperlink>
    </w:p>
    <w:p w14:paraId="41162B40" w14:textId="540139BC" w:rsidR="00DF0106" w:rsidRDefault="00815F9D">
      <w:pPr>
        <w:pStyle w:val="TableofFigures"/>
        <w:tabs>
          <w:tab w:val="right" w:leader="dot" w:pos="9016"/>
        </w:tabs>
        <w:rPr>
          <w:rFonts w:asciiTheme="minorHAnsi" w:eastAsiaTheme="minorEastAsia" w:hAnsiTheme="minorHAnsi"/>
          <w:noProof/>
          <w:sz w:val="22"/>
          <w:lang w:eastAsia="en-GB"/>
        </w:rPr>
      </w:pPr>
      <w:hyperlink w:anchor="_Toc500754500" w:history="1">
        <w:r w:rsidR="00DF0106" w:rsidRPr="00482207">
          <w:rPr>
            <w:rStyle w:val="Hyperlink"/>
            <w:noProof/>
          </w:rPr>
          <w:t>Equation 3 – for lower limit</w:t>
        </w:r>
        <w:r w:rsidR="00DF0106">
          <w:rPr>
            <w:noProof/>
            <w:webHidden/>
          </w:rPr>
          <w:tab/>
        </w:r>
        <w:r w:rsidR="00DF0106">
          <w:rPr>
            <w:noProof/>
            <w:webHidden/>
          </w:rPr>
          <w:fldChar w:fldCharType="begin"/>
        </w:r>
        <w:r w:rsidR="00DF0106">
          <w:rPr>
            <w:noProof/>
            <w:webHidden/>
          </w:rPr>
          <w:instrText xml:space="preserve"> PAGEREF _Toc500754500 \h </w:instrText>
        </w:r>
        <w:r w:rsidR="00DF0106">
          <w:rPr>
            <w:noProof/>
            <w:webHidden/>
          </w:rPr>
        </w:r>
        <w:r w:rsidR="00DF0106">
          <w:rPr>
            <w:noProof/>
            <w:webHidden/>
          </w:rPr>
          <w:fldChar w:fldCharType="separate"/>
        </w:r>
        <w:r w:rsidR="00DF0106">
          <w:rPr>
            <w:noProof/>
            <w:webHidden/>
          </w:rPr>
          <w:t>12</w:t>
        </w:r>
        <w:r w:rsidR="00DF0106">
          <w:rPr>
            <w:noProof/>
            <w:webHidden/>
          </w:rPr>
          <w:fldChar w:fldCharType="end"/>
        </w:r>
      </w:hyperlink>
    </w:p>
    <w:p w14:paraId="348E5B80" w14:textId="4E10C494" w:rsidR="00DF0106" w:rsidRDefault="00DF0106">
      <w:r>
        <w:fldChar w:fldCharType="end"/>
      </w:r>
    </w:p>
    <w:p w14:paraId="73229949" w14:textId="2879668F" w:rsidR="00DF0106" w:rsidRDefault="00DF0106">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"Table" </w:instrText>
      </w:r>
      <w:r>
        <w:fldChar w:fldCharType="separate"/>
      </w:r>
      <w:hyperlink w:anchor="_Toc500754506" w:history="1">
        <w:r w:rsidRPr="001C36A9">
          <w:rPr>
            <w:rStyle w:val="Hyperlink"/>
            <w:noProof/>
          </w:rPr>
          <w:t>Table 1 – List of Z values for various confidence limits (ITCC Online)</w:t>
        </w:r>
        <w:r>
          <w:rPr>
            <w:noProof/>
            <w:webHidden/>
          </w:rPr>
          <w:tab/>
        </w:r>
        <w:r>
          <w:rPr>
            <w:noProof/>
            <w:webHidden/>
          </w:rPr>
          <w:fldChar w:fldCharType="begin"/>
        </w:r>
        <w:r>
          <w:rPr>
            <w:noProof/>
            <w:webHidden/>
          </w:rPr>
          <w:instrText xml:space="preserve"> PAGEREF _Toc500754506 \h </w:instrText>
        </w:r>
        <w:r>
          <w:rPr>
            <w:noProof/>
            <w:webHidden/>
          </w:rPr>
        </w:r>
        <w:r>
          <w:rPr>
            <w:noProof/>
            <w:webHidden/>
          </w:rPr>
          <w:fldChar w:fldCharType="separate"/>
        </w:r>
        <w:r>
          <w:rPr>
            <w:noProof/>
            <w:webHidden/>
          </w:rPr>
          <w:t>12</w:t>
        </w:r>
        <w:r>
          <w:rPr>
            <w:noProof/>
            <w:webHidden/>
          </w:rPr>
          <w:fldChar w:fldCharType="end"/>
        </w:r>
      </w:hyperlink>
    </w:p>
    <w:p w14:paraId="74522F17" w14:textId="4E01347E" w:rsidR="00DF0106" w:rsidRDefault="00DF0106">
      <w:r>
        <w:fldChar w:fldCharType="end"/>
      </w:r>
    </w:p>
    <w:p w14:paraId="774EC861" w14:textId="246A327E" w:rsidR="00DF0106" w:rsidRDefault="00DF0106"/>
    <w:p w14:paraId="191FCBFD" w14:textId="73E175EF" w:rsidR="00DF0106" w:rsidRDefault="00DF0106"/>
    <w:p w14:paraId="2B76478A" w14:textId="73A33A64" w:rsidR="00DF0106" w:rsidRDefault="00DF0106"/>
    <w:p w14:paraId="5804168C" w14:textId="2FE1DB64" w:rsidR="00DF0106" w:rsidRDefault="00DF0106"/>
    <w:p w14:paraId="06AA5FB4" w14:textId="51261DBC" w:rsidR="00DF0106" w:rsidRDefault="00DF0106"/>
    <w:p w14:paraId="3E4F889E" w14:textId="0C38EEA4" w:rsidR="00DF0106" w:rsidRDefault="00DF0106"/>
    <w:p w14:paraId="7F27C9DD" w14:textId="34781DA5" w:rsidR="00DF0106" w:rsidRDefault="00DF0106"/>
    <w:p w14:paraId="7F160E3E" w14:textId="0C2D4F6C" w:rsidR="00DF0106" w:rsidRDefault="00DF0106"/>
    <w:p w14:paraId="414C8F1E" w14:textId="311B442C" w:rsidR="00DF0106" w:rsidRDefault="00DF0106"/>
    <w:p w14:paraId="7E131064" w14:textId="3C68C650" w:rsidR="00DF0106" w:rsidRDefault="00DF0106"/>
    <w:p w14:paraId="1A8CB9D1" w14:textId="23C136BB" w:rsidR="00DF0106" w:rsidRDefault="00DF0106"/>
    <w:p w14:paraId="260DBBC1" w14:textId="100FD110" w:rsidR="00DF0106" w:rsidRDefault="00DF0106"/>
    <w:sdt>
      <w:sdtPr>
        <w:rPr>
          <w:rFonts w:ascii="Times New Roman" w:eastAsiaTheme="minorHAnsi" w:hAnsi="Times New Roman" w:cstheme="minorBidi"/>
          <w:color w:val="auto"/>
          <w:sz w:val="24"/>
          <w:szCs w:val="22"/>
          <w:lang w:val="en-GB"/>
        </w:rPr>
        <w:id w:val="479502330"/>
        <w:docPartObj>
          <w:docPartGallery w:val="Table of Contents"/>
          <w:docPartUnique/>
        </w:docPartObj>
      </w:sdtPr>
      <w:sdtEndPr>
        <w:rPr>
          <w:b/>
          <w:bCs/>
          <w:noProof/>
        </w:rPr>
      </w:sdtEndPr>
      <w:sdtContent>
        <w:p w14:paraId="10409A10" w14:textId="5D3D2891" w:rsidR="009E28CB" w:rsidRDefault="009E28CB">
          <w:pPr>
            <w:pStyle w:val="TOCHeading"/>
          </w:pPr>
          <w:r>
            <w:t>Contents</w:t>
          </w:r>
        </w:p>
        <w:p w14:paraId="3299C9E1" w14:textId="73E677B9" w:rsidR="00181FED" w:rsidRDefault="009E28CB">
          <w:pPr>
            <w:pStyle w:val="TOC1"/>
            <w:tabs>
              <w:tab w:val="left" w:pos="660"/>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00859065" w:history="1">
            <w:r w:rsidR="00181FED" w:rsidRPr="009A205E">
              <w:rPr>
                <w:rStyle w:val="Hyperlink"/>
                <w:noProof/>
              </w:rPr>
              <w:t>1.0</w:t>
            </w:r>
            <w:r w:rsidR="00181FED">
              <w:rPr>
                <w:rFonts w:asciiTheme="minorHAnsi" w:eastAsiaTheme="minorEastAsia" w:hAnsiTheme="minorHAnsi"/>
                <w:noProof/>
                <w:sz w:val="22"/>
                <w:lang w:eastAsia="en-GB"/>
              </w:rPr>
              <w:tab/>
            </w:r>
            <w:r w:rsidR="00181FED" w:rsidRPr="009A205E">
              <w:rPr>
                <w:rStyle w:val="Hyperlink"/>
                <w:noProof/>
              </w:rPr>
              <w:t>Introduction</w:t>
            </w:r>
            <w:r w:rsidR="00181FED">
              <w:rPr>
                <w:noProof/>
                <w:webHidden/>
              </w:rPr>
              <w:tab/>
            </w:r>
            <w:r w:rsidR="00181FED">
              <w:rPr>
                <w:noProof/>
                <w:webHidden/>
              </w:rPr>
              <w:fldChar w:fldCharType="begin"/>
            </w:r>
            <w:r w:rsidR="00181FED">
              <w:rPr>
                <w:noProof/>
                <w:webHidden/>
              </w:rPr>
              <w:instrText xml:space="preserve"> PAGEREF _Toc500859065 \h </w:instrText>
            </w:r>
            <w:r w:rsidR="00181FED">
              <w:rPr>
                <w:noProof/>
                <w:webHidden/>
              </w:rPr>
            </w:r>
            <w:r w:rsidR="00181FED">
              <w:rPr>
                <w:noProof/>
                <w:webHidden/>
              </w:rPr>
              <w:fldChar w:fldCharType="separate"/>
            </w:r>
            <w:r w:rsidR="00B439F3">
              <w:rPr>
                <w:noProof/>
                <w:webHidden/>
              </w:rPr>
              <w:t>4</w:t>
            </w:r>
            <w:r w:rsidR="00181FED">
              <w:rPr>
                <w:noProof/>
                <w:webHidden/>
              </w:rPr>
              <w:fldChar w:fldCharType="end"/>
            </w:r>
          </w:hyperlink>
        </w:p>
        <w:p w14:paraId="50E292FB" w14:textId="72A517E4" w:rsidR="00181FED" w:rsidRDefault="00181FED">
          <w:pPr>
            <w:pStyle w:val="TOC1"/>
            <w:tabs>
              <w:tab w:val="left" w:pos="660"/>
              <w:tab w:val="right" w:leader="dot" w:pos="9016"/>
            </w:tabs>
            <w:rPr>
              <w:rFonts w:asciiTheme="minorHAnsi" w:eastAsiaTheme="minorEastAsia" w:hAnsiTheme="minorHAnsi"/>
              <w:noProof/>
              <w:sz w:val="22"/>
              <w:lang w:eastAsia="en-GB"/>
            </w:rPr>
          </w:pPr>
          <w:hyperlink w:anchor="_Toc500859066" w:history="1">
            <w:r w:rsidRPr="009A205E">
              <w:rPr>
                <w:rStyle w:val="Hyperlink"/>
                <w:noProof/>
              </w:rPr>
              <w:t>2.0</w:t>
            </w:r>
            <w:r>
              <w:rPr>
                <w:rFonts w:asciiTheme="minorHAnsi" w:eastAsiaTheme="minorEastAsia" w:hAnsiTheme="minorHAnsi"/>
                <w:noProof/>
                <w:sz w:val="22"/>
                <w:lang w:eastAsia="en-GB"/>
              </w:rPr>
              <w:tab/>
            </w:r>
            <w:r w:rsidRPr="009A205E">
              <w:rPr>
                <w:rStyle w:val="Hyperlink"/>
                <w:noProof/>
              </w:rPr>
              <w:t>Brief History of PoD and PoS</w:t>
            </w:r>
            <w:r>
              <w:rPr>
                <w:noProof/>
                <w:webHidden/>
              </w:rPr>
              <w:tab/>
            </w:r>
            <w:r>
              <w:rPr>
                <w:noProof/>
                <w:webHidden/>
              </w:rPr>
              <w:fldChar w:fldCharType="begin"/>
            </w:r>
            <w:r>
              <w:rPr>
                <w:noProof/>
                <w:webHidden/>
              </w:rPr>
              <w:instrText xml:space="preserve"> PAGEREF _Toc500859066 \h </w:instrText>
            </w:r>
            <w:r>
              <w:rPr>
                <w:noProof/>
                <w:webHidden/>
              </w:rPr>
            </w:r>
            <w:r>
              <w:rPr>
                <w:noProof/>
                <w:webHidden/>
              </w:rPr>
              <w:fldChar w:fldCharType="separate"/>
            </w:r>
            <w:r w:rsidR="00B439F3">
              <w:rPr>
                <w:noProof/>
                <w:webHidden/>
              </w:rPr>
              <w:t>5</w:t>
            </w:r>
            <w:r>
              <w:rPr>
                <w:noProof/>
                <w:webHidden/>
              </w:rPr>
              <w:fldChar w:fldCharType="end"/>
            </w:r>
          </w:hyperlink>
        </w:p>
        <w:p w14:paraId="1F2D83A6" w14:textId="0A663012" w:rsidR="00181FED" w:rsidRDefault="00181FED">
          <w:pPr>
            <w:pStyle w:val="TOC1"/>
            <w:tabs>
              <w:tab w:val="left" w:pos="660"/>
              <w:tab w:val="right" w:leader="dot" w:pos="9016"/>
            </w:tabs>
            <w:rPr>
              <w:rFonts w:asciiTheme="minorHAnsi" w:eastAsiaTheme="minorEastAsia" w:hAnsiTheme="minorHAnsi"/>
              <w:noProof/>
              <w:sz w:val="22"/>
              <w:lang w:eastAsia="en-GB"/>
            </w:rPr>
          </w:pPr>
          <w:hyperlink w:anchor="_Toc500859067" w:history="1">
            <w:r w:rsidRPr="009A205E">
              <w:rPr>
                <w:rStyle w:val="Hyperlink"/>
                <w:noProof/>
              </w:rPr>
              <w:t>3.0</w:t>
            </w:r>
            <w:r>
              <w:rPr>
                <w:rFonts w:asciiTheme="minorHAnsi" w:eastAsiaTheme="minorEastAsia" w:hAnsiTheme="minorHAnsi"/>
                <w:noProof/>
                <w:sz w:val="22"/>
                <w:lang w:eastAsia="en-GB"/>
              </w:rPr>
              <w:tab/>
            </w:r>
            <w:r w:rsidRPr="009A205E">
              <w:rPr>
                <w:rStyle w:val="Hyperlink"/>
                <w:noProof/>
              </w:rPr>
              <w:t>Main concepts</w:t>
            </w:r>
            <w:r>
              <w:rPr>
                <w:noProof/>
                <w:webHidden/>
              </w:rPr>
              <w:tab/>
            </w:r>
            <w:r>
              <w:rPr>
                <w:noProof/>
                <w:webHidden/>
              </w:rPr>
              <w:fldChar w:fldCharType="begin"/>
            </w:r>
            <w:r>
              <w:rPr>
                <w:noProof/>
                <w:webHidden/>
              </w:rPr>
              <w:instrText xml:space="preserve"> PAGEREF _Toc500859067 \h </w:instrText>
            </w:r>
            <w:r>
              <w:rPr>
                <w:noProof/>
                <w:webHidden/>
              </w:rPr>
            </w:r>
            <w:r>
              <w:rPr>
                <w:noProof/>
                <w:webHidden/>
              </w:rPr>
              <w:fldChar w:fldCharType="separate"/>
            </w:r>
            <w:r w:rsidR="00B439F3">
              <w:rPr>
                <w:noProof/>
                <w:webHidden/>
              </w:rPr>
              <w:t>6</w:t>
            </w:r>
            <w:r>
              <w:rPr>
                <w:noProof/>
                <w:webHidden/>
              </w:rPr>
              <w:fldChar w:fldCharType="end"/>
            </w:r>
          </w:hyperlink>
        </w:p>
        <w:p w14:paraId="30203054" w14:textId="2494C7B4" w:rsidR="00181FED" w:rsidRDefault="00181FED">
          <w:pPr>
            <w:pStyle w:val="TOC2"/>
            <w:tabs>
              <w:tab w:val="left" w:pos="880"/>
              <w:tab w:val="right" w:leader="dot" w:pos="9016"/>
            </w:tabs>
            <w:rPr>
              <w:rFonts w:asciiTheme="minorHAnsi" w:eastAsiaTheme="minorEastAsia" w:hAnsiTheme="minorHAnsi"/>
              <w:noProof/>
              <w:sz w:val="22"/>
              <w:lang w:eastAsia="en-GB"/>
            </w:rPr>
          </w:pPr>
          <w:hyperlink w:anchor="_Toc500859068" w:history="1">
            <w:r w:rsidRPr="009A205E">
              <w:rPr>
                <w:rStyle w:val="Hyperlink"/>
                <w:noProof/>
              </w:rPr>
              <w:t>3.1</w:t>
            </w:r>
            <w:r>
              <w:rPr>
                <w:rFonts w:asciiTheme="minorHAnsi" w:eastAsiaTheme="minorEastAsia" w:hAnsiTheme="minorHAnsi"/>
                <w:noProof/>
                <w:sz w:val="22"/>
                <w:lang w:eastAsia="en-GB"/>
              </w:rPr>
              <w:tab/>
            </w:r>
            <w:r w:rsidRPr="009A205E">
              <w:rPr>
                <w:rStyle w:val="Hyperlink"/>
                <w:noProof/>
              </w:rPr>
              <w:t>PoD</w:t>
            </w:r>
            <w:r>
              <w:rPr>
                <w:noProof/>
                <w:webHidden/>
              </w:rPr>
              <w:tab/>
            </w:r>
            <w:r>
              <w:rPr>
                <w:noProof/>
                <w:webHidden/>
              </w:rPr>
              <w:fldChar w:fldCharType="begin"/>
            </w:r>
            <w:r>
              <w:rPr>
                <w:noProof/>
                <w:webHidden/>
              </w:rPr>
              <w:instrText xml:space="preserve"> PAGEREF _Toc500859068 \h </w:instrText>
            </w:r>
            <w:r>
              <w:rPr>
                <w:noProof/>
                <w:webHidden/>
              </w:rPr>
            </w:r>
            <w:r>
              <w:rPr>
                <w:noProof/>
                <w:webHidden/>
              </w:rPr>
              <w:fldChar w:fldCharType="separate"/>
            </w:r>
            <w:r w:rsidR="00B439F3">
              <w:rPr>
                <w:noProof/>
                <w:webHidden/>
              </w:rPr>
              <w:t>6</w:t>
            </w:r>
            <w:r>
              <w:rPr>
                <w:noProof/>
                <w:webHidden/>
              </w:rPr>
              <w:fldChar w:fldCharType="end"/>
            </w:r>
          </w:hyperlink>
        </w:p>
        <w:p w14:paraId="5DEAC2C2" w14:textId="697DFBE8" w:rsidR="00181FED" w:rsidRDefault="00181FED">
          <w:pPr>
            <w:pStyle w:val="TOC2"/>
            <w:tabs>
              <w:tab w:val="left" w:pos="880"/>
              <w:tab w:val="right" w:leader="dot" w:pos="9016"/>
            </w:tabs>
            <w:rPr>
              <w:rFonts w:asciiTheme="minorHAnsi" w:eastAsiaTheme="minorEastAsia" w:hAnsiTheme="minorHAnsi"/>
              <w:noProof/>
              <w:sz w:val="22"/>
              <w:lang w:eastAsia="en-GB"/>
            </w:rPr>
          </w:pPr>
          <w:hyperlink w:anchor="_Toc500859069" w:history="1">
            <w:r w:rsidRPr="009A205E">
              <w:rPr>
                <w:rStyle w:val="Hyperlink"/>
                <w:noProof/>
              </w:rPr>
              <w:t>3.2</w:t>
            </w:r>
            <w:r>
              <w:rPr>
                <w:rFonts w:asciiTheme="minorHAnsi" w:eastAsiaTheme="minorEastAsia" w:hAnsiTheme="minorHAnsi"/>
                <w:noProof/>
                <w:sz w:val="22"/>
                <w:lang w:eastAsia="en-GB"/>
              </w:rPr>
              <w:tab/>
            </w:r>
            <w:r w:rsidRPr="009A205E">
              <w:rPr>
                <w:rStyle w:val="Hyperlink"/>
                <w:noProof/>
              </w:rPr>
              <w:t>PoS</w:t>
            </w:r>
            <w:r>
              <w:rPr>
                <w:noProof/>
                <w:webHidden/>
              </w:rPr>
              <w:tab/>
            </w:r>
            <w:r>
              <w:rPr>
                <w:noProof/>
                <w:webHidden/>
              </w:rPr>
              <w:fldChar w:fldCharType="begin"/>
            </w:r>
            <w:r>
              <w:rPr>
                <w:noProof/>
                <w:webHidden/>
              </w:rPr>
              <w:instrText xml:space="preserve"> PAGEREF _Toc500859069 \h </w:instrText>
            </w:r>
            <w:r>
              <w:rPr>
                <w:noProof/>
                <w:webHidden/>
              </w:rPr>
            </w:r>
            <w:r>
              <w:rPr>
                <w:noProof/>
                <w:webHidden/>
              </w:rPr>
              <w:fldChar w:fldCharType="separate"/>
            </w:r>
            <w:r w:rsidR="00B439F3">
              <w:rPr>
                <w:noProof/>
                <w:webHidden/>
              </w:rPr>
              <w:t>7</w:t>
            </w:r>
            <w:r>
              <w:rPr>
                <w:noProof/>
                <w:webHidden/>
              </w:rPr>
              <w:fldChar w:fldCharType="end"/>
            </w:r>
          </w:hyperlink>
        </w:p>
        <w:p w14:paraId="123E67D1" w14:textId="2BA2C68D" w:rsidR="00181FED" w:rsidRDefault="00181FED">
          <w:pPr>
            <w:pStyle w:val="TOC1"/>
            <w:tabs>
              <w:tab w:val="left" w:pos="660"/>
              <w:tab w:val="right" w:leader="dot" w:pos="9016"/>
            </w:tabs>
            <w:rPr>
              <w:rFonts w:asciiTheme="minorHAnsi" w:eastAsiaTheme="minorEastAsia" w:hAnsiTheme="minorHAnsi"/>
              <w:noProof/>
              <w:sz w:val="22"/>
              <w:lang w:eastAsia="en-GB"/>
            </w:rPr>
          </w:pPr>
          <w:hyperlink w:anchor="_Toc500859070" w:history="1">
            <w:r w:rsidRPr="009A205E">
              <w:rPr>
                <w:rStyle w:val="Hyperlink"/>
                <w:noProof/>
              </w:rPr>
              <w:t>4.0</w:t>
            </w:r>
            <w:r>
              <w:rPr>
                <w:rFonts w:asciiTheme="minorHAnsi" w:eastAsiaTheme="minorEastAsia" w:hAnsiTheme="minorHAnsi"/>
                <w:noProof/>
                <w:sz w:val="22"/>
                <w:lang w:eastAsia="en-GB"/>
              </w:rPr>
              <w:tab/>
            </w:r>
            <w:r w:rsidRPr="009A205E">
              <w:rPr>
                <w:rStyle w:val="Hyperlink"/>
                <w:noProof/>
              </w:rPr>
              <w:t>Background Theory</w:t>
            </w:r>
            <w:r>
              <w:rPr>
                <w:noProof/>
                <w:webHidden/>
              </w:rPr>
              <w:tab/>
            </w:r>
            <w:r>
              <w:rPr>
                <w:noProof/>
                <w:webHidden/>
              </w:rPr>
              <w:fldChar w:fldCharType="begin"/>
            </w:r>
            <w:r>
              <w:rPr>
                <w:noProof/>
                <w:webHidden/>
              </w:rPr>
              <w:instrText xml:space="preserve"> PAGEREF _Toc500859070 \h </w:instrText>
            </w:r>
            <w:r>
              <w:rPr>
                <w:noProof/>
                <w:webHidden/>
              </w:rPr>
            </w:r>
            <w:r>
              <w:rPr>
                <w:noProof/>
                <w:webHidden/>
              </w:rPr>
              <w:fldChar w:fldCharType="separate"/>
            </w:r>
            <w:r w:rsidR="00B439F3">
              <w:rPr>
                <w:noProof/>
                <w:webHidden/>
              </w:rPr>
              <w:t>8</w:t>
            </w:r>
            <w:r>
              <w:rPr>
                <w:noProof/>
                <w:webHidden/>
              </w:rPr>
              <w:fldChar w:fldCharType="end"/>
            </w:r>
          </w:hyperlink>
        </w:p>
        <w:p w14:paraId="7F218082" w14:textId="286BB618" w:rsidR="00181FED" w:rsidRDefault="00181FED">
          <w:pPr>
            <w:pStyle w:val="TOC2"/>
            <w:tabs>
              <w:tab w:val="left" w:pos="880"/>
              <w:tab w:val="right" w:leader="dot" w:pos="9016"/>
            </w:tabs>
            <w:rPr>
              <w:rFonts w:asciiTheme="minorHAnsi" w:eastAsiaTheme="minorEastAsia" w:hAnsiTheme="minorHAnsi"/>
              <w:noProof/>
              <w:sz w:val="22"/>
              <w:lang w:eastAsia="en-GB"/>
            </w:rPr>
          </w:pPr>
          <w:hyperlink w:anchor="_Toc500859071" w:history="1">
            <w:r w:rsidRPr="009A205E">
              <w:rPr>
                <w:rStyle w:val="Hyperlink"/>
                <w:noProof/>
              </w:rPr>
              <w:t>4.1</w:t>
            </w:r>
            <w:r>
              <w:rPr>
                <w:rFonts w:asciiTheme="minorHAnsi" w:eastAsiaTheme="minorEastAsia" w:hAnsiTheme="minorHAnsi"/>
                <w:noProof/>
                <w:sz w:val="22"/>
                <w:lang w:eastAsia="en-GB"/>
              </w:rPr>
              <w:tab/>
            </w:r>
            <w:r w:rsidRPr="009A205E">
              <w:rPr>
                <w:rStyle w:val="Hyperlink"/>
                <w:noProof/>
              </w:rPr>
              <w:t>Probability of detection</w:t>
            </w:r>
            <w:r>
              <w:rPr>
                <w:noProof/>
                <w:webHidden/>
              </w:rPr>
              <w:tab/>
            </w:r>
            <w:r>
              <w:rPr>
                <w:noProof/>
                <w:webHidden/>
              </w:rPr>
              <w:fldChar w:fldCharType="begin"/>
            </w:r>
            <w:r>
              <w:rPr>
                <w:noProof/>
                <w:webHidden/>
              </w:rPr>
              <w:instrText xml:space="preserve"> PAGEREF _Toc500859071 \h </w:instrText>
            </w:r>
            <w:r>
              <w:rPr>
                <w:noProof/>
                <w:webHidden/>
              </w:rPr>
            </w:r>
            <w:r>
              <w:rPr>
                <w:noProof/>
                <w:webHidden/>
              </w:rPr>
              <w:fldChar w:fldCharType="separate"/>
            </w:r>
            <w:r w:rsidR="00B439F3">
              <w:rPr>
                <w:noProof/>
                <w:webHidden/>
              </w:rPr>
              <w:t>8</w:t>
            </w:r>
            <w:r>
              <w:rPr>
                <w:noProof/>
                <w:webHidden/>
              </w:rPr>
              <w:fldChar w:fldCharType="end"/>
            </w:r>
          </w:hyperlink>
        </w:p>
        <w:p w14:paraId="434BF549" w14:textId="68B340C3" w:rsidR="00181FED" w:rsidRDefault="00181FED">
          <w:pPr>
            <w:pStyle w:val="TOC2"/>
            <w:tabs>
              <w:tab w:val="left" w:pos="880"/>
              <w:tab w:val="right" w:leader="dot" w:pos="9016"/>
            </w:tabs>
            <w:rPr>
              <w:rFonts w:asciiTheme="minorHAnsi" w:eastAsiaTheme="minorEastAsia" w:hAnsiTheme="minorHAnsi"/>
              <w:noProof/>
              <w:sz w:val="22"/>
              <w:lang w:eastAsia="en-GB"/>
            </w:rPr>
          </w:pPr>
          <w:hyperlink w:anchor="_Toc500859072" w:history="1">
            <w:r w:rsidRPr="009A205E">
              <w:rPr>
                <w:rStyle w:val="Hyperlink"/>
                <w:noProof/>
              </w:rPr>
              <w:t>4.2</w:t>
            </w:r>
            <w:r>
              <w:rPr>
                <w:rFonts w:asciiTheme="minorHAnsi" w:eastAsiaTheme="minorEastAsia" w:hAnsiTheme="minorHAnsi"/>
                <w:noProof/>
                <w:sz w:val="22"/>
                <w:lang w:eastAsia="en-GB"/>
              </w:rPr>
              <w:tab/>
            </w:r>
            <w:r w:rsidRPr="009A205E">
              <w:rPr>
                <w:rStyle w:val="Hyperlink"/>
                <w:noProof/>
              </w:rPr>
              <w:t>Probability of sizing</w:t>
            </w:r>
            <w:r>
              <w:rPr>
                <w:noProof/>
                <w:webHidden/>
              </w:rPr>
              <w:tab/>
            </w:r>
            <w:r>
              <w:rPr>
                <w:noProof/>
                <w:webHidden/>
              </w:rPr>
              <w:fldChar w:fldCharType="begin"/>
            </w:r>
            <w:r>
              <w:rPr>
                <w:noProof/>
                <w:webHidden/>
              </w:rPr>
              <w:instrText xml:space="preserve"> PAGEREF _Toc500859072 \h </w:instrText>
            </w:r>
            <w:r>
              <w:rPr>
                <w:noProof/>
                <w:webHidden/>
              </w:rPr>
            </w:r>
            <w:r>
              <w:rPr>
                <w:noProof/>
                <w:webHidden/>
              </w:rPr>
              <w:fldChar w:fldCharType="separate"/>
            </w:r>
            <w:r w:rsidR="00B439F3">
              <w:rPr>
                <w:noProof/>
                <w:webHidden/>
              </w:rPr>
              <w:t>11</w:t>
            </w:r>
            <w:r>
              <w:rPr>
                <w:noProof/>
                <w:webHidden/>
              </w:rPr>
              <w:fldChar w:fldCharType="end"/>
            </w:r>
          </w:hyperlink>
        </w:p>
        <w:p w14:paraId="540DC750" w14:textId="07BEB958" w:rsidR="00181FED" w:rsidRDefault="00181FED">
          <w:pPr>
            <w:pStyle w:val="TOC2"/>
            <w:tabs>
              <w:tab w:val="left" w:pos="880"/>
              <w:tab w:val="right" w:leader="dot" w:pos="9016"/>
            </w:tabs>
            <w:rPr>
              <w:rFonts w:asciiTheme="minorHAnsi" w:eastAsiaTheme="minorEastAsia" w:hAnsiTheme="minorHAnsi"/>
              <w:noProof/>
              <w:sz w:val="22"/>
              <w:lang w:eastAsia="en-GB"/>
            </w:rPr>
          </w:pPr>
          <w:hyperlink w:anchor="_Toc500859073" w:history="1">
            <w:r w:rsidRPr="009A205E">
              <w:rPr>
                <w:rStyle w:val="Hyperlink"/>
                <w:noProof/>
              </w:rPr>
              <w:t>4.3</w:t>
            </w:r>
            <w:r>
              <w:rPr>
                <w:rFonts w:asciiTheme="minorHAnsi" w:eastAsiaTheme="minorEastAsia" w:hAnsiTheme="minorHAnsi"/>
                <w:noProof/>
                <w:sz w:val="22"/>
                <w:lang w:eastAsia="en-GB"/>
              </w:rPr>
              <w:tab/>
            </w:r>
            <w:r w:rsidRPr="009A205E">
              <w:rPr>
                <w:rStyle w:val="Hyperlink"/>
                <w:noProof/>
              </w:rPr>
              <w:t>Coefficient of determination</w:t>
            </w:r>
            <w:r>
              <w:rPr>
                <w:noProof/>
                <w:webHidden/>
              </w:rPr>
              <w:tab/>
            </w:r>
            <w:r>
              <w:rPr>
                <w:noProof/>
                <w:webHidden/>
              </w:rPr>
              <w:fldChar w:fldCharType="begin"/>
            </w:r>
            <w:r>
              <w:rPr>
                <w:noProof/>
                <w:webHidden/>
              </w:rPr>
              <w:instrText xml:space="preserve"> PAGEREF _Toc500859073 \h </w:instrText>
            </w:r>
            <w:r>
              <w:rPr>
                <w:noProof/>
                <w:webHidden/>
              </w:rPr>
            </w:r>
            <w:r>
              <w:rPr>
                <w:noProof/>
                <w:webHidden/>
              </w:rPr>
              <w:fldChar w:fldCharType="separate"/>
            </w:r>
            <w:r w:rsidR="00B439F3">
              <w:rPr>
                <w:noProof/>
                <w:webHidden/>
              </w:rPr>
              <w:t>12</w:t>
            </w:r>
            <w:r>
              <w:rPr>
                <w:noProof/>
                <w:webHidden/>
              </w:rPr>
              <w:fldChar w:fldCharType="end"/>
            </w:r>
          </w:hyperlink>
        </w:p>
        <w:p w14:paraId="2FA42114" w14:textId="38827CF2" w:rsidR="00181FED" w:rsidRDefault="00181FED">
          <w:pPr>
            <w:pStyle w:val="TOC2"/>
            <w:tabs>
              <w:tab w:val="left" w:pos="880"/>
              <w:tab w:val="right" w:leader="dot" w:pos="9016"/>
            </w:tabs>
            <w:rPr>
              <w:rFonts w:asciiTheme="minorHAnsi" w:eastAsiaTheme="minorEastAsia" w:hAnsiTheme="minorHAnsi"/>
              <w:noProof/>
              <w:sz w:val="22"/>
              <w:lang w:eastAsia="en-GB"/>
            </w:rPr>
          </w:pPr>
          <w:hyperlink w:anchor="_Toc500859074" w:history="1">
            <w:r w:rsidRPr="009A205E">
              <w:rPr>
                <w:rStyle w:val="Hyperlink"/>
                <w:noProof/>
              </w:rPr>
              <w:t>4.4</w:t>
            </w:r>
            <w:r>
              <w:rPr>
                <w:rFonts w:asciiTheme="minorHAnsi" w:eastAsiaTheme="minorEastAsia" w:hAnsiTheme="minorHAnsi"/>
                <w:noProof/>
                <w:sz w:val="22"/>
                <w:lang w:eastAsia="en-GB"/>
              </w:rPr>
              <w:tab/>
            </w:r>
            <w:r w:rsidRPr="009A205E">
              <w:rPr>
                <w:rStyle w:val="Hyperlink"/>
                <w:noProof/>
              </w:rPr>
              <w:t>Confidence interval</w:t>
            </w:r>
            <w:r>
              <w:rPr>
                <w:noProof/>
                <w:webHidden/>
              </w:rPr>
              <w:tab/>
            </w:r>
            <w:r>
              <w:rPr>
                <w:noProof/>
                <w:webHidden/>
              </w:rPr>
              <w:fldChar w:fldCharType="begin"/>
            </w:r>
            <w:r>
              <w:rPr>
                <w:noProof/>
                <w:webHidden/>
              </w:rPr>
              <w:instrText xml:space="preserve"> PAGEREF _Toc500859074 \h </w:instrText>
            </w:r>
            <w:r>
              <w:rPr>
                <w:noProof/>
                <w:webHidden/>
              </w:rPr>
            </w:r>
            <w:r>
              <w:rPr>
                <w:noProof/>
                <w:webHidden/>
              </w:rPr>
              <w:fldChar w:fldCharType="separate"/>
            </w:r>
            <w:r w:rsidR="00B439F3">
              <w:rPr>
                <w:noProof/>
                <w:webHidden/>
              </w:rPr>
              <w:t>13</w:t>
            </w:r>
            <w:r>
              <w:rPr>
                <w:noProof/>
                <w:webHidden/>
              </w:rPr>
              <w:fldChar w:fldCharType="end"/>
            </w:r>
          </w:hyperlink>
        </w:p>
        <w:p w14:paraId="4695CE03" w14:textId="7C2C7B5B" w:rsidR="00181FED" w:rsidRDefault="00181FED">
          <w:pPr>
            <w:pStyle w:val="TOC1"/>
            <w:tabs>
              <w:tab w:val="left" w:pos="660"/>
              <w:tab w:val="right" w:leader="dot" w:pos="9016"/>
            </w:tabs>
            <w:rPr>
              <w:rFonts w:asciiTheme="minorHAnsi" w:eastAsiaTheme="minorEastAsia" w:hAnsiTheme="minorHAnsi"/>
              <w:noProof/>
              <w:sz w:val="22"/>
              <w:lang w:eastAsia="en-GB"/>
            </w:rPr>
          </w:pPr>
          <w:hyperlink w:anchor="_Toc500859075" w:history="1">
            <w:r w:rsidRPr="009A205E">
              <w:rPr>
                <w:rStyle w:val="Hyperlink"/>
                <w:noProof/>
              </w:rPr>
              <w:t>5.0</w:t>
            </w:r>
            <w:r>
              <w:rPr>
                <w:rFonts w:asciiTheme="minorHAnsi" w:eastAsiaTheme="minorEastAsia" w:hAnsiTheme="minorHAnsi"/>
                <w:noProof/>
                <w:sz w:val="22"/>
                <w:lang w:eastAsia="en-GB"/>
              </w:rPr>
              <w:tab/>
            </w:r>
            <w:r w:rsidRPr="009A205E">
              <w:rPr>
                <w:rStyle w:val="Hyperlink"/>
                <w:noProof/>
              </w:rPr>
              <w:t>POD results and analysis</w:t>
            </w:r>
            <w:r>
              <w:rPr>
                <w:noProof/>
                <w:webHidden/>
              </w:rPr>
              <w:tab/>
            </w:r>
            <w:r>
              <w:rPr>
                <w:noProof/>
                <w:webHidden/>
              </w:rPr>
              <w:fldChar w:fldCharType="begin"/>
            </w:r>
            <w:r>
              <w:rPr>
                <w:noProof/>
                <w:webHidden/>
              </w:rPr>
              <w:instrText xml:space="preserve"> PAGEREF _Toc500859075 \h </w:instrText>
            </w:r>
            <w:r>
              <w:rPr>
                <w:noProof/>
                <w:webHidden/>
              </w:rPr>
            </w:r>
            <w:r>
              <w:rPr>
                <w:noProof/>
                <w:webHidden/>
              </w:rPr>
              <w:fldChar w:fldCharType="separate"/>
            </w:r>
            <w:r w:rsidR="00B439F3">
              <w:rPr>
                <w:noProof/>
                <w:webHidden/>
              </w:rPr>
              <w:t>15</w:t>
            </w:r>
            <w:r>
              <w:rPr>
                <w:noProof/>
                <w:webHidden/>
              </w:rPr>
              <w:fldChar w:fldCharType="end"/>
            </w:r>
          </w:hyperlink>
        </w:p>
        <w:p w14:paraId="7C0D2972" w14:textId="7F3C5974" w:rsidR="00181FED" w:rsidRDefault="00181FED">
          <w:pPr>
            <w:pStyle w:val="TOC2"/>
            <w:tabs>
              <w:tab w:val="left" w:pos="880"/>
              <w:tab w:val="right" w:leader="dot" w:pos="9016"/>
            </w:tabs>
            <w:rPr>
              <w:rFonts w:asciiTheme="minorHAnsi" w:eastAsiaTheme="minorEastAsia" w:hAnsiTheme="minorHAnsi"/>
              <w:noProof/>
              <w:sz w:val="22"/>
              <w:lang w:eastAsia="en-GB"/>
            </w:rPr>
          </w:pPr>
          <w:hyperlink w:anchor="_Toc500859076" w:history="1">
            <w:r w:rsidRPr="009A205E">
              <w:rPr>
                <w:rStyle w:val="Hyperlink"/>
                <w:noProof/>
              </w:rPr>
              <w:t>5.1</w:t>
            </w:r>
            <w:r>
              <w:rPr>
                <w:rFonts w:asciiTheme="minorHAnsi" w:eastAsiaTheme="minorEastAsia" w:hAnsiTheme="minorHAnsi"/>
                <w:noProof/>
                <w:sz w:val="22"/>
                <w:lang w:eastAsia="en-GB"/>
              </w:rPr>
              <w:tab/>
            </w:r>
            <w:r w:rsidRPr="009A205E">
              <w:rPr>
                <w:rStyle w:val="Hyperlink"/>
                <w:noProof/>
              </w:rPr>
              <w:t>Analysis of procedure</w:t>
            </w:r>
            <w:r>
              <w:rPr>
                <w:noProof/>
                <w:webHidden/>
              </w:rPr>
              <w:tab/>
            </w:r>
            <w:r>
              <w:rPr>
                <w:noProof/>
                <w:webHidden/>
              </w:rPr>
              <w:fldChar w:fldCharType="begin"/>
            </w:r>
            <w:r>
              <w:rPr>
                <w:noProof/>
                <w:webHidden/>
              </w:rPr>
              <w:instrText xml:space="preserve"> PAGEREF _Toc500859076 \h </w:instrText>
            </w:r>
            <w:r>
              <w:rPr>
                <w:noProof/>
                <w:webHidden/>
              </w:rPr>
            </w:r>
            <w:r>
              <w:rPr>
                <w:noProof/>
                <w:webHidden/>
              </w:rPr>
              <w:fldChar w:fldCharType="separate"/>
            </w:r>
            <w:r w:rsidR="00B439F3">
              <w:rPr>
                <w:noProof/>
                <w:webHidden/>
              </w:rPr>
              <w:t>18</w:t>
            </w:r>
            <w:r>
              <w:rPr>
                <w:noProof/>
                <w:webHidden/>
              </w:rPr>
              <w:fldChar w:fldCharType="end"/>
            </w:r>
          </w:hyperlink>
        </w:p>
        <w:p w14:paraId="1FFBEAE2" w14:textId="5416CD82" w:rsidR="00181FED" w:rsidRDefault="00181FED">
          <w:pPr>
            <w:pStyle w:val="TOC1"/>
            <w:tabs>
              <w:tab w:val="left" w:pos="660"/>
              <w:tab w:val="right" w:leader="dot" w:pos="9016"/>
            </w:tabs>
            <w:rPr>
              <w:rFonts w:asciiTheme="minorHAnsi" w:eastAsiaTheme="minorEastAsia" w:hAnsiTheme="minorHAnsi"/>
              <w:noProof/>
              <w:sz w:val="22"/>
              <w:lang w:eastAsia="en-GB"/>
            </w:rPr>
          </w:pPr>
          <w:hyperlink w:anchor="_Toc500859077" w:history="1">
            <w:r w:rsidRPr="009A205E">
              <w:rPr>
                <w:rStyle w:val="Hyperlink"/>
                <w:noProof/>
              </w:rPr>
              <w:t>6.0</w:t>
            </w:r>
            <w:r>
              <w:rPr>
                <w:rFonts w:asciiTheme="minorHAnsi" w:eastAsiaTheme="minorEastAsia" w:hAnsiTheme="minorHAnsi"/>
                <w:noProof/>
                <w:sz w:val="22"/>
                <w:lang w:eastAsia="en-GB"/>
              </w:rPr>
              <w:tab/>
            </w:r>
            <w:r w:rsidRPr="009A205E">
              <w:rPr>
                <w:rStyle w:val="Hyperlink"/>
                <w:noProof/>
              </w:rPr>
              <w:t>POS results and analysis</w:t>
            </w:r>
            <w:r>
              <w:rPr>
                <w:noProof/>
                <w:webHidden/>
              </w:rPr>
              <w:tab/>
            </w:r>
            <w:r>
              <w:rPr>
                <w:noProof/>
                <w:webHidden/>
              </w:rPr>
              <w:fldChar w:fldCharType="begin"/>
            </w:r>
            <w:r>
              <w:rPr>
                <w:noProof/>
                <w:webHidden/>
              </w:rPr>
              <w:instrText xml:space="preserve"> PAGEREF _Toc500859077 \h </w:instrText>
            </w:r>
            <w:r>
              <w:rPr>
                <w:noProof/>
                <w:webHidden/>
              </w:rPr>
            </w:r>
            <w:r>
              <w:rPr>
                <w:noProof/>
                <w:webHidden/>
              </w:rPr>
              <w:fldChar w:fldCharType="separate"/>
            </w:r>
            <w:r w:rsidR="00B439F3">
              <w:rPr>
                <w:noProof/>
                <w:webHidden/>
              </w:rPr>
              <w:t>19</w:t>
            </w:r>
            <w:r>
              <w:rPr>
                <w:noProof/>
                <w:webHidden/>
              </w:rPr>
              <w:fldChar w:fldCharType="end"/>
            </w:r>
          </w:hyperlink>
        </w:p>
        <w:p w14:paraId="1E6EAC4E" w14:textId="1316380C" w:rsidR="00181FED" w:rsidRDefault="00181FED">
          <w:pPr>
            <w:pStyle w:val="TOC2"/>
            <w:tabs>
              <w:tab w:val="left" w:pos="880"/>
              <w:tab w:val="right" w:leader="dot" w:pos="9016"/>
            </w:tabs>
            <w:rPr>
              <w:rFonts w:asciiTheme="minorHAnsi" w:eastAsiaTheme="minorEastAsia" w:hAnsiTheme="minorHAnsi"/>
              <w:noProof/>
              <w:sz w:val="22"/>
              <w:lang w:eastAsia="en-GB"/>
            </w:rPr>
          </w:pPr>
          <w:hyperlink w:anchor="_Toc500859078" w:history="1">
            <w:r w:rsidRPr="009A205E">
              <w:rPr>
                <w:rStyle w:val="Hyperlink"/>
                <w:noProof/>
              </w:rPr>
              <w:t>6.1</w:t>
            </w:r>
            <w:r>
              <w:rPr>
                <w:rFonts w:asciiTheme="minorHAnsi" w:eastAsiaTheme="minorEastAsia" w:hAnsiTheme="minorHAnsi"/>
                <w:noProof/>
                <w:sz w:val="22"/>
                <w:lang w:eastAsia="en-GB"/>
              </w:rPr>
              <w:tab/>
            </w:r>
            <w:r w:rsidRPr="009A205E">
              <w:rPr>
                <w:rStyle w:val="Hyperlink"/>
                <w:noProof/>
              </w:rPr>
              <w:t>Analysis of procedure</w:t>
            </w:r>
            <w:r>
              <w:rPr>
                <w:noProof/>
                <w:webHidden/>
              </w:rPr>
              <w:tab/>
            </w:r>
            <w:r>
              <w:rPr>
                <w:noProof/>
                <w:webHidden/>
              </w:rPr>
              <w:fldChar w:fldCharType="begin"/>
            </w:r>
            <w:r>
              <w:rPr>
                <w:noProof/>
                <w:webHidden/>
              </w:rPr>
              <w:instrText xml:space="preserve"> PAGEREF _Toc500859078 \h </w:instrText>
            </w:r>
            <w:r>
              <w:rPr>
                <w:noProof/>
                <w:webHidden/>
              </w:rPr>
            </w:r>
            <w:r>
              <w:rPr>
                <w:noProof/>
                <w:webHidden/>
              </w:rPr>
              <w:fldChar w:fldCharType="separate"/>
            </w:r>
            <w:r w:rsidR="00B439F3">
              <w:rPr>
                <w:noProof/>
                <w:webHidden/>
              </w:rPr>
              <w:t>22</w:t>
            </w:r>
            <w:r>
              <w:rPr>
                <w:noProof/>
                <w:webHidden/>
              </w:rPr>
              <w:fldChar w:fldCharType="end"/>
            </w:r>
          </w:hyperlink>
        </w:p>
        <w:p w14:paraId="16D4FBC3" w14:textId="4176E587" w:rsidR="00181FED" w:rsidRDefault="00181FED">
          <w:pPr>
            <w:pStyle w:val="TOC2"/>
            <w:tabs>
              <w:tab w:val="right" w:leader="dot" w:pos="9016"/>
            </w:tabs>
            <w:rPr>
              <w:rFonts w:asciiTheme="minorHAnsi" w:eastAsiaTheme="minorEastAsia" w:hAnsiTheme="minorHAnsi"/>
              <w:noProof/>
              <w:sz w:val="22"/>
              <w:lang w:eastAsia="en-GB"/>
            </w:rPr>
          </w:pPr>
          <w:hyperlink w:anchor="_Toc500859079" w:history="1">
            <w:r>
              <w:rPr>
                <w:noProof/>
                <w:webHidden/>
              </w:rPr>
              <w:tab/>
            </w:r>
            <w:r>
              <w:rPr>
                <w:noProof/>
                <w:webHidden/>
              </w:rPr>
              <w:fldChar w:fldCharType="begin"/>
            </w:r>
            <w:r>
              <w:rPr>
                <w:noProof/>
                <w:webHidden/>
              </w:rPr>
              <w:instrText xml:space="preserve"> PAGEREF _Toc500859079 \h </w:instrText>
            </w:r>
            <w:r>
              <w:rPr>
                <w:noProof/>
                <w:webHidden/>
              </w:rPr>
            </w:r>
            <w:r>
              <w:rPr>
                <w:noProof/>
                <w:webHidden/>
              </w:rPr>
              <w:fldChar w:fldCharType="separate"/>
            </w:r>
            <w:r w:rsidR="00B439F3">
              <w:rPr>
                <w:noProof/>
                <w:webHidden/>
              </w:rPr>
              <w:t>23</w:t>
            </w:r>
            <w:r>
              <w:rPr>
                <w:noProof/>
                <w:webHidden/>
              </w:rPr>
              <w:fldChar w:fldCharType="end"/>
            </w:r>
          </w:hyperlink>
        </w:p>
        <w:p w14:paraId="03CB3000" w14:textId="66FD67A0" w:rsidR="00181FED" w:rsidRDefault="00181FED">
          <w:pPr>
            <w:pStyle w:val="TOC1"/>
            <w:tabs>
              <w:tab w:val="left" w:pos="660"/>
              <w:tab w:val="right" w:leader="dot" w:pos="9016"/>
            </w:tabs>
            <w:rPr>
              <w:rFonts w:asciiTheme="minorHAnsi" w:eastAsiaTheme="minorEastAsia" w:hAnsiTheme="minorHAnsi"/>
              <w:noProof/>
              <w:sz w:val="22"/>
              <w:lang w:eastAsia="en-GB"/>
            </w:rPr>
          </w:pPr>
          <w:hyperlink w:anchor="_Toc500859080" w:history="1">
            <w:r w:rsidRPr="009A205E">
              <w:rPr>
                <w:rStyle w:val="Hyperlink"/>
                <w:noProof/>
              </w:rPr>
              <w:t>7.0</w:t>
            </w:r>
            <w:r>
              <w:rPr>
                <w:rFonts w:asciiTheme="minorHAnsi" w:eastAsiaTheme="minorEastAsia" w:hAnsiTheme="minorHAnsi"/>
                <w:noProof/>
                <w:sz w:val="22"/>
                <w:lang w:eastAsia="en-GB"/>
              </w:rPr>
              <w:tab/>
            </w:r>
            <w:r w:rsidRPr="009A205E">
              <w:rPr>
                <w:rStyle w:val="Hyperlink"/>
                <w:noProof/>
              </w:rPr>
              <w:t>Conclusion</w:t>
            </w:r>
            <w:r>
              <w:rPr>
                <w:noProof/>
                <w:webHidden/>
              </w:rPr>
              <w:tab/>
            </w:r>
            <w:r>
              <w:rPr>
                <w:noProof/>
                <w:webHidden/>
              </w:rPr>
              <w:fldChar w:fldCharType="begin"/>
            </w:r>
            <w:r>
              <w:rPr>
                <w:noProof/>
                <w:webHidden/>
              </w:rPr>
              <w:instrText xml:space="preserve"> PAGEREF _Toc500859080 \h </w:instrText>
            </w:r>
            <w:r>
              <w:rPr>
                <w:noProof/>
                <w:webHidden/>
              </w:rPr>
            </w:r>
            <w:r>
              <w:rPr>
                <w:noProof/>
                <w:webHidden/>
              </w:rPr>
              <w:fldChar w:fldCharType="separate"/>
            </w:r>
            <w:r w:rsidR="00B439F3">
              <w:rPr>
                <w:noProof/>
                <w:webHidden/>
              </w:rPr>
              <w:t>24</w:t>
            </w:r>
            <w:r>
              <w:rPr>
                <w:noProof/>
                <w:webHidden/>
              </w:rPr>
              <w:fldChar w:fldCharType="end"/>
            </w:r>
          </w:hyperlink>
        </w:p>
        <w:p w14:paraId="24FD2068" w14:textId="3DD08E45" w:rsidR="00181FED" w:rsidRDefault="00181FED">
          <w:pPr>
            <w:pStyle w:val="TOC1"/>
            <w:tabs>
              <w:tab w:val="right" w:leader="dot" w:pos="9016"/>
            </w:tabs>
            <w:rPr>
              <w:rFonts w:asciiTheme="minorHAnsi" w:eastAsiaTheme="minorEastAsia" w:hAnsiTheme="minorHAnsi"/>
              <w:noProof/>
              <w:sz w:val="22"/>
              <w:lang w:eastAsia="en-GB"/>
            </w:rPr>
          </w:pPr>
          <w:hyperlink w:anchor="_Toc500859081" w:history="1">
            <w:r w:rsidRPr="009A205E">
              <w:rPr>
                <w:rStyle w:val="Hyperlink"/>
                <w:noProof/>
              </w:rPr>
              <w:t>Works Cited</w:t>
            </w:r>
            <w:r>
              <w:rPr>
                <w:noProof/>
                <w:webHidden/>
              </w:rPr>
              <w:tab/>
            </w:r>
            <w:r>
              <w:rPr>
                <w:noProof/>
                <w:webHidden/>
              </w:rPr>
              <w:fldChar w:fldCharType="begin"/>
            </w:r>
            <w:r>
              <w:rPr>
                <w:noProof/>
                <w:webHidden/>
              </w:rPr>
              <w:instrText xml:space="preserve"> PAGEREF _Toc500859081 \h </w:instrText>
            </w:r>
            <w:r>
              <w:rPr>
                <w:noProof/>
                <w:webHidden/>
              </w:rPr>
            </w:r>
            <w:r>
              <w:rPr>
                <w:noProof/>
                <w:webHidden/>
              </w:rPr>
              <w:fldChar w:fldCharType="separate"/>
            </w:r>
            <w:r w:rsidR="00B439F3">
              <w:rPr>
                <w:noProof/>
                <w:webHidden/>
              </w:rPr>
              <w:t>25</w:t>
            </w:r>
            <w:r>
              <w:rPr>
                <w:noProof/>
                <w:webHidden/>
              </w:rPr>
              <w:fldChar w:fldCharType="end"/>
            </w:r>
          </w:hyperlink>
        </w:p>
        <w:p w14:paraId="196312EF" w14:textId="4CE2C484" w:rsidR="009E28CB" w:rsidRDefault="009E28CB">
          <w:r>
            <w:rPr>
              <w:b/>
              <w:bCs/>
              <w:noProof/>
            </w:rPr>
            <w:fldChar w:fldCharType="end"/>
          </w:r>
        </w:p>
      </w:sdtContent>
    </w:sdt>
    <w:p w14:paraId="1901FD6F" w14:textId="77777777" w:rsidR="00E56BF9" w:rsidRDefault="00E56BF9"/>
    <w:p w14:paraId="7C644949" w14:textId="77777777" w:rsidR="00E56BF9" w:rsidRDefault="00E56BF9">
      <w:bookmarkStart w:id="0" w:name="_GoBack"/>
      <w:bookmarkEnd w:id="0"/>
    </w:p>
    <w:p w14:paraId="2E5C7E0A" w14:textId="77777777" w:rsidR="00E56BF9" w:rsidRDefault="00E56BF9"/>
    <w:p w14:paraId="2D5C1DAD" w14:textId="77777777" w:rsidR="00E56BF9" w:rsidRDefault="00E56BF9"/>
    <w:p w14:paraId="41EB39BC" w14:textId="77777777" w:rsidR="00E56BF9" w:rsidRDefault="00E56BF9"/>
    <w:p w14:paraId="7812AA80" w14:textId="77777777" w:rsidR="00E56BF9" w:rsidRDefault="00E56BF9"/>
    <w:p w14:paraId="7F23DC18" w14:textId="77777777" w:rsidR="00E56BF9" w:rsidRDefault="00E56BF9"/>
    <w:p w14:paraId="1DBF7EA1" w14:textId="77777777" w:rsidR="00E56BF9" w:rsidRDefault="00E56BF9"/>
    <w:p w14:paraId="71AA6DDE" w14:textId="49D41007" w:rsidR="00C401FE" w:rsidRDefault="00C401FE">
      <w:pPr>
        <w:jc w:val="left"/>
      </w:pPr>
      <w:r>
        <w:br w:type="page"/>
      </w:r>
    </w:p>
    <w:p w14:paraId="6777C5BD" w14:textId="77777777" w:rsidR="00E56BF9" w:rsidRDefault="00E56BF9"/>
    <w:p w14:paraId="3245D2C3" w14:textId="77777777" w:rsidR="00E56BF9" w:rsidRDefault="00E56BF9" w:rsidP="00E56BF9">
      <w:pPr>
        <w:pStyle w:val="Heading1"/>
        <w:numPr>
          <w:ilvl w:val="0"/>
          <w:numId w:val="1"/>
        </w:numPr>
      </w:pPr>
      <w:bookmarkStart w:id="1" w:name="_Toc500859065"/>
      <w:r>
        <w:t>Introduction</w:t>
      </w:r>
      <w:bookmarkEnd w:id="1"/>
    </w:p>
    <w:p w14:paraId="1B01E5B0" w14:textId="77777777" w:rsidR="00FD051C" w:rsidRDefault="00FD051C" w:rsidP="00FD051C">
      <w:pPr>
        <w:spacing w:line="480" w:lineRule="auto"/>
        <w:rPr>
          <w:rFonts w:cs="Times New Roman"/>
          <w:szCs w:val="24"/>
        </w:rPr>
      </w:pPr>
      <w:r>
        <w:rPr>
          <w:rFonts w:cs="Times New Roman"/>
          <w:szCs w:val="24"/>
        </w:rPr>
        <w:t>Probability of detection (</w:t>
      </w:r>
      <w:proofErr w:type="spellStart"/>
      <w:r>
        <w:rPr>
          <w:rFonts w:cs="Times New Roman"/>
          <w:szCs w:val="24"/>
        </w:rPr>
        <w:t>PoD</w:t>
      </w:r>
      <w:proofErr w:type="spellEnd"/>
      <w:r>
        <w:rPr>
          <w:rFonts w:cs="Times New Roman"/>
          <w:szCs w:val="24"/>
        </w:rPr>
        <w:t>) and probability of sizing (</w:t>
      </w:r>
      <w:proofErr w:type="spellStart"/>
      <w:r>
        <w:rPr>
          <w:rFonts w:cs="Times New Roman"/>
          <w:szCs w:val="24"/>
        </w:rPr>
        <w:t>PoS</w:t>
      </w:r>
      <w:proofErr w:type="spellEnd"/>
      <w:r>
        <w:rPr>
          <w:rFonts w:cs="Times New Roman"/>
          <w:szCs w:val="24"/>
        </w:rPr>
        <w:t xml:space="preserve">) are two of the most powerful tools to use when determining the capabilities of various non-destructive testing techniques in flaw detection and sizing. </w:t>
      </w:r>
    </w:p>
    <w:p w14:paraId="3BB35915" w14:textId="15538E1C" w:rsidR="004E50AF" w:rsidRDefault="003F63A3" w:rsidP="00FD051C">
      <w:pPr>
        <w:spacing w:line="480" w:lineRule="auto"/>
        <w:rPr>
          <w:rFonts w:cs="Times New Roman"/>
          <w:szCs w:val="24"/>
        </w:rPr>
      </w:pPr>
      <w:proofErr w:type="spellStart"/>
      <w:r>
        <w:rPr>
          <w:rFonts w:cs="Times New Roman"/>
          <w:szCs w:val="24"/>
        </w:rPr>
        <w:t>PoD</w:t>
      </w:r>
      <w:proofErr w:type="spellEnd"/>
      <w:r>
        <w:rPr>
          <w:rFonts w:cs="Times New Roman"/>
          <w:szCs w:val="24"/>
        </w:rPr>
        <w:t xml:space="preserve"> and </w:t>
      </w:r>
      <w:proofErr w:type="spellStart"/>
      <w:r>
        <w:rPr>
          <w:rFonts w:cs="Times New Roman"/>
          <w:szCs w:val="24"/>
        </w:rPr>
        <w:t>PoS</w:t>
      </w:r>
      <w:proofErr w:type="spellEnd"/>
      <w:r>
        <w:rPr>
          <w:rFonts w:cs="Times New Roman"/>
          <w:szCs w:val="24"/>
        </w:rPr>
        <w:t xml:space="preserve"> not only help show the capabilities of each NDT system (</w:t>
      </w:r>
      <w:proofErr w:type="spellStart"/>
      <w:r>
        <w:rPr>
          <w:rFonts w:cs="Times New Roman"/>
          <w:szCs w:val="24"/>
        </w:rPr>
        <w:t>i.e</w:t>
      </w:r>
      <w:proofErr w:type="spellEnd"/>
      <w:r>
        <w:rPr>
          <w:rFonts w:cs="Times New Roman"/>
          <w:szCs w:val="24"/>
        </w:rPr>
        <w:t xml:space="preserve"> ultrasonic, eddy current, X-ray) but also how well each system performs in different testing conditions and which system is suitable for what scenario. </w:t>
      </w:r>
    </w:p>
    <w:p w14:paraId="417F91C0" w14:textId="5F842BB7" w:rsidR="00815F9D" w:rsidRDefault="00815F9D" w:rsidP="00FD051C">
      <w:pPr>
        <w:spacing w:line="480" w:lineRule="auto"/>
        <w:rPr>
          <w:rFonts w:cs="Times New Roman"/>
          <w:szCs w:val="24"/>
        </w:rPr>
      </w:pPr>
      <w:r>
        <w:rPr>
          <w:rFonts w:cs="Times New Roman"/>
          <w:szCs w:val="24"/>
        </w:rPr>
        <w:t>This report is analysing two sets of data. The first set is POD data from 10 separate operators using an</w:t>
      </w:r>
      <w:r w:rsidR="00136787">
        <w:rPr>
          <w:rFonts w:cs="Times New Roman"/>
          <w:szCs w:val="24"/>
        </w:rPr>
        <w:t xml:space="preserve"> ultrasonic inspection procedure. The second set is POS data from 10 separate operators using ultrasonic through wall thickness gauges. </w:t>
      </w:r>
    </w:p>
    <w:p w14:paraId="6C8DED56" w14:textId="0CB009FC" w:rsidR="00136787" w:rsidRDefault="00136787" w:rsidP="00FD051C">
      <w:pPr>
        <w:spacing w:line="480" w:lineRule="auto"/>
        <w:rPr>
          <w:rFonts w:cs="Times New Roman"/>
          <w:szCs w:val="24"/>
        </w:rPr>
      </w:pPr>
      <w:r>
        <w:rPr>
          <w:rFonts w:cs="Times New Roman"/>
          <w:szCs w:val="24"/>
        </w:rPr>
        <w:t xml:space="preserve">The aims are to analyse each data set and determine which operators are the best performing, which are the worst performing and then to determine how accurate and effective the procedures </w:t>
      </w:r>
      <w:proofErr w:type="gramStart"/>
      <w:r>
        <w:rPr>
          <w:rFonts w:cs="Times New Roman"/>
          <w:szCs w:val="24"/>
        </w:rPr>
        <w:t>as a whole are</w:t>
      </w:r>
      <w:proofErr w:type="gramEnd"/>
      <w:r>
        <w:rPr>
          <w:rFonts w:cs="Times New Roman"/>
          <w:szCs w:val="24"/>
        </w:rPr>
        <w:t>.</w:t>
      </w:r>
    </w:p>
    <w:p w14:paraId="0321D178" w14:textId="4A3FC9AB" w:rsidR="00CF7DB1" w:rsidRDefault="00CF7DB1" w:rsidP="00FD051C">
      <w:pPr>
        <w:spacing w:line="480" w:lineRule="auto"/>
        <w:rPr>
          <w:rFonts w:cs="Times New Roman"/>
          <w:szCs w:val="24"/>
        </w:rPr>
      </w:pPr>
    </w:p>
    <w:p w14:paraId="0C287E84" w14:textId="088A35D2" w:rsidR="009E28CB" w:rsidRDefault="009E28CB" w:rsidP="00FD051C">
      <w:pPr>
        <w:spacing w:line="480" w:lineRule="auto"/>
        <w:rPr>
          <w:rFonts w:cs="Times New Roman"/>
          <w:szCs w:val="24"/>
        </w:rPr>
      </w:pPr>
    </w:p>
    <w:p w14:paraId="393F5EAE" w14:textId="4F200530" w:rsidR="009E28CB" w:rsidRDefault="009E28CB" w:rsidP="00FD051C">
      <w:pPr>
        <w:spacing w:line="480" w:lineRule="auto"/>
        <w:rPr>
          <w:rFonts w:cs="Times New Roman"/>
          <w:szCs w:val="24"/>
        </w:rPr>
      </w:pPr>
    </w:p>
    <w:p w14:paraId="1A73E353" w14:textId="6AE4954E" w:rsidR="009E28CB" w:rsidRDefault="009E28CB" w:rsidP="00FD051C">
      <w:pPr>
        <w:spacing w:line="480" w:lineRule="auto"/>
        <w:rPr>
          <w:rFonts w:cs="Times New Roman"/>
          <w:szCs w:val="24"/>
        </w:rPr>
      </w:pPr>
    </w:p>
    <w:p w14:paraId="5E40CD57" w14:textId="7712741E" w:rsidR="009E28CB" w:rsidRDefault="009E28CB" w:rsidP="00FD051C">
      <w:pPr>
        <w:spacing w:line="480" w:lineRule="auto"/>
        <w:rPr>
          <w:rFonts w:cs="Times New Roman"/>
          <w:szCs w:val="24"/>
        </w:rPr>
      </w:pPr>
    </w:p>
    <w:p w14:paraId="19FDAA39" w14:textId="337801FB" w:rsidR="009E28CB" w:rsidRDefault="009E28CB" w:rsidP="00FD051C">
      <w:pPr>
        <w:spacing w:line="480" w:lineRule="auto"/>
        <w:rPr>
          <w:rFonts w:cs="Times New Roman"/>
          <w:szCs w:val="24"/>
        </w:rPr>
      </w:pPr>
    </w:p>
    <w:p w14:paraId="1DF0D9A5" w14:textId="1D242DD4" w:rsidR="009E28CB" w:rsidRDefault="009E28CB" w:rsidP="00FD051C">
      <w:pPr>
        <w:spacing w:line="480" w:lineRule="auto"/>
        <w:rPr>
          <w:rFonts w:cs="Times New Roman"/>
          <w:szCs w:val="24"/>
        </w:rPr>
      </w:pPr>
    </w:p>
    <w:p w14:paraId="0FFEF190" w14:textId="4285E918" w:rsidR="00DC45D0" w:rsidRDefault="00DC45D0" w:rsidP="00FD051C">
      <w:pPr>
        <w:spacing w:line="480" w:lineRule="auto"/>
        <w:rPr>
          <w:rFonts w:cs="Times New Roman"/>
          <w:szCs w:val="24"/>
        </w:rPr>
      </w:pPr>
    </w:p>
    <w:p w14:paraId="4BAAA025" w14:textId="1844AE29" w:rsidR="00DC45D0" w:rsidRPr="00FD051C" w:rsidRDefault="00DC45D0" w:rsidP="00FD051C">
      <w:pPr>
        <w:spacing w:line="480" w:lineRule="auto"/>
        <w:rPr>
          <w:rFonts w:cs="Times New Roman"/>
          <w:szCs w:val="24"/>
        </w:rPr>
      </w:pPr>
    </w:p>
    <w:p w14:paraId="401C963E" w14:textId="6D0C0A3F" w:rsidR="009E28CB" w:rsidRDefault="00853AA2" w:rsidP="009E28CB">
      <w:pPr>
        <w:pStyle w:val="Heading1"/>
        <w:numPr>
          <w:ilvl w:val="0"/>
          <w:numId w:val="1"/>
        </w:numPr>
      </w:pPr>
      <w:bookmarkStart w:id="2" w:name="_Toc500859066"/>
      <w:r>
        <w:t xml:space="preserve">Brief </w:t>
      </w:r>
      <w:r w:rsidR="009E28CB">
        <w:t xml:space="preserve">History of </w:t>
      </w:r>
      <w:proofErr w:type="spellStart"/>
      <w:r w:rsidR="009E28CB">
        <w:t>PoD</w:t>
      </w:r>
      <w:proofErr w:type="spellEnd"/>
      <w:r w:rsidR="009E28CB">
        <w:t xml:space="preserve"> and </w:t>
      </w:r>
      <w:proofErr w:type="spellStart"/>
      <w:r w:rsidR="009E28CB">
        <w:t>PoS</w:t>
      </w:r>
      <w:bookmarkEnd w:id="2"/>
      <w:proofErr w:type="spellEnd"/>
    </w:p>
    <w:p w14:paraId="60A3E100" w14:textId="35DB07D5" w:rsidR="009E28CB" w:rsidRDefault="00CE16B9" w:rsidP="004F3BD2">
      <w:pPr>
        <w:spacing w:line="480" w:lineRule="auto"/>
      </w:pPr>
      <w:r>
        <w:t>Probability of detection was first developed in the late 1960’s to early 1970’s</w:t>
      </w:r>
      <w:sdt>
        <w:sdtPr>
          <w:id w:val="-1821184305"/>
          <w:citation/>
        </w:sdtPr>
        <w:sdtContent>
          <w:r w:rsidR="004F3BD2">
            <w:fldChar w:fldCharType="begin"/>
          </w:r>
          <w:r w:rsidR="004F3BD2">
            <w:instrText xml:space="preserve"> CITATION Sch09 \l 2057 </w:instrText>
          </w:r>
          <w:r w:rsidR="004F3BD2">
            <w:fldChar w:fldCharType="separate"/>
          </w:r>
          <w:r w:rsidR="00F03E32">
            <w:rPr>
              <w:noProof/>
            </w:rPr>
            <w:t xml:space="preserve"> (Schaefer, 2009)</w:t>
          </w:r>
          <w:r w:rsidR="004F3BD2">
            <w:fldChar w:fldCharType="end"/>
          </w:r>
        </w:sdtContent>
      </w:sdt>
      <w:r>
        <w:t>. NASA played by far the largest role in the early development in 1969</w:t>
      </w:r>
      <w:r w:rsidR="004F3BD2">
        <w:t xml:space="preserve">. NASA saw the need of NDT for the development for the space shuttle. To be able to accurately analyse the capabilities of each NDT system, NASA created the </w:t>
      </w:r>
      <w:proofErr w:type="spellStart"/>
      <w:r w:rsidR="004F3BD2">
        <w:t>PoD</w:t>
      </w:r>
      <w:proofErr w:type="spellEnd"/>
      <w:r w:rsidR="004F3BD2">
        <w:t xml:space="preserve"> method. </w:t>
      </w:r>
      <w:sdt>
        <w:sdtPr>
          <w:id w:val="1831027047"/>
          <w:citation/>
        </w:sdtPr>
        <w:sdtContent>
          <w:r w:rsidR="004F3BD2">
            <w:fldChar w:fldCharType="begin"/>
          </w:r>
          <w:r w:rsidR="004F3BD2">
            <w:instrText xml:space="preserve"> CITATION Arv16 \l 2057 </w:instrText>
          </w:r>
          <w:r w:rsidR="004F3BD2">
            <w:fldChar w:fldCharType="separate"/>
          </w:r>
          <w:r w:rsidR="00F03E32">
            <w:rPr>
              <w:noProof/>
            </w:rPr>
            <w:t>(Keprat, 2016)</w:t>
          </w:r>
          <w:r w:rsidR="004F3BD2">
            <w:fldChar w:fldCharType="end"/>
          </w:r>
        </w:sdtContent>
      </w:sdt>
      <w:r w:rsidR="004F3BD2">
        <w:t>.</w:t>
      </w:r>
    </w:p>
    <w:p w14:paraId="09372CB9" w14:textId="6D4BFC03" w:rsidR="004F3BD2" w:rsidRDefault="004F3BD2" w:rsidP="004F3BD2">
      <w:pPr>
        <w:spacing w:line="480" w:lineRule="auto"/>
      </w:pPr>
      <w:r>
        <w:t xml:space="preserve">NASA </w:t>
      </w:r>
      <w:proofErr w:type="gramStart"/>
      <w:r>
        <w:t>came to the conclusion</w:t>
      </w:r>
      <w:proofErr w:type="gramEnd"/>
      <w:r>
        <w:t xml:space="preserve"> that it was best to base the system reliability on </w:t>
      </w:r>
      <w:r w:rsidRPr="004F3BD2">
        <w:rPr>
          <w:i/>
        </w:rPr>
        <w:t>“the largest flaw that is possible to be missed, rather than the smallest flaw that is possible to be detected”</w:t>
      </w:r>
      <w:sdt>
        <w:sdtPr>
          <w:rPr>
            <w:i/>
          </w:rPr>
          <w:id w:val="157898820"/>
          <w:citation/>
        </w:sdtPr>
        <w:sdtContent>
          <w:r>
            <w:rPr>
              <w:i/>
            </w:rPr>
            <w:fldChar w:fldCharType="begin"/>
          </w:r>
          <w:r>
            <w:rPr>
              <w:i/>
            </w:rPr>
            <w:instrText xml:space="preserve"> CITATION Arv16 \l 2057 </w:instrText>
          </w:r>
          <w:r>
            <w:rPr>
              <w:i/>
            </w:rPr>
            <w:fldChar w:fldCharType="separate"/>
          </w:r>
          <w:r w:rsidR="00F03E32">
            <w:rPr>
              <w:i/>
              <w:noProof/>
            </w:rPr>
            <w:t xml:space="preserve"> </w:t>
          </w:r>
          <w:r w:rsidR="00F03E32">
            <w:rPr>
              <w:noProof/>
            </w:rPr>
            <w:t>(Keprat, 2016)</w:t>
          </w:r>
          <w:r>
            <w:rPr>
              <w:i/>
            </w:rPr>
            <w:fldChar w:fldCharType="end"/>
          </w:r>
        </w:sdtContent>
      </w:sdt>
      <w:r>
        <w:t xml:space="preserve">. The methodology for </w:t>
      </w:r>
      <w:proofErr w:type="spellStart"/>
      <w:r>
        <w:t>PoD</w:t>
      </w:r>
      <w:proofErr w:type="spellEnd"/>
      <w:r>
        <w:t xml:space="preserve"> developed by NASA was incorporated into their standard procedures and the US air force also adopted it in 1973 </w:t>
      </w:r>
      <w:sdt>
        <w:sdtPr>
          <w:id w:val="-78441435"/>
          <w:citation/>
        </w:sdtPr>
        <w:sdtContent>
          <w:r>
            <w:fldChar w:fldCharType="begin"/>
          </w:r>
          <w:r>
            <w:instrText xml:space="preserve"> CITATION Arv16 \l 2057 </w:instrText>
          </w:r>
          <w:r>
            <w:fldChar w:fldCharType="separate"/>
          </w:r>
          <w:r w:rsidR="00F03E32">
            <w:rPr>
              <w:noProof/>
            </w:rPr>
            <w:t>(Keprat, 2016)</w:t>
          </w:r>
          <w:r>
            <w:fldChar w:fldCharType="end"/>
          </w:r>
        </w:sdtContent>
      </w:sdt>
      <w:r>
        <w:t>.</w:t>
      </w:r>
    </w:p>
    <w:p w14:paraId="69439E34" w14:textId="3C4E69D9" w:rsidR="004F3BD2" w:rsidRDefault="004F3BD2" w:rsidP="004F3BD2">
      <w:pPr>
        <w:spacing w:line="480" w:lineRule="auto"/>
      </w:pPr>
      <w:r>
        <w:t xml:space="preserve">As the NASA </w:t>
      </w:r>
      <w:proofErr w:type="spellStart"/>
      <w:r>
        <w:t>PoD</w:t>
      </w:r>
      <w:proofErr w:type="spellEnd"/>
      <w:r>
        <w:t xml:space="preserve"> method was so successful in evaluation the capabilities of NDT methods, it was soon adopted as standard method globally. </w:t>
      </w:r>
    </w:p>
    <w:p w14:paraId="273F7E94" w14:textId="2B656A84" w:rsidR="00513F2F" w:rsidRDefault="00513F2F" w:rsidP="004F3BD2">
      <w:pPr>
        <w:spacing w:line="480" w:lineRule="auto"/>
      </w:pPr>
      <w:r>
        <w:t xml:space="preserve">However, in 1978 the US air force carried out a report highlighting a problem in the method. This was shown on </w:t>
      </w:r>
      <w:proofErr w:type="gramStart"/>
      <w:r>
        <w:t>a number of</w:t>
      </w:r>
      <w:proofErr w:type="gramEnd"/>
      <w:r>
        <w:t xml:space="preserve"> instances in the report when two cracks of similar length could have drastically different </w:t>
      </w:r>
      <w:proofErr w:type="spellStart"/>
      <w:r>
        <w:t>PoD</w:t>
      </w:r>
      <w:proofErr w:type="spellEnd"/>
      <w:r>
        <w:t xml:space="preserve">. It was concluded that there were “many other” factors at play. To address this problem logarithm-odds for </w:t>
      </w:r>
      <w:proofErr w:type="spellStart"/>
      <w:r>
        <w:t>PoD</w:t>
      </w:r>
      <w:proofErr w:type="spellEnd"/>
      <w:r>
        <w:t xml:space="preserve"> where adopted as they provided better estimates in comparison to the former binomial methods </w:t>
      </w:r>
      <w:sdt>
        <w:sdtPr>
          <w:id w:val="-1424096352"/>
          <w:citation/>
        </w:sdtPr>
        <w:sdtContent>
          <w:r>
            <w:fldChar w:fldCharType="begin"/>
          </w:r>
          <w:r>
            <w:instrText xml:space="preserve"> CITATION Arv16 \l 2057 </w:instrText>
          </w:r>
          <w:r>
            <w:fldChar w:fldCharType="separate"/>
          </w:r>
          <w:r w:rsidR="00F03E32">
            <w:rPr>
              <w:noProof/>
            </w:rPr>
            <w:t>(Keprat, 2016)</w:t>
          </w:r>
          <w:r>
            <w:fldChar w:fldCharType="end"/>
          </w:r>
        </w:sdtContent>
      </w:sdt>
      <w:r>
        <w:t>.</w:t>
      </w:r>
    </w:p>
    <w:p w14:paraId="5282E872" w14:textId="7A5536D2" w:rsidR="00513F2F" w:rsidRDefault="00853AA2" w:rsidP="004F3BD2">
      <w:pPr>
        <w:spacing w:line="480" w:lineRule="auto"/>
      </w:pPr>
      <w:proofErr w:type="spellStart"/>
      <w:r>
        <w:t>PoD</w:t>
      </w:r>
      <w:proofErr w:type="spellEnd"/>
      <w:r>
        <w:t xml:space="preserve"> has been undergoing constant development ever since its birth. The </w:t>
      </w:r>
      <w:r w:rsidRPr="00853AA2">
        <w:t>MIL-HDBK-1823A</w:t>
      </w:r>
      <w:r>
        <w:t xml:space="preserve"> </w:t>
      </w:r>
      <w:proofErr w:type="spellStart"/>
      <w:r>
        <w:t>PoD</w:t>
      </w:r>
      <w:proofErr w:type="spellEnd"/>
      <w:r>
        <w:t xml:space="preserve"> method was published in 2009 and is currently considered the best and most up to date method by many industries globally</w:t>
      </w:r>
      <w:sdt>
        <w:sdtPr>
          <w:id w:val="-273098385"/>
          <w:citation/>
        </w:sdtPr>
        <w:sdtContent>
          <w:r>
            <w:fldChar w:fldCharType="begin"/>
          </w:r>
          <w:r>
            <w:instrText xml:space="preserve"> CITATION Arv16 \l 2057 </w:instrText>
          </w:r>
          <w:r>
            <w:fldChar w:fldCharType="separate"/>
          </w:r>
          <w:r w:rsidR="00F03E32">
            <w:rPr>
              <w:noProof/>
            </w:rPr>
            <w:t xml:space="preserve"> (Keprat, 2016)</w:t>
          </w:r>
          <w:r>
            <w:fldChar w:fldCharType="end"/>
          </w:r>
        </w:sdtContent>
      </w:sdt>
      <w:r>
        <w:t>.</w:t>
      </w:r>
      <w:r w:rsidR="00DF0106">
        <w:t xml:space="preserve"> </w:t>
      </w:r>
    </w:p>
    <w:p w14:paraId="2AB97166" w14:textId="090D8925" w:rsidR="00853AA2" w:rsidRDefault="00853AA2" w:rsidP="004F3BD2">
      <w:pPr>
        <w:spacing w:line="480" w:lineRule="auto"/>
      </w:pPr>
    </w:p>
    <w:p w14:paraId="6753129A" w14:textId="7AFA4F01" w:rsidR="00853AA2" w:rsidRDefault="00853AA2" w:rsidP="004F3BD2">
      <w:pPr>
        <w:spacing w:line="480" w:lineRule="auto"/>
      </w:pPr>
    </w:p>
    <w:p w14:paraId="24DAA973" w14:textId="3B329EA5" w:rsidR="00243621" w:rsidRDefault="00243621" w:rsidP="004F3BD2">
      <w:pPr>
        <w:spacing w:line="480" w:lineRule="auto"/>
      </w:pPr>
    </w:p>
    <w:p w14:paraId="5FAECD15" w14:textId="2D62CD1E" w:rsidR="00853AA2" w:rsidRDefault="00853AA2" w:rsidP="00853AA2">
      <w:pPr>
        <w:pStyle w:val="Heading1"/>
        <w:numPr>
          <w:ilvl w:val="0"/>
          <w:numId w:val="1"/>
        </w:numPr>
      </w:pPr>
      <w:bookmarkStart w:id="3" w:name="_Toc500859067"/>
      <w:r>
        <w:lastRenderedPageBreak/>
        <w:t>Main concepts</w:t>
      </w:r>
      <w:bookmarkEnd w:id="3"/>
    </w:p>
    <w:p w14:paraId="4263C8BF" w14:textId="091920DB" w:rsidR="00853AA2" w:rsidRDefault="00853AA2" w:rsidP="00853AA2">
      <w:pPr>
        <w:pStyle w:val="Heading2"/>
      </w:pPr>
    </w:p>
    <w:p w14:paraId="240E2064" w14:textId="01835806" w:rsidR="00853AA2" w:rsidRDefault="00853AA2" w:rsidP="00853AA2">
      <w:pPr>
        <w:pStyle w:val="Heading2"/>
        <w:numPr>
          <w:ilvl w:val="1"/>
          <w:numId w:val="1"/>
        </w:numPr>
      </w:pPr>
      <w:bookmarkStart w:id="4" w:name="_Toc500859068"/>
      <w:proofErr w:type="spellStart"/>
      <w:r>
        <w:t>PoD</w:t>
      </w:r>
      <w:bookmarkEnd w:id="4"/>
      <w:proofErr w:type="spellEnd"/>
    </w:p>
    <w:p w14:paraId="5EEB3CAB" w14:textId="7E0B3E17" w:rsidR="00853AA2" w:rsidRDefault="00853AA2" w:rsidP="00853AA2">
      <w:pPr>
        <w:spacing w:line="480" w:lineRule="auto"/>
      </w:pPr>
      <w:r>
        <w:t xml:space="preserve">Probability of detection at its most fundamental level is an evaluation of the capabilities of a NDT system in detecting defects within a material. For </w:t>
      </w:r>
      <w:r w:rsidR="00243621">
        <w:t>example,</w:t>
      </w:r>
      <w:r>
        <w:t xml:space="preserve"> an eddy current probe may detect most of the defects on</w:t>
      </w:r>
      <w:r w:rsidR="00243621">
        <w:t xml:space="preserve"> the surface</w:t>
      </w:r>
      <w:r>
        <w:t xml:space="preserve"> a plate (called hits) and only fail to detect a minority (misses). </w:t>
      </w:r>
      <w:r w:rsidR="00243621">
        <w:t xml:space="preserve">If and ultrasonic probe was used to scan the same piece of material then it would likely fail to detect any as the defects being on the surface would be in the probes near field. At the most basic level it is the comparison of the hits and misses of both pieces of equipment that will determine the capabilities of each to find the defects. </w:t>
      </w:r>
    </w:p>
    <w:p w14:paraId="1059E83A" w14:textId="4161EA56" w:rsidR="00243621" w:rsidRDefault="00243621" w:rsidP="00853AA2">
      <w:pPr>
        <w:spacing w:line="480" w:lineRule="auto"/>
      </w:pPr>
      <w:r>
        <w:t>Another test could then be done with defects deep within the material. The eddy current probe would likely detect none of the defects as eddy current probes have poor penetration, the penetration is even less when used to scan a ferrous material. However, the ultrasonic probe will have a much greater chance of finding the defects as it has good penetration and its range is not affected by the material being ferrous or not. As a result, one would expect to see the ultrasonic probe get many more hits than the eddy current probe.</w:t>
      </w:r>
    </w:p>
    <w:p w14:paraId="29EEADA1" w14:textId="7CF40C69" w:rsidR="001A71C0" w:rsidRDefault="00243621" w:rsidP="00853AA2">
      <w:pPr>
        <w:spacing w:line="480" w:lineRule="auto"/>
      </w:pPr>
      <w:r>
        <w:t xml:space="preserve">The hit/miss data gathered shows the capability of each set of equipment for that certain material and type of defect. In the real world, each type of procedure and method have their own </w:t>
      </w:r>
      <w:proofErr w:type="spellStart"/>
      <w:r>
        <w:t>PoD</w:t>
      </w:r>
      <w:proofErr w:type="spellEnd"/>
      <w:r>
        <w:t xml:space="preserve"> curves. They provide the </w:t>
      </w:r>
      <w:r w:rsidR="00CB0D4D">
        <w:t>operators</w:t>
      </w:r>
      <w:r>
        <w:t xml:space="preserve"> a guide to use that informs them what kind of equipment and method to use for </w:t>
      </w:r>
      <w:r w:rsidR="00CB0D4D">
        <w:t xml:space="preserve">the type of material, conditions and </w:t>
      </w:r>
      <w:r w:rsidR="001A71C0">
        <w:t>defects</w:t>
      </w:r>
      <w:r w:rsidR="00CB0D4D">
        <w:t>.</w:t>
      </w:r>
    </w:p>
    <w:p w14:paraId="16854AAE" w14:textId="77777777" w:rsidR="00231C47" w:rsidRDefault="001A71C0" w:rsidP="00853AA2">
      <w:pPr>
        <w:spacing w:line="480" w:lineRule="auto"/>
      </w:pPr>
      <w:proofErr w:type="spellStart"/>
      <w:r>
        <w:t>PoD</w:t>
      </w:r>
      <w:proofErr w:type="spellEnd"/>
      <w:r>
        <w:t xml:space="preserve"> also performs well as a method for evaluating the performance of individual operators. Technicians can be set on tests and their hit/miss data</w:t>
      </w:r>
      <w:r w:rsidR="00231C47">
        <w:t xml:space="preserve"> can be collected and analysed. </w:t>
      </w:r>
    </w:p>
    <w:p w14:paraId="05D61A85" w14:textId="77777777" w:rsidR="00231C47" w:rsidRDefault="00231C47" w:rsidP="00853AA2">
      <w:pPr>
        <w:spacing w:line="480" w:lineRule="auto"/>
      </w:pPr>
    </w:p>
    <w:p w14:paraId="398D108E" w14:textId="128EA82A" w:rsidR="001A71C0" w:rsidRDefault="001A71C0" w:rsidP="00853AA2">
      <w:pPr>
        <w:spacing w:line="480" w:lineRule="auto"/>
      </w:pPr>
      <w:r>
        <w:t xml:space="preserve"> </w:t>
      </w:r>
    </w:p>
    <w:p w14:paraId="2E1F7FDA" w14:textId="0978972E" w:rsidR="001A71C0" w:rsidRDefault="001A71C0" w:rsidP="001A71C0">
      <w:pPr>
        <w:pStyle w:val="Heading2"/>
        <w:numPr>
          <w:ilvl w:val="1"/>
          <w:numId w:val="1"/>
        </w:numPr>
      </w:pPr>
      <w:bookmarkStart w:id="5" w:name="_Toc500859069"/>
      <w:proofErr w:type="spellStart"/>
      <w:r>
        <w:lastRenderedPageBreak/>
        <w:t>PoS</w:t>
      </w:r>
      <w:bookmarkEnd w:id="5"/>
      <w:proofErr w:type="spellEnd"/>
    </w:p>
    <w:p w14:paraId="6467C30D" w14:textId="622C0293" w:rsidR="00243621" w:rsidRDefault="001A71C0" w:rsidP="00231C47">
      <w:pPr>
        <w:spacing w:line="480" w:lineRule="auto"/>
      </w:pPr>
      <w:r>
        <w:t xml:space="preserve">Probability of size detection is </w:t>
      </w:r>
      <w:proofErr w:type="gramStart"/>
      <w:r>
        <w:t xml:space="preserve">similar </w:t>
      </w:r>
      <w:r w:rsidR="00231C47">
        <w:t>to</w:t>
      </w:r>
      <w:proofErr w:type="gramEnd"/>
      <w:r w:rsidR="00231C47">
        <w:t xml:space="preserve"> </w:t>
      </w:r>
      <w:proofErr w:type="spellStart"/>
      <w:r w:rsidR="00231C47">
        <w:t>PoD</w:t>
      </w:r>
      <w:proofErr w:type="spellEnd"/>
      <w:r w:rsidR="00231C47">
        <w:t xml:space="preserve"> in how it is a good tool for comparing the accuracy and performance of individual human operators. </w:t>
      </w:r>
      <w:proofErr w:type="spellStart"/>
      <w:r w:rsidR="0014533E">
        <w:t>PoS</w:t>
      </w:r>
      <w:proofErr w:type="spellEnd"/>
      <w:r w:rsidR="0014533E">
        <w:t xml:space="preserve"> is the analysis of how accurately an operator o</w:t>
      </w:r>
      <w:r w:rsidR="00421518">
        <w:t>r a method can measure a defect assuming the defect has already been detected.</w:t>
      </w:r>
      <w:r w:rsidR="0014533E">
        <w:t xml:space="preserve"> It is based on the measured size of the defect compared to its true size.</w:t>
      </w:r>
      <w:sdt>
        <w:sdtPr>
          <w:id w:val="1519817311"/>
          <w:citation/>
        </w:sdtPr>
        <w:sdtContent>
          <w:r w:rsidR="00760ABE">
            <w:fldChar w:fldCharType="begin"/>
          </w:r>
          <w:r w:rsidR="00760ABE">
            <w:instrText xml:space="preserve"> CITATION HSE08 \l 2057 </w:instrText>
          </w:r>
          <w:r w:rsidR="00760ABE">
            <w:fldChar w:fldCharType="separate"/>
          </w:r>
          <w:r w:rsidR="00F03E32">
            <w:rPr>
              <w:noProof/>
            </w:rPr>
            <w:t xml:space="preserve"> (HSE, 2008)</w:t>
          </w:r>
          <w:r w:rsidR="00760ABE">
            <w:fldChar w:fldCharType="end"/>
          </w:r>
        </w:sdtContent>
      </w:sdt>
    </w:p>
    <w:p w14:paraId="0AC63C74" w14:textId="0229C0B0" w:rsidR="00421518" w:rsidRDefault="00421518" w:rsidP="00231C47">
      <w:pPr>
        <w:spacing w:line="480" w:lineRule="auto"/>
      </w:pPr>
      <w:r>
        <w:t xml:space="preserve">As the same for </w:t>
      </w:r>
      <w:proofErr w:type="spellStart"/>
      <w:r>
        <w:t>PoD</w:t>
      </w:r>
      <w:proofErr w:type="spellEnd"/>
      <w:r>
        <w:t xml:space="preserve">, </w:t>
      </w:r>
      <w:proofErr w:type="spellStart"/>
      <w:r>
        <w:t>PoS</w:t>
      </w:r>
      <w:proofErr w:type="spellEnd"/>
      <w:r>
        <w:t xml:space="preserve"> helps evaluate how effective different types of NDT are for scanning different components and materials. Rather than asking if a sensor can detect a defect or not it instead analyses how accurately it can measure said defect. </w:t>
      </w:r>
    </w:p>
    <w:p w14:paraId="16D1D943" w14:textId="5FD1FFCE" w:rsidR="00421518" w:rsidRDefault="00421518" w:rsidP="00231C47">
      <w:pPr>
        <w:spacing w:line="480" w:lineRule="auto"/>
      </w:pPr>
      <w:r>
        <w:t xml:space="preserve">For </w:t>
      </w:r>
      <w:proofErr w:type="gramStart"/>
      <w:r>
        <w:t>example</w:t>
      </w:r>
      <w:proofErr w:type="gramEnd"/>
      <w:r>
        <w:t xml:space="preserve"> an ultrasonic single crystal sensor projecting an A scan would be quite effective at finding delamination type defects within a flat block of steel. However, it would be poor at measuring the exact size of the defect in comparison to what an ultrasonic phased array probe could do using a B scan. </w:t>
      </w:r>
    </w:p>
    <w:p w14:paraId="1EFC82D1" w14:textId="51BE87C7" w:rsidR="00853AA2" w:rsidRDefault="00421518" w:rsidP="00117C7F">
      <w:pPr>
        <w:spacing w:line="480" w:lineRule="auto"/>
      </w:pPr>
      <w:r>
        <w:t xml:space="preserve">Another example being if one human operator was to measure defects closer to its true size than a second human operator then this is a good indicator of the performance of the two. It would suggest that the second operator may not be as experienced or not be as adept with the equipment as the first operator and could require further training. </w:t>
      </w:r>
    </w:p>
    <w:p w14:paraId="156BB0FE" w14:textId="62EEAEA3" w:rsidR="00117C7F" w:rsidRDefault="00117C7F" w:rsidP="00117C7F">
      <w:pPr>
        <w:spacing w:line="480" w:lineRule="auto"/>
      </w:pPr>
    </w:p>
    <w:p w14:paraId="79AE8332" w14:textId="36EC0927" w:rsidR="00117C7F" w:rsidRDefault="00117C7F" w:rsidP="00117C7F">
      <w:pPr>
        <w:spacing w:line="480" w:lineRule="auto"/>
      </w:pPr>
    </w:p>
    <w:p w14:paraId="445E0563" w14:textId="60642B47" w:rsidR="00117C7F" w:rsidRDefault="00117C7F" w:rsidP="00117C7F">
      <w:pPr>
        <w:spacing w:line="480" w:lineRule="auto"/>
      </w:pPr>
    </w:p>
    <w:p w14:paraId="7DDD253F" w14:textId="27EAD5A7" w:rsidR="00117C7F" w:rsidRDefault="00117C7F" w:rsidP="00117C7F">
      <w:pPr>
        <w:spacing w:line="480" w:lineRule="auto"/>
      </w:pPr>
    </w:p>
    <w:p w14:paraId="77133391" w14:textId="36AE41F4" w:rsidR="00117C7F" w:rsidRDefault="00117C7F" w:rsidP="00117C7F">
      <w:pPr>
        <w:spacing w:line="480" w:lineRule="auto"/>
      </w:pPr>
    </w:p>
    <w:p w14:paraId="56250648" w14:textId="77777777" w:rsidR="00117C7F" w:rsidRPr="00853AA2" w:rsidRDefault="00117C7F" w:rsidP="00117C7F">
      <w:pPr>
        <w:spacing w:line="480" w:lineRule="auto"/>
      </w:pPr>
    </w:p>
    <w:p w14:paraId="14AE1E15" w14:textId="01F1FF76" w:rsidR="009E28CB" w:rsidRDefault="009E28CB" w:rsidP="009E28CB">
      <w:pPr>
        <w:pStyle w:val="Heading1"/>
        <w:numPr>
          <w:ilvl w:val="0"/>
          <w:numId w:val="1"/>
        </w:numPr>
      </w:pPr>
      <w:bookmarkStart w:id="6" w:name="_Toc500859070"/>
      <w:r>
        <w:lastRenderedPageBreak/>
        <w:t>Background Theory</w:t>
      </w:r>
      <w:bookmarkEnd w:id="6"/>
    </w:p>
    <w:p w14:paraId="5BC4F0E4" w14:textId="5298E404" w:rsidR="00117C7F" w:rsidRDefault="00DC45D0" w:rsidP="00853AA2">
      <w:proofErr w:type="spellStart"/>
      <w:r>
        <w:t>PoD</w:t>
      </w:r>
      <w:proofErr w:type="spellEnd"/>
      <w:r>
        <w:t xml:space="preserve"> and </w:t>
      </w:r>
      <w:proofErr w:type="spellStart"/>
      <w:r>
        <w:t>PoD</w:t>
      </w:r>
      <w:proofErr w:type="spellEnd"/>
      <w:r>
        <w:t xml:space="preserve"> are mathematical and statistical methods to analyse NDT methods and procedures. This section will highlight the key </w:t>
      </w:r>
      <w:r w:rsidR="00117C7F">
        <w:t>formula</w:t>
      </w:r>
      <w:r>
        <w:t xml:space="preserve"> and theory behind </w:t>
      </w:r>
      <w:proofErr w:type="spellStart"/>
      <w:r>
        <w:t>PoS</w:t>
      </w:r>
      <w:proofErr w:type="spellEnd"/>
      <w:r>
        <w:t>/</w:t>
      </w:r>
      <w:proofErr w:type="spellStart"/>
      <w:r>
        <w:t>PoD</w:t>
      </w:r>
      <w:proofErr w:type="spellEnd"/>
      <w:r>
        <w:t>.</w:t>
      </w:r>
    </w:p>
    <w:p w14:paraId="5290232C" w14:textId="6E81F56C" w:rsidR="00117C7F" w:rsidRPr="00117C7F" w:rsidRDefault="00DC45D0" w:rsidP="00117C7F">
      <w:pPr>
        <w:pStyle w:val="Heading2"/>
        <w:numPr>
          <w:ilvl w:val="1"/>
          <w:numId w:val="1"/>
        </w:numPr>
      </w:pPr>
      <w:bookmarkStart w:id="7" w:name="_Toc500859071"/>
      <w:r>
        <w:t>Probability of detection</w:t>
      </w:r>
      <w:bookmarkEnd w:id="7"/>
      <w:r>
        <w:t xml:space="preserve"> </w:t>
      </w:r>
    </w:p>
    <w:p w14:paraId="128E902A" w14:textId="6E72A703" w:rsidR="00DC45D0" w:rsidRDefault="00DC45D0" w:rsidP="00917BFE">
      <w:pPr>
        <w:spacing w:line="480" w:lineRule="auto"/>
      </w:pPr>
      <w:r>
        <w:t xml:space="preserve">The main goal of </w:t>
      </w:r>
      <w:proofErr w:type="spellStart"/>
      <w:r>
        <w:t>PoD</w:t>
      </w:r>
      <w:proofErr w:type="spellEnd"/>
      <w:r>
        <w:t xml:space="preserve"> analysis is to produce what is called a “</w:t>
      </w:r>
      <w:proofErr w:type="spellStart"/>
      <w:r>
        <w:t>PoD</w:t>
      </w:r>
      <w:proofErr w:type="spellEnd"/>
      <w:r>
        <w:t xml:space="preserve"> curve. A </w:t>
      </w:r>
      <w:proofErr w:type="spellStart"/>
      <w:r>
        <w:t>PoD</w:t>
      </w:r>
      <w:proofErr w:type="spellEnd"/>
      <w:r>
        <w:t xml:space="preserve"> curve is a graph that is produced using data gathered from real life testing of a certain NDT method. </w:t>
      </w:r>
      <w:r w:rsidR="00917BFE">
        <w:t>It shows the reader the likelihood of a defect being detected according to its size. Typically, the larger the defect the higher the probability of it being detected</w:t>
      </w:r>
      <w:r w:rsidR="007F2478">
        <w:t xml:space="preserve"> but not always. For </w:t>
      </w:r>
      <w:proofErr w:type="gramStart"/>
      <w:r w:rsidR="007F2478">
        <w:t>example</w:t>
      </w:r>
      <w:proofErr w:type="gramEnd"/>
      <w:r w:rsidR="007F2478">
        <w:t xml:space="preserve"> if an operator where scanning a component where large def</w:t>
      </w:r>
      <w:r w:rsidR="000D0723">
        <w:t xml:space="preserve">ects formed </w:t>
      </w:r>
      <w:r w:rsidR="007F2478">
        <w:t>while using a small ultrasonic probe, then the defects might be a lot larger than the beam width itself meaning the defect may not be picked up.</w:t>
      </w:r>
      <w:r w:rsidR="00917BFE">
        <w:t xml:space="preserve"> Figure 1 shows an example of a </w:t>
      </w:r>
      <w:proofErr w:type="spellStart"/>
      <w:r w:rsidR="00917BFE">
        <w:t>PoD</w:t>
      </w:r>
      <w:proofErr w:type="spellEnd"/>
      <w:r w:rsidR="00917BFE">
        <w:t xml:space="preserve"> curve. On the x axis is the defect size, which in this case is measured as percentage of the weld which is defective. On the y axis is the probability of it being detected. At y = 0 means that there is a 0% probability of that defect ever being detected. At y =1, there is a 100% probability of that defect being detected. </w:t>
      </w:r>
      <w:r w:rsidR="00122E44">
        <w:t>However,</w:t>
      </w:r>
      <w:r w:rsidR="00917BFE">
        <w:t xml:space="preserve"> in the </w:t>
      </w:r>
      <w:r w:rsidR="00122E44">
        <w:t>real-world</w:t>
      </w:r>
      <w:r w:rsidR="00917BFE">
        <w:t xml:space="preserve"> </w:t>
      </w:r>
      <w:r w:rsidR="00F92788">
        <w:t>y = 1 is never reached, however close it may get.</w:t>
      </w:r>
      <w:r w:rsidR="00122E44">
        <w:t xml:space="preserve"> </w:t>
      </w:r>
    </w:p>
    <w:p w14:paraId="31A88BD8" w14:textId="38D808B8" w:rsidR="00917BFE" w:rsidRDefault="00917BFE" w:rsidP="00917BFE">
      <w:pPr>
        <w:spacing w:line="480" w:lineRule="auto"/>
      </w:pPr>
      <w:r>
        <w:rPr>
          <w:noProof/>
        </w:rPr>
        <w:drawing>
          <wp:inline distT="0" distB="0" distL="0" distR="0" wp14:anchorId="2A4FC27A" wp14:editId="3B451B07">
            <wp:extent cx="5543550" cy="3332957"/>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5283" t="25204" r="24230" b="20832"/>
                    <a:stretch/>
                  </pic:blipFill>
                  <pic:spPr bwMode="auto">
                    <a:xfrm>
                      <a:off x="0" y="0"/>
                      <a:ext cx="5548835" cy="3336135"/>
                    </a:xfrm>
                    <a:prstGeom prst="rect">
                      <a:avLst/>
                    </a:prstGeom>
                    <a:ln>
                      <a:noFill/>
                    </a:ln>
                    <a:extLst>
                      <a:ext uri="{53640926-AAD7-44D8-BBD7-CCE9431645EC}">
                        <a14:shadowObscured xmlns:a14="http://schemas.microsoft.com/office/drawing/2010/main"/>
                      </a:ext>
                    </a:extLst>
                  </pic:spPr>
                </pic:pic>
              </a:graphicData>
            </a:graphic>
          </wp:inline>
        </w:drawing>
      </w:r>
    </w:p>
    <w:p w14:paraId="35BA8713" w14:textId="1FE5365B" w:rsidR="00917BFE" w:rsidRPr="00DC45D0" w:rsidRDefault="00917BFE" w:rsidP="009F61AA">
      <w:pPr>
        <w:pStyle w:val="Caption"/>
      </w:pPr>
      <w:bookmarkStart w:id="8" w:name="_Toc500754481"/>
      <w:bookmarkStart w:id="9" w:name="_Toc500857846"/>
      <w:r>
        <w:t xml:space="preserve">Figure </w:t>
      </w:r>
      <w:r w:rsidR="00A77675">
        <w:fldChar w:fldCharType="begin"/>
      </w:r>
      <w:r w:rsidR="00A77675">
        <w:instrText xml:space="preserve"> SEQ Figure \* ARABIC </w:instrText>
      </w:r>
      <w:r w:rsidR="00A77675">
        <w:fldChar w:fldCharType="separate"/>
      </w:r>
      <w:r w:rsidR="003317E3">
        <w:rPr>
          <w:noProof/>
        </w:rPr>
        <w:t>1</w:t>
      </w:r>
      <w:r w:rsidR="00A77675">
        <w:rPr>
          <w:noProof/>
        </w:rPr>
        <w:fldChar w:fldCharType="end"/>
      </w:r>
      <w:r>
        <w:t xml:space="preserve"> – Typical example of a </w:t>
      </w:r>
      <w:proofErr w:type="spellStart"/>
      <w:r>
        <w:t>PoD</w:t>
      </w:r>
      <w:proofErr w:type="spellEnd"/>
      <w:r>
        <w:t xml:space="preserve"> curve </w:t>
      </w:r>
      <w:sdt>
        <w:sdtPr>
          <w:id w:val="88819548"/>
          <w:citation/>
        </w:sdtPr>
        <w:sdtContent>
          <w:r>
            <w:fldChar w:fldCharType="begin"/>
          </w:r>
          <w:r>
            <w:instrText xml:space="preserve"> CITATION Geo06 \l 2057 </w:instrText>
          </w:r>
          <w:r>
            <w:fldChar w:fldCharType="separate"/>
          </w:r>
          <w:r w:rsidR="00F03E32">
            <w:rPr>
              <w:noProof/>
            </w:rPr>
            <w:t>(Georgiou, 2006)</w:t>
          </w:r>
          <w:r>
            <w:fldChar w:fldCharType="end"/>
          </w:r>
        </w:sdtContent>
      </w:sdt>
      <w:bookmarkEnd w:id="8"/>
      <w:bookmarkEnd w:id="9"/>
      <w:r>
        <w:t xml:space="preserve"> </w:t>
      </w:r>
    </w:p>
    <w:p w14:paraId="5CF2FED1" w14:textId="5F84CD57" w:rsidR="00853AA2" w:rsidRDefault="007F2478" w:rsidP="007F2478">
      <w:r>
        <w:lastRenderedPageBreak/>
        <w:t xml:space="preserve">The model for </w:t>
      </w:r>
      <w:proofErr w:type="spellStart"/>
      <w:r>
        <w:t>PoD</w:t>
      </w:r>
      <w:proofErr w:type="spellEnd"/>
      <w:r>
        <w:t xml:space="preserve"> goes as follows:</w:t>
      </w:r>
    </w:p>
    <w:p w14:paraId="04C67673" w14:textId="4F4B5F56" w:rsidR="007F2478" w:rsidRPr="004312B3" w:rsidRDefault="004312B3" w:rsidP="007F2478">
      <w:pPr>
        <w:rPr>
          <w:rFonts w:eastAsiaTheme="minorEastAsia"/>
          <w:b/>
          <w:sz w:val="32"/>
          <w:szCs w:val="32"/>
        </w:rPr>
      </w:pPr>
      <m:oMathPara>
        <m:oMath>
          <m:r>
            <m:rPr>
              <m:sty m:val="bi"/>
            </m:rPr>
            <w:rPr>
              <w:rFonts w:ascii="Cambria Math" w:hAnsi="Cambria Math"/>
              <w:sz w:val="32"/>
              <w:szCs w:val="32"/>
            </w:rPr>
            <m:t xml:space="preserve">POD </m:t>
          </m:r>
          <m:d>
            <m:dPr>
              <m:ctrlPr>
                <w:rPr>
                  <w:rFonts w:ascii="Cambria Math" w:hAnsi="Cambria Math"/>
                  <w:b/>
                  <w:i/>
                  <w:sz w:val="32"/>
                  <w:szCs w:val="32"/>
                </w:rPr>
              </m:ctrlPr>
            </m:dPr>
            <m:e>
              <m:r>
                <m:rPr>
                  <m:sty m:val="bi"/>
                </m:rPr>
                <w:rPr>
                  <w:rFonts w:ascii="Cambria Math" w:hAnsi="Cambria Math"/>
                  <w:sz w:val="32"/>
                  <w:szCs w:val="32"/>
                </w:rPr>
                <m:t>a</m:t>
              </m:r>
            </m:e>
          </m:d>
          <m:r>
            <m:rPr>
              <m:sty m:val="bi"/>
            </m:rPr>
            <w:rPr>
              <w:rFonts w:ascii="Cambria Math" w:hAnsi="Cambria Math"/>
              <w:sz w:val="32"/>
              <w:szCs w:val="32"/>
            </w:rPr>
            <m:t xml:space="preserve">= </m:t>
          </m:r>
          <m:f>
            <m:fPr>
              <m:ctrlPr>
                <w:rPr>
                  <w:rFonts w:ascii="Cambria Math" w:hAnsi="Cambria Math"/>
                  <w:b/>
                  <w:i/>
                  <w:sz w:val="32"/>
                  <w:szCs w:val="32"/>
                </w:rPr>
              </m:ctrlPr>
            </m:fPr>
            <m:num>
              <m:f>
                <m:fPr>
                  <m:ctrlPr>
                    <w:rPr>
                      <w:rFonts w:ascii="Cambria Math" w:hAnsi="Cambria Math"/>
                      <w:b/>
                      <w:i/>
                      <w:sz w:val="32"/>
                      <w:szCs w:val="32"/>
                    </w:rPr>
                  </m:ctrlPr>
                </m:fPr>
                <m:num>
                  <m:r>
                    <m:rPr>
                      <m:sty m:val="bi"/>
                    </m:rPr>
                    <w:rPr>
                      <w:rFonts w:ascii="Cambria Math" w:hAnsi="Cambria Math"/>
                      <w:sz w:val="32"/>
                      <w:szCs w:val="32"/>
                    </w:rPr>
                    <m:t>π</m:t>
                  </m:r>
                </m:num>
                <m:den>
                  <m:r>
                    <m:rPr>
                      <m:sty m:val="bi"/>
                    </m:rPr>
                    <w:rPr>
                      <w:rFonts w:ascii="Cambria Math" w:hAnsi="Cambria Math"/>
                      <w:sz w:val="32"/>
                      <w:szCs w:val="32"/>
                    </w:rPr>
                    <m:t>ⅇ</m:t>
                  </m:r>
                  <m:rad>
                    <m:radPr>
                      <m:degHide m:val="1"/>
                      <m:ctrlPr>
                        <w:rPr>
                          <w:rFonts w:ascii="Cambria Math" w:hAnsi="Cambria Math"/>
                          <w:b/>
                          <w:i/>
                          <w:sz w:val="32"/>
                          <w:szCs w:val="32"/>
                        </w:rPr>
                      </m:ctrlPr>
                    </m:radPr>
                    <m:deg/>
                    <m:e>
                      <m:r>
                        <m:rPr>
                          <m:sty m:val="bi"/>
                        </m:rPr>
                        <w:rPr>
                          <w:rFonts w:ascii="Cambria Math" w:hAnsi="Cambria Math"/>
                          <w:sz w:val="32"/>
                          <w:szCs w:val="32"/>
                        </w:rPr>
                        <m:t>3</m:t>
                      </m:r>
                    </m:e>
                  </m:rad>
                </m:den>
              </m:f>
              <m:d>
                <m:dPr>
                  <m:ctrlPr>
                    <w:rPr>
                      <w:rFonts w:ascii="Cambria Math" w:hAnsi="Cambria Math"/>
                      <w:b/>
                      <w:i/>
                      <w:sz w:val="32"/>
                      <w:szCs w:val="32"/>
                    </w:rPr>
                  </m:ctrlPr>
                </m:dPr>
                <m:e>
                  <m:f>
                    <m:fPr>
                      <m:ctrlPr>
                        <w:rPr>
                          <w:rFonts w:ascii="Cambria Math" w:hAnsi="Cambria Math"/>
                          <w:b/>
                          <w:i/>
                          <w:sz w:val="32"/>
                          <w:szCs w:val="32"/>
                        </w:rPr>
                      </m:ctrlPr>
                    </m:fPr>
                    <m:num>
                      <m:func>
                        <m:funcPr>
                          <m:ctrlPr>
                            <w:rPr>
                              <w:rFonts w:ascii="Cambria Math" w:hAnsi="Cambria Math"/>
                              <w:b/>
                              <w:i/>
                              <w:sz w:val="32"/>
                              <w:szCs w:val="32"/>
                            </w:rPr>
                          </m:ctrlPr>
                        </m:funcPr>
                        <m:fName>
                          <m:r>
                            <m:rPr>
                              <m:sty m:val="b"/>
                            </m:rPr>
                            <w:rPr>
                              <w:rFonts w:ascii="Cambria Math" w:hAnsi="Cambria Math"/>
                              <w:sz w:val="32"/>
                              <w:szCs w:val="32"/>
                            </w:rPr>
                            <m:t>ln</m:t>
                          </m:r>
                        </m:fName>
                        <m:e>
                          <m:r>
                            <m:rPr>
                              <m:sty m:val="bi"/>
                            </m:rPr>
                            <w:rPr>
                              <w:rFonts w:ascii="Cambria Math" w:hAnsi="Cambria Math"/>
                              <w:sz w:val="32"/>
                              <w:szCs w:val="32"/>
                            </w:rPr>
                            <m:t>a</m:t>
                          </m:r>
                        </m:e>
                      </m:func>
                      <m:r>
                        <m:rPr>
                          <m:sty m:val="bi"/>
                        </m:rPr>
                        <w:rPr>
                          <w:rFonts w:ascii="Cambria Math" w:hAnsi="Cambria Math"/>
                          <w:sz w:val="32"/>
                          <w:szCs w:val="32"/>
                        </w:rPr>
                        <m:t>+m</m:t>
                      </m:r>
                    </m:num>
                    <m:den>
                      <m:r>
                        <m:rPr>
                          <m:sty m:val="bi"/>
                        </m:rPr>
                        <w:rPr>
                          <w:rFonts w:ascii="Cambria Math" w:hAnsi="Cambria Math"/>
                          <w:sz w:val="32"/>
                          <w:szCs w:val="32"/>
                        </w:rPr>
                        <m:t>σ</m:t>
                      </m:r>
                    </m:den>
                  </m:f>
                </m:e>
              </m:d>
            </m:num>
            <m:den>
              <m:r>
                <m:rPr>
                  <m:sty m:val="bi"/>
                </m:rPr>
                <w:rPr>
                  <w:rFonts w:ascii="Cambria Math" w:hAnsi="Cambria Math"/>
                  <w:sz w:val="32"/>
                  <w:szCs w:val="32"/>
                </w:rPr>
                <m:t>1+</m:t>
              </m:r>
              <m:f>
                <m:fPr>
                  <m:ctrlPr>
                    <w:rPr>
                      <w:rFonts w:ascii="Cambria Math" w:hAnsi="Cambria Math"/>
                      <w:b/>
                      <w:i/>
                      <w:sz w:val="32"/>
                      <w:szCs w:val="32"/>
                    </w:rPr>
                  </m:ctrlPr>
                </m:fPr>
                <m:num>
                  <m:r>
                    <m:rPr>
                      <m:sty m:val="bi"/>
                    </m:rPr>
                    <w:rPr>
                      <w:rFonts w:ascii="Cambria Math" w:hAnsi="Cambria Math"/>
                      <w:sz w:val="32"/>
                      <w:szCs w:val="32"/>
                    </w:rPr>
                    <m:t>π</m:t>
                  </m:r>
                </m:num>
                <m:den>
                  <m:r>
                    <m:rPr>
                      <m:sty m:val="bi"/>
                    </m:rPr>
                    <w:rPr>
                      <w:rFonts w:ascii="Cambria Math" w:hAnsi="Cambria Math"/>
                      <w:sz w:val="32"/>
                      <w:szCs w:val="32"/>
                    </w:rPr>
                    <m:t>ⅇ</m:t>
                  </m:r>
                  <m:rad>
                    <m:radPr>
                      <m:degHide m:val="1"/>
                      <m:ctrlPr>
                        <w:rPr>
                          <w:rFonts w:ascii="Cambria Math" w:hAnsi="Cambria Math"/>
                          <w:b/>
                          <w:i/>
                          <w:sz w:val="32"/>
                          <w:szCs w:val="32"/>
                        </w:rPr>
                      </m:ctrlPr>
                    </m:radPr>
                    <m:deg/>
                    <m:e>
                      <m:r>
                        <m:rPr>
                          <m:sty m:val="bi"/>
                        </m:rPr>
                        <w:rPr>
                          <w:rFonts w:ascii="Cambria Math" w:hAnsi="Cambria Math"/>
                          <w:sz w:val="32"/>
                          <w:szCs w:val="32"/>
                        </w:rPr>
                        <m:t>3</m:t>
                      </m:r>
                    </m:e>
                  </m:rad>
                </m:den>
              </m:f>
              <m:d>
                <m:dPr>
                  <m:ctrlPr>
                    <w:rPr>
                      <w:rFonts w:ascii="Cambria Math" w:hAnsi="Cambria Math"/>
                      <w:b/>
                      <w:i/>
                      <w:sz w:val="32"/>
                      <w:szCs w:val="32"/>
                    </w:rPr>
                  </m:ctrlPr>
                </m:dPr>
                <m:e>
                  <m:f>
                    <m:fPr>
                      <m:ctrlPr>
                        <w:rPr>
                          <w:rFonts w:ascii="Cambria Math" w:hAnsi="Cambria Math"/>
                          <w:b/>
                          <w:i/>
                          <w:sz w:val="32"/>
                          <w:szCs w:val="32"/>
                        </w:rPr>
                      </m:ctrlPr>
                    </m:fPr>
                    <m:num>
                      <m:func>
                        <m:funcPr>
                          <m:ctrlPr>
                            <w:rPr>
                              <w:rFonts w:ascii="Cambria Math" w:hAnsi="Cambria Math"/>
                              <w:b/>
                              <w:i/>
                              <w:sz w:val="32"/>
                              <w:szCs w:val="32"/>
                            </w:rPr>
                          </m:ctrlPr>
                        </m:funcPr>
                        <m:fName>
                          <m:r>
                            <m:rPr>
                              <m:sty m:val="b"/>
                            </m:rPr>
                            <w:rPr>
                              <w:rFonts w:ascii="Cambria Math" w:hAnsi="Cambria Math"/>
                              <w:sz w:val="32"/>
                              <w:szCs w:val="32"/>
                            </w:rPr>
                            <m:t>ln</m:t>
                          </m:r>
                        </m:fName>
                        <m:e>
                          <m:r>
                            <m:rPr>
                              <m:sty m:val="bi"/>
                            </m:rPr>
                            <w:rPr>
                              <w:rFonts w:ascii="Cambria Math" w:hAnsi="Cambria Math"/>
                              <w:sz w:val="32"/>
                              <w:szCs w:val="32"/>
                            </w:rPr>
                            <m:t>a</m:t>
                          </m:r>
                        </m:e>
                      </m:func>
                      <m:r>
                        <m:rPr>
                          <m:sty m:val="bi"/>
                        </m:rPr>
                        <w:rPr>
                          <w:rFonts w:ascii="Cambria Math" w:hAnsi="Cambria Math"/>
                          <w:sz w:val="32"/>
                          <w:szCs w:val="32"/>
                        </w:rPr>
                        <m:t>+m</m:t>
                      </m:r>
                    </m:num>
                    <m:den>
                      <m:r>
                        <m:rPr>
                          <m:sty m:val="bi"/>
                        </m:rPr>
                        <w:rPr>
                          <w:rFonts w:ascii="Cambria Math" w:hAnsi="Cambria Math"/>
                          <w:sz w:val="32"/>
                          <w:szCs w:val="32"/>
                        </w:rPr>
                        <m:t>σ</m:t>
                      </m:r>
                    </m:den>
                  </m:f>
                </m:e>
              </m:d>
            </m:den>
          </m:f>
        </m:oMath>
      </m:oMathPara>
    </w:p>
    <w:p w14:paraId="1283131D" w14:textId="77777777" w:rsidR="007F2478" w:rsidRPr="007F2478" w:rsidRDefault="007F2478" w:rsidP="007F2478">
      <w:pPr>
        <w:rPr>
          <w:rFonts w:eastAsiaTheme="minorEastAsia"/>
          <w:sz w:val="32"/>
          <w:szCs w:val="32"/>
        </w:rPr>
      </w:pPr>
    </w:p>
    <w:p w14:paraId="7D24CC88" w14:textId="006D519A" w:rsidR="007F2478" w:rsidRDefault="007F2478" w:rsidP="007F2478">
      <w:pPr>
        <w:pStyle w:val="Caption"/>
        <w:jc w:val="center"/>
      </w:pPr>
      <w:bookmarkStart w:id="10" w:name="_Toc500754498"/>
      <w:r>
        <w:t xml:space="preserve">Equation </w:t>
      </w:r>
      <w:r w:rsidR="00A77675">
        <w:fldChar w:fldCharType="begin"/>
      </w:r>
      <w:r w:rsidR="00A77675">
        <w:instrText xml:space="preserve"> SEQ Equation \* ARABIC </w:instrText>
      </w:r>
      <w:r w:rsidR="00A77675">
        <w:fldChar w:fldCharType="separate"/>
      </w:r>
      <w:r w:rsidR="0070055F">
        <w:rPr>
          <w:noProof/>
        </w:rPr>
        <w:t>1</w:t>
      </w:r>
      <w:r w:rsidR="00A77675">
        <w:rPr>
          <w:noProof/>
        </w:rPr>
        <w:fldChar w:fldCharType="end"/>
      </w:r>
      <w:r>
        <w:t xml:space="preserve"> – POD Model</w:t>
      </w:r>
      <w:r w:rsidR="005C21FA">
        <w:t xml:space="preserve"> - </w:t>
      </w:r>
      <w:sdt>
        <w:sdtPr>
          <w:id w:val="-1066719280"/>
          <w:citation/>
        </w:sdtPr>
        <w:sdtContent>
          <w:r w:rsidR="005C21FA">
            <w:fldChar w:fldCharType="begin"/>
          </w:r>
          <w:r w:rsidR="005C21FA">
            <w:instrText xml:space="preserve"> CITATION Geo06 \l 2057 </w:instrText>
          </w:r>
          <w:r w:rsidR="005C21FA">
            <w:fldChar w:fldCharType="separate"/>
          </w:r>
          <w:r w:rsidR="00F03E32">
            <w:rPr>
              <w:noProof/>
            </w:rPr>
            <w:t>(Georgiou, 2006)</w:t>
          </w:r>
          <w:r w:rsidR="005C21FA">
            <w:fldChar w:fldCharType="end"/>
          </w:r>
        </w:sdtContent>
      </w:sdt>
      <w:bookmarkEnd w:id="10"/>
    </w:p>
    <w:p w14:paraId="0D2A1E6B" w14:textId="77777777" w:rsidR="004312B3" w:rsidRPr="004312B3" w:rsidRDefault="004312B3" w:rsidP="004312B3"/>
    <w:p w14:paraId="7C0AFBEA" w14:textId="5F5DEA23" w:rsidR="009E28CB" w:rsidRDefault="007F2478" w:rsidP="005C21FA">
      <w:pPr>
        <w:spacing w:line="480" w:lineRule="auto"/>
        <w:rPr>
          <w:rFonts w:eastAsiaTheme="minorEastAsia"/>
          <w:szCs w:val="24"/>
        </w:rPr>
      </w:pPr>
      <w:r>
        <w:t xml:space="preserve">Where </w:t>
      </w:r>
      <m:oMath>
        <m:r>
          <m:rPr>
            <m:sty m:val="bi"/>
          </m:rPr>
          <w:rPr>
            <w:rFonts w:ascii="Cambria Math" w:hAnsi="Cambria Math"/>
            <w:sz w:val="28"/>
            <w:szCs w:val="28"/>
          </w:rPr>
          <m:t>a</m:t>
        </m:r>
      </m:oMath>
      <w:r>
        <w:rPr>
          <w:rFonts w:eastAsiaTheme="minorEastAsia"/>
        </w:rPr>
        <w:t xml:space="preserve"> is the size/dimension of the defect</w:t>
      </w:r>
      <w:r w:rsidR="005C21FA">
        <w:rPr>
          <w:rFonts w:eastAsiaTheme="minorEastAsia"/>
        </w:rPr>
        <w:t xml:space="preserve"> and </w:t>
      </w:r>
      <m:oMath>
        <m:r>
          <m:rPr>
            <m:sty m:val="bi"/>
          </m:rPr>
          <w:rPr>
            <w:rFonts w:ascii="Cambria Math" w:eastAsiaTheme="minorEastAsia" w:hAnsi="Cambria Math"/>
            <w:sz w:val="28"/>
            <w:szCs w:val="28"/>
          </w:rPr>
          <m:t>m</m:t>
        </m:r>
      </m:oMath>
      <w:r w:rsidR="005C21FA">
        <w:rPr>
          <w:rFonts w:eastAsiaTheme="minorEastAsia"/>
        </w:rPr>
        <w:t xml:space="preserve"> is the mean of the hits and </w:t>
      </w:r>
      <w:proofErr w:type="gramStart"/>
      <w:r w:rsidR="005C21FA">
        <w:rPr>
          <w:rFonts w:eastAsiaTheme="minorEastAsia"/>
        </w:rPr>
        <w:t>misses.</w:t>
      </w:r>
      <w:proofErr w:type="gramEnd"/>
      <w:r w:rsidR="005C21FA">
        <w:rPr>
          <w:rFonts w:eastAsiaTheme="minorEastAsia"/>
        </w:rPr>
        <w:t xml:space="preserve"> Lower case sigma </w:t>
      </w:r>
      <m:oMath>
        <m:r>
          <m:rPr>
            <m:sty m:val="bi"/>
          </m:rPr>
          <w:rPr>
            <w:rFonts w:ascii="Cambria Math" w:eastAsiaTheme="minorEastAsia" w:hAnsi="Cambria Math"/>
            <w:sz w:val="28"/>
            <w:szCs w:val="28"/>
          </w:rPr>
          <m:t>σ</m:t>
        </m:r>
      </m:oMath>
      <w:r w:rsidR="005C21FA">
        <w:rPr>
          <w:rFonts w:eastAsiaTheme="minorEastAsia"/>
          <w:b/>
          <w:sz w:val="28"/>
          <w:szCs w:val="28"/>
        </w:rPr>
        <w:t xml:space="preserve"> </w:t>
      </w:r>
      <w:r w:rsidR="005C21FA">
        <w:rPr>
          <w:rFonts w:eastAsiaTheme="minorEastAsia"/>
          <w:szCs w:val="24"/>
        </w:rPr>
        <w:t xml:space="preserve">is the standard deviation of the hits and misses. </w:t>
      </w:r>
    </w:p>
    <w:p w14:paraId="30EC1BAE" w14:textId="0216D3D3" w:rsidR="00553A78" w:rsidRDefault="00553A78" w:rsidP="005C21FA">
      <w:pPr>
        <w:spacing w:line="480" w:lineRule="auto"/>
        <w:rPr>
          <w:rFonts w:eastAsiaTheme="minorEastAsia"/>
          <w:szCs w:val="24"/>
        </w:rPr>
      </w:pPr>
      <w:r>
        <w:rPr>
          <w:rFonts w:eastAsiaTheme="minorEastAsia"/>
          <w:szCs w:val="24"/>
        </w:rPr>
        <w:t xml:space="preserve">A POD curve with a sharp and early rise would be highly desirable. This would indicate that there is a high probability of detecting </w:t>
      </w:r>
      <w:r w:rsidR="00196A53">
        <w:rPr>
          <w:rFonts w:eastAsiaTheme="minorEastAsia"/>
          <w:szCs w:val="24"/>
        </w:rPr>
        <w:t>the small defects on the graph. An example of a good POD curve is shown below in figure 2.</w:t>
      </w:r>
      <w:r>
        <w:rPr>
          <w:rFonts w:eastAsiaTheme="minorEastAsia"/>
          <w:szCs w:val="24"/>
        </w:rPr>
        <w:t xml:space="preserve"> </w:t>
      </w:r>
    </w:p>
    <w:p w14:paraId="30D79F43" w14:textId="547C2143" w:rsidR="00C3778A" w:rsidRDefault="00553A78" w:rsidP="00553A78">
      <w:pPr>
        <w:pStyle w:val="Caption"/>
      </w:pPr>
      <w:bookmarkStart w:id="11" w:name="_Toc500754482"/>
      <w:bookmarkStart w:id="12" w:name="_Toc500857847"/>
      <w:r>
        <w:rPr>
          <w:noProof/>
        </w:rPr>
        <w:drawing>
          <wp:inline distT="0" distB="0" distL="0" distR="0" wp14:anchorId="1CF12647" wp14:editId="522A94B4">
            <wp:extent cx="5429250" cy="3886200"/>
            <wp:effectExtent l="0" t="0" r="0" b="0"/>
            <wp:docPr id="7" name="Picture 7" descr="https://www.nde-ed.org/EducationResources/CommunityCollege/PenetrantTest/Graphics/POD_Etc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nde-ed.org/EducationResources/CommunityCollege/PenetrantTest/Graphics/POD_Etch.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29250" cy="3886200"/>
                    </a:xfrm>
                    <a:prstGeom prst="rect">
                      <a:avLst/>
                    </a:prstGeom>
                    <a:noFill/>
                    <a:ln>
                      <a:noFill/>
                    </a:ln>
                  </pic:spPr>
                </pic:pic>
              </a:graphicData>
            </a:graphic>
          </wp:inline>
        </w:drawing>
      </w:r>
      <w:r>
        <w:t xml:space="preserve">Figure </w:t>
      </w:r>
      <w:r w:rsidR="00A77675">
        <w:fldChar w:fldCharType="begin"/>
      </w:r>
      <w:r w:rsidR="00A77675">
        <w:instrText xml:space="preserve"> SEQ Figure \* ARABIC </w:instrText>
      </w:r>
      <w:r w:rsidR="00A77675">
        <w:fldChar w:fldCharType="separate"/>
      </w:r>
      <w:r w:rsidR="003317E3">
        <w:rPr>
          <w:noProof/>
        </w:rPr>
        <w:t>2</w:t>
      </w:r>
      <w:r w:rsidR="00A77675">
        <w:rPr>
          <w:noProof/>
        </w:rPr>
        <w:fldChar w:fldCharType="end"/>
      </w:r>
      <w:r>
        <w:t xml:space="preserve"> – Example of a highly desirable POD curve </w:t>
      </w:r>
      <w:sdt>
        <w:sdtPr>
          <w:id w:val="-1673482896"/>
          <w:citation/>
        </w:sdtPr>
        <w:sdtContent>
          <w:r w:rsidR="00C3778A">
            <w:fldChar w:fldCharType="begin"/>
          </w:r>
          <w:r w:rsidR="00C3778A">
            <w:instrText xml:space="preserve"> CITATION NDT1 \l 2057 </w:instrText>
          </w:r>
          <w:r w:rsidR="00C3778A">
            <w:fldChar w:fldCharType="separate"/>
          </w:r>
          <w:r w:rsidR="00F03E32">
            <w:rPr>
              <w:noProof/>
            </w:rPr>
            <w:t>(NDT Resource Center)</w:t>
          </w:r>
          <w:r w:rsidR="00C3778A">
            <w:fldChar w:fldCharType="end"/>
          </w:r>
        </w:sdtContent>
      </w:sdt>
      <w:bookmarkEnd w:id="11"/>
      <w:bookmarkEnd w:id="12"/>
    </w:p>
    <w:p w14:paraId="037DFACB" w14:textId="2B748BC1" w:rsidR="00C3778A" w:rsidRPr="00081D63" w:rsidRDefault="00081D63" w:rsidP="00081D63">
      <w:pPr>
        <w:spacing w:line="480" w:lineRule="auto"/>
      </w:pPr>
      <w:r>
        <w:lastRenderedPageBreak/>
        <w:t>The next example graph figure 3 shows a less desirable but still acceptable POD curve. Note that the probability for detecting the smaller defects is lower than that in figure 2. At a defect size of 0.05mm the curve in graph figure 1 shows there is approximately a 78% chance of detection. In graph figure 3 the same size defect of 0.05mm has only a 38% chance (approx.) of being detected. It would be concluded then that for whatever method of testing figure 3 represents, it is not suitable for use when one is looking for defects smaller than 0.4mm.</w:t>
      </w:r>
    </w:p>
    <w:p w14:paraId="0400D6D3" w14:textId="75F3DEF1" w:rsidR="00C3778A" w:rsidRDefault="00C3778A" w:rsidP="00553A78">
      <w:pPr>
        <w:pStyle w:val="Caption"/>
      </w:pPr>
    </w:p>
    <w:p w14:paraId="758FB8C3" w14:textId="77777777" w:rsidR="00C3778A" w:rsidRDefault="00C3778A" w:rsidP="00553A78">
      <w:pPr>
        <w:pStyle w:val="Caption"/>
      </w:pPr>
      <w:r>
        <w:rPr>
          <w:noProof/>
        </w:rPr>
        <w:drawing>
          <wp:inline distT="0" distB="0" distL="0" distR="0" wp14:anchorId="421C49C9" wp14:editId="46D4A401">
            <wp:extent cx="5429250" cy="3914775"/>
            <wp:effectExtent l="0" t="0" r="0" b="9525"/>
            <wp:docPr id="8" name="Picture 8" descr="https://www.nde-ed.org/EducationResources/CommunityCollege/PenetrantTest/Graphics/PO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nde-ed.org/EducationResources/CommunityCollege/PenetrantTest/Graphics/POD.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29250" cy="3914775"/>
                    </a:xfrm>
                    <a:prstGeom prst="rect">
                      <a:avLst/>
                    </a:prstGeom>
                    <a:noFill/>
                    <a:ln>
                      <a:noFill/>
                    </a:ln>
                  </pic:spPr>
                </pic:pic>
              </a:graphicData>
            </a:graphic>
          </wp:inline>
        </w:drawing>
      </w:r>
    </w:p>
    <w:p w14:paraId="25AC8D4F" w14:textId="0195F4EC" w:rsidR="00C3778A" w:rsidRDefault="00C3778A" w:rsidP="00C3778A">
      <w:pPr>
        <w:pStyle w:val="Caption"/>
      </w:pPr>
      <w:bookmarkStart w:id="13" w:name="_Toc500754483"/>
      <w:bookmarkStart w:id="14" w:name="_Toc500857848"/>
      <w:r>
        <w:t xml:space="preserve">Figure </w:t>
      </w:r>
      <w:r w:rsidR="00A77675">
        <w:fldChar w:fldCharType="begin"/>
      </w:r>
      <w:r w:rsidR="00A77675">
        <w:instrText xml:space="preserve"> SEQ Figure \* ARABIC </w:instrText>
      </w:r>
      <w:r w:rsidR="00A77675">
        <w:fldChar w:fldCharType="separate"/>
      </w:r>
      <w:r w:rsidR="003317E3">
        <w:rPr>
          <w:noProof/>
        </w:rPr>
        <w:t>3</w:t>
      </w:r>
      <w:r w:rsidR="00A77675">
        <w:rPr>
          <w:noProof/>
        </w:rPr>
        <w:fldChar w:fldCharType="end"/>
      </w:r>
      <w:r>
        <w:t xml:space="preserve"> – Example of a less desirable POD curve</w:t>
      </w:r>
      <w:bookmarkEnd w:id="13"/>
      <w:bookmarkEnd w:id="14"/>
    </w:p>
    <w:p w14:paraId="440DE0A1" w14:textId="77777777" w:rsidR="00C3778A" w:rsidRDefault="00C3778A" w:rsidP="00C3778A">
      <w:pPr>
        <w:pStyle w:val="Caption"/>
      </w:pPr>
      <w:r>
        <w:rPr>
          <w:noProof/>
        </w:rPr>
        <w:lastRenderedPageBreak/>
        <w:drawing>
          <wp:inline distT="0" distB="0" distL="0" distR="0" wp14:anchorId="31BB5372" wp14:editId="40AE991A">
            <wp:extent cx="5731510" cy="3927824"/>
            <wp:effectExtent l="0" t="0" r="2540" b="0"/>
            <wp:docPr id="9" name="Picture 9" descr="Figure 10. Estimation of High temperature(HT) POD using room temperature experimental POD (dashed blue line) with temperature correction factor for PZT-5A, obtained from the physics based model &#1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igure 10. Estimation of High temperature(HT) POD using room temperature experimental POD (dashed blue line) with temperature correction factor for PZT-5A, obtained from the physics based model &#10;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927824"/>
                    </a:xfrm>
                    <a:prstGeom prst="rect">
                      <a:avLst/>
                    </a:prstGeom>
                    <a:noFill/>
                    <a:ln>
                      <a:noFill/>
                    </a:ln>
                  </pic:spPr>
                </pic:pic>
              </a:graphicData>
            </a:graphic>
          </wp:inline>
        </w:drawing>
      </w:r>
    </w:p>
    <w:p w14:paraId="1FD85F4B" w14:textId="2B35B3C2" w:rsidR="00553A78" w:rsidRDefault="00C3778A" w:rsidP="00C3778A">
      <w:pPr>
        <w:pStyle w:val="Caption"/>
      </w:pPr>
      <w:bookmarkStart w:id="15" w:name="_Toc500754484"/>
      <w:bookmarkStart w:id="16" w:name="_Toc500857849"/>
      <w:r>
        <w:t xml:space="preserve">Figure </w:t>
      </w:r>
      <w:r w:rsidR="00A77675">
        <w:fldChar w:fldCharType="begin"/>
      </w:r>
      <w:r w:rsidR="00A77675">
        <w:instrText xml:space="preserve"> SEQ Figure \* ARABIC </w:instrText>
      </w:r>
      <w:r w:rsidR="00A77675">
        <w:fldChar w:fldCharType="separate"/>
      </w:r>
      <w:r w:rsidR="003317E3">
        <w:rPr>
          <w:noProof/>
        </w:rPr>
        <w:t>4</w:t>
      </w:r>
      <w:r w:rsidR="00A77675">
        <w:rPr>
          <w:noProof/>
        </w:rPr>
        <w:fldChar w:fldCharType="end"/>
      </w:r>
      <w:r>
        <w:t xml:space="preserve"> – Example graph showing varying POD curves </w:t>
      </w:r>
      <w:sdt>
        <w:sdtPr>
          <w:id w:val="723564536"/>
          <w:citation/>
        </w:sdtPr>
        <w:sdtContent>
          <w:r>
            <w:fldChar w:fldCharType="begin"/>
          </w:r>
          <w:r>
            <w:instrText xml:space="preserve"> CITATION Pra17 \l 2057 </w:instrText>
          </w:r>
          <w:r>
            <w:fldChar w:fldCharType="separate"/>
          </w:r>
          <w:r w:rsidR="00F03E32">
            <w:rPr>
              <w:noProof/>
            </w:rPr>
            <w:t>(Prathamesh Bilgunde, 2017)</w:t>
          </w:r>
          <w:r>
            <w:fldChar w:fldCharType="end"/>
          </w:r>
        </w:sdtContent>
      </w:sdt>
      <w:bookmarkEnd w:id="15"/>
      <w:bookmarkEnd w:id="16"/>
      <w:r>
        <w:t xml:space="preserve"> </w:t>
      </w:r>
      <w:r w:rsidR="00553A78">
        <w:t xml:space="preserve"> </w:t>
      </w:r>
    </w:p>
    <w:p w14:paraId="6D311662" w14:textId="73D4356B" w:rsidR="00760ABE" w:rsidRPr="00760ABE" w:rsidRDefault="00760ABE" w:rsidP="00760ABE">
      <w:pPr>
        <w:spacing w:line="480" w:lineRule="auto"/>
      </w:pPr>
      <w:r>
        <w:t>Graph figure 4 shows 4 POD curves. The POD curve of the black line is highly undesirable as nearly all defects in the range of sizes are almost certainly never going to be detected. The green and red curves are also undesirable and not suitable for trying to detect any defect under2.25 mm in diameter.</w:t>
      </w:r>
    </w:p>
    <w:p w14:paraId="7FB2ECBC" w14:textId="5E160D2B" w:rsidR="004E50AF" w:rsidRDefault="009348C8" w:rsidP="009348C8">
      <w:pPr>
        <w:pStyle w:val="Heading2"/>
        <w:numPr>
          <w:ilvl w:val="1"/>
          <w:numId w:val="1"/>
        </w:numPr>
      </w:pPr>
      <w:bookmarkStart w:id="17" w:name="_Toc500859072"/>
      <w:r>
        <w:t>Probability of sizing</w:t>
      </w:r>
      <w:bookmarkEnd w:id="17"/>
    </w:p>
    <w:p w14:paraId="0C3EBE45" w14:textId="1F3DE32C" w:rsidR="009348C8" w:rsidRDefault="00001291" w:rsidP="009F61AA">
      <w:pPr>
        <w:spacing w:line="480" w:lineRule="auto"/>
      </w:pPr>
      <w:r>
        <w:t xml:space="preserve">In </w:t>
      </w:r>
      <w:proofErr w:type="spellStart"/>
      <w:r>
        <w:t>PoS</w:t>
      </w:r>
      <w:proofErr w:type="spellEnd"/>
      <w:r>
        <w:t xml:space="preserve"> </w:t>
      </w:r>
      <w:r w:rsidR="009F61AA">
        <w:t xml:space="preserve">measured sizes of defects are plotted against true sizes. An example of a </w:t>
      </w:r>
      <w:proofErr w:type="spellStart"/>
      <w:r w:rsidR="009F61AA">
        <w:t>PoS</w:t>
      </w:r>
      <w:proofErr w:type="spellEnd"/>
      <w:r w:rsidR="009F61AA">
        <w:t xml:space="preserve"> plot is shown in figure 2. In the x axis is the true sizes of the defect. The y axis shows the measured sizes of the defect. The smaller the deviation from the mean, the more accurate the measured sizes are. </w:t>
      </w:r>
    </w:p>
    <w:p w14:paraId="3ED43B6F" w14:textId="4058C4EE" w:rsidR="009F61AA" w:rsidRDefault="009F61AA" w:rsidP="009F61AA">
      <w:pPr>
        <w:spacing w:line="480" w:lineRule="auto"/>
      </w:pPr>
      <w:r>
        <w:rPr>
          <w:noProof/>
        </w:rPr>
        <w:lastRenderedPageBreak/>
        <w:drawing>
          <wp:inline distT="0" distB="0" distL="0" distR="0" wp14:anchorId="24B90348" wp14:editId="322B4091">
            <wp:extent cx="5762625" cy="309529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6698" t="45454" r="40641" b="32907"/>
                    <a:stretch/>
                  </pic:blipFill>
                  <pic:spPr bwMode="auto">
                    <a:xfrm>
                      <a:off x="0" y="0"/>
                      <a:ext cx="5780892" cy="3105108"/>
                    </a:xfrm>
                    <a:prstGeom prst="rect">
                      <a:avLst/>
                    </a:prstGeom>
                    <a:ln>
                      <a:noFill/>
                    </a:ln>
                    <a:extLst>
                      <a:ext uri="{53640926-AAD7-44D8-BBD7-CCE9431645EC}">
                        <a14:shadowObscured xmlns:a14="http://schemas.microsoft.com/office/drawing/2010/main"/>
                      </a:ext>
                    </a:extLst>
                  </pic:spPr>
                </pic:pic>
              </a:graphicData>
            </a:graphic>
          </wp:inline>
        </w:drawing>
      </w:r>
    </w:p>
    <w:p w14:paraId="1185A4DC" w14:textId="7CFF2186" w:rsidR="009F61AA" w:rsidRDefault="009F61AA" w:rsidP="009F61AA">
      <w:pPr>
        <w:pStyle w:val="Caption"/>
      </w:pPr>
      <w:bookmarkStart w:id="18" w:name="_Toc500754485"/>
      <w:bookmarkStart w:id="19" w:name="_Toc500857850"/>
      <w:r>
        <w:t xml:space="preserve">Figure </w:t>
      </w:r>
      <w:r w:rsidR="00A77675">
        <w:fldChar w:fldCharType="begin"/>
      </w:r>
      <w:r w:rsidR="00A77675">
        <w:instrText xml:space="preserve"> SEQ Figure \* ARABIC </w:instrText>
      </w:r>
      <w:r w:rsidR="00A77675">
        <w:fldChar w:fldCharType="separate"/>
      </w:r>
      <w:r w:rsidR="003317E3">
        <w:rPr>
          <w:noProof/>
        </w:rPr>
        <w:t>5</w:t>
      </w:r>
      <w:r w:rsidR="00A77675">
        <w:rPr>
          <w:noProof/>
        </w:rPr>
        <w:fldChar w:fldCharType="end"/>
      </w:r>
      <w:r>
        <w:t xml:space="preserve"> – Typical </w:t>
      </w:r>
      <w:proofErr w:type="spellStart"/>
      <w:r>
        <w:t>PoS</w:t>
      </w:r>
      <w:proofErr w:type="spellEnd"/>
      <w:r>
        <w:t xml:space="preserve"> plot </w:t>
      </w:r>
      <w:sdt>
        <w:sdtPr>
          <w:id w:val="1954742020"/>
          <w:citation/>
        </w:sdtPr>
        <w:sdtContent>
          <w:r>
            <w:fldChar w:fldCharType="begin"/>
          </w:r>
          <w:r>
            <w:instrText xml:space="preserve"> CITATION DrW02 \l 2057 </w:instrText>
          </w:r>
          <w:r>
            <w:fldChar w:fldCharType="separate"/>
          </w:r>
          <w:r w:rsidR="00F03E32">
            <w:rPr>
              <w:noProof/>
            </w:rPr>
            <w:t>(Visser, 2002)</w:t>
          </w:r>
          <w:r>
            <w:fldChar w:fldCharType="end"/>
          </w:r>
        </w:sdtContent>
      </w:sdt>
      <w:bookmarkEnd w:id="18"/>
      <w:bookmarkEnd w:id="19"/>
    </w:p>
    <w:p w14:paraId="3E48986C" w14:textId="2440E215" w:rsidR="009F61AA" w:rsidRDefault="009F61AA" w:rsidP="009F61AA"/>
    <w:p w14:paraId="682E03F6" w14:textId="5C2CE2A9" w:rsidR="009F61AA" w:rsidRDefault="00196D03" w:rsidP="00F4618A">
      <w:pPr>
        <w:spacing w:line="480" w:lineRule="auto"/>
      </w:pPr>
      <w:r>
        <w:t xml:space="preserve">The main aim of </w:t>
      </w:r>
      <w:proofErr w:type="spellStart"/>
      <w:r>
        <w:t>PoS</w:t>
      </w:r>
      <w:proofErr w:type="spellEnd"/>
      <w:r>
        <w:t xml:space="preserve"> is to produce a graph showing how accurately an operator or method can size a defect. </w:t>
      </w:r>
      <w:r w:rsidR="000361B1">
        <w:t xml:space="preserve">POS is always used after POD as a second stage of analysing </w:t>
      </w:r>
      <w:proofErr w:type="gramStart"/>
      <w:r w:rsidR="000361B1">
        <w:t>a procedures capabilities</w:t>
      </w:r>
      <w:proofErr w:type="gramEnd"/>
      <w:r w:rsidR="000361B1">
        <w:t xml:space="preserve">. </w:t>
      </w:r>
    </w:p>
    <w:p w14:paraId="1692ED01" w14:textId="4107DB4D" w:rsidR="006C0512" w:rsidRDefault="006C0512" w:rsidP="006C0512">
      <w:pPr>
        <w:pStyle w:val="Heading2"/>
        <w:numPr>
          <w:ilvl w:val="1"/>
          <w:numId w:val="1"/>
        </w:numPr>
      </w:pPr>
      <w:bookmarkStart w:id="20" w:name="_Hlk500715227"/>
      <w:bookmarkStart w:id="21" w:name="_Toc500859073"/>
      <w:r>
        <w:t>Coefficient of determination</w:t>
      </w:r>
      <w:bookmarkEnd w:id="21"/>
    </w:p>
    <w:bookmarkEnd w:id="20"/>
    <w:p w14:paraId="7EDB603C" w14:textId="55277DAB" w:rsidR="006C0512" w:rsidRDefault="006C0512" w:rsidP="0035390A">
      <w:pPr>
        <w:spacing w:line="480" w:lineRule="auto"/>
        <w:rPr>
          <w:rFonts w:eastAsiaTheme="minorEastAsia" w:cs="Times New Roman"/>
        </w:rPr>
      </w:pPr>
      <w:r w:rsidRPr="0035390A">
        <w:rPr>
          <w:rFonts w:cs="Times New Roman"/>
        </w:rPr>
        <w:t xml:space="preserve">Coefficient of determination is a tool in statistical analysis that describes how well data points fit the </w:t>
      </w:r>
      <w:r w:rsidR="0035390A" w:rsidRPr="0035390A">
        <w:rPr>
          <w:rFonts w:cs="Times New Roman"/>
        </w:rPr>
        <w:t xml:space="preserve">trendline or line or regression. It is normally represented as the symbol </w:t>
      </w:r>
      <m:oMath>
        <m:sSup>
          <m:sSupPr>
            <m:ctrlPr>
              <w:rPr>
                <w:rFonts w:ascii="Cambria Math" w:hAnsi="Cambria Math" w:cs="Times New Roman"/>
                <w:b/>
                <w:i/>
              </w:rPr>
            </m:ctrlPr>
          </m:sSupPr>
          <m:e>
            <m:r>
              <m:rPr>
                <m:sty m:val="bi"/>
              </m:rPr>
              <w:rPr>
                <w:rFonts w:ascii="Cambria Math" w:hAnsi="Cambria Math" w:cs="Times New Roman"/>
              </w:rPr>
              <m:t>R</m:t>
            </m:r>
          </m:e>
          <m:sup>
            <m:r>
              <m:rPr>
                <m:sty m:val="bi"/>
              </m:rPr>
              <w:rPr>
                <w:rFonts w:ascii="Cambria Math" w:hAnsi="Cambria Math" w:cs="Times New Roman"/>
              </w:rPr>
              <m:t>2</m:t>
            </m:r>
          </m:sup>
        </m:sSup>
      </m:oMath>
      <w:r w:rsidR="0035390A" w:rsidRPr="0035390A">
        <w:rPr>
          <w:rFonts w:eastAsiaTheme="minorEastAsia" w:cs="Times New Roman"/>
        </w:rPr>
        <w:t>. If the R-squared value is high then it shows that the model can be used as an accurate predictive tool. If an R-squared value is low then the model would not be a good tool to accurately predict future data.</w:t>
      </w:r>
      <w:r w:rsidR="00F4618A">
        <w:rPr>
          <w:rFonts w:eastAsiaTheme="minorEastAsia" w:cs="Times New Roman"/>
        </w:rPr>
        <w:t xml:space="preserve"> </w:t>
      </w:r>
    </w:p>
    <w:p w14:paraId="670CEFD9" w14:textId="77777777" w:rsidR="00F4618A" w:rsidRDefault="00F4618A" w:rsidP="0035390A">
      <w:pPr>
        <w:spacing w:line="480" w:lineRule="auto"/>
        <w:rPr>
          <w:rFonts w:eastAsiaTheme="minorEastAsia" w:cs="Times New Roman"/>
        </w:rPr>
      </w:pPr>
    </w:p>
    <w:p w14:paraId="4ACBEC87" w14:textId="62E5FF61" w:rsidR="00F4618A" w:rsidRDefault="00F4618A" w:rsidP="00F4618A">
      <w:pPr>
        <w:pStyle w:val="Heading2"/>
        <w:numPr>
          <w:ilvl w:val="1"/>
          <w:numId w:val="1"/>
        </w:numPr>
      </w:pPr>
      <w:bookmarkStart w:id="22" w:name="_Toc500859074"/>
      <w:r>
        <w:lastRenderedPageBreak/>
        <w:t>Confidence interval</w:t>
      </w:r>
      <w:bookmarkEnd w:id="22"/>
    </w:p>
    <w:p w14:paraId="14A8D5F3" w14:textId="4CE18F1B" w:rsidR="00B64124" w:rsidRDefault="00B64124" w:rsidP="00B64124">
      <w:pPr>
        <w:spacing w:line="480" w:lineRule="auto"/>
      </w:pPr>
      <w:r>
        <w:rPr>
          <w:noProof/>
        </w:rPr>
        <w:drawing>
          <wp:anchor distT="0" distB="0" distL="114300" distR="114300" simplePos="0" relativeHeight="251663360" behindDoc="1" locked="0" layoutInCell="1" allowOverlap="1" wp14:anchorId="668A8771" wp14:editId="50EC4CD4">
            <wp:simplePos x="0" y="0"/>
            <wp:positionH relativeFrom="margin">
              <wp:align>left</wp:align>
            </wp:positionH>
            <wp:positionV relativeFrom="paragraph">
              <wp:posOffset>1387475</wp:posOffset>
            </wp:positionV>
            <wp:extent cx="2486025" cy="4038600"/>
            <wp:effectExtent l="0" t="0" r="9525" b="0"/>
            <wp:wrapTight wrapText="bothSides">
              <wp:wrapPolygon edited="0">
                <wp:start x="0" y="0"/>
                <wp:lineTo x="0" y="21498"/>
                <wp:lineTo x="21517" y="21498"/>
                <wp:lineTo x="21517"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53" t="15659" r="86518" b="46136"/>
                    <a:stretch/>
                  </pic:blipFill>
                  <pic:spPr bwMode="auto">
                    <a:xfrm>
                      <a:off x="0" y="0"/>
                      <a:ext cx="2486025" cy="4038600"/>
                    </a:xfrm>
                    <a:prstGeom prst="rect">
                      <a:avLst/>
                    </a:prstGeom>
                    <a:ln>
                      <a:noFill/>
                    </a:ln>
                    <a:extLst>
                      <a:ext uri="{53640926-AAD7-44D8-BBD7-CCE9431645EC}">
                        <a14:shadowObscured xmlns:a14="http://schemas.microsoft.com/office/drawing/2010/main"/>
                      </a:ext>
                    </a:extLst>
                  </pic:spPr>
                </pic:pic>
              </a:graphicData>
            </a:graphic>
          </wp:anchor>
        </w:drawing>
      </w:r>
      <w:r w:rsidR="00BA33FA">
        <w:t>Confidence limits or intervals are useful to show the likely range of values of which the true mean values would be</w:t>
      </w:r>
      <w:r w:rsidR="006C1258">
        <w:t xml:space="preserve"> </w:t>
      </w:r>
      <w:sdt>
        <w:sdtPr>
          <w:id w:val="1435715041"/>
          <w:citation/>
        </w:sdtPr>
        <w:sdtContent>
          <w:r w:rsidR="006C1258">
            <w:fldChar w:fldCharType="begin"/>
          </w:r>
          <w:r w:rsidR="006C1258">
            <w:instrText xml:space="preserve"> CITATION Geo06 \l 2057 </w:instrText>
          </w:r>
          <w:r w:rsidR="006C1258">
            <w:fldChar w:fldCharType="separate"/>
          </w:r>
          <w:r w:rsidR="00F03E32">
            <w:rPr>
              <w:noProof/>
            </w:rPr>
            <w:t>(Georgiou, 2006)</w:t>
          </w:r>
          <w:r w:rsidR="006C1258">
            <w:fldChar w:fldCharType="end"/>
          </w:r>
        </w:sdtContent>
      </w:sdt>
      <w:r w:rsidR="006C1258">
        <w:t>.</w:t>
      </w:r>
      <w:r w:rsidR="00BA33FA">
        <w:t xml:space="preserve"> </w:t>
      </w:r>
      <w:r w:rsidRPr="00B64124">
        <w:t xml:space="preserve">In other </w:t>
      </w:r>
      <w:proofErr w:type="gramStart"/>
      <w:r w:rsidRPr="00B64124">
        <w:t>words</w:t>
      </w:r>
      <w:proofErr w:type="gramEnd"/>
      <w:r w:rsidRPr="00B64124">
        <w:t xml:space="preserve"> </w:t>
      </w:r>
      <w:r w:rsidRPr="00B64124">
        <w:rPr>
          <w:i/>
        </w:rPr>
        <w:t>“95% of all "95% Confidence Intervals" will include the true mean”</w:t>
      </w:r>
      <w:sdt>
        <w:sdtPr>
          <w:rPr>
            <w:i/>
          </w:rPr>
          <w:id w:val="521289415"/>
          <w:citation/>
        </w:sdtPr>
        <w:sdtContent>
          <w:r w:rsidR="00092962">
            <w:rPr>
              <w:i/>
            </w:rPr>
            <w:fldChar w:fldCharType="begin"/>
          </w:r>
          <w:r w:rsidR="00092962">
            <w:rPr>
              <w:i/>
            </w:rPr>
            <w:instrText xml:space="preserve"> CITATION Mat17 \l 2057 </w:instrText>
          </w:r>
          <w:r w:rsidR="00092962">
            <w:rPr>
              <w:i/>
            </w:rPr>
            <w:fldChar w:fldCharType="separate"/>
          </w:r>
          <w:r w:rsidR="00F03E32">
            <w:rPr>
              <w:i/>
              <w:noProof/>
            </w:rPr>
            <w:t xml:space="preserve"> </w:t>
          </w:r>
          <w:r w:rsidR="00F03E32">
            <w:rPr>
              <w:noProof/>
            </w:rPr>
            <w:t>(MathsIsFun, 2017)</w:t>
          </w:r>
          <w:r w:rsidR="00092962">
            <w:rPr>
              <w:i/>
            </w:rPr>
            <w:fldChar w:fldCharType="end"/>
          </w:r>
        </w:sdtContent>
      </w:sdt>
      <w:r>
        <w:t xml:space="preserve"> </w:t>
      </w:r>
      <w:r w:rsidR="006C1258">
        <w:t>Typical confidence limits range from 80% to 99%.  Each limit has their own Z Value. The limit used in this report was 95%, which has a Z value of 1.96.</w:t>
      </w:r>
      <w:sdt>
        <w:sdtPr>
          <w:id w:val="1876963967"/>
          <w:citation/>
        </w:sdtPr>
        <w:sdtContent>
          <w:r>
            <w:fldChar w:fldCharType="begin"/>
          </w:r>
          <w:r>
            <w:instrText xml:space="preserve"> CITATION ITC \l 2057 </w:instrText>
          </w:r>
          <w:r>
            <w:fldChar w:fldCharType="separate"/>
          </w:r>
          <w:r w:rsidR="00F03E32">
            <w:rPr>
              <w:noProof/>
            </w:rPr>
            <w:t xml:space="preserve"> (ITCC Online)</w:t>
          </w:r>
          <w:r>
            <w:fldChar w:fldCharType="end"/>
          </w:r>
        </w:sdtContent>
      </w:sdt>
      <w:r w:rsidR="006C1258">
        <w:t xml:space="preserve"> </w:t>
      </w:r>
      <w:r>
        <w:t>Below is a table showing the Z values for other confidence intervals.</w:t>
      </w:r>
      <w:r w:rsidR="00092962">
        <w:t xml:space="preserve"> To get the </w:t>
      </w:r>
      <w:r w:rsidR="00092962" w:rsidRPr="00092962">
        <w:t>±95%</w:t>
      </w:r>
      <w:r w:rsidR="00092962">
        <w:t xml:space="preserve"> confidence limit it is as simple as multiplying the standard deviation by the Z value. This will give the upper and lower limits (+95% and -95%). The </w:t>
      </w:r>
      <w:r w:rsidR="00092962" w:rsidRPr="00092962">
        <w:t>±95%</w:t>
      </w:r>
      <w:r w:rsidR="00092962">
        <w:t xml:space="preserve"> limit for each defect </w:t>
      </w:r>
      <w:r w:rsidR="00D81E66">
        <w:t>must</w:t>
      </w:r>
      <w:r w:rsidR="00092962">
        <w:t xml:space="preserve"> be calculated to give limit line for the whole graph. This is done by talking the m and b values from the trendline equation </w:t>
      </w:r>
      <w:r w:rsidR="00092962" w:rsidRPr="00092962">
        <w:t> </w:t>
      </w:r>
      <m:oMath>
        <m:r>
          <m:rPr>
            <m:sty m:val="bi"/>
          </m:rPr>
          <w:rPr>
            <w:rFonts w:ascii="Cambria Math" w:hAnsi="Cambria Math"/>
          </w:rPr>
          <m:t>y=mx+b</m:t>
        </m:r>
      </m:oMath>
      <w:r w:rsidR="00092962">
        <w:t xml:space="preserve"> and plugging them into the equation to find the upper and lower limits for each defect. </w:t>
      </w:r>
    </w:p>
    <w:p w14:paraId="12AABD62" w14:textId="0DC42933" w:rsidR="00B64124" w:rsidRPr="00B64124" w:rsidRDefault="00B64124" w:rsidP="00B64124"/>
    <w:p w14:paraId="70B88591" w14:textId="669F5F70" w:rsidR="00B64124" w:rsidRPr="00F4618A" w:rsidRDefault="00B64124" w:rsidP="00B64124">
      <w:pPr>
        <w:pStyle w:val="Caption"/>
      </w:pPr>
      <w:bookmarkStart w:id="23" w:name="_Toc500754506"/>
      <w:r>
        <w:t xml:space="preserve">Table </w:t>
      </w:r>
      <w:r w:rsidR="00A77675">
        <w:fldChar w:fldCharType="begin"/>
      </w:r>
      <w:r w:rsidR="00A77675">
        <w:instrText xml:space="preserve"> SEQ Table \* ARABIC </w:instrText>
      </w:r>
      <w:r w:rsidR="00A77675">
        <w:fldChar w:fldCharType="separate"/>
      </w:r>
      <w:r>
        <w:rPr>
          <w:noProof/>
        </w:rPr>
        <w:t>1</w:t>
      </w:r>
      <w:r w:rsidR="00A77675">
        <w:rPr>
          <w:noProof/>
        </w:rPr>
        <w:fldChar w:fldCharType="end"/>
      </w:r>
      <w:r>
        <w:t xml:space="preserve"> – List of Z values for various confidence limits </w:t>
      </w:r>
      <w:sdt>
        <w:sdtPr>
          <w:id w:val="2080237337"/>
          <w:citation/>
        </w:sdtPr>
        <w:sdtContent>
          <w:r>
            <w:fldChar w:fldCharType="begin"/>
          </w:r>
          <w:r>
            <w:instrText xml:space="preserve"> CITATION ITC \l 2057 </w:instrText>
          </w:r>
          <w:r>
            <w:fldChar w:fldCharType="separate"/>
          </w:r>
          <w:r w:rsidR="00F03E32">
            <w:rPr>
              <w:noProof/>
            </w:rPr>
            <w:t>(ITCC Online)</w:t>
          </w:r>
          <w:r>
            <w:fldChar w:fldCharType="end"/>
          </w:r>
        </w:sdtContent>
      </w:sdt>
      <w:bookmarkEnd w:id="23"/>
    </w:p>
    <w:p w14:paraId="61AF643F" w14:textId="3F090F31" w:rsidR="00F4618A" w:rsidRDefault="00092962" w:rsidP="00F4618A">
      <w:r>
        <w:t>The final equations are:</w:t>
      </w:r>
    </w:p>
    <w:p w14:paraId="5998A5C3" w14:textId="77777777" w:rsidR="0070055F" w:rsidRDefault="0070055F" w:rsidP="00F4618A"/>
    <w:p w14:paraId="78ED7B2C" w14:textId="5BB4CD1B" w:rsidR="0070055F" w:rsidRDefault="0070055F" w:rsidP="0070055F">
      <w:pPr>
        <w:jc w:val="center"/>
        <w:rPr>
          <w:rFonts w:eastAsiaTheme="minorEastAsia"/>
          <w:b/>
        </w:rPr>
      </w:pPr>
      <m:oMath>
        <m:r>
          <m:rPr>
            <m:sty m:val="bi"/>
          </m:rPr>
          <w:rPr>
            <w:rFonts w:ascii="Cambria Math" w:hAnsi="Cambria Math"/>
          </w:rPr>
          <m:t>Upper limit=</m:t>
        </m:r>
        <m:d>
          <m:dPr>
            <m:ctrlPr>
              <w:rPr>
                <w:rFonts w:ascii="Cambria Math" w:hAnsi="Cambria Math"/>
                <w:b/>
                <w:i/>
              </w:rPr>
            </m:ctrlPr>
          </m:dPr>
          <m:e>
            <m:r>
              <m:rPr>
                <m:sty m:val="bi"/>
              </m:rPr>
              <w:rPr>
                <w:rFonts w:ascii="Cambria Math" w:hAnsi="Cambria Math"/>
              </w:rPr>
              <m:t>ml</m:t>
            </m:r>
          </m:e>
        </m:d>
        <m:r>
          <m:rPr>
            <m:sty m:val="bi"/>
          </m:rPr>
          <w:rPr>
            <w:rFonts w:ascii="Cambria Math" w:hAnsi="Cambria Math"/>
          </w:rPr>
          <m:t>+(b+CL</m:t>
        </m:r>
      </m:oMath>
      <w:r>
        <w:rPr>
          <w:rFonts w:eastAsiaTheme="minorEastAsia"/>
          <w:b/>
        </w:rPr>
        <w:t>)</w:t>
      </w:r>
    </w:p>
    <w:p w14:paraId="422D6039" w14:textId="0E33BF10" w:rsidR="0070055F" w:rsidRDefault="0070055F" w:rsidP="0070055F">
      <w:pPr>
        <w:pStyle w:val="Caption"/>
        <w:jc w:val="center"/>
        <w:rPr>
          <w:rFonts w:eastAsiaTheme="minorEastAsia"/>
          <w:b/>
        </w:rPr>
      </w:pPr>
      <w:bookmarkStart w:id="24" w:name="_Toc500754499"/>
      <w:r>
        <w:t xml:space="preserve">Equation </w:t>
      </w:r>
      <w:r w:rsidR="00A77675">
        <w:fldChar w:fldCharType="begin"/>
      </w:r>
      <w:r w:rsidR="00A77675">
        <w:instrText xml:space="preserve"> SEQ Equation \* ARABIC </w:instrText>
      </w:r>
      <w:r w:rsidR="00A77675">
        <w:fldChar w:fldCharType="separate"/>
      </w:r>
      <w:r>
        <w:rPr>
          <w:noProof/>
        </w:rPr>
        <w:t>2</w:t>
      </w:r>
      <w:r w:rsidR="00A77675">
        <w:rPr>
          <w:noProof/>
        </w:rPr>
        <w:fldChar w:fldCharType="end"/>
      </w:r>
      <w:r>
        <w:t xml:space="preserve"> – For upper limit</w:t>
      </w:r>
      <w:bookmarkEnd w:id="24"/>
    </w:p>
    <w:p w14:paraId="29A4012D" w14:textId="77777777" w:rsidR="0070055F" w:rsidRPr="0070055F" w:rsidRDefault="0070055F" w:rsidP="00F4618A">
      <w:pPr>
        <w:rPr>
          <w:rFonts w:eastAsiaTheme="minorEastAsia"/>
          <w:b/>
        </w:rPr>
      </w:pPr>
    </w:p>
    <w:p w14:paraId="409BC617" w14:textId="30B36A7A" w:rsidR="0070055F" w:rsidRPr="0070055F" w:rsidRDefault="0070055F" w:rsidP="0070055F">
      <w:pPr>
        <w:rPr>
          <w:rFonts w:eastAsiaTheme="minorEastAsia"/>
          <w:b/>
        </w:rPr>
      </w:pPr>
      <m:oMathPara>
        <m:oMath>
          <m:r>
            <m:rPr>
              <m:sty m:val="bi"/>
            </m:rPr>
            <w:rPr>
              <w:rFonts w:ascii="Cambria Math" w:hAnsi="Cambria Math"/>
            </w:rPr>
            <m:t>Lower limit=</m:t>
          </m:r>
          <m:d>
            <m:dPr>
              <m:ctrlPr>
                <w:rPr>
                  <w:rFonts w:ascii="Cambria Math" w:hAnsi="Cambria Math"/>
                  <w:b/>
                  <w:i/>
                </w:rPr>
              </m:ctrlPr>
            </m:dPr>
            <m:e>
              <m:r>
                <m:rPr>
                  <m:sty m:val="bi"/>
                </m:rPr>
                <w:rPr>
                  <w:rFonts w:ascii="Cambria Math" w:hAnsi="Cambria Math"/>
                </w:rPr>
                <m:t>ml</m:t>
              </m:r>
            </m:e>
          </m:d>
          <m:r>
            <m:rPr>
              <m:sty m:val="bi"/>
            </m:rPr>
            <w:rPr>
              <w:rFonts w:ascii="Cambria Math" w:hAnsi="Cambria Math"/>
            </w:rPr>
            <m:t>+(b-CL)</m:t>
          </m:r>
        </m:oMath>
      </m:oMathPara>
    </w:p>
    <w:p w14:paraId="6E089DDD" w14:textId="770B7927" w:rsidR="0070055F" w:rsidRDefault="0070055F" w:rsidP="0070055F">
      <w:pPr>
        <w:pStyle w:val="Caption"/>
        <w:jc w:val="center"/>
        <w:rPr>
          <w:rFonts w:eastAsiaTheme="minorEastAsia"/>
          <w:b/>
        </w:rPr>
      </w:pPr>
      <w:bookmarkStart w:id="25" w:name="_Toc500754500"/>
      <w:r>
        <w:t xml:space="preserve">Equation </w:t>
      </w:r>
      <w:r w:rsidR="00A77675">
        <w:fldChar w:fldCharType="begin"/>
      </w:r>
      <w:r w:rsidR="00A77675">
        <w:instrText xml:space="preserve"> SEQ Equation \* ARABIC </w:instrText>
      </w:r>
      <w:r w:rsidR="00A77675">
        <w:fldChar w:fldCharType="separate"/>
      </w:r>
      <w:r>
        <w:rPr>
          <w:noProof/>
        </w:rPr>
        <w:t>3</w:t>
      </w:r>
      <w:r w:rsidR="00A77675">
        <w:rPr>
          <w:noProof/>
        </w:rPr>
        <w:fldChar w:fldCharType="end"/>
      </w:r>
      <w:r>
        <w:t xml:space="preserve"> – for lower limit</w:t>
      </w:r>
      <w:bookmarkEnd w:id="25"/>
    </w:p>
    <w:p w14:paraId="344BF767" w14:textId="615EE71C" w:rsidR="0070055F" w:rsidRDefault="0070055F" w:rsidP="0070055F">
      <w:pPr>
        <w:rPr>
          <w:rFonts w:eastAsiaTheme="minorEastAsia"/>
          <w:b/>
        </w:rPr>
      </w:pPr>
    </w:p>
    <w:p w14:paraId="10D4FBF6" w14:textId="72357FE2" w:rsidR="0070055F" w:rsidRDefault="0070055F" w:rsidP="0070055F">
      <w:pPr>
        <w:rPr>
          <w:b/>
        </w:rPr>
      </w:pPr>
    </w:p>
    <w:p w14:paraId="0977EE5A" w14:textId="77777777" w:rsidR="0070055F" w:rsidRPr="0070055F" w:rsidRDefault="0070055F" w:rsidP="0070055F">
      <w:pPr>
        <w:rPr>
          <w:b/>
        </w:rPr>
      </w:pPr>
    </w:p>
    <w:p w14:paraId="3916ED4D" w14:textId="26BC407D" w:rsidR="0070055F" w:rsidRDefault="0070055F" w:rsidP="00F4618A">
      <w:r>
        <w:lastRenderedPageBreak/>
        <w:t>Where:</w:t>
      </w:r>
    </w:p>
    <w:p w14:paraId="1F02C6F1" w14:textId="456FDA11" w:rsidR="0070055F" w:rsidRDefault="0070055F" w:rsidP="00F4618A">
      <w:pPr>
        <w:rPr>
          <w:rFonts w:eastAsiaTheme="minorEastAsia"/>
        </w:rPr>
      </w:pPr>
      <m:oMath>
        <m:r>
          <w:rPr>
            <w:rFonts w:ascii="Cambria Math" w:hAnsi="Cambria Math"/>
          </w:rPr>
          <m:t>l</m:t>
        </m:r>
      </m:oMath>
      <w:r>
        <w:rPr>
          <w:rFonts w:eastAsiaTheme="minorEastAsia"/>
        </w:rPr>
        <w:t xml:space="preserve"> = true defect length</w:t>
      </w:r>
    </w:p>
    <w:p w14:paraId="47CC64EB" w14:textId="4B61F854" w:rsidR="006C0512" w:rsidRPr="006C0512" w:rsidRDefault="0070055F" w:rsidP="006C0512">
      <w:r>
        <w:rPr>
          <w:rFonts w:eastAsiaTheme="minorEastAsia"/>
        </w:rPr>
        <w:t xml:space="preserve">CL = </w:t>
      </w:r>
      <w:r w:rsidRPr="0070055F">
        <w:rPr>
          <w:rFonts w:eastAsiaTheme="minorEastAsia"/>
        </w:rPr>
        <w:t>±95%</w:t>
      </w:r>
      <w:r>
        <w:rPr>
          <w:rFonts w:eastAsiaTheme="minorEastAsia"/>
        </w:rPr>
        <w:t xml:space="preserve"> confidence limit</w:t>
      </w:r>
    </w:p>
    <w:p w14:paraId="08160758" w14:textId="15BF6395" w:rsidR="008B2E7A" w:rsidRDefault="00307E68" w:rsidP="00181FED">
      <w:r>
        <w:t>m and b bring products of the trendline formula.</w:t>
      </w:r>
    </w:p>
    <w:p w14:paraId="6A5BF7B6" w14:textId="653ADDE0" w:rsidR="00307E68" w:rsidRDefault="00307E68" w:rsidP="00307E68"/>
    <w:p w14:paraId="1E5ED5A2" w14:textId="373679F9" w:rsidR="00307E68" w:rsidRDefault="00307E68" w:rsidP="00307E68"/>
    <w:p w14:paraId="3FF2224B" w14:textId="471A731C" w:rsidR="00307E68" w:rsidRDefault="00307E68" w:rsidP="00307E68"/>
    <w:p w14:paraId="5CBEC72C" w14:textId="1DEBC033" w:rsidR="00307E68" w:rsidRDefault="00307E68" w:rsidP="00307E68"/>
    <w:p w14:paraId="78391680" w14:textId="4121329F" w:rsidR="00307E68" w:rsidRDefault="00307E68" w:rsidP="00307E68"/>
    <w:p w14:paraId="319FDCFF" w14:textId="08215036" w:rsidR="00307E68" w:rsidRDefault="00307E68" w:rsidP="00307E68"/>
    <w:p w14:paraId="010EDBFF" w14:textId="321A77D7" w:rsidR="00307E68" w:rsidRDefault="00307E68" w:rsidP="00307E68"/>
    <w:p w14:paraId="3C744168" w14:textId="52FE1101" w:rsidR="00307E68" w:rsidRDefault="00307E68" w:rsidP="00307E68"/>
    <w:p w14:paraId="77DF29D4" w14:textId="47549B62" w:rsidR="00307E68" w:rsidRDefault="00307E68" w:rsidP="00307E68"/>
    <w:p w14:paraId="13D9D1B3" w14:textId="264E845D" w:rsidR="00307E68" w:rsidRDefault="00307E68" w:rsidP="00307E68"/>
    <w:p w14:paraId="2D38B070" w14:textId="72D58B8E" w:rsidR="00307E68" w:rsidRDefault="00307E68" w:rsidP="00307E68"/>
    <w:p w14:paraId="0557C2BF" w14:textId="12D6CC1E" w:rsidR="00307E68" w:rsidRDefault="00307E68" w:rsidP="00307E68"/>
    <w:p w14:paraId="55614D40" w14:textId="10DD6C7D" w:rsidR="00307E68" w:rsidRDefault="00307E68" w:rsidP="00307E68"/>
    <w:p w14:paraId="1997C1E4" w14:textId="6DF6106E" w:rsidR="00307E68" w:rsidRDefault="00307E68" w:rsidP="00307E68"/>
    <w:p w14:paraId="13E14C8A" w14:textId="45421848" w:rsidR="00307E68" w:rsidRDefault="00307E68" w:rsidP="00307E68"/>
    <w:p w14:paraId="13AA6D4F" w14:textId="0C301970" w:rsidR="00307E68" w:rsidRDefault="00307E68" w:rsidP="00307E68"/>
    <w:p w14:paraId="2C4C97D5" w14:textId="11699E6C" w:rsidR="00307E68" w:rsidRDefault="00307E68" w:rsidP="00307E68"/>
    <w:p w14:paraId="1BEF591F" w14:textId="483AC377" w:rsidR="00307E68" w:rsidRDefault="00307E68" w:rsidP="00307E68"/>
    <w:p w14:paraId="116997D5" w14:textId="1AF27390" w:rsidR="00307E68" w:rsidRDefault="00307E68" w:rsidP="00307E68"/>
    <w:p w14:paraId="62482318" w14:textId="04772A03" w:rsidR="00307E68" w:rsidRDefault="00307E68" w:rsidP="00307E68"/>
    <w:p w14:paraId="6A9363D8" w14:textId="336A3C7F" w:rsidR="00307E68" w:rsidRDefault="00307E68" w:rsidP="00307E68"/>
    <w:p w14:paraId="0D9FA49D" w14:textId="407AD1A8" w:rsidR="00307E68" w:rsidRDefault="00307E68" w:rsidP="00307E68"/>
    <w:p w14:paraId="42CA03D5" w14:textId="5B01C823" w:rsidR="00307E68" w:rsidRDefault="00307E68" w:rsidP="00307E68"/>
    <w:p w14:paraId="6E67C4AC" w14:textId="1DF0F226" w:rsidR="00307E68" w:rsidRDefault="00307E68" w:rsidP="00307E68"/>
    <w:p w14:paraId="3F86526E" w14:textId="77777777" w:rsidR="00307E68" w:rsidRPr="00307E68" w:rsidRDefault="00307E68" w:rsidP="00307E68"/>
    <w:p w14:paraId="738FFE94" w14:textId="37E8A910" w:rsidR="00731B76" w:rsidRDefault="00731B76" w:rsidP="00731B76">
      <w:pPr>
        <w:pStyle w:val="Heading1"/>
        <w:numPr>
          <w:ilvl w:val="0"/>
          <w:numId w:val="1"/>
        </w:numPr>
      </w:pPr>
      <w:bookmarkStart w:id="26" w:name="_Toc500859075"/>
      <w:r>
        <w:lastRenderedPageBreak/>
        <w:t>P</w:t>
      </w:r>
      <w:r w:rsidR="00117C7F">
        <w:t>OD results and analysis</w:t>
      </w:r>
      <w:bookmarkEnd w:id="26"/>
    </w:p>
    <w:p w14:paraId="76266DD2" w14:textId="6DF491B9" w:rsidR="00731B76" w:rsidRDefault="000F44D1" w:rsidP="00D11BD6">
      <w:pPr>
        <w:spacing w:line="480" w:lineRule="auto"/>
        <w:rPr>
          <w:rFonts w:cs="Times New Roman"/>
          <w:szCs w:val="24"/>
        </w:rPr>
      </w:pPr>
      <w:r>
        <w:rPr>
          <w:rFonts w:cs="Times New Roman"/>
          <w:szCs w:val="24"/>
        </w:rPr>
        <w:t>Out of all 28 defects not one operator detected more than 19. The first 8 defects</w:t>
      </w:r>
      <w:r w:rsidR="00D11BD6">
        <w:rPr>
          <w:rFonts w:cs="Times New Roman"/>
          <w:szCs w:val="24"/>
        </w:rPr>
        <w:t>,</w:t>
      </w:r>
      <w:r>
        <w:rPr>
          <w:rFonts w:cs="Times New Roman"/>
          <w:szCs w:val="24"/>
        </w:rPr>
        <w:t xml:space="preserve"> A-H got no hits at all and remained undetected. </w:t>
      </w:r>
      <w:r w:rsidR="00D11BD6">
        <w:rPr>
          <w:rFonts w:cs="Times New Roman"/>
          <w:szCs w:val="24"/>
        </w:rPr>
        <w:t>Graph figure 6 shows the performance of each operator by how many defects they detected each. It is obvious looking at the data that operator 7 out performs the other 9 with a total of 19 defects detected. Operator 4 is by far the worst with only detecting 5 defects out of the total 28.</w:t>
      </w:r>
      <w:r w:rsidR="0069584B">
        <w:rPr>
          <w:rFonts w:cs="Times New Roman"/>
          <w:szCs w:val="24"/>
        </w:rPr>
        <w:t xml:space="preserve"> </w:t>
      </w:r>
    </w:p>
    <w:p w14:paraId="7CF4370E" w14:textId="537EDFA4" w:rsidR="000F44D1" w:rsidRDefault="000F44D1" w:rsidP="00731B76">
      <w:pPr>
        <w:rPr>
          <w:rFonts w:cs="Times New Roman"/>
          <w:szCs w:val="24"/>
        </w:rPr>
      </w:pPr>
      <w:r>
        <w:rPr>
          <w:noProof/>
        </w:rPr>
        <w:drawing>
          <wp:inline distT="0" distB="0" distL="0" distR="0" wp14:anchorId="509F99D4" wp14:editId="0D0A0EC0">
            <wp:extent cx="5731510" cy="3811905"/>
            <wp:effectExtent l="0" t="0" r="2540" b="17145"/>
            <wp:docPr id="4" name="Chart 4">
              <a:extLst xmlns:a="http://schemas.openxmlformats.org/drawingml/2006/main">
                <a:ext uri="{FF2B5EF4-FFF2-40B4-BE49-F238E27FC236}">
                  <a16:creationId xmlns:a16="http://schemas.microsoft.com/office/drawing/2014/main" id="{9A960D1F-6914-4B52-A54D-13787DDDCE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5568519" w14:textId="12BC7027" w:rsidR="00734886" w:rsidRDefault="00734886" w:rsidP="00734886">
      <w:pPr>
        <w:pStyle w:val="Caption"/>
      </w:pPr>
      <w:bookmarkStart w:id="27" w:name="_Toc500754486"/>
      <w:bookmarkStart w:id="28" w:name="_Toc500857851"/>
      <w:r>
        <w:t xml:space="preserve">Figure </w:t>
      </w:r>
      <w:r w:rsidR="00A77675">
        <w:fldChar w:fldCharType="begin"/>
      </w:r>
      <w:r w:rsidR="00A77675">
        <w:instrText xml:space="preserve"> SEQ Figure \* ARABIC </w:instrText>
      </w:r>
      <w:r w:rsidR="00A77675">
        <w:fldChar w:fldCharType="separate"/>
      </w:r>
      <w:r w:rsidR="003317E3">
        <w:rPr>
          <w:noProof/>
        </w:rPr>
        <w:t>6</w:t>
      </w:r>
      <w:r w:rsidR="00A77675">
        <w:rPr>
          <w:noProof/>
        </w:rPr>
        <w:fldChar w:fldCharType="end"/>
      </w:r>
      <w:r>
        <w:t xml:space="preserve"> – Graph showing number of hits for each operator</w:t>
      </w:r>
      <w:bookmarkEnd w:id="27"/>
      <w:bookmarkEnd w:id="28"/>
    </w:p>
    <w:p w14:paraId="1BAD5A54" w14:textId="77777777" w:rsidR="00631560" w:rsidRPr="00631560" w:rsidRDefault="00631560" w:rsidP="00631560"/>
    <w:p w14:paraId="6556563F" w14:textId="7D1DA6BB" w:rsidR="000F44D1" w:rsidRDefault="000F44D1" w:rsidP="00731B76">
      <w:pPr>
        <w:rPr>
          <w:rFonts w:cs="Times New Roman"/>
          <w:szCs w:val="24"/>
        </w:rPr>
      </w:pPr>
      <w:r>
        <w:rPr>
          <w:noProof/>
        </w:rPr>
        <w:lastRenderedPageBreak/>
        <w:drawing>
          <wp:inline distT="0" distB="0" distL="0" distR="0" wp14:anchorId="58E4A346" wp14:editId="4373D2BA">
            <wp:extent cx="5731510" cy="3483610"/>
            <wp:effectExtent l="0" t="0" r="2540" b="2540"/>
            <wp:docPr id="5" name="Chart 5">
              <a:extLst xmlns:a="http://schemas.openxmlformats.org/drawingml/2006/main">
                <a:ext uri="{FF2B5EF4-FFF2-40B4-BE49-F238E27FC236}">
                  <a16:creationId xmlns:a16="http://schemas.microsoft.com/office/drawing/2014/main" id="{D07E1AB9-7891-4ABC-958B-92A5F11879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5925C60" w14:textId="51B645C0" w:rsidR="00734886" w:rsidRDefault="00734886" w:rsidP="00734886">
      <w:pPr>
        <w:pStyle w:val="Caption"/>
      </w:pPr>
      <w:bookmarkStart w:id="29" w:name="_Toc500754487"/>
      <w:bookmarkStart w:id="30" w:name="_Toc500857852"/>
      <w:r>
        <w:t xml:space="preserve">Figure </w:t>
      </w:r>
      <w:r w:rsidR="00A77675">
        <w:fldChar w:fldCharType="begin"/>
      </w:r>
      <w:r w:rsidR="00A77675">
        <w:instrText xml:space="preserve"> SEQ Figure \* ARABIC </w:instrText>
      </w:r>
      <w:r w:rsidR="00A77675">
        <w:fldChar w:fldCharType="separate"/>
      </w:r>
      <w:r w:rsidR="003317E3">
        <w:rPr>
          <w:noProof/>
        </w:rPr>
        <w:t>7</w:t>
      </w:r>
      <w:r w:rsidR="00A77675">
        <w:rPr>
          <w:noProof/>
        </w:rPr>
        <w:fldChar w:fldCharType="end"/>
      </w:r>
      <w:r>
        <w:t xml:space="preserve"> – Graph showing mean hits for each operator</w:t>
      </w:r>
      <w:bookmarkEnd w:id="29"/>
      <w:bookmarkEnd w:id="30"/>
    </w:p>
    <w:p w14:paraId="7A4DC588" w14:textId="10E4E0E5" w:rsidR="001201C5" w:rsidRDefault="001201C5" w:rsidP="001201C5">
      <w:pPr>
        <w:spacing w:line="480" w:lineRule="auto"/>
      </w:pPr>
      <w:r>
        <w:t xml:space="preserve">From the information gathered from the graphs figures 6 and 7 one can get an accurate say on which operators are better than others. Going from the data displayed operator 4 is the worst, detecting only </w:t>
      </w:r>
      <w:r w:rsidR="002A413A">
        <w:t>17% of all defects. Operator 7 is the best with being able to detect 67% of all defects.</w:t>
      </w:r>
      <w:r>
        <w:t xml:space="preserve"> The net mean hits for all operators was </w:t>
      </w:r>
      <w:r w:rsidRPr="001201C5">
        <w:t>0.425</w:t>
      </w:r>
      <w:r>
        <w:t>. Operators 5,6 and 8 also performed well with a mean score of over 0.5 (meaning at least 50% of all defects where</w:t>
      </w:r>
      <w:r w:rsidR="002A413A">
        <w:t xml:space="preserve"> detected).</w:t>
      </w:r>
    </w:p>
    <w:p w14:paraId="37945EAC" w14:textId="223B1221" w:rsidR="002A413A" w:rsidRPr="001201C5" w:rsidRDefault="002A413A" w:rsidP="001201C5">
      <w:pPr>
        <w:spacing w:line="480" w:lineRule="auto"/>
      </w:pPr>
      <w:r>
        <w:t xml:space="preserve">The POD curves for each operator will be proportional to how many hits and misses each had. Graph figure 8 shows the POD curves of operators 4 and 7. Immediately there is a dramatic difference between the two operators. Operator surpasses the 80% detection chance between 0.7mm and 0.8mm in length. Operator 4 only supposes the 80% detection chance threshold with defects approximately 1.2 mm or larger. After analysing this </w:t>
      </w:r>
      <w:r w:rsidR="001B503A">
        <w:t>data,</w:t>
      </w:r>
      <w:r>
        <w:t xml:space="preserve"> it is clear that operator 7 would be the best operator to use in a </w:t>
      </w:r>
      <w:proofErr w:type="gramStart"/>
      <w:r>
        <w:t>real world</w:t>
      </w:r>
      <w:proofErr w:type="gramEnd"/>
      <w:r>
        <w:t xml:space="preserve"> situation assuming the method and equipment was the same as to when data was initially gathered. </w:t>
      </w:r>
    </w:p>
    <w:p w14:paraId="6B89953C" w14:textId="1DDD5387" w:rsidR="00734886" w:rsidRPr="00734886" w:rsidRDefault="00734886" w:rsidP="001201C5">
      <w:pPr>
        <w:spacing w:line="480" w:lineRule="auto"/>
      </w:pPr>
    </w:p>
    <w:p w14:paraId="24F28423" w14:textId="182F0740" w:rsidR="00553A78" w:rsidRDefault="00553A78" w:rsidP="00731B76">
      <w:pPr>
        <w:rPr>
          <w:rFonts w:cs="Times New Roman"/>
          <w:szCs w:val="24"/>
        </w:rPr>
      </w:pPr>
      <w:r>
        <w:rPr>
          <w:noProof/>
        </w:rPr>
        <w:lastRenderedPageBreak/>
        <w:drawing>
          <wp:inline distT="0" distB="0" distL="0" distR="0" wp14:anchorId="30B54C4A" wp14:editId="73258145">
            <wp:extent cx="5731510" cy="3168650"/>
            <wp:effectExtent l="0" t="0" r="2540" b="12700"/>
            <wp:docPr id="6" name="Chart 6">
              <a:extLst xmlns:a="http://schemas.openxmlformats.org/drawingml/2006/main">
                <a:ext uri="{FF2B5EF4-FFF2-40B4-BE49-F238E27FC236}">
                  <a16:creationId xmlns:a16="http://schemas.microsoft.com/office/drawing/2014/main" id="{D84FEF3C-F36B-409D-9A28-5EFB1AD7B1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5F35DDD1" w14:textId="61E25245" w:rsidR="00734886" w:rsidRPr="007F3849" w:rsidRDefault="00734886" w:rsidP="00734886">
      <w:pPr>
        <w:pStyle w:val="Caption"/>
        <w:rPr>
          <w:rFonts w:cs="Times New Roman"/>
          <w:szCs w:val="24"/>
        </w:rPr>
      </w:pPr>
      <w:bookmarkStart w:id="31" w:name="_Toc500754488"/>
      <w:bookmarkStart w:id="32" w:name="_Toc500857853"/>
      <w:r>
        <w:t xml:space="preserve">Figure </w:t>
      </w:r>
      <w:r w:rsidR="00A77675">
        <w:fldChar w:fldCharType="begin"/>
      </w:r>
      <w:r w:rsidR="00A77675">
        <w:instrText xml:space="preserve"> SEQ Figure \* ARABIC </w:instrText>
      </w:r>
      <w:r w:rsidR="00A77675">
        <w:fldChar w:fldCharType="separate"/>
      </w:r>
      <w:r w:rsidR="003317E3">
        <w:rPr>
          <w:noProof/>
        </w:rPr>
        <w:t>8</w:t>
      </w:r>
      <w:r w:rsidR="00A77675">
        <w:rPr>
          <w:noProof/>
        </w:rPr>
        <w:fldChar w:fldCharType="end"/>
      </w:r>
      <w:r>
        <w:t xml:space="preserve"> – Graph comparing the POD curves of the worst and best operator</w:t>
      </w:r>
      <w:bookmarkEnd w:id="31"/>
      <w:bookmarkEnd w:id="32"/>
    </w:p>
    <w:p w14:paraId="3B500D72" w14:textId="77777777" w:rsidR="00353CA8" w:rsidRDefault="00353CA8" w:rsidP="00731B76"/>
    <w:p w14:paraId="0920A782" w14:textId="01EEF96A" w:rsidR="00353CA8" w:rsidRDefault="004A5432" w:rsidP="00731B76">
      <w:r>
        <w:rPr>
          <w:noProof/>
        </w:rPr>
        <w:drawing>
          <wp:inline distT="0" distB="0" distL="0" distR="0" wp14:anchorId="47E31061" wp14:editId="4349396F">
            <wp:extent cx="5731510" cy="3731260"/>
            <wp:effectExtent l="0" t="0" r="2540" b="2540"/>
            <wp:docPr id="18" name="Chart 18">
              <a:extLst xmlns:a="http://schemas.openxmlformats.org/drawingml/2006/main">
                <a:ext uri="{FF2B5EF4-FFF2-40B4-BE49-F238E27FC236}">
                  <a16:creationId xmlns:a16="http://schemas.microsoft.com/office/drawing/2014/main" id="{9FB49ED4-CB74-474D-BC00-261518EBA9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1B492D3F" w14:textId="3FD3B67C" w:rsidR="004A5432" w:rsidRDefault="004A5432" w:rsidP="004A5432">
      <w:pPr>
        <w:pStyle w:val="Caption"/>
      </w:pPr>
      <w:bookmarkStart w:id="33" w:name="_Toc500857854"/>
      <w:r>
        <w:t xml:space="preserve">Figure </w:t>
      </w:r>
      <w:r>
        <w:fldChar w:fldCharType="begin"/>
      </w:r>
      <w:r>
        <w:instrText xml:space="preserve"> SEQ Figure \* ARABIC </w:instrText>
      </w:r>
      <w:r>
        <w:fldChar w:fldCharType="separate"/>
      </w:r>
      <w:r w:rsidR="003317E3">
        <w:rPr>
          <w:noProof/>
        </w:rPr>
        <w:t>9</w:t>
      </w:r>
      <w:r>
        <w:fldChar w:fldCharType="end"/>
      </w:r>
      <w:r>
        <w:t xml:space="preserve"> – Graph comparing the POD curves of ops 7 and 8</w:t>
      </w:r>
      <w:bookmarkEnd w:id="33"/>
    </w:p>
    <w:p w14:paraId="34AB1CBA" w14:textId="085A59EF" w:rsidR="00353CA8" w:rsidRDefault="004A5432" w:rsidP="001B503A">
      <w:pPr>
        <w:spacing w:line="480" w:lineRule="auto"/>
      </w:pPr>
      <w:r>
        <w:t>As can be seen in graph figure 9, the POD curves for the best operator (7) and operator 8 (which is joint second best with operator 6 are very close, although between defect lengths of 0.25mm and 1mm there is a difference between 4% and 8%</w:t>
      </w:r>
      <w:r w:rsidR="004229DB">
        <w:t>.</w:t>
      </w:r>
    </w:p>
    <w:p w14:paraId="0D38ECF0" w14:textId="3057B4BA" w:rsidR="004229DB" w:rsidRDefault="004229DB" w:rsidP="004229DB">
      <w:pPr>
        <w:pStyle w:val="Heading2"/>
        <w:numPr>
          <w:ilvl w:val="1"/>
          <w:numId w:val="1"/>
        </w:numPr>
      </w:pPr>
      <w:bookmarkStart w:id="34" w:name="_Toc500859076"/>
      <w:r>
        <w:lastRenderedPageBreak/>
        <w:t>Analysis of procedure</w:t>
      </w:r>
      <w:bookmarkEnd w:id="34"/>
    </w:p>
    <w:p w14:paraId="1935645B" w14:textId="1B08C9C8" w:rsidR="004229DB" w:rsidRDefault="004229DB" w:rsidP="00E42A0B">
      <w:pPr>
        <w:spacing w:line="480" w:lineRule="auto"/>
      </w:pPr>
      <w:r>
        <w:t xml:space="preserve">The procedure </w:t>
      </w:r>
      <w:proofErr w:type="gramStart"/>
      <w:r>
        <w:t>as a whole is</w:t>
      </w:r>
      <w:proofErr w:type="gramEnd"/>
      <w:r>
        <w:t xml:space="preserve"> shown to be perfectly suitable for use for detecting defects larger than</w:t>
      </w:r>
      <w:r w:rsidR="00E42A0B">
        <w:t xml:space="preserve"> 1.5mm in length with a approx. 95% chance of a hit. Graph figure 10 illustrates this as it shows the mean POD for </w:t>
      </w:r>
      <w:proofErr w:type="gramStart"/>
      <w:r w:rsidR="00E42A0B">
        <w:t>all of</w:t>
      </w:r>
      <w:proofErr w:type="gramEnd"/>
      <w:r w:rsidR="00E42A0B">
        <w:t xml:space="preserve"> the operators to get a better idea of how accurate the procedure itself is. It would not be recommended to use for trying to detect defects smaller than 1mm in length as by then the hit chance is less than 80%. For smaller defects a different procedure must be used that has a higher POD for defects smaller than 1mm.  </w:t>
      </w:r>
    </w:p>
    <w:p w14:paraId="39EDC4DF" w14:textId="7DA927EA" w:rsidR="004229DB" w:rsidRDefault="004229DB" w:rsidP="004229DB">
      <w:r>
        <w:rPr>
          <w:noProof/>
        </w:rPr>
        <w:drawing>
          <wp:inline distT="0" distB="0" distL="0" distR="0" wp14:anchorId="3D78F013" wp14:editId="639ECF55">
            <wp:extent cx="5630956" cy="3971365"/>
            <wp:effectExtent l="0" t="0" r="8255" b="10160"/>
            <wp:docPr id="10" name="Chart 10">
              <a:extLst xmlns:a="http://schemas.openxmlformats.org/drawingml/2006/main">
                <a:ext uri="{FF2B5EF4-FFF2-40B4-BE49-F238E27FC236}">
                  <a16:creationId xmlns:a16="http://schemas.microsoft.com/office/drawing/2014/main" id="{CB5B41A1-3594-4B86-9772-C61B0228DD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D6D414E" w14:textId="56ED5A72" w:rsidR="00E42A0B" w:rsidRDefault="00E42A0B" w:rsidP="00E42A0B">
      <w:pPr>
        <w:pStyle w:val="Caption"/>
      </w:pPr>
      <w:bookmarkStart w:id="35" w:name="_Toc500857855"/>
      <w:r>
        <w:t xml:space="preserve">Figure </w:t>
      </w:r>
      <w:r>
        <w:fldChar w:fldCharType="begin"/>
      </w:r>
      <w:r>
        <w:instrText xml:space="preserve"> SEQ Figure \* ARABIC </w:instrText>
      </w:r>
      <w:r>
        <w:fldChar w:fldCharType="separate"/>
      </w:r>
      <w:r w:rsidR="003317E3">
        <w:rPr>
          <w:noProof/>
        </w:rPr>
        <w:t>10</w:t>
      </w:r>
      <w:r>
        <w:fldChar w:fldCharType="end"/>
      </w:r>
      <w:r>
        <w:t xml:space="preserve"> – Graph showing the mean POD curve of operators 1-10</w:t>
      </w:r>
      <w:bookmarkEnd w:id="35"/>
    </w:p>
    <w:p w14:paraId="71327731" w14:textId="38137841" w:rsidR="00E42A0B" w:rsidRDefault="00E42A0B" w:rsidP="00E42A0B"/>
    <w:p w14:paraId="5DF92D5A" w14:textId="3B4DCA6F" w:rsidR="00E42A0B" w:rsidRDefault="00E42A0B" w:rsidP="00E42A0B"/>
    <w:p w14:paraId="325BDE04" w14:textId="09610331" w:rsidR="00E42A0B" w:rsidRDefault="00E42A0B" w:rsidP="00E42A0B"/>
    <w:p w14:paraId="69C42A11" w14:textId="258EC204" w:rsidR="00E42A0B" w:rsidRDefault="00E42A0B" w:rsidP="00E42A0B"/>
    <w:p w14:paraId="70B5E63F" w14:textId="77777777" w:rsidR="00E42A0B" w:rsidRPr="00E42A0B" w:rsidRDefault="00E42A0B" w:rsidP="00E42A0B"/>
    <w:p w14:paraId="121E6FF7" w14:textId="0C364A23" w:rsidR="004E50AF" w:rsidRDefault="00117C7F" w:rsidP="00731B76">
      <w:pPr>
        <w:pStyle w:val="Heading1"/>
        <w:numPr>
          <w:ilvl w:val="0"/>
          <w:numId w:val="1"/>
        </w:numPr>
      </w:pPr>
      <w:bookmarkStart w:id="36" w:name="_Toc500859077"/>
      <w:r>
        <w:lastRenderedPageBreak/>
        <w:t>POS results and analysis</w:t>
      </w:r>
      <w:bookmarkEnd w:id="36"/>
    </w:p>
    <w:p w14:paraId="6EFF46AC" w14:textId="10049E02" w:rsidR="004E6028" w:rsidRPr="004E6028" w:rsidRDefault="002C4C54" w:rsidP="002C4C54">
      <w:pPr>
        <w:spacing w:line="480" w:lineRule="auto"/>
      </w:pPr>
      <w:r>
        <w:t>This section will briefly analyse the data from all 10 operators and then narrow down to find the worst and best performing operators.</w:t>
      </w:r>
    </w:p>
    <w:p w14:paraId="54F72878" w14:textId="638F15F5" w:rsidR="00FE2C14" w:rsidRDefault="00FE2C14" w:rsidP="00FD051C">
      <w:pPr>
        <w:pStyle w:val="Heading2"/>
        <w:rPr>
          <w:rFonts w:asciiTheme="minorHAnsi" w:eastAsiaTheme="minorHAnsi" w:hAnsiTheme="minorHAnsi" w:cstheme="minorBidi"/>
          <w:b w:val="0"/>
          <w:sz w:val="22"/>
          <w:szCs w:val="22"/>
        </w:rPr>
      </w:pPr>
    </w:p>
    <w:p w14:paraId="034A5656" w14:textId="7F144018" w:rsidR="00FD051C" w:rsidRDefault="00FD051C" w:rsidP="00FD051C">
      <w:r>
        <w:rPr>
          <w:noProof/>
        </w:rPr>
        <w:drawing>
          <wp:inline distT="0" distB="0" distL="0" distR="0" wp14:anchorId="5865CE36" wp14:editId="59B97052">
            <wp:extent cx="5715000" cy="3543300"/>
            <wp:effectExtent l="0" t="0" r="0" b="0"/>
            <wp:docPr id="1" name="Chart 1">
              <a:extLst xmlns:a="http://schemas.openxmlformats.org/drawingml/2006/main">
                <a:ext uri="{FF2B5EF4-FFF2-40B4-BE49-F238E27FC236}">
                  <a16:creationId xmlns:a16="http://schemas.microsoft.com/office/drawing/2014/main" id="{46C422C8-50C7-4A01-A113-9489326E95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46EBD0D4" w14:textId="598DF2DD" w:rsidR="00734886" w:rsidRPr="00FD051C" w:rsidRDefault="00734886" w:rsidP="00734886">
      <w:pPr>
        <w:pStyle w:val="Caption"/>
      </w:pPr>
      <w:bookmarkStart w:id="37" w:name="_Toc500754489"/>
      <w:bookmarkStart w:id="38" w:name="_Toc500857856"/>
      <w:r>
        <w:t xml:space="preserve">Figure </w:t>
      </w:r>
      <w:r w:rsidR="00A77675">
        <w:fldChar w:fldCharType="begin"/>
      </w:r>
      <w:r w:rsidR="00A77675">
        <w:instrText xml:space="preserve"> SEQ Figure \* ARABIC </w:instrText>
      </w:r>
      <w:r w:rsidR="00A77675">
        <w:fldChar w:fldCharType="separate"/>
      </w:r>
      <w:r w:rsidR="003317E3">
        <w:rPr>
          <w:noProof/>
        </w:rPr>
        <w:t>11</w:t>
      </w:r>
      <w:r w:rsidR="00A77675">
        <w:rPr>
          <w:noProof/>
        </w:rPr>
        <w:fldChar w:fldCharType="end"/>
      </w:r>
      <w:r>
        <w:t xml:space="preserve"> – Graph showing the standard deviation range for each operator</w:t>
      </w:r>
      <w:bookmarkEnd w:id="37"/>
      <w:bookmarkEnd w:id="38"/>
    </w:p>
    <w:p w14:paraId="2C036948" w14:textId="0B97EB33" w:rsidR="00FE2C14" w:rsidRDefault="007F3849" w:rsidP="00E020C2">
      <w:pPr>
        <w:spacing w:line="480" w:lineRule="auto"/>
      </w:pPr>
      <w:r>
        <w:t>This graph shows the range of each operator. The range is simply double the standard deviation. As the</w:t>
      </w:r>
      <w:r w:rsidR="00E020C2">
        <w:t xml:space="preserve"> standard deviation is how far the data points are from the tread line.</w:t>
      </w:r>
      <w:r w:rsidR="004E6028">
        <w:t xml:space="preserve"> In other </w:t>
      </w:r>
      <w:proofErr w:type="gramStart"/>
      <w:r w:rsidR="004E6028">
        <w:t>words</w:t>
      </w:r>
      <w:proofErr w:type="gramEnd"/>
      <w:r w:rsidR="004E6028">
        <w:t xml:space="preserve"> it shows how much of an error there is from the measured size to the true size of the defect.</w:t>
      </w:r>
      <w:r w:rsidR="00E020C2">
        <w:t xml:space="preserve"> A smaller range means the more accurate the operator in dete</w:t>
      </w:r>
      <w:r w:rsidR="004E6028">
        <w:t xml:space="preserve">rmining the size of each defect as the standard deviation is how far the data points stray from the mean. </w:t>
      </w:r>
    </w:p>
    <w:p w14:paraId="5E26C53D" w14:textId="660E4289" w:rsidR="004E6028" w:rsidRDefault="004E6028" w:rsidP="00E020C2">
      <w:pPr>
        <w:spacing w:line="480" w:lineRule="auto"/>
      </w:pPr>
      <w:r>
        <w:t>As can be seen operator 2 has by far the biggest range of 1.352 meaning on average his measurements are farthest from the true size. Operator 8 has the smallest range of only 0.508</w:t>
      </w:r>
      <w:r w:rsidR="004A5432">
        <w:t>. Going off this data alone it is clear that operators 8 and 10 are the best operators in terms of how accurately they are sizing the defects.</w:t>
      </w:r>
    </w:p>
    <w:p w14:paraId="48379AEF" w14:textId="77777777" w:rsidR="004E6028" w:rsidRPr="00FE2C14" w:rsidRDefault="004E6028" w:rsidP="00E020C2">
      <w:pPr>
        <w:spacing w:line="480" w:lineRule="auto"/>
      </w:pPr>
    </w:p>
    <w:p w14:paraId="7623C926" w14:textId="263C2AC2" w:rsidR="00353CA8" w:rsidRDefault="00216486" w:rsidP="003F63A3">
      <w:pPr>
        <w:rPr>
          <w:rFonts w:cs="Times New Roman"/>
          <w:szCs w:val="24"/>
        </w:rPr>
      </w:pPr>
      <w:r>
        <w:rPr>
          <w:noProof/>
        </w:rPr>
        <w:lastRenderedPageBreak/>
        <w:drawing>
          <wp:inline distT="0" distB="0" distL="0" distR="0" wp14:anchorId="3644A234" wp14:editId="46A5E5D3">
            <wp:extent cx="5762625" cy="3352800"/>
            <wp:effectExtent l="0" t="0" r="9525" b="0"/>
            <wp:docPr id="12" name="Chart 12">
              <a:extLst xmlns:a="http://schemas.openxmlformats.org/drawingml/2006/main">
                <a:ext uri="{FF2B5EF4-FFF2-40B4-BE49-F238E27FC236}">
                  <a16:creationId xmlns:a16="http://schemas.microsoft.com/office/drawing/2014/main" id="{4BFD2C29-7D76-4CE2-9AB0-441AF4B3A8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D4120D3" w14:textId="20FAA322" w:rsidR="00734886" w:rsidRDefault="00734886" w:rsidP="00734886">
      <w:pPr>
        <w:pStyle w:val="Caption"/>
        <w:rPr>
          <w:rFonts w:cs="Times New Roman"/>
          <w:szCs w:val="24"/>
        </w:rPr>
      </w:pPr>
      <w:bookmarkStart w:id="39" w:name="_Toc500754490"/>
      <w:bookmarkStart w:id="40" w:name="_Toc500857857"/>
      <w:r>
        <w:t xml:space="preserve">Figure </w:t>
      </w:r>
      <w:r w:rsidR="00A77675">
        <w:fldChar w:fldCharType="begin"/>
      </w:r>
      <w:r w:rsidR="00A77675">
        <w:instrText xml:space="preserve"> SEQ Figure \* ARABIC </w:instrText>
      </w:r>
      <w:r w:rsidR="00A77675">
        <w:fldChar w:fldCharType="separate"/>
      </w:r>
      <w:r w:rsidR="003317E3">
        <w:rPr>
          <w:noProof/>
        </w:rPr>
        <w:t>12</w:t>
      </w:r>
      <w:r w:rsidR="00A77675">
        <w:rPr>
          <w:noProof/>
        </w:rPr>
        <w:fldChar w:fldCharType="end"/>
      </w:r>
      <w:r>
        <w:t xml:space="preserve"> – Graph showing the </w:t>
      </w:r>
      <w:r w:rsidRPr="00734886">
        <w:t>Coefficient of determination</w:t>
      </w:r>
      <w:r>
        <w:t xml:space="preserve"> for each </w:t>
      </w:r>
      <w:bookmarkEnd w:id="39"/>
      <w:r w:rsidR="004A5432">
        <w:t>operator</w:t>
      </w:r>
      <w:bookmarkEnd w:id="40"/>
    </w:p>
    <w:p w14:paraId="087669D1" w14:textId="639B01EC" w:rsidR="00216486" w:rsidRDefault="004807D3" w:rsidP="004807D3">
      <w:pPr>
        <w:spacing w:line="480" w:lineRule="auto"/>
        <w:rPr>
          <w:rFonts w:cs="Times New Roman"/>
          <w:szCs w:val="24"/>
        </w:rPr>
      </w:pPr>
      <w:r>
        <w:rPr>
          <w:rFonts w:cs="Times New Roman"/>
          <w:szCs w:val="24"/>
        </w:rPr>
        <w:t>From using the d</w:t>
      </w:r>
      <w:r w:rsidR="00E42A0B">
        <w:rPr>
          <w:rFonts w:cs="Times New Roman"/>
          <w:szCs w:val="24"/>
        </w:rPr>
        <w:t>ata displayed in graph figure 11</w:t>
      </w:r>
      <w:r>
        <w:rPr>
          <w:rFonts w:cs="Times New Roman"/>
          <w:szCs w:val="24"/>
        </w:rPr>
        <w:t xml:space="preserve"> the best and worst two operators POS graphs h</w:t>
      </w:r>
      <w:r w:rsidR="00E42A0B">
        <w:rPr>
          <w:rFonts w:cs="Times New Roman"/>
          <w:szCs w:val="24"/>
        </w:rPr>
        <w:t>ave been displayed in figures 13-16</w:t>
      </w:r>
      <w:r>
        <w:rPr>
          <w:rFonts w:cs="Times New Roman"/>
          <w:szCs w:val="24"/>
        </w:rPr>
        <w:t>.</w:t>
      </w:r>
      <w:r w:rsidR="00207E73">
        <w:rPr>
          <w:rFonts w:cs="Times New Roman"/>
          <w:szCs w:val="24"/>
        </w:rPr>
        <w:t xml:space="preserve"> These are operators 2,7,8 and 10.</w:t>
      </w:r>
    </w:p>
    <w:p w14:paraId="420BAF5F" w14:textId="1E0B0B2C" w:rsidR="00216486" w:rsidRDefault="00216486" w:rsidP="003F63A3">
      <w:pPr>
        <w:rPr>
          <w:rFonts w:cs="Times New Roman"/>
          <w:szCs w:val="24"/>
        </w:rPr>
      </w:pPr>
      <w:r>
        <w:rPr>
          <w:noProof/>
        </w:rPr>
        <w:drawing>
          <wp:inline distT="0" distB="0" distL="0" distR="0" wp14:anchorId="59D82639" wp14:editId="16000766">
            <wp:extent cx="5731510" cy="3054985"/>
            <wp:effectExtent l="0" t="0" r="2540" b="12065"/>
            <wp:docPr id="13" name="Chart 13">
              <a:extLst xmlns:a="http://schemas.openxmlformats.org/drawingml/2006/main">
                <a:ext uri="{FF2B5EF4-FFF2-40B4-BE49-F238E27FC236}">
                  <a16:creationId xmlns:a16="http://schemas.microsoft.com/office/drawing/2014/main" id="{CB4E7604-27A5-4750-BFE3-2DC036F845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28B84F42" w14:textId="29BC1655" w:rsidR="00216486" w:rsidRDefault="00631193" w:rsidP="00631193">
      <w:pPr>
        <w:pStyle w:val="Caption"/>
        <w:rPr>
          <w:rFonts w:cs="Times New Roman"/>
          <w:szCs w:val="24"/>
        </w:rPr>
      </w:pPr>
      <w:bookmarkStart w:id="41" w:name="_Toc500754491"/>
      <w:bookmarkStart w:id="42" w:name="_Toc500857858"/>
      <w:r>
        <w:t xml:space="preserve">Figure </w:t>
      </w:r>
      <w:r w:rsidR="00A77675">
        <w:fldChar w:fldCharType="begin"/>
      </w:r>
      <w:r w:rsidR="00A77675">
        <w:instrText xml:space="preserve"> SEQ Figure \* ARABIC </w:instrText>
      </w:r>
      <w:r w:rsidR="00A77675">
        <w:fldChar w:fldCharType="separate"/>
      </w:r>
      <w:r w:rsidR="003317E3">
        <w:rPr>
          <w:noProof/>
        </w:rPr>
        <w:t>13</w:t>
      </w:r>
      <w:r w:rsidR="00A77675">
        <w:rPr>
          <w:noProof/>
        </w:rPr>
        <w:fldChar w:fldCharType="end"/>
      </w:r>
      <w:r>
        <w:t xml:space="preserve"> – Graph showing </w:t>
      </w:r>
      <w:proofErr w:type="spellStart"/>
      <w:r>
        <w:t>PoS</w:t>
      </w:r>
      <w:proofErr w:type="spellEnd"/>
      <w:r>
        <w:t xml:space="preserve"> for operator 2</w:t>
      </w:r>
      <w:bookmarkEnd w:id="41"/>
      <w:bookmarkEnd w:id="42"/>
    </w:p>
    <w:p w14:paraId="126C4643" w14:textId="5ED037A7" w:rsidR="00216486" w:rsidRDefault="00216486" w:rsidP="003F63A3">
      <w:pPr>
        <w:rPr>
          <w:rFonts w:cs="Times New Roman"/>
          <w:szCs w:val="24"/>
        </w:rPr>
      </w:pPr>
    </w:p>
    <w:p w14:paraId="74F3EE29" w14:textId="4D22E218" w:rsidR="00216486" w:rsidRDefault="00216486" w:rsidP="003F63A3">
      <w:pPr>
        <w:rPr>
          <w:rFonts w:cs="Times New Roman"/>
          <w:szCs w:val="24"/>
        </w:rPr>
      </w:pPr>
      <w:r>
        <w:rPr>
          <w:noProof/>
        </w:rPr>
        <w:lastRenderedPageBreak/>
        <w:drawing>
          <wp:inline distT="0" distB="0" distL="0" distR="0" wp14:anchorId="450934A4" wp14:editId="4FF28228">
            <wp:extent cx="5731510" cy="3054985"/>
            <wp:effectExtent l="0" t="0" r="2540" b="12065"/>
            <wp:docPr id="14" name="Chart 14">
              <a:extLst xmlns:a="http://schemas.openxmlformats.org/drawingml/2006/main">
                <a:ext uri="{FF2B5EF4-FFF2-40B4-BE49-F238E27FC236}">
                  <a16:creationId xmlns:a16="http://schemas.microsoft.com/office/drawing/2014/main" id="{386E4FA4-E02F-4CA8-ADBF-63CEA175DD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4E489746" w14:textId="2B636329" w:rsidR="00631193" w:rsidRDefault="00631193" w:rsidP="00631193">
      <w:pPr>
        <w:pStyle w:val="Caption"/>
      </w:pPr>
      <w:bookmarkStart w:id="43" w:name="_Toc500754492"/>
      <w:bookmarkStart w:id="44" w:name="_Toc500857859"/>
      <w:r>
        <w:t xml:space="preserve">Figure </w:t>
      </w:r>
      <w:r w:rsidR="00A77675">
        <w:fldChar w:fldCharType="begin"/>
      </w:r>
      <w:r w:rsidR="00A77675">
        <w:instrText xml:space="preserve"> SEQ Figure \* ARABIC </w:instrText>
      </w:r>
      <w:r w:rsidR="00A77675">
        <w:fldChar w:fldCharType="separate"/>
      </w:r>
      <w:r w:rsidR="003317E3">
        <w:rPr>
          <w:noProof/>
        </w:rPr>
        <w:t>14</w:t>
      </w:r>
      <w:r w:rsidR="00A77675">
        <w:rPr>
          <w:noProof/>
        </w:rPr>
        <w:fldChar w:fldCharType="end"/>
      </w:r>
      <w:r>
        <w:t xml:space="preserve"> – Graph showing </w:t>
      </w:r>
      <w:proofErr w:type="spellStart"/>
      <w:r>
        <w:t>PoS</w:t>
      </w:r>
      <w:proofErr w:type="spellEnd"/>
      <w:r>
        <w:t xml:space="preserve"> for operator 7</w:t>
      </w:r>
      <w:bookmarkEnd w:id="43"/>
      <w:bookmarkEnd w:id="44"/>
    </w:p>
    <w:p w14:paraId="00543B8B" w14:textId="07D90846" w:rsidR="00207E73" w:rsidRPr="00207E73" w:rsidRDefault="00207E73" w:rsidP="0005777A">
      <w:pPr>
        <w:spacing w:line="480" w:lineRule="auto"/>
      </w:pPr>
      <w:r>
        <w:t xml:space="preserve">Graphs figures 12 and 13 show the POS of operators 2 and 7. Their measurements vary a lot more and are further from the true size than any of the other operators. </w:t>
      </w:r>
      <w:r w:rsidR="0005777A">
        <w:t xml:space="preserve">This can be clearly visualised by the upper and lower confidence limits marked as the yellow lines either side of the line of regression. </w:t>
      </w:r>
      <w:proofErr w:type="gramStart"/>
      <w:r w:rsidR="001B503A">
        <w:t>It is clear that operator</w:t>
      </w:r>
      <w:proofErr w:type="gramEnd"/>
      <w:r w:rsidR="001B503A">
        <w:t xml:space="preserve"> 2 is the worst performing operator out of all 10 operators.</w:t>
      </w:r>
    </w:p>
    <w:p w14:paraId="781880F2" w14:textId="26BE6709" w:rsidR="00216486" w:rsidRDefault="00216486" w:rsidP="003F63A3">
      <w:pPr>
        <w:rPr>
          <w:rFonts w:cs="Times New Roman"/>
          <w:szCs w:val="24"/>
        </w:rPr>
      </w:pPr>
      <w:r>
        <w:rPr>
          <w:noProof/>
        </w:rPr>
        <w:drawing>
          <wp:inline distT="0" distB="0" distL="0" distR="0" wp14:anchorId="3A4B69F0" wp14:editId="0366BECB">
            <wp:extent cx="5731510" cy="3053715"/>
            <wp:effectExtent l="0" t="0" r="2540" b="13335"/>
            <wp:docPr id="15" name="Chart 15">
              <a:extLst xmlns:a="http://schemas.openxmlformats.org/drawingml/2006/main">
                <a:ext uri="{FF2B5EF4-FFF2-40B4-BE49-F238E27FC236}">
                  <a16:creationId xmlns:a16="http://schemas.microsoft.com/office/drawing/2014/main" id="{9592E643-9234-4D21-A571-C9C78D66CF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71838CDF" w14:textId="10B96EA7" w:rsidR="00631193" w:rsidRDefault="00631193" w:rsidP="00631193">
      <w:pPr>
        <w:pStyle w:val="Caption"/>
      </w:pPr>
      <w:bookmarkStart w:id="45" w:name="_Toc500754493"/>
      <w:bookmarkStart w:id="46" w:name="_Toc500857860"/>
      <w:r>
        <w:t xml:space="preserve">Figure </w:t>
      </w:r>
      <w:r w:rsidR="00A77675">
        <w:fldChar w:fldCharType="begin"/>
      </w:r>
      <w:r w:rsidR="00A77675">
        <w:instrText xml:space="preserve"> SEQ Figure \* ARABIC </w:instrText>
      </w:r>
      <w:r w:rsidR="00A77675">
        <w:fldChar w:fldCharType="separate"/>
      </w:r>
      <w:r w:rsidR="003317E3">
        <w:rPr>
          <w:noProof/>
        </w:rPr>
        <w:t>15</w:t>
      </w:r>
      <w:r w:rsidR="00A77675">
        <w:rPr>
          <w:noProof/>
        </w:rPr>
        <w:fldChar w:fldCharType="end"/>
      </w:r>
      <w:r>
        <w:t xml:space="preserve"> – graph showing </w:t>
      </w:r>
      <w:proofErr w:type="spellStart"/>
      <w:r>
        <w:t>PoS</w:t>
      </w:r>
      <w:proofErr w:type="spellEnd"/>
      <w:r>
        <w:t xml:space="preserve"> for operator 8</w:t>
      </w:r>
      <w:bookmarkEnd w:id="45"/>
      <w:bookmarkEnd w:id="46"/>
    </w:p>
    <w:p w14:paraId="7C259BB1" w14:textId="77777777" w:rsidR="0005777A" w:rsidRPr="0005777A" w:rsidRDefault="0005777A" w:rsidP="0005777A"/>
    <w:p w14:paraId="454BC9F1" w14:textId="046B396F" w:rsidR="00216486" w:rsidRDefault="00216486" w:rsidP="003F63A3">
      <w:pPr>
        <w:rPr>
          <w:rFonts w:cs="Times New Roman"/>
          <w:szCs w:val="24"/>
        </w:rPr>
      </w:pPr>
      <w:r>
        <w:rPr>
          <w:noProof/>
        </w:rPr>
        <w:drawing>
          <wp:inline distT="0" distB="0" distL="0" distR="0" wp14:anchorId="199C2793" wp14:editId="7F17051A">
            <wp:extent cx="5731510" cy="2891155"/>
            <wp:effectExtent l="0" t="0" r="2540" b="4445"/>
            <wp:docPr id="16" name="Chart 16">
              <a:extLst xmlns:a="http://schemas.openxmlformats.org/drawingml/2006/main">
                <a:ext uri="{FF2B5EF4-FFF2-40B4-BE49-F238E27FC236}">
                  <a16:creationId xmlns:a16="http://schemas.microsoft.com/office/drawing/2014/main" id="{A575465E-541D-4D14-B5ED-3CE07C236E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2086F885" w14:textId="6013C9D0" w:rsidR="00631193" w:rsidRDefault="00631193" w:rsidP="00631193">
      <w:pPr>
        <w:pStyle w:val="Caption"/>
        <w:rPr>
          <w:rFonts w:cs="Times New Roman"/>
          <w:szCs w:val="24"/>
        </w:rPr>
      </w:pPr>
      <w:bookmarkStart w:id="47" w:name="_Toc500754494"/>
      <w:bookmarkStart w:id="48" w:name="_Toc500857861"/>
      <w:r>
        <w:t xml:space="preserve">Figure </w:t>
      </w:r>
      <w:r w:rsidR="00A77675">
        <w:fldChar w:fldCharType="begin"/>
      </w:r>
      <w:r w:rsidR="00A77675">
        <w:instrText xml:space="preserve"> SEQ Figure \* ARABIC </w:instrText>
      </w:r>
      <w:r w:rsidR="00A77675">
        <w:fldChar w:fldCharType="separate"/>
      </w:r>
      <w:r w:rsidR="003317E3">
        <w:rPr>
          <w:noProof/>
        </w:rPr>
        <w:t>16</w:t>
      </w:r>
      <w:r w:rsidR="00A77675">
        <w:rPr>
          <w:noProof/>
        </w:rPr>
        <w:fldChar w:fldCharType="end"/>
      </w:r>
      <w:r>
        <w:t xml:space="preserve"> – Graph showing </w:t>
      </w:r>
      <w:proofErr w:type="spellStart"/>
      <w:r>
        <w:t>PoS</w:t>
      </w:r>
      <w:proofErr w:type="spellEnd"/>
      <w:r>
        <w:t xml:space="preserve"> for operator 10</w:t>
      </w:r>
      <w:bookmarkEnd w:id="47"/>
      <w:bookmarkEnd w:id="48"/>
    </w:p>
    <w:p w14:paraId="0AA2ED27" w14:textId="77777777" w:rsidR="00E42A0B" w:rsidRDefault="001B503A" w:rsidP="001B503A">
      <w:pPr>
        <w:spacing w:line="480" w:lineRule="auto"/>
        <w:rPr>
          <w:rFonts w:cs="Times New Roman"/>
          <w:szCs w:val="24"/>
        </w:rPr>
      </w:pPr>
      <w:r>
        <w:rPr>
          <w:rFonts w:cs="Times New Roman"/>
          <w:szCs w:val="24"/>
        </w:rPr>
        <w:t>Operators 8 and 10 a have much smaller distance between their upper and lower confidence limits. The measured defect lengths are much closer to the real defect lengths than operators 2 and 7. Looking at the gradients of the trendlines on both operators it shows that operator 8 is the best operator overall.</w:t>
      </w:r>
    </w:p>
    <w:p w14:paraId="3137F112" w14:textId="3D79D682" w:rsidR="00E42A0B" w:rsidRDefault="00E42A0B" w:rsidP="00E42A0B">
      <w:pPr>
        <w:pStyle w:val="Heading2"/>
        <w:numPr>
          <w:ilvl w:val="1"/>
          <w:numId w:val="1"/>
        </w:numPr>
      </w:pPr>
      <w:bookmarkStart w:id="49" w:name="_Toc500859078"/>
      <w:r>
        <w:t>Analysis of procedure</w:t>
      </w:r>
      <w:bookmarkEnd w:id="49"/>
    </w:p>
    <w:p w14:paraId="0626FEEA" w14:textId="0885DCB0" w:rsidR="003317E3" w:rsidRPr="003317E3" w:rsidRDefault="003317E3" w:rsidP="0007756E">
      <w:pPr>
        <w:spacing w:line="480" w:lineRule="auto"/>
      </w:pPr>
      <w:r>
        <w:t xml:space="preserve">Although operators 8 and 10 had good performance levels, </w:t>
      </w:r>
      <w:proofErr w:type="gramStart"/>
      <w:r>
        <w:t>the majority of</w:t>
      </w:r>
      <w:proofErr w:type="gramEnd"/>
      <w:r>
        <w:t xml:space="preserve"> the others did not, as a result the mean POS plot </w:t>
      </w:r>
      <w:r w:rsidR="0007756E">
        <w:t xml:space="preserve">has quite a large standard deviation from and large upper and lower limits. From the data gathered from the 10 operators </w:t>
      </w:r>
      <w:proofErr w:type="gramStart"/>
      <w:r w:rsidR="0007756E">
        <w:t>it would seem that the</w:t>
      </w:r>
      <w:proofErr w:type="gramEnd"/>
      <w:r w:rsidR="0007756E">
        <w:t xml:space="preserve"> procedure used for this POS is not highly accurate. Operators 8 and 10 may have been very skilled and experienced or lucky anomalies. To get a better understanding on how accurate the procedure is more data is required. A sample of 10 is not enough. The graph in figure 17 shows the mean lines for all operators and highlights its overall accuracy.</w:t>
      </w:r>
    </w:p>
    <w:p w14:paraId="054D0448" w14:textId="210E07A3" w:rsidR="00734886" w:rsidRDefault="003317E3" w:rsidP="00E42A0B">
      <w:pPr>
        <w:pStyle w:val="Heading2"/>
      </w:pPr>
      <w:bookmarkStart w:id="50" w:name="_Toc500859079"/>
      <w:r>
        <w:rPr>
          <w:noProof/>
        </w:rPr>
        <w:lastRenderedPageBreak/>
        <w:drawing>
          <wp:inline distT="0" distB="0" distL="0" distR="0" wp14:anchorId="3A78E3DE" wp14:editId="3370600E">
            <wp:extent cx="5731510" cy="3397885"/>
            <wp:effectExtent l="0" t="0" r="2540" b="12065"/>
            <wp:docPr id="17" name="Chart 17">
              <a:extLst xmlns:a="http://schemas.openxmlformats.org/drawingml/2006/main">
                <a:ext uri="{FF2B5EF4-FFF2-40B4-BE49-F238E27FC236}">
                  <a16:creationId xmlns:a16="http://schemas.microsoft.com/office/drawing/2014/main" id="{80C8B565-D697-4325-B645-38C17C41E5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bookmarkEnd w:id="50"/>
      <w:r w:rsidR="001B503A">
        <w:t xml:space="preserve"> </w:t>
      </w:r>
    </w:p>
    <w:p w14:paraId="3247CDA2" w14:textId="1ABC6ACE" w:rsidR="003317E3" w:rsidRPr="003317E3" w:rsidRDefault="003317E3" w:rsidP="003317E3">
      <w:pPr>
        <w:pStyle w:val="Caption"/>
      </w:pPr>
      <w:bookmarkStart w:id="51" w:name="_Toc500857862"/>
      <w:r>
        <w:t xml:space="preserve">Figure </w:t>
      </w:r>
      <w:r>
        <w:fldChar w:fldCharType="begin"/>
      </w:r>
      <w:r>
        <w:instrText xml:space="preserve"> SEQ Figure \* ARABIC </w:instrText>
      </w:r>
      <w:r>
        <w:fldChar w:fldCharType="separate"/>
      </w:r>
      <w:r>
        <w:rPr>
          <w:noProof/>
        </w:rPr>
        <w:t>17</w:t>
      </w:r>
      <w:r>
        <w:fldChar w:fldCharType="end"/>
      </w:r>
      <w:r>
        <w:t xml:space="preserve"> – Graph showing the mean average POS for operators 1-10</w:t>
      </w:r>
      <w:bookmarkEnd w:id="51"/>
    </w:p>
    <w:p w14:paraId="4692BDFF" w14:textId="37AA0266" w:rsidR="00734886" w:rsidRDefault="00734886" w:rsidP="001B503A">
      <w:pPr>
        <w:pStyle w:val="Heading1"/>
      </w:pPr>
    </w:p>
    <w:p w14:paraId="102AD21B" w14:textId="55CB217C" w:rsidR="001B503A" w:rsidRDefault="001B503A" w:rsidP="001B503A"/>
    <w:p w14:paraId="6CD07D6B" w14:textId="156856E1" w:rsidR="001B503A" w:rsidRDefault="001B503A" w:rsidP="001B503A"/>
    <w:p w14:paraId="5ED9A385" w14:textId="5E62FE7B" w:rsidR="001B503A" w:rsidRDefault="001B503A" w:rsidP="001B503A"/>
    <w:p w14:paraId="16C9945F" w14:textId="4E4DB243" w:rsidR="001B503A" w:rsidRDefault="001B503A" w:rsidP="001B503A"/>
    <w:p w14:paraId="15BCA58F" w14:textId="0128240A" w:rsidR="001B503A" w:rsidRDefault="001B503A" w:rsidP="001B503A"/>
    <w:p w14:paraId="7BFB32E0" w14:textId="6EDBB1C3" w:rsidR="001B503A" w:rsidRDefault="001B503A" w:rsidP="001B503A"/>
    <w:p w14:paraId="7D3F6AEA" w14:textId="04F59490" w:rsidR="001B503A" w:rsidRDefault="001B503A" w:rsidP="001B503A"/>
    <w:p w14:paraId="5C510E09" w14:textId="2C94522D" w:rsidR="001B503A" w:rsidRDefault="001B503A" w:rsidP="001B503A"/>
    <w:p w14:paraId="51215932" w14:textId="0767ACA2" w:rsidR="001B503A" w:rsidRDefault="001B503A" w:rsidP="001B503A"/>
    <w:p w14:paraId="2F5671AF" w14:textId="22540E35" w:rsidR="001B503A" w:rsidRDefault="001B503A" w:rsidP="001B503A"/>
    <w:p w14:paraId="0DB1D39C" w14:textId="7A0FBEAB" w:rsidR="001B503A" w:rsidRDefault="001B503A" w:rsidP="001B503A"/>
    <w:p w14:paraId="49128C66" w14:textId="12700423" w:rsidR="001B503A" w:rsidRDefault="001B503A" w:rsidP="001B503A"/>
    <w:p w14:paraId="6E5B6F08" w14:textId="44BF6836" w:rsidR="0007756E" w:rsidRDefault="0007756E" w:rsidP="001B503A"/>
    <w:p w14:paraId="7E0DC571" w14:textId="715C7A7B" w:rsidR="0007756E" w:rsidRDefault="0007756E" w:rsidP="001B503A"/>
    <w:p w14:paraId="03D3B966" w14:textId="6C7C2324" w:rsidR="0007756E" w:rsidRDefault="0007756E" w:rsidP="001B503A"/>
    <w:p w14:paraId="715D18E8" w14:textId="77777777" w:rsidR="0007756E" w:rsidRDefault="0007756E" w:rsidP="001B503A"/>
    <w:p w14:paraId="26092CBF" w14:textId="4042996F" w:rsidR="001B503A" w:rsidRDefault="001B503A" w:rsidP="001B503A">
      <w:pPr>
        <w:pStyle w:val="Heading1"/>
        <w:numPr>
          <w:ilvl w:val="0"/>
          <w:numId w:val="1"/>
        </w:numPr>
      </w:pPr>
      <w:bookmarkStart w:id="52" w:name="_Toc500859080"/>
      <w:r>
        <w:lastRenderedPageBreak/>
        <w:t>Conclusion</w:t>
      </w:r>
      <w:bookmarkEnd w:id="52"/>
    </w:p>
    <w:p w14:paraId="1B73B063" w14:textId="681866E9" w:rsidR="001B503A" w:rsidRDefault="0088391C" w:rsidP="0007756E">
      <w:pPr>
        <w:spacing w:line="480" w:lineRule="auto"/>
      </w:pPr>
      <w:r>
        <w:t xml:space="preserve">The after analysing the data </w:t>
      </w:r>
      <w:proofErr w:type="spellStart"/>
      <w:r>
        <w:t>its</w:t>
      </w:r>
      <w:proofErr w:type="spellEnd"/>
      <w:r>
        <w:t xml:space="preserve"> was possible to determine the following:</w:t>
      </w:r>
    </w:p>
    <w:p w14:paraId="2F27159E" w14:textId="77777777" w:rsidR="0088391C" w:rsidRDefault="0088391C" w:rsidP="0007756E">
      <w:pPr>
        <w:pStyle w:val="ListParagraph"/>
        <w:numPr>
          <w:ilvl w:val="0"/>
          <w:numId w:val="2"/>
        </w:numPr>
        <w:spacing w:line="480" w:lineRule="auto"/>
      </w:pPr>
      <w:r>
        <w:t>For POD, operator 7 was the best performing with the highest number of hits and the best POD curve</w:t>
      </w:r>
    </w:p>
    <w:p w14:paraId="0B30E9B7" w14:textId="44A94542" w:rsidR="0088391C" w:rsidRDefault="0088391C" w:rsidP="0007756E">
      <w:pPr>
        <w:pStyle w:val="ListParagraph"/>
        <w:numPr>
          <w:ilvl w:val="0"/>
          <w:numId w:val="2"/>
        </w:numPr>
        <w:spacing w:line="480" w:lineRule="auto"/>
      </w:pPr>
      <w:r>
        <w:t>Operator 4 was the worst performing with the least amount of hits and worst POD curve</w:t>
      </w:r>
    </w:p>
    <w:p w14:paraId="2CD2CB38" w14:textId="0995F016" w:rsidR="0088391C" w:rsidRDefault="0088391C" w:rsidP="0007756E">
      <w:pPr>
        <w:pStyle w:val="ListParagraph"/>
        <w:numPr>
          <w:ilvl w:val="0"/>
          <w:numId w:val="2"/>
        </w:numPr>
        <w:spacing w:line="480" w:lineRule="auto"/>
      </w:pPr>
      <w:r>
        <w:t>For POS operator 8 was the most accurate at sizing the defects closely followed by operator 10</w:t>
      </w:r>
    </w:p>
    <w:p w14:paraId="58283C48" w14:textId="1B916DCD" w:rsidR="0088391C" w:rsidRDefault="0088391C" w:rsidP="0007756E">
      <w:pPr>
        <w:pStyle w:val="ListParagraph"/>
        <w:numPr>
          <w:ilvl w:val="0"/>
          <w:numId w:val="2"/>
        </w:numPr>
        <w:spacing w:line="480" w:lineRule="auto"/>
      </w:pPr>
      <w:r>
        <w:t>Operator 2 was by far the worst performing operator for POS with their sizing being least accurate to the true size</w:t>
      </w:r>
    </w:p>
    <w:p w14:paraId="352E0C24" w14:textId="1F5E02F5" w:rsidR="0007756E" w:rsidRDefault="0007756E" w:rsidP="0007756E">
      <w:pPr>
        <w:spacing w:line="480" w:lineRule="auto"/>
      </w:pPr>
    </w:p>
    <w:p w14:paraId="74A42AB2" w14:textId="6B5086D1" w:rsidR="0007756E" w:rsidRDefault="0007756E" w:rsidP="0007756E">
      <w:pPr>
        <w:spacing w:line="480" w:lineRule="auto"/>
      </w:pPr>
      <w:r>
        <w:t>As for both procedures, the procedure used in the POD has been rated perfectly suitable to use when looking for defects that are over 1.5mm in size however the accuracy drops below 80% POD when looking for defects under 1mm in size.</w:t>
      </w:r>
    </w:p>
    <w:p w14:paraId="0B50EBAD" w14:textId="49B00253" w:rsidR="0007756E" w:rsidRDefault="0007756E" w:rsidP="0007756E">
      <w:pPr>
        <w:spacing w:line="480" w:lineRule="auto"/>
      </w:pPr>
      <w:r>
        <w:t>Although operators 8 and 10 had good scores in the POS, the mean of all operators shows that the overall procedure used is not as accurate. Operators where frequently out by 0.8mm and above on the defects. In an industry where high sizing accuracy is important, it is not recommended that this procedure be used.</w:t>
      </w:r>
    </w:p>
    <w:p w14:paraId="2AFF615D" w14:textId="77777777" w:rsidR="0088391C" w:rsidRPr="001B503A" w:rsidRDefault="0088391C" w:rsidP="0088391C"/>
    <w:p w14:paraId="53890675" w14:textId="4AC98C72" w:rsidR="00734886" w:rsidRDefault="00734886" w:rsidP="003F63A3">
      <w:pPr>
        <w:rPr>
          <w:rFonts w:cs="Times New Roman"/>
          <w:szCs w:val="24"/>
        </w:rPr>
      </w:pPr>
    </w:p>
    <w:p w14:paraId="311DD85E" w14:textId="610257A7" w:rsidR="00734886" w:rsidRDefault="00734886" w:rsidP="003F63A3">
      <w:pPr>
        <w:rPr>
          <w:rFonts w:cs="Times New Roman"/>
          <w:szCs w:val="24"/>
        </w:rPr>
      </w:pPr>
    </w:p>
    <w:p w14:paraId="31E982C7" w14:textId="664ACF5A" w:rsidR="00734886" w:rsidRDefault="00734886" w:rsidP="003F63A3">
      <w:pPr>
        <w:rPr>
          <w:rFonts w:cs="Times New Roman"/>
          <w:szCs w:val="24"/>
        </w:rPr>
      </w:pPr>
    </w:p>
    <w:p w14:paraId="5F019F56" w14:textId="13C7A715" w:rsidR="00734886" w:rsidRDefault="00734886" w:rsidP="003F63A3">
      <w:pPr>
        <w:rPr>
          <w:rFonts w:cs="Times New Roman"/>
          <w:szCs w:val="24"/>
        </w:rPr>
      </w:pPr>
    </w:p>
    <w:p w14:paraId="6D617B30" w14:textId="4FBFC0DF" w:rsidR="005617ED" w:rsidRDefault="005617ED" w:rsidP="003F63A3">
      <w:pPr>
        <w:rPr>
          <w:rFonts w:cs="Times New Roman"/>
          <w:szCs w:val="24"/>
        </w:rPr>
      </w:pPr>
    </w:p>
    <w:p w14:paraId="0A56FC2A" w14:textId="46147FDE" w:rsidR="005617ED" w:rsidRDefault="005617ED" w:rsidP="003F63A3">
      <w:pPr>
        <w:rPr>
          <w:rFonts w:cs="Times New Roman"/>
          <w:szCs w:val="24"/>
        </w:rPr>
      </w:pPr>
    </w:p>
    <w:p w14:paraId="1B7A52B9" w14:textId="3EC44C56" w:rsidR="005617ED" w:rsidRDefault="005617ED" w:rsidP="003F63A3">
      <w:pPr>
        <w:rPr>
          <w:rFonts w:cs="Times New Roman"/>
          <w:szCs w:val="24"/>
        </w:rPr>
      </w:pPr>
    </w:p>
    <w:p w14:paraId="34D50CA0" w14:textId="70C4FE4D" w:rsidR="00734886" w:rsidRDefault="00734886" w:rsidP="003F63A3">
      <w:pPr>
        <w:rPr>
          <w:rFonts w:cs="Times New Roman"/>
          <w:szCs w:val="24"/>
        </w:rPr>
      </w:pPr>
    </w:p>
    <w:bookmarkStart w:id="53" w:name="_Toc500859081" w:displacedByCustomXml="next"/>
    <w:sdt>
      <w:sdtPr>
        <w:rPr>
          <w:rFonts w:eastAsiaTheme="minorHAnsi" w:cstheme="minorBidi"/>
          <w:b w:val="0"/>
          <w:sz w:val="24"/>
          <w:szCs w:val="22"/>
        </w:rPr>
        <w:id w:val="973488536"/>
        <w:docPartObj>
          <w:docPartGallery w:val="Bibliographies"/>
          <w:docPartUnique/>
        </w:docPartObj>
      </w:sdtPr>
      <w:sdtEndPr>
        <w:rPr>
          <w:bCs/>
        </w:rPr>
      </w:sdtEndPr>
      <w:sdtContent>
        <w:p w14:paraId="67BB8A29" w14:textId="28DF63C5" w:rsidR="00DF0106" w:rsidRDefault="00DF0106">
          <w:pPr>
            <w:pStyle w:val="Heading1"/>
          </w:pPr>
          <w:r>
            <w:t>Works Cited</w:t>
          </w:r>
          <w:bookmarkEnd w:id="53"/>
        </w:p>
        <w:p w14:paraId="2252EC7F" w14:textId="77777777" w:rsidR="00F03E32" w:rsidRDefault="00DF0106" w:rsidP="00F03E32">
          <w:pPr>
            <w:pStyle w:val="Bibliography"/>
            <w:ind w:left="720" w:hanging="720"/>
            <w:rPr>
              <w:noProof/>
              <w:szCs w:val="24"/>
            </w:rPr>
          </w:pPr>
          <w:r>
            <w:fldChar w:fldCharType="begin"/>
          </w:r>
          <w:r>
            <w:instrText xml:space="preserve"> BIBLIOGRAPHY </w:instrText>
          </w:r>
          <w:r>
            <w:fldChar w:fldCharType="separate"/>
          </w:r>
          <w:r w:rsidR="00F03E32">
            <w:rPr>
              <w:noProof/>
            </w:rPr>
            <w:t xml:space="preserve">George A. Matzkanin, H. T. (2001). </w:t>
          </w:r>
          <w:r w:rsidR="00F03E32">
            <w:rPr>
              <w:i/>
              <w:iCs/>
              <w:noProof/>
            </w:rPr>
            <w:t>Probability of Detection (POD) for non-destructive evaluation (NDE).</w:t>
          </w:r>
          <w:r w:rsidR="00F03E32">
            <w:rPr>
              <w:noProof/>
            </w:rPr>
            <w:t xml:space="preserve"> Austin : NTIAC.</w:t>
          </w:r>
        </w:p>
        <w:p w14:paraId="62479BBA" w14:textId="77777777" w:rsidR="00F03E32" w:rsidRDefault="00F03E32" w:rsidP="00F03E32">
          <w:pPr>
            <w:pStyle w:val="Bibliography"/>
            <w:ind w:left="720" w:hanging="720"/>
            <w:rPr>
              <w:noProof/>
            </w:rPr>
          </w:pPr>
          <w:r>
            <w:rPr>
              <w:noProof/>
            </w:rPr>
            <w:t xml:space="preserve">Georgiou, G. A. (2006). </w:t>
          </w:r>
          <w:r>
            <w:rPr>
              <w:i/>
              <w:iCs/>
              <w:noProof/>
            </w:rPr>
            <w:t>Probability of Detection (PoD) curves.</w:t>
          </w:r>
          <w:r>
            <w:rPr>
              <w:noProof/>
            </w:rPr>
            <w:t xml:space="preserve"> London: Jacobi Consulting Limited .</w:t>
          </w:r>
        </w:p>
        <w:p w14:paraId="702E155F" w14:textId="77777777" w:rsidR="00F03E32" w:rsidRDefault="00F03E32" w:rsidP="00F03E32">
          <w:pPr>
            <w:pStyle w:val="Bibliography"/>
            <w:ind w:left="720" w:hanging="720"/>
            <w:rPr>
              <w:noProof/>
            </w:rPr>
          </w:pPr>
          <w:r>
            <w:rPr>
              <w:noProof/>
            </w:rPr>
            <w:t xml:space="preserve">HSE. (2008). </w:t>
          </w:r>
          <w:r>
            <w:rPr>
              <w:i/>
              <w:iCs/>
              <w:noProof/>
            </w:rPr>
            <w:t>Ultrasonic Sizing Errors and Their Implication for Defect Assessment.</w:t>
          </w:r>
          <w:r>
            <w:rPr>
              <w:noProof/>
            </w:rPr>
            <w:t xml:space="preserve"> London: HSE.</w:t>
          </w:r>
        </w:p>
        <w:p w14:paraId="32F6BF72" w14:textId="77777777" w:rsidR="00F03E32" w:rsidRDefault="00F03E32" w:rsidP="00F03E32">
          <w:pPr>
            <w:pStyle w:val="Bibliography"/>
            <w:ind w:left="720" w:hanging="720"/>
            <w:rPr>
              <w:noProof/>
            </w:rPr>
          </w:pPr>
          <w:r>
            <w:rPr>
              <w:i/>
              <w:iCs/>
              <w:noProof/>
            </w:rPr>
            <w:t>ITCC Online.</w:t>
          </w:r>
          <w:r>
            <w:rPr>
              <w:noProof/>
            </w:rPr>
            <w:t xml:space="preserve"> (n.d.). Retrieved from https://www.ltcconline.net/greenl/courses/201/estimation/smallConfLevelTable.htm</w:t>
          </w:r>
        </w:p>
        <w:p w14:paraId="3F1B3B7A" w14:textId="77777777" w:rsidR="00F03E32" w:rsidRDefault="00F03E32" w:rsidP="00F03E32">
          <w:pPr>
            <w:pStyle w:val="Bibliography"/>
            <w:ind w:left="720" w:hanging="720"/>
            <w:rPr>
              <w:noProof/>
            </w:rPr>
          </w:pPr>
          <w:r>
            <w:rPr>
              <w:noProof/>
            </w:rPr>
            <w:t xml:space="preserve">Keprat, A. (2016). Probability of detection: History, Development and future. </w:t>
          </w:r>
          <w:r>
            <w:rPr>
              <w:i/>
              <w:iCs/>
              <w:noProof/>
            </w:rPr>
            <w:t>Research Gate</w:t>
          </w:r>
          <w:r>
            <w:rPr>
              <w:noProof/>
            </w:rPr>
            <w:t>.</w:t>
          </w:r>
        </w:p>
        <w:p w14:paraId="12C5809A" w14:textId="77777777" w:rsidR="00F03E32" w:rsidRDefault="00F03E32" w:rsidP="00F03E32">
          <w:pPr>
            <w:pStyle w:val="Bibliography"/>
            <w:ind w:left="720" w:hanging="720"/>
            <w:rPr>
              <w:noProof/>
            </w:rPr>
          </w:pPr>
          <w:r>
            <w:rPr>
              <w:noProof/>
            </w:rPr>
            <w:t>MathsIsFun. (2017). Retrieved from MathsIsFun: https://www.mathsisfun.com/data/confidence-interval.html</w:t>
          </w:r>
        </w:p>
        <w:p w14:paraId="3DE36026" w14:textId="77777777" w:rsidR="00F03E32" w:rsidRDefault="00F03E32" w:rsidP="00F03E32">
          <w:pPr>
            <w:pStyle w:val="Bibliography"/>
            <w:ind w:left="720" w:hanging="720"/>
            <w:rPr>
              <w:noProof/>
            </w:rPr>
          </w:pPr>
          <w:r>
            <w:rPr>
              <w:noProof/>
            </w:rPr>
            <w:t>NDT Resource Center. (n.d.). Retrieved from NDT Resource Center: https://www.nde-ed.org/EducationResources/CommunityCollege/PenetrantTest/Graphics/POD_Etch.jpg</w:t>
          </w:r>
        </w:p>
        <w:p w14:paraId="56EC613A" w14:textId="77777777" w:rsidR="00F03E32" w:rsidRDefault="00F03E32" w:rsidP="00F03E32">
          <w:pPr>
            <w:pStyle w:val="Bibliography"/>
            <w:ind w:left="720" w:hanging="720"/>
            <w:rPr>
              <w:noProof/>
            </w:rPr>
          </w:pPr>
          <w:r>
            <w:rPr>
              <w:noProof/>
            </w:rPr>
            <w:t>Prathamesh Bilgunde, L. J. (2017, June). Retrieved from Research Gate: https://www.researchgate.net/figure/317643257_fig7_Figure-10-Estimation-of-High-temperatureHT-POD-using-room-temperature-experimental-POD</w:t>
          </w:r>
        </w:p>
        <w:p w14:paraId="455ADC97" w14:textId="77777777" w:rsidR="00F03E32" w:rsidRDefault="00F03E32" w:rsidP="00F03E32">
          <w:pPr>
            <w:pStyle w:val="Bibliography"/>
            <w:ind w:left="720" w:hanging="720"/>
            <w:rPr>
              <w:noProof/>
            </w:rPr>
          </w:pPr>
          <w:r>
            <w:rPr>
              <w:noProof/>
            </w:rPr>
            <w:t xml:space="preserve">Schaefer, L. (2009, June 23). </w:t>
          </w:r>
          <w:r>
            <w:rPr>
              <w:i/>
              <w:iCs/>
              <w:noProof/>
            </w:rPr>
            <w:t>Reliability for NDT.</w:t>
          </w:r>
          <w:r>
            <w:rPr>
              <w:noProof/>
            </w:rPr>
            <w:t xml:space="preserve"> Retrieved from NDT.net: http://www.ndt.net/article/reliability2009/Inhalt/podadv~1.pdf</w:t>
          </w:r>
        </w:p>
        <w:p w14:paraId="49CD639F" w14:textId="77777777" w:rsidR="00F03E32" w:rsidRDefault="00F03E32" w:rsidP="00F03E32">
          <w:pPr>
            <w:pStyle w:val="Bibliography"/>
            <w:ind w:left="720" w:hanging="720"/>
            <w:rPr>
              <w:noProof/>
            </w:rPr>
          </w:pPr>
          <w:r>
            <w:rPr>
              <w:noProof/>
            </w:rPr>
            <w:t xml:space="preserve">Visser, D. W. (2002). </w:t>
          </w:r>
          <w:r>
            <w:rPr>
              <w:i/>
              <w:iCs/>
              <w:noProof/>
            </w:rPr>
            <w:t>POD/POS curves for non-destructive examination.</w:t>
          </w:r>
          <w:r>
            <w:rPr>
              <w:noProof/>
            </w:rPr>
            <w:t xml:space="preserve"> Weybridge: Visser Consultancy Limited .</w:t>
          </w:r>
        </w:p>
        <w:p w14:paraId="20B04560" w14:textId="19994B03" w:rsidR="00DF0106" w:rsidRDefault="00DF0106" w:rsidP="00F03E32">
          <w:r>
            <w:rPr>
              <w:b/>
              <w:bCs/>
            </w:rPr>
            <w:fldChar w:fldCharType="end"/>
          </w:r>
        </w:p>
      </w:sdtContent>
    </w:sdt>
    <w:p w14:paraId="256086ED" w14:textId="0324F2C4" w:rsidR="00734886" w:rsidRDefault="00734886" w:rsidP="003F63A3">
      <w:pPr>
        <w:rPr>
          <w:rFonts w:cs="Times New Roman"/>
          <w:szCs w:val="24"/>
        </w:rPr>
      </w:pPr>
    </w:p>
    <w:p w14:paraId="3B81F350" w14:textId="0360210E" w:rsidR="00734886" w:rsidRDefault="00734886" w:rsidP="003F63A3">
      <w:pPr>
        <w:rPr>
          <w:rFonts w:cs="Times New Roman"/>
          <w:szCs w:val="24"/>
        </w:rPr>
      </w:pPr>
    </w:p>
    <w:p w14:paraId="19E0CA2A" w14:textId="5FB869F3" w:rsidR="00734886" w:rsidRDefault="00734886" w:rsidP="003F63A3">
      <w:pPr>
        <w:rPr>
          <w:rFonts w:cs="Times New Roman"/>
          <w:szCs w:val="24"/>
        </w:rPr>
      </w:pPr>
    </w:p>
    <w:p w14:paraId="40C56E10" w14:textId="711C2D08" w:rsidR="00734886" w:rsidRDefault="00734886" w:rsidP="003F63A3">
      <w:pPr>
        <w:rPr>
          <w:rFonts w:cs="Times New Roman"/>
          <w:szCs w:val="24"/>
        </w:rPr>
      </w:pPr>
    </w:p>
    <w:p w14:paraId="60F88836" w14:textId="398E66A5" w:rsidR="00734886" w:rsidRDefault="00734886" w:rsidP="003F63A3">
      <w:pPr>
        <w:rPr>
          <w:rFonts w:cs="Times New Roman"/>
          <w:szCs w:val="24"/>
        </w:rPr>
      </w:pPr>
    </w:p>
    <w:p w14:paraId="2704986B" w14:textId="7657F77E" w:rsidR="00734886" w:rsidRDefault="00734886" w:rsidP="003F63A3">
      <w:pPr>
        <w:rPr>
          <w:rFonts w:cs="Times New Roman"/>
          <w:szCs w:val="24"/>
        </w:rPr>
      </w:pPr>
    </w:p>
    <w:p w14:paraId="27BE8693" w14:textId="533D7B29" w:rsidR="00734886" w:rsidRDefault="00734886" w:rsidP="003F63A3">
      <w:pPr>
        <w:rPr>
          <w:rFonts w:cs="Times New Roman"/>
          <w:szCs w:val="24"/>
        </w:rPr>
      </w:pPr>
    </w:p>
    <w:p w14:paraId="78AAB1DA" w14:textId="4775EFDB" w:rsidR="00734886" w:rsidRDefault="00734886" w:rsidP="003F63A3">
      <w:pPr>
        <w:rPr>
          <w:rFonts w:cs="Times New Roman"/>
          <w:szCs w:val="24"/>
        </w:rPr>
      </w:pPr>
    </w:p>
    <w:p w14:paraId="6D930614" w14:textId="3522E3AC" w:rsidR="00734886" w:rsidRDefault="00734886" w:rsidP="003F63A3">
      <w:pPr>
        <w:rPr>
          <w:rFonts w:cs="Times New Roman"/>
          <w:szCs w:val="24"/>
        </w:rPr>
      </w:pPr>
    </w:p>
    <w:p w14:paraId="2B2AC6BC" w14:textId="2316DDA9" w:rsidR="00F03E32" w:rsidRPr="00F03E32" w:rsidRDefault="00F03E32" w:rsidP="00F03E32"/>
    <w:sectPr w:rsidR="00F03E32" w:rsidRPr="00F03E32" w:rsidSect="00E56BF9">
      <w:head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B50369" w14:textId="77777777" w:rsidR="00C401FE" w:rsidRDefault="00C401FE" w:rsidP="00C401FE">
      <w:pPr>
        <w:spacing w:after="0" w:line="240" w:lineRule="auto"/>
      </w:pPr>
      <w:r>
        <w:separator/>
      </w:r>
    </w:p>
  </w:endnote>
  <w:endnote w:type="continuationSeparator" w:id="0">
    <w:p w14:paraId="6F81BBBF" w14:textId="77777777" w:rsidR="00C401FE" w:rsidRDefault="00C401FE" w:rsidP="00C401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6AE4A0" w14:textId="77777777" w:rsidR="00C401FE" w:rsidRDefault="00C401FE" w:rsidP="00C401FE">
      <w:pPr>
        <w:spacing w:after="0" w:line="240" w:lineRule="auto"/>
      </w:pPr>
      <w:r>
        <w:separator/>
      </w:r>
    </w:p>
  </w:footnote>
  <w:footnote w:type="continuationSeparator" w:id="0">
    <w:p w14:paraId="57FDDF17" w14:textId="77777777" w:rsidR="00C401FE" w:rsidRDefault="00C401FE" w:rsidP="00C401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9540597"/>
      <w:docPartObj>
        <w:docPartGallery w:val="Page Numbers (Top of Page)"/>
        <w:docPartUnique/>
      </w:docPartObj>
    </w:sdtPr>
    <w:sdtEndPr>
      <w:rPr>
        <w:noProof/>
      </w:rPr>
    </w:sdtEndPr>
    <w:sdtContent>
      <w:p w14:paraId="133414E1" w14:textId="5A26DA9E" w:rsidR="00B439F3" w:rsidRDefault="00B439F3">
        <w:pPr>
          <w:pStyle w:val="Header"/>
          <w:jc w:val="center"/>
        </w:pPr>
        <w:r>
          <w:fldChar w:fldCharType="begin"/>
        </w:r>
        <w:r>
          <w:instrText xml:space="preserve"> PAGE   \* MERGEFORMAT </w:instrText>
        </w:r>
        <w:r>
          <w:fldChar w:fldCharType="separate"/>
        </w:r>
        <w:r w:rsidR="00EB6F11">
          <w:rPr>
            <w:noProof/>
          </w:rPr>
          <w:t>23</w:t>
        </w:r>
        <w:r>
          <w:rPr>
            <w:noProof/>
          </w:rPr>
          <w:fldChar w:fldCharType="end"/>
        </w:r>
      </w:p>
    </w:sdtContent>
  </w:sdt>
  <w:p w14:paraId="35775F1D" w14:textId="43DAFC9D" w:rsidR="0079170A" w:rsidRDefault="007917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930E3A"/>
    <w:multiLevelType w:val="multilevel"/>
    <w:tmpl w:val="1954150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6E812A57"/>
    <w:multiLevelType w:val="hybridMultilevel"/>
    <w:tmpl w:val="FA5C3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6BF9"/>
    <w:rsid w:val="00001291"/>
    <w:rsid w:val="00032302"/>
    <w:rsid w:val="000361B1"/>
    <w:rsid w:val="0005777A"/>
    <w:rsid w:val="0007756E"/>
    <w:rsid w:val="00081D63"/>
    <w:rsid w:val="00086AD6"/>
    <w:rsid w:val="00090670"/>
    <w:rsid w:val="00092962"/>
    <w:rsid w:val="000D0723"/>
    <w:rsid w:val="000F44D1"/>
    <w:rsid w:val="00117C7F"/>
    <w:rsid w:val="001201C5"/>
    <w:rsid w:val="00122E44"/>
    <w:rsid w:val="00136787"/>
    <w:rsid w:val="0014533E"/>
    <w:rsid w:val="00181FED"/>
    <w:rsid w:val="00196A53"/>
    <w:rsid w:val="00196D03"/>
    <w:rsid w:val="001A71C0"/>
    <w:rsid w:val="001B503A"/>
    <w:rsid w:val="001F5AD5"/>
    <w:rsid w:val="00207E73"/>
    <w:rsid w:val="00216486"/>
    <w:rsid w:val="00231C47"/>
    <w:rsid w:val="00243621"/>
    <w:rsid w:val="002A413A"/>
    <w:rsid w:val="002C4C54"/>
    <w:rsid w:val="00307E68"/>
    <w:rsid w:val="003317E3"/>
    <w:rsid w:val="0035390A"/>
    <w:rsid w:val="00353CA8"/>
    <w:rsid w:val="003829A7"/>
    <w:rsid w:val="003F63A3"/>
    <w:rsid w:val="00421518"/>
    <w:rsid w:val="004229DB"/>
    <w:rsid w:val="004312B3"/>
    <w:rsid w:val="00460962"/>
    <w:rsid w:val="004807D3"/>
    <w:rsid w:val="00493787"/>
    <w:rsid w:val="004A5432"/>
    <w:rsid w:val="004A7A72"/>
    <w:rsid w:val="004C6D85"/>
    <w:rsid w:val="004E50AF"/>
    <w:rsid w:val="004E6028"/>
    <w:rsid w:val="004F3BD2"/>
    <w:rsid w:val="00513F2F"/>
    <w:rsid w:val="00553A78"/>
    <w:rsid w:val="005617ED"/>
    <w:rsid w:val="00571BAA"/>
    <w:rsid w:val="005C21FA"/>
    <w:rsid w:val="005C7F8C"/>
    <w:rsid w:val="005D6012"/>
    <w:rsid w:val="00623102"/>
    <w:rsid w:val="00631193"/>
    <w:rsid w:val="00631560"/>
    <w:rsid w:val="006467A5"/>
    <w:rsid w:val="0069584B"/>
    <w:rsid w:val="006B137B"/>
    <w:rsid w:val="006C0512"/>
    <w:rsid w:val="006C1258"/>
    <w:rsid w:val="006C47BB"/>
    <w:rsid w:val="006F4E14"/>
    <w:rsid w:val="0070055F"/>
    <w:rsid w:val="00731B76"/>
    <w:rsid w:val="00734886"/>
    <w:rsid w:val="00760ABE"/>
    <w:rsid w:val="0079170A"/>
    <w:rsid w:val="007B3B4B"/>
    <w:rsid w:val="007F2478"/>
    <w:rsid w:val="007F3849"/>
    <w:rsid w:val="00800A13"/>
    <w:rsid w:val="00815F9D"/>
    <w:rsid w:val="008519A3"/>
    <w:rsid w:val="00853AA2"/>
    <w:rsid w:val="00854FDE"/>
    <w:rsid w:val="0088391C"/>
    <w:rsid w:val="008B2E7A"/>
    <w:rsid w:val="00904E1A"/>
    <w:rsid w:val="00917BFE"/>
    <w:rsid w:val="009348C8"/>
    <w:rsid w:val="009E28CB"/>
    <w:rsid w:val="009F61AA"/>
    <w:rsid w:val="00A56369"/>
    <w:rsid w:val="00A77675"/>
    <w:rsid w:val="00A82676"/>
    <w:rsid w:val="00AB461C"/>
    <w:rsid w:val="00B439F3"/>
    <w:rsid w:val="00B64124"/>
    <w:rsid w:val="00BA33FA"/>
    <w:rsid w:val="00BC7370"/>
    <w:rsid w:val="00BC7DD4"/>
    <w:rsid w:val="00BD3D89"/>
    <w:rsid w:val="00BF61BF"/>
    <w:rsid w:val="00C3778A"/>
    <w:rsid w:val="00C401FE"/>
    <w:rsid w:val="00C8270C"/>
    <w:rsid w:val="00CB0D4D"/>
    <w:rsid w:val="00CC2170"/>
    <w:rsid w:val="00CE16B9"/>
    <w:rsid w:val="00CF7DB1"/>
    <w:rsid w:val="00D11BD6"/>
    <w:rsid w:val="00D81E66"/>
    <w:rsid w:val="00DA7FD1"/>
    <w:rsid w:val="00DC45D0"/>
    <w:rsid w:val="00DF0106"/>
    <w:rsid w:val="00E020C2"/>
    <w:rsid w:val="00E42A0B"/>
    <w:rsid w:val="00E56BF9"/>
    <w:rsid w:val="00E85381"/>
    <w:rsid w:val="00E9691A"/>
    <w:rsid w:val="00EB6F11"/>
    <w:rsid w:val="00F03E32"/>
    <w:rsid w:val="00F41A37"/>
    <w:rsid w:val="00F4618A"/>
    <w:rsid w:val="00F92788"/>
    <w:rsid w:val="00FD051C"/>
    <w:rsid w:val="00FE2C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C31E5"/>
  <w15:chartTrackingRefBased/>
  <w15:docId w15:val="{5DC625EB-6375-4436-A8EE-699A8CDC76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F3849"/>
    <w:pPr>
      <w:jc w:val="both"/>
    </w:pPr>
    <w:rPr>
      <w:rFonts w:ascii="Times New Roman" w:hAnsi="Times New Roman"/>
      <w:sz w:val="24"/>
    </w:rPr>
  </w:style>
  <w:style w:type="paragraph" w:styleId="Heading1">
    <w:name w:val="heading 1"/>
    <w:basedOn w:val="Normal"/>
    <w:next w:val="Normal"/>
    <w:link w:val="Heading1Char"/>
    <w:uiPriority w:val="9"/>
    <w:qFormat/>
    <w:rsid w:val="001F5AD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F5AD5"/>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1F5AD5"/>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AD5"/>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1F5AD5"/>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1F5AD5"/>
    <w:rPr>
      <w:rFonts w:ascii="Times New Roman" w:eastAsiaTheme="majorEastAsia" w:hAnsi="Times New Roman" w:cstheme="majorBidi"/>
      <w:b/>
      <w:sz w:val="24"/>
      <w:szCs w:val="24"/>
    </w:rPr>
  </w:style>
  <w:style w:type="paragraph" w:styleId="NoSpacing">
    <w:name w:val="No Spacing"/>
    <w:link w:val="NoSpacingChar"/>
    <w:uiPriority w:val="1"/>
    <w:qFormat/>
    <w:rsid w:val="00E56BF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56BF9"/>
    <w:rPr>
      <w:rFonts w:eastAsiaTheme="minorEastAsia"/>
      <w:lang w:val="en-US"/>
    </w:rPr>
  </w:style>
  <w:style w:type="paragraph" w:styleId="ListParagraph">
    <w:name w:val="List Paragraph"/>
    <w:basedOn w:val="Normal"/>
    <w:uiPriority w:val="34"/>
    <w:qFormat/>
    <w:rsid w:val="004E50AF"/>
    <w:pPr>
      <w:ind w:left="720"/>
      <w:contextualSpacing/>
    </w:pPr>
  </w:style>
  <w:style w:type="paragraph" w:styleId="TOCHeading">
    <w:name w:val="TOC Heading"/>
    <w:basedOn w:val="Heading1"/>
    <w:next w:val="Normal"/>
    <w:uiPriority w:val="39"/>
    <w:unhideWhenUsed/>
    <w:qFormat/>
    <w:rsid w:val="009E28CB"/>
    <w:pPr>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9E28CB"/>
    <w:pPr>
      <w:spacing w:after="100"/>
    </w:pPr>
  </w:style>
  <w:style w:type="paragraph" w:styleId="TOC2">
    <w:name w:val="toc 2"/>
    <w:basedOn w:val="Normal"/>
    <w:next w:val="Normal"/>
    <w:autoRedefine/>
    <w:uiPriority w:val="39"/>
    <w:unhideWhenUsed/>
    <w:rsid w:val="009E28CB"/>
    <w:pPr>
      <w:spacing w:after="100"/>
      <w:ind w:left="240"/>
    </w:pPr>
  </w:style>
  <w:style w:type="character" w:styleId="Hyperlink">
    <w:name w:val="Hyperlink"/>
    <w:basedOn w:val="DefaultParagraphFont"/>
    <w:uiPriority w:val="99"/>
    <w:unhideWhenUsed/>
    <w:rsid w:val="009E28CB"/>
    <w:rPr>
      <w:color w:val="0563C1" w:themeColor="hyperlink"/>
      <w:u w:val="single"/>
    </w:rPr>
  </w:style>
  <w:style w:type="paragraph" w:styleId="Caption">
    <w:name w:val="caption"/>
    <w:basedOn w:val="Normal"/>
    <w:next w:val="Normal"/>
    <w:uiPriority w:val="35"/>
    <w:unhideWhenUsed/>
    <w:qFormat/>
    <w:rsid w:val="00917BFE"/>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7F2478"/>
    <w:rPr>
      <w:color w:val="808080"/>
    </w:rPr>
  </w:style>
  <w:style w:type="paragraph" w:styleId="TableofFigures">
    <w:name w:val="table of figures"/>
    <w:basedOn w:val="Normal"/>
    <w:next w:val="Normal"/>
    <w:uiPriority w:val="99"/>
    <w:unhideWhenUsed/>
    <w:rsid w:val="00DF0106"/>
    <w:pPr>
      <w:spacing w:after="0"/>
    </w:pPr>
  </w:style>
  <w:style w:type="paragraph" w:styleId="Bibliography">
    <w:name w:val="Bibliography"/>
    <w:basedOn w:val="Normal"/>
    <w:next w:val="Normal"/>
    <w:uiPriority w:val="37"/>
    <w:unhideWhenUsed/>
    <w:rsid w:val="00DF0106"/>
  </w:style>
  <w:style w:type="table" w:styleId="TableGrid">
    <w:name w:val="Table Grid"/>
    <w:basedOn w:val="TableNormal"/>
    <w:uiPriority w:val="39"/>
    <w:rsid w:val="001201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401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01FE"/>
    <w:rPr>
      <w:rFonts w:ascii="Times New Roman" w:hAnsi="Times New Roman"/>
      <w:sz w:val="24"/>
    </w:rPr>
  </w:style>
  <w:style w:type="paragraph" w:styleId="Footer">
    <w:name w:val="footer"/>
    <w:basedOn w:val="Normal"/>
    <w:link w:val="FooterChar"/>
    <w:uiPriority w:val="99"/>
    <w:unhideWhenUsed/>
    <w:rsid w:val="00C401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01F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4793">
      <w:bodyDiv w:val="1"/>
      <w:marLeft w:val="0"/>
      <w:marRight w:val="0"/>
      <w:marTop w:val="0"/>
      <w:marBottom w:val="0"/>
      <w:divBdr>
        <w:top w:val="none" w:sz="0" w:space="0" w:color="auto"/>
        <w:left w:val="none" w:sz="0" w:space="0" w:color="auto"/>
        <w:bottom w:val="none" w:sz="0" w:space="0" w:color="auto"/>
        <w:right w:val="none" w:sz="0" w:space="0" w:color="auto"/>
      </w:divBdr>
    </w:div>
    <w:div w:id="33772251">
      <w:bodyDiv w:val="1"/>
      <w:marLeft w:val="0"/>
      <w:marRight w:val="0"/>
      <w:marTop w:val="0"/>
      <w:marBottom w:val="0"/>
      <w:divBdr>
        <w:top w:val="none" w:sz="0" w:space="0" w:color="auto"/>
        <w:left w:val="none" w:sz="0" w:space="0" w:color="auto"/>
        <w:bottom w:val="none" w:sz="0" w:space="0" w:color="auto"/>
        <w:right w:val="none" w:sz="0" w:space="0" w:color="auto"/>
      </w:divBdr>
    </w:div>
    <w:div w:id="105933265">
      <w:bodyDiv w:val="1"/>
      <w:marLeft w:val="0"/>
      <w:marRight w:val="0"/>
      <w:marTop w:val="0"/>
      <w:marBottom w:val="0"/>
      <w:divBdr>
        <w:top w:val="none" w:sz="0" w:space="0" w:color="auto"/>
        <w:left w:val="none" w:sz="0" w:space="0" w:color="auto"/>
        <w:bottom w:val="none" w:sz="0" w:space="0" w:color="auto"/>
        <w:right w:val="none" w:sz="0" w:space="0" w:color="auto"/>
      </w:divBdr>
    </w:div>
    <w:div w:id="143474125">
      <w:bodyDiv w:val="1"/>
      <w:marLeft w:val="0"/>
      <w:marRight w:val="0"/>
      <w:marTop w:val="0"/>
      <w:marBottom w:val="0"/>
      <w:divBdr>
        <w:top w:val="none" w:sz="0" w:space="0" w:color="auto"/>
        <w:left w:val="none" w:sz="0" w:space="0" w:color="auto"/>
        <w:bottom w:val="none" w:sz="0" w:space="0" w:color="auto"/>
        <w:right w:val="none" w:sz="0" w:space="0" w:color="auto"/>
      </w:divBdr>
    </w:div>
    <w:div w:id="208878468">
      <w:bodyDiv w:val="1"/>
      <w:marLeft w:val="0"/>
      <w:marRight w:val="0"/>
      <w:marTop w:val="0"/>
      <w:marBottom w:val="0"/>
      <w:divBdr>
        <w:top w:val="none" w:sz="0" w:space="0" w:color="auto"/>
        <w:left w:val="none" w:sz="0" w:space="0" w:color="auto"/>
        <w:bottom w:val="none" w:sz="0" w:space="0" w:color="auto"/>
        <w:right w:val="none" w:sz="0" w:space="0" w:color="auto"/>
      </w:divBdr>
    </w:div>
    <w:div w:id="296843377">
      <w:bodyDiv w:val="1"/>
      <w:marLeft w:val="0"/>
      <w:marRight w:val="0"/>
      <w:marTop w:val="0"/>
      <w:marBottom w:val="0"/>
      <w:divBdr>
        <w:top w:val="none" w:sz="0" w:space="0" w:color="auto"/>
        <w:left w:val="none" w:sz="0" w:space="0" w:color="auto"/>
        <w:bottom w:val="none" w:sz="0" w:space="0" w:color="auto"/>
        <w:right w:val="none" w:sz="0" w:space="0" w:color="auto"/>
      </w:divBdr>
    </w:div>
    <w:div w:id="307708013">
      <w:bodyDiv w:val="1"/>
      <w:marLeft w:val="0"/>
      <w:marRight w:val="0"/>
      <w:marTop w:val="0"/>
      <w:marBottom w:val="0"/>
      <w:divBdr>
        <w:top w:val="none" w:sz="0" w:space="0" w:color="auto"/>
        <w:left w:val="none" w:sz="0" w:space="0" w:color="auto"/>
        <w:bottom w:val="none" w:sz="0" w:space="0" w:color="auto"/>
        <w:right w:val="none" w:sz="0" w:space="0" w:color="auto"/>
      </w:divBdr>
    </w:div>
    <w:div w:id="309788918">
      <w:bodyDiv w:val="1"/>
      <w:marLeft w:val="0"/>
      <w:marRight w:val="0"/>
      <w:marTop w:val="0"/>
      <w:marBottom w:val="0"/>
      <w:divBdr>
        <w:top w:val="none" w:sz="0" w:space="0" w:color="auto"/>
        <w:left w:val="none" w:sz="0" w:space="0" w:color="auto"/>
        <w:bottom w:val="none" w:sz="0" w:space="0" w:color="auto"/>
        <w:right w:val="none" w:sz="0" w:space="0" w:color="auto"/>
      </w:divBdr>
    </w:div>
    <w:div w:id="317343457">
      <w:bodyDiv w:val="1"/>
      <w:marLeft w:val="0"/>
      <w:marRight w:val="0"/>
      <w:marTop w:val="0"/>
      <w:marBottom w:val="0"/>
      <w:divBdr>
        <w:top w:val="none" w:sz="0" w:space="0" w:color="auto"/>
        <w:left w:val="none" w:sz="0" w:space="0" w:color="auto"/>
        <w:bottom w:val="none" w:sz="0" w:space="0" w:color="auto"/>
        <w:right w:val="none" w:sz="0" w:space="0" w:color="auto"/>
      </w:divBdr>
    </w:div>
    <w:div w:id="396443699">
      <w:bodyDiv w:val="1"/>
      <w:marLeft w:val="0"/>
      <w:marRight w:val="0"/>
      <w:marTop w:val="0"/>
      <w:marBottom w:val="0"/>
      <w:divBdr>
        <w:top w:val="none" w:sz="0" w:space="0" w:color="auto"/>
        <w:left w:val="none" w:sz="0" w:space="0" w:color="auto"/>
        <w:bottom w:val="none" w:sz="0" w:space="0" w:color="auto"/>
        <w:right w:val="none" w:sz="0" w:space="0" w:color="auto"/>
      </w:divBdr>
    </w:div>
    <w:div w:id="402604093">
      <w:bodyDiv w:val="1"/>
      <w:marLeft w:val="0"/>
      <w:marRight w:val="0"/>
      <w:marTop w:val="0"/>
      <w:marBottom w:val="0"/>
      <w:divBdr>
        <w:top w:val="none" w:sz="0" w:space="0" w:color="auto"/>
        <w:left w:val="none" w:sz="0" w:space="0" w:color="auto"/>
        <w:bottom w:val="none" w:sz="0" w:space="0" w:color="auto"/>
        <w:right w:val="none" w:sz="0" w:space="0" w:color="auto"/>
      </w:divBdr>
    </w:div>
    <w:div w:id="456022739">
      <w:bodyDiv w:val="1"/>
      <w:marLeft w:val="0"/>
      <w:marRight w:val="0"/>
      <w:marTop w:val="0"/>
      <w:marBottom w:val="0"/>
      <w:divBdr>
        <w:top w:val="none" w:sz="0" w:space="0" w:color="auto"/>
        <w:left w:val="none" w:sz="0" w:space="0" w:color="auto"/>
        <w:bottom w:val="none" w:sz="0" w:space="0" w:color="auto"/>
        <w:right w:val="none" w:sz="0" w:space="0" w:color="auto"/>
      </w:divBdr>
    </w:div>
    <w:div w:id="627131661">
      <w:bodyDiv w:val="1"/>
      <w:marLeft w:val="0"/>
      <w:marRight w:val="0"/>
      <w:marTop w:val="0"/>
      <w:marBottom w:val="0"/>
      <w:divBdr>
        <w:top w:val="none" w:sz="0" w:space="0" w:color="auto"/>
        <w:left w:val="none" w:sz="0" w:space="0" w:color="auto"/>
        <w:bottom w:val="none" w:sz="0" w:space="0" w:color="auto"/>
        <w:right w:val="none" w:sz="0" w:space="0" w:color="auto"/>
      </w:divBdr>
    </w:div>
    <w:div w:id="628556377">
      <w:bodyDiv w:val="1"/>
      <w:marLeft w:val="0"/>
      <w:marRight w:val="0"/>
      <w:marTop w:val="0"/>
      <w:marBottom w:val="0"/>
      <w:divBdr>
        <w:top w:val="none" w:sz="0" w:space="0" w:color="auto"/>
        <w:left w:val="none" w:sz="0" w:space="0" w:color="auto"/>
        <w:bottom w:val="none" w:sz="0" w:space="0" w:color="auto"/>
        <w:right w:val="none" w:sz="0" w:space="0" w:color="auto"/>
      </w:divBdr>
    </w:div>
    <w:div w:id="682707479">
      <w:bodyDiv w:val="1"/>
      <w:marLeft w:val="0"/>
      <w:marRight w:val="0"/>
      <w:marTop w:val="0"/>
      <w:marBottom w:val="0"/>
      <w:divBdr>
        <w:top w:val="none" w:sz="0" w:space="0" w:color="auto"/>
        <w:left w:val="none" w:sz="0" w:space="0" w:color="auto"/>
        <w:bottom w:val="none" w:sz="0" w:space="0" w:color="auto"/>
        <w:right w:val="none" w:sz="0" w:space="0" w:color="auto"/>
      </w:divBdr>
    </w:div>
    <w:div w:id="691152625">
      <w:bodyDiv w:val="1"/>
      <w:marLeft w:val="0"/>
      <w:marRight w:val="0"/>
      <w:marTop w:val="0"/>
      <w:marBottom w:val="0"/>
      <w:divBdr>
        <w:top w:val="none" w:sz="0" w:space="0" w:color="auto"/>
        <w:left w:val="none" w:sz="0" w:space="0" w:color="auto"/>
        <w:bottom w:val="none" w:sz="0" w:space="0" w:color="auto"/>
        <w:right w:val="none" w:sz="0" w:space="0" w:color="auto"/>
      </w:divBdr>
    </w:div>
    <w:div w:id="808788943">
      <w:bodyDiv w:val="1"/>
      <w:marLeft w:val="0"/>
      <w:marRight w:val="0"/>
      <w:marTop w:val="0"/>
      <w:marBottom w:val="0"/>
      <w:divBdr>
        <w:top w:val="none" w:sz="0" w:space="0" w:color="auto"/>
        <w:left w:val="none" w:sz="0" w:space="0" w:color="auto"/>
        <w:bottom w:val="none" w:sz="0" w:space="0" w:color="auto"/>
        <w:right w:val="none" w:sz="0" w:space="0" w:color="auto"/>
      </w:divBdr>
    </w:div>
    <w:div w:id="812908601">
      <w:bodyDiv w:val="1"/>
      <w:marLeft w:val="0"/>
      <w:marRight w:val="0"/>
      <w:marTop w:val="0"/>
      <w:marBottom w:val="0"/>
      <w:divBdr>
        <w:top w:val="none" w:sz="0" w:space="0" w:color="auto"/>
        <w:left w:val="none" w:sz="0" w:space="0" w:color="auto"/>
        <w:bottom w:val="none" w:sz="0" w:space="0" w:color="auto"/>
        <w:right w:val="none" w:sz="0" w:space="0" w:color="auto"/>
      </w:divBdr>
    </w:div>
    <w:div w:id="815223721">
      <w:bodyDiv w:val="1"/>
      <w:marLeft w:val="0"/>
      <w:marRight w:val="0"/>
      <w:marTop w:val="0"/>
      <w:marBottom w:val="0"/>
      <w:divBdr>
        <w:top w:val="none" w:sz="0" w:space="0" w:color="auto"/>
        <w:left w:val="none" w:sz="0" w:space="0" w:color="auto"/>
        <w:bottom w:val="none" w:sz="0" w:space="0" w:color="auto"/>
        <w:right w:val="none" w:sz="0" w:space="0" w:color="auto"/>
      </w:divBdr>
    </w:div>
    <w:div w:id="841160614">
      <w:bodyDiv w:val="1"/>
      <w:marLeft w:val="0"/>
      <w:marRight w:val="0"/>
      <w:marTop w:val="0"/>
      <w:marBottom w:val="0"/>
      <w:divBdr>
        <w:top w:val="none" w:sz="0" w:space="0" w:color="auto"/>
        <w:left w:val="none" w:sz="0" w:space="0" w:color="auto"/>
        <w:bottom w:val="none" w:sz="0" w:space="0" w:color="auto"/>
        <w:right w:val="none" w:sz="0" w:space="0" w:color="auto"/>
      </w:divBdr>
    </w:div>
    <w:div w:id="851333260">
      <w:bodyDiv w:val="1"/>
      <w:marLeft w:val="0"/>
      <w:marRight w:val="0"/>
      <w:marTop w:val="0"/>
      <w:marBottom w:val="0"/>
      <w:divBdr>
        <w:top w:val="none" w:sz="0" w:space="0" w:color="auto"/>
        <w:left w:val="none" w:sz="0" w:space="0" w:color="auto"/>
        <w:bottom w:val="none" w:sz="0" w:space="0" w:color="auto"/>
        <w:right w:val="none" w:sz="0" w:space="0" w:color="auto"/>
      </w:divBdr>
    </w:div>
    <w:div w:id="852183626">
      <w:bodyDiv w:val="1"/>
      <w:marLeft w:val="0"/>
      <w:marRight w:val="0"/>
      <w:marTop w:val="0"/>
      <w:marBottom w:val="0"/>
      <w:divBdr>
        <w:top w:val="none" w:sz="0" w:space="0" w:color="auto"/>
        <w:left w:val="none" w:sz="0" w:space="0" w:color="auto"/>
        <w:bottom w:val="none" w:sz="0" w:space="0" w:color="auto"/>
        <w:right w:val="none" w:sz="0" w:space="0" w:color="auto"/>
      </w:divBdr>
    </w:div>
    <w:div w:id="911621782">
      <w:bodyDiv w:val="1"/>
      <w:marLeft w:val="0"/>
      <w:marRight w:val="0"/>
      <w:marTop w:val="0"/>
      <w:marBottom w:val="0"/>
      <w:divBdr>
        <w:top w:val="none" w:sz="0" w:space="0" w:color="auto"/>
        <w:left w:val="none" w:sz="0" w:space="0" w:color="auto"/>
        <w:bottom w:val="none" w:sz="0" w:space="0" w:color="auto"/>
        <w:right w:val="none" w:sz="0" w:space="0" w:color="auto"/>
      </w:divBdr>
    </w:div>
    <w:div w:id="949509256">
      <w:bodyDiv w:val="1"/>
      <w:marLeft w:val="0"/>
      <w:marRight w:val="0"/>
      <w:marTop w:val="0"/>
      <w:marBottom w:val="0"/>
      <w:divBdr>
        <w:top w:val="none" w:sz="0" w:space="0" w:color="auto"/>
        <w:left w:val="none" w:sz="0" w:space="0" w:color="auto"/>
        <w:bottom w:val="none" w:sz="0" w:space="0" w:color="auto"/>
        <w:right w:val="none" w:sz="0" w:space="0" w:color="auto"/>
      </w:divBdr>
    </w:div>
    <w:div w:id="964428604">
      <w:bodyDiv w:val="1"/>
      <w:marLeft w:val="0"/>
      <w:marRight w:val="0"/>
      <w:marTop w:val="0"/>
      <w:marBottom w:val="0"/>
      <w:divBdr>
        <w:top w:val="none" w:sz="0" w:space="0" w:color="auto"/>
        <w:left w:val="none" w:sz="0" w:space="0" w:color="auto"/>
        <w:bottom w:val="none" w:sz="0" w:space="0" w:color="auto"/>
        <w:right w:val="none" w:sz="0" w:space="0" w:color="auto"/>
      </w:divBdr>
    </w:div>
    <w:div w:id="1009600714">
      <w:bodyDiv w:val="1"/>
      <w:marLeft w:val="0"/>
      <w:marRight w:val="0"/>
      <w:marTop w:val="0"/>
      <w:marBottom w:val="0"/>
      <w:divBdr>
        <w:top w:val="none" w:sz="0" w:space="0" w:color="auto"/>
        <w:left w:val="none" w:sz="0" w:space="0" w:color="auto"/>
        <w:bottom w:val="none" w:sz="0" w:space="0" w:color="auto"/>
        <w:right w:val="none" w:sz="0" w:space="0" w:color="auto"/>
      </w:divBdr>
    </w:div>
    <w:div w:id="1023481853">
      <w:bodyDiv w:val="1"/>
      <w:marLeft w:val="0"/>
      <w:marRight w:val="0"/>
      <w:marTop w:val="0"/>
      <w:marBottom w:val="0"/>
      <w:divBdr>
        <w:top w:val="none" w:sz="0" w:space="0" w:color="auto"/>
        <w:left w:val="none" w:sz="0" w:space="0" w:color="auto"/>
        <w:bottom w:val="none" w:sz="0" w:space="0" w:color="auto"/>
        <w:right w:val="none" w:sz="0" w:space="0" w:color="auto"/>
      </w:divBdr>
    </w:div>
    <w:div w:id="1025063697">
      <w:bodyDiv w:val="1"/>
      <w:marLeft w:val="0"/>
      <w:marRight w:val="0"/>
      <w:marTop w:val="0"/>
      <w:marBottom w:val="0"/>
      <w:divBdr>
        <w:top w:val="none" w:sz="0" w:space="0" w:color="auto"/>
        <w:left w:val="none" w:sz="0" w:space="0" w:color="auto"/>
        <w:bottom w:val="none" w:sz="0" w:space="0" w:color="auto"/>
        <w:right w:val="none" w:sz="0" w:space="0" w:color="auto"/>
      </w:divBdr>
    </w:div>
    <w:div w:id="1036462585">
      <w:bodyDiv w:val="1"/>
      <w:marLeft w:val="0"/>
      <w:marRight w:val="0"/>
      <w:marTop w:val="0"/>
      <w:marBottom w:val="0"/>
      <w:divBdr>
        <w:top w:val="none" w:sz="0" w:space="0" w:color="auto"/>
        <w:left w:val="none" w:sz="0" w:space="0" w:color="auto"/>
        <w:bottom w:val="none" w:sz="0" w:space="0" w:color="auto"/>
        <w:right w:val="none" w:sz="0" w:space="0" w:color="auto"/>
      </w:divBdr>
    </w:div>
    <w:div w:id="1052657561">
      <w:bodyDiv w:val="1"/>
      <w:marLeft w:val="0"/>
      <w:marRight w:val="0"/>
      <w:marTop w:val="0"/>
      <w:marBottom w:val="0"/>
      <w:divBdr>
        <w:top w:val="none" w:sz="0" w:space="0" w:color="auto"/>
        <w:left w:val="none" w:sz="0" w:space="0" w:color="auto"/>
        <w:bottom w:val="none" w:sz="0" w:space="0" w:color="auto"/>
        <w:right w:val="none" w:sz="0" w:space="0" w:color="auto"/>
      </w:divBdr>
    </w:div>
    <w:div w:id="1078407007">
      <w:bodyDiv w:val="1"/>
      <w:marLeft w:val="0"/>
      <w:marRight w:val="0"/>
      <w:marTop w:val="0"/>
      <w:marBottom w:val="0"/>
      <w:divBdr>
        <w:top w:val="none" w:sz="0" w:space="0" w:color="auto"/>
        <w:left w:val="none" w:sz="0" w:space="0" w:color="auto"/>
        <w:bottom w:val="none" w:sz="0" w:space="0" w:color="auto"/>
        <w:right w:val="none" w:sz="0" w:space="0" w:color="auto"/>
      </w:divBdr>
    </w:div>
    <w:div w:id="1119958310">
      <w:bodyDiv w:val="1"/>
      <w:marLeft w:val="0"/>
      <w:marRight w:val="0"/>
      <w:marTop w:val="0"/>
      <w:marBottom w:val="0"/>
      <w:divBdr>
        <w:top w:val="none" w:sz="0" w:space="0" w:color="auto"/>
        <w:left w:val="none" w:sz="0" w:space="0" w:color="auto"/>
        <w:bottom w:val="none" w:sz="0" w:space="0" w:color="auto"/>
        <w:right w:val="none" w:sz="0" w:space="0" w:color="auto"/>
      </w:divBdr>
    </w:div>
    <w:div w:id="1131675666">
      <w:bodyDiv w:val="1"/>
      <w:marLeft w:val="0"/>
      <w:marRight w:val="0"/>
      <w:marTop w:val="0"/>
      <w:marBottom w:val="0"/>
      <w:divBdr>
        <w:top w:val="none" w:sz="0" w:space="0" w:color="auto"/>
        <w:left w:val="none" w:sz="0" w:space="0" w:color="auto"/>
        <w:bottom w:val="none" w:sz="0" w:space="0" w:color="auto"/>
        <w:right w:val="none" w:sz="0" w:space="0" w:color="auto"/>
      </w:divBdr>
    </w:div>
    <w:div w:id="1152913592">
      <w:bodyDiv w:val="1"/>
      <w:marLeft w:val="0"/>
      <w:marRight w:val="0"/>
      <w:marTop w:val="0"/>
      <w:marBottom w:val="0"/>
      <w:divBdr>
        <w:top w:val="none" w:sz="0" w:space="0" w:color="auto"/>
        <w:left w:val="none" w:sz="0" w:space="0" w:color="auto"/>
        <w:bottom w:val="none" w:sz="0" w:space="0" w:color="auto"/>
        <w:right w:val="none" w:sz="0" w:space="0" w:color="auto"/>
      </w:divBdr>
    </w:div>
    <w:div w:id="1285042772">
      <w:bodyDiv w:val="1"/>
      <w:marLeft w:val="0"/>
      <w:marRight w:val="0"/>
      <w:marTop w:val="0"/>
      <w:marBottom w:val="0"/>
      <w:divBdr>
        <w:top w:val="none" w:sz="0" w:space="0" w:color="auto"/>
        <w:left w:val="none" w:sz="0" w:space="0" w:color="auto"/>
        <w:bottom w:val="none" w:sz="0" w:space="0" w:color="auto"/>
        <w:right w:val="none" w:sz="0" w:space="0" w:color="auto"/>
      </w:divBdr>
    </w:div>
    <w:div w:id="1327132750">
      <w:bodyDiv w:val="1"/>
      <w:marLeft w:val="0"/>
      <w:marRight w:val="0"/>
      <w:marTop w:val="0"/>
      <w:marBottom w:val="0"/>
      <w:divBdr>
        <w:top w:val="none" w:sz="0" w:space="0" w:color="auto"/>
        <w:left w:val="none" w:sz="0" w:space="0" w:color="auto"/>
        <w:bottom w:val="none" w:sz="0" w:space="0" w:color="auto"/>
        <w:right w:val="none" w:sz="0" w:space="0" w:color="auto"/>
      </w:divBdr>
    </w:div>
    <w:div w:id="1344094553">
      <w:bodyDiv w:val="1"/>
      <w:marLeft w:val="0"/>
      <w:marRight w:val="0"/>
      <w:marTop w:val="0"/>
      <w:marBottom w:val="0"/>
      <w:divBdr>
        <w:top w:val="none" w:sz="0" w:space="0" w:color="auto"/>
        <w:left w:val="none" w:sz="0" w:space="0" w:color="auto"/>
        <w:bottom w:val="none" w:sz="0" w:space="0" w:color="auto"/>
        <w:right w:val="none" w:sz="0" w:space="0" w:color="auto"/>
      </w:divBdr>
    </w:div>
    <w:div w:id="1348210486">
      <w:bodyDiv w:val="1"/>
      <w:marLeft w:val="0"/>
      <w:marRight w:val="0"/>
      <w:marTop w:val="0"/>
      <w:marBottom w:val="0"/>
      <w:divBdr>
        <w:top w:val="none" w:sz="0" w:space="0" w:color="auto"/>
        <w:left w:val="none" w:sz="0" w:space="0" w:color="auto"/>
        <w:bottom w:val="none" w:sz="0" w:space="0" w:color="auto"/>
        <w:right w:val="none" w:sz="0" w:space="0" w:color="auto"/>
      </w:divBdr>
    </w:div>
    <w:div w:id="1359432145">
      <w:bodyDiv w:val="1"/>
      <w:marLeft w:val="0"/>
      <w:marRight w:val="0"/>
      <w:marTop w:val="0"/>
      <w:marBottom w:val="0"/>
      <w:divBdr>
        <w:top w:val="none" w:sz="0" w:space="0" w:color="auto"/>
        <w:left w:val="none" w:sz="0" w:space="0" w:color="auto"/>
        <w:bottom w:val="none" w:sz="0" w:space="0" w:color="auto"/>
        <w:right w:val="none" w:sz="0" w:space="0" w:color="auto"/>
      </w:divBdr>
    </w:div>
    <w:div w:id="1365859702">
      <w:bodyDiv w:val="1"/>
      <w:marLeft w:val="0"/>
      <w:marRight w:val="0"/>
      <w:marTop w:val="0"/>
      <w:marBottom w:val="0"/>
      <w:divBdr>
        <w:top w:val="none" w:sz="0" w:space="0" w:color="auto"/>
        <w:left w:val="none" w:sz="0" w:space="0" w:color="auto"/>
        <w:bottom w:val="none" w:sz="0" w:space="0" w:color="auto"/>
        <w:right w:val="none" w:sz="0" w:space="0" w:color="auto"/>
      </w:divBdr>
    </w:div>
    <w:div w:id="1370911679">
      <w:bodyDiv w:val="1"/>
      <w:marLeft w:val="0"/>
      <w:marRight w:val="0"/>
      <w:marTop w:val="0"/>
      <w:marBottom w:val="0"/>
      <w:divBdr>
        <w:top w:val="none" w:sz="0" w:space="0" w:color="auto"/>
        <w:left w:val="none" w:sz="0" w:space="0" w:color="auto"/>
        <w:bottom w:val="none" w:sz="0" w:space="0" w:color="auto"/>
        <w:right w:val="none" w:sz="0" w:space="0" w:color="auto"/>
      </w:divBdr>
    </w:div>
    <w:div w:id="1438867110">
      <w:bodyDiv w:val="1"/>
      <w:marLeft w:val="0"/>
      <w:marRight w:val="0"/>
      <w:marTop w:val="0"/>
      <w:marBottom w:val="0"/>
      <w:divBdr>
        <w:top w:val="none" w:sz="0" w:space="0" w:color="auto"/>
        <w:left w:val="none" w:sz="0" w:space="0" w:color="auto"/>
        <w:bottom w:val="none" w:sz="0" w:space="0" w:color="auto"/>
        <w:right w:val="none" w:sz="0" w:space="0" w:color="auto"/>
      </w:divBdr>
    </w:div>
    <w:div w:id="1440568649">
      <w:bodyDiv w:val="1"/>
      <w:marLeft w:val="0"/>
      <w:marRight w:val="0"/>
      <w:marTop w:val="0"/>
      <w:marBottom w:val="0"/>
      <w:divBdr>
        <w:top w:val="none" w:sz="0" w:space="0" w:color="auto"/>
        <w:left w:val="none" w:sz="0" w:space="0" w:color="auto"/>
        <w:bottom w:val="none" w:sz="0" w:space="0" w:color="auto"/>
        <w:right w:val="none" w:sz="0" w:space="0" w:color="auto"/>
      </w:divBdr>
    </w:div>
    <w:div w:id="1442725968">
      <w:bodyDiv w:val="1"/>
      <w:marLeft w:val="0"/>
      <w:marRight w:val="0"/>
      <w:marTop w:val="0"/>
      <w:marBottom w:val="0"/>
      <w:divBdr>
        <w:top w:val="none" w:sz="0" w:space="0" w:color="auto"/>
        <w:left w:val="none" w:sz="0" w:space="0" w:color="auto"/>
        <w:bottom w:val="none" w:sz="0" w:space="0" w:color="auto"/>
        <w:right w:val="none" w:sz="0" w:space="0" w:color="auto"/>
      </w:divBdr>
    </w:div>
    <w:div w:id="1470243786">
      <w:bodyDiv w:val="1"/>
      <w:marLeft w:val="0"/>
      <w:marRight w:val="0"/>
      <w:marTop w:val="0"/>
      <w:marBottom w:val="0"/>
      <w:divBdr>
        <w:top w:val="none" w:sz="0" w:space="0" w:color="auto"/>
        <w:left w:val="none" w:sz="0" w:space="0" w:color="auto"/>
        <w:bottom w:val="none" w:sz="0" w:space="0" w:color="auto"/>
        <w:right w:val="none" w:sz="0" w:space="0" w:color="auto"/>
      </w:divBdr>
    </w:div>
    <w:div w:id="1479766406">
      <w:bodyDiv w:val="1"/>
      <w:marLeft w:val="0"/>
      <w:marRight w:val="0"/>
      <w:marTop w:val="0"/>
      <w:marBottom w:val="0"/>
      <w:divBdr>
        <w:top w:val="none" w:sz="0" w:space="0" w:color="auto"/>
        <w:left w:val="none" w:sz="0" w:space="0" w:color="auto"/>
        <w:bottom w:val="none" w:sz="0" w:space="0" w:color="auto"/>
        <w:right w:val="none" w:sz="0" w:space="0" w:color="auto"/>
      </w:divBdr>
    </w:div>
    <w:div w:id="1518689505">
      <w:bodyDiv w:val="1"/>
      <w:marLeft w:val="0"/>
      <w:marRight w:val="0"/>
      <w:marTop w:val="0"/>
      <w:marBottom w:val="0"/>
      <w:divBdr>
        <w:top w:val="none" w:sz="0" w:space="0" w:color="auto"/>
        <w:left w:val="none" w:sz="0" w:space="0" w:color="auto"/>
        <w:bottom w:val="none" w:sz="0" w:space="0" w:color="auto"/>
        <w:right w:val="none" w:sz="0" w:space="0" w:color="auto"/>
      </w:divBdr>
    </w:div>
    <w:div w:id="1558590001">
      <w:bodyDiv w:val="1"/>
      <w:marLeft w:val="0"/>
      <w:marRight w:val="0"/>
      <w:marTop w:val="0"/>
      <w:marBottom w:val="0"/>
      <w:divBdr>
        <w:top w:val="none" w:sz="0" w:space="0" w:color="auto"/>
        <w:left w:val="none" w:sz="0" w:space="0" w:color="auto"/>
        <w:bottom w:val="none" w:sz="0" w:space="0" w:color="auto"/>
        <w:right w:val="none" w:sz="0" w:space="0" w:color="auto"/>
      </w:divBdr>
    </w:div>
    <w:div w:id="1566380374">
      <w:bodyDiv w:val="1"/>
      <w:marLeft w:val="0"/>
      <w:marRight w:val="0"/>
      <w:marTop w:val="0"/>
      <w:marBottom w:val="0"/>
      <w:divBdr>
        <w:top w:val="none" w:sz="0" w:space="0" w:color="auto"/>
        <w:left w:val="none" w:sz="0" w:space="0" w:color="auto"/>
        <w:bottom w:val="none" w:sz="0" w:space="0" w:color="auto"/>
        <w:right w:val="none" w:sz="0" w:space="0" w:color="auto"/>
      </w:divBdr>
    </w:div>
    <w:div w:id="1574584690">
      <w:bodyDiv w:val="1"/>
      <w:marLeft w:val="0"/>
      <w:marRight w:val="0"/>
      <w:marTop w:val="0"/>
      <w:marBottom w:val="0"/>
      <w:divBdr>
        <w:top w:val="none" w:sz="0" w:space="0" w:color="auto"/>
        <w:left w:val="none" w:sz="0" w:space="0" w:color="auto"/>
        <w:bottom w:val="none" w:sz="0" w:space="0" w:color="auto"/>
        <w:right w:val="none" w:sz="0" w:space="0" w:color="auto"/>
      </w:divBdr>
    </w:div>
    <w:div w:id="1594775174">
      <w:bodyDiv w:val="1"/>
      <w:marLeft w:val="0"/>
      <w:marRight w:val="0"/>
      <w:marTop w:val="0"/>
      <w:marBottom w:val="0"/>
      <w:divBdr>
        <w:top w:val="none" w:sz="0" w:space="0" w:color="auto"/>
        <w:left w:val="none" w:sz="0" w:space="0" w:color="auto"/>
        <w:bottom w:val="none" w:sz="0" w:space="0" w:color="auto"/>
        <w:right w:val="none" w:sz="0" w:space="0" w:color="auto"/>
      </w:divBdr>
    </w:div>
    <w:div w:id="1604529092">
      <w:bodyDiv w:val="1"/>
      <w:marLeft w:val="0"/>
      <w:marRight w:val="0"/>
      <w:marTop w:val="0"/>
      <w:marBottom w:val="0"/>
      <w:divBdr>
        <w:top w:val="none" w:sz="0" w:space="0" w:color="auto"/>
        <w:left w:val="none" w:sz="0" w:space="0" w:color="auto"/>
        <w:bottom w:val="none" w:sz="0" w:space="0" w:color="auto"/>
        <w:right w:val="none" w:sz="0" w:space="0" w:color="auto"/>
      </w:divBdr>
    </w:div>
    <w:div w:id="1628463593">
      <w:bodyDiv w:val="1"/>
      <w:marLeft w:val="0"/>
      <w:marRight w:val="0"/>
      <w:marTop w:val="0"/>
      <w:marBottom w:val="0"/>
      <w:divBdr>
        <w:top w:val="none" w:sz="0" w:space="0" w:color="auto"/>
        <w:left w:val="none" w:sz="0" w:space="0" w:color="auto"/>
        <w:bottom w:val="none" w:sz="0" w:space="0" w:color="auto"/>
        <w:right w:val="none" w:sz="0" w:space="0" w:color="auto"/>
      </w:divBdr>
    </w:div>
    <w:div w:id="1685860921">
      <w:bodyDiv w:val="1"/>
      <w:marLeft w:val="0"/>
      <w:marRight w:val="0"/>
      <w:marTop w:val="0"/>
      <w:marBottom w:val="0"/>
      <w:divBdr>
        <w:top w:val="none" w:sz="0" w:space="0" w:color="auto"/>
        <w:left w:val="none" w:sz="0" w:space="0" w:color="auto"/>
        <w:bottom w:val="none" w:sz="0" w:space="0" w:color="auto"/>
        <w:right w:val="none" w:sz="0" w:space="0" w:color="auto"/>
      </w:divBdr>
    </w:div>
    <w:div w:id="1720862126">
      <w:bodyDiv w:val="1"/>
      <w:marLeft w:val="0"/>
      <w:marRight w:val="0"/>
      <w:marTop w:val="0"/>
      <w:marBottom w:val="0"/>
      <w:divBdr>
        <w:top w:val="none" w:sz="0" w:space="0" w:color="auto"/>
        <w:left w:val="none" w:sz="0" w:space="0" w:color="auto"/>
        <w:bottom w:val="none" w:sz="0" w:space="0" w:color="auto"/>
        <w:right w:val="none" w:sz="0" w:space="0" w:color="auto"/>
      </w:divBdr>
    </w:div>
    <w:div w:id="1729496373">
      <w:bodyDiv w:val="1"/>
      <w:marLeft w:val="0"/>
      <w:marRight w:val="0"/>
      <w:marTop w:val="0"/>
      <w:marBottom w:val="0"/>
      <w:divBdr>
        <w:top w:val="none" w:sz="0" w:space="0" w:color="auto"/>
        <w:left w:val="none" w:sz="0" w:space="0" w:color="auto"/>
        <w:bottom w:val="none" w:sz="0" w:space="0" w:color="auto"/>
        <w:right w:val="none" w:sz="0" w:space="0" w:color="auto"/>
      </w:divBdr>
    </w:div>
    <w:div w:id="1762918405">
      <w:bodyDiv w:val="1"/>
      <w:marLeft w:val="0"/>
      <w:marRight w:val="0"/>
      <w:marTop w:val="0"/>
      <w:marBottom w:val="0"/>
      <w:divBdr>
        <w:top w:val="none" w:sz="0" w:space="0" w:color="auto"/>
        <w:left w:val="none" w:sz="0" w:space="0" w:color="auto"/>
        <w:bottom w:val="none" w:sz="0" w:space="0" w:color="auto"/>
        <w:right w:val="none" w:sz="0" w:space="0" w:color="auto"/>
      </w:divBdr>
    </w:div>
    <w:div w:id="1792285152">
      <w:bodyDiv w:val="1"/>
      <w:marLeft w:val="0"/>
      <w:marRight w:val="0"/>
      <w:marTop w:val="0"/>
      <w:marBottom w:val="0"/>
      <w:divBdr>
        <w:top w:val="none" w:sz="0" w:space="0" w:color="auto"/>
        <w:left w:val="none" w:sz="0" w:space="0" w:color="auto"/>
        <w:bottom w:val="none" w:sz="0" w:space="0" w:color="auto"/>
        <w:right w:val="none" w:sz="0" w:space="0" w:color="auto"/>
      </w:divBdr>
    </w:div>
    <w:div w:id="1813719280">
      <w:bodyDiv w:val="1"/>
      <w:marLeft w:val="0"/>
      <w:marRight w:val="0"/>
      <w:marTop w:val="0"/>
      <w:marBottom w:val="0"/>
      <w:divBdr>
        <w:top w:val="none" w:sz="0" w:space="0" w:color="auto"/>
        <w:left w:val="none" w:sz="0" w:space="0" w:color="auto"/>
        <w:bottom w:val="none" w:sz="0" w:space="0" w:color="auto"/>
        <w:right w:val="none" w:sz="0" w:space="0" w:color="auto"/>
      </w:divBdr>
    </w:div>
    <w:div w:id="1839887191">
      <w:bodyDiv w:val="1"/>
      <w:marLeft w:val="0"/>
      <w:marRight w:val="0"/>
      <w:marTop w:val="0"/>
      <w:marBottom w:val="0"/>
      <w:divBdr>
        <w:top w:val="none" w:sz="0" w:space="0" w:color="auto"/>
        <w:left w:val="none" w:sz="0" w:space="0" w:color="auto"/>
        <w:bottom w:val="none" w:sz="0" w:space="0" w:color="auto"/>
        <w:right w:val="none" w:sz="0" w:space="0" w:color="auto"/>
      </w:divBdr>
    </w:div>
    <w:div w:id="1858041180">
      <w:bodyDiv w:val="1"/>
      <w:marLeft w:val="0"/>
      <w:marRight w:val="0"/>
      <w:marTop w:val="0"/>
      <w:marBottom w:val="0"/>
      <w:divBdr>
        <w:top w:val="none" w:sz="0" w:space="0" w:color="auto"/>
        <w:left w:val="none" w:sz="0" w:space="0" w:color="auto"/>
        <w:bottom w:val="none" w:sz="0" w:space="0" w:color="auto"/>
        <w:right w:val="none" w:sz="0" w:space="0" w:color="auto"/>
      </w:divBdr>
    </w:div>
    <w:div w:id="1940067173">
      <w:bodyDiv w:val="1"/>
      <w:marLeft w:val="0"/>
      <w:marRight w:val="0"/>
      <w:marTop w:val="0"/>
      <w:marBottom w:val="0"/>
      <w:divBdr>
        <w:top w:val="none" w:sz="0" w:space="0" w:color="auto"/>
        <w:left w:val="none" w:sz="0" w:space="0" w:color="auto"/>
        <w:bottom w:val="none" w:sz="0" w:space="0" w:color="auto"/>
        <w:right w:val="none" w:sz="0" w:space="0" w:color="auto"/>
      </w:divBdr>
    </w:div>
    <w:div w:id="1986083708">
      <w:bodyDiv w:val="1"/>
      <w:marLeft w:val="0"/>
      <w:marRight w:val="0"/>
      <w:marTop w:val="0"/>
      <w:marBottom w:val="0"/>
      <w:divBdr>
        <w:top w:val="none" w:sz="0" w:space="0" w:color="auto"/>
        <w:left w:val="none" w:sz="0" w:space="0" w:color="auto"/>
        <w:bottom w:val="none" w:sz="0" w:space="0" w:color="auto"/>
        <w:right w:val="none" w:sz="0" w:space="0" w:color="auto"/>
      </w:divBdr>
    </w:div>
    <w:div w:id="2011521975">
      <w:bodyDiv w:val="1"/>
      <w:marLeft w:val="0"/>
      <w:marRight w:val="0"/>
      <w:marTop w:val="0"/>
      <w:marBottom w:val="0"/>
      <w:divBdr>
        <w:top w:val="none" w:sz="0" w:space="0" w:color="auto"/>
        <w:left w:val="none" w:sz="0" w:space="0" w:color="auto"/>
        <w:bottom w:val="none" w:sz="0" w:space="0" w:color="auto"/>
        <w:right w:val="none" w:sz="0" w:space="0" w:color="auto"/>
      </w:divBdr>
    </w:div>
    <w:div w:id="2056923399">
      <w:bodyDiv w:val="1"/>
      <w:marLeft w:val="0"/>
      <w:marRight w:val="0"/>
      <w:marTop w:val="0"/>
      <w:marBottom w:val="0"/>
      <w:divBdr>
        <w:top w:val="none" w:sz="0" w:space="0" w:color="auto"/>
        <w:left w:val="none" w:sz="0" w:space="0" w:color="auto"/>
        <w:bottom w:val="none" w:sz="0" w:space="0" w:color="auto"/>
        <w:right w:val="none" w:sz="0" w:space="0" w:color="auto"/>
      </w:divBdr>
    </w:div>
    <w:div w:id="2060932484">
      <w:bodyDiv w:val="1"/>
      <w:marLeft w:val="0"/>
      <w:marRight w:val="0"/>
      <w:marTop w:val="0"/>
      <w:marBottom w:val="0"/>
      <w:divBdr>
        <w:top w:val="none" w:sz="0" w:space="0" w:color="auto"/>
        <w:left w:val="none" w:sz="0" w:space="0" w:color="auto"/>
        <w:bottom w:val="none" w:sz="0" w:space="0" w:color="auto"/>
        <w:right w:val="none" w:sz="0" w:space="0" w:color="auto"/>
      </w:divBdr>
    </w:div>
    <w:div w:id="2070112234">
      <w:bodyDiv w:val="1"/>
      <w:marLeft w:val="0"/>
      <w:marRight w:val="0"/>
      <w:marTop w:val="0"/>
      <w:marBottom w:val="0"/>
      <w:divBdr>
        <w:top w:val="none" w:sz="0" w:space="0" w:color="auto"/>
        <w:left w:val="none" w:sz="0" w:space="0" w:color="auto"/>
        <w:bottom w:val="none" w:sz="0" w:space="0" w:color="auto"/>
        <w:right w:val="none" w:sz="0" w:space="0" w:color="auto"/>
      </w:divBdr>
    </w:div>
    <w:div w:id="2076512414">
      <w:bodyDiv w:val="1"/>
      <w:marLeft w:val="0"/>
      <w:marRight w:val="0"/>
      <w:marTop w:val="0"/>
      <w:marBottom w:val="0"/>
      <w:divBdr>
        <w:top w:val="none" w:sz="0" w:space="0" w:color="auto"/>
        <w:left w:val="none" w:sz="0" w:space="0" w:color="auto"/>
        <w:bottom w:val="none" w:sz="0" w:space="0" w:color="auto"/>
        <w:right w:val="none" w:sz="0" w:space="0" w:color="auto"/>
      </w:divBdr>
    </w:div>
    <w:div w:id="2120955132">
      <w:bodyDiv w:val="1"/>
      <w:marLeft w:val="0"/>
      <w:marRight w:val="0"/>
      <w:marTop w:val="0"/>
      <w:marBottom w:val="0"/>
      <w:divBdr>
        <w:top w:val="none" w:sz="0" w:space="0" w:color="auto"/>
        <w:left w:val="none" w:sz="0" w:space="0" w:color="auto"/>
        <w:bottom w:val="none" w:sz="0" w:space="0" w:color="auto"/>
        <w:right w:val="none" w:sz="0" w:space="0" w:color="auto"/>
      </w:divBdr>
    </w:div>
    <w:div w:id="2122256702">
      <w:bodyDiv w:val="1"/>
      <w:marLeft w:val="0"/>
      <w:marRight w:val="0"/>
      <w:marTop w:val="0"/>
      <w:marBottom w:val="0"/>
      <w:divBdr>
        <w:top w:val="none" w:sz="0" w:space="0" w:color="auto"/>
        <w:left w:val="none" w:sz="0" w:space="0" w:color="auto"/>
        <w:bottom w:val="none" w:sz="0" w:space="0" w:color="auto"/>
        <w:right w:val="none" w:sz="0" w:space="0" w:color="auto"/>
      </w:divBdr>
    </w:div>
    <w:div w:id="2143225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chart" Target="charts/chart2.xml"/><Relationship Id="rId26" Type="http://schemas.openxmlformats.org/officeDocument/2006/relationships/chart" Target="charts/chart10.xml"/><Relationship Id="rId3" Type="http://schemas.openxmlformats.org/officeDocument/2006/relationships/numbering" Target="numbering.xml"/><Relationship Id="rId21" Type="http://schemas.openxmlformats.org/officeDocument/2006/relationships/chart" Target="charts/chart5.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chart" Target="charts/chart1.xml"/><Relationship Id="rId25" Type="http://schemas.openxmlformats.org/officeDocument/2006/relationships/chart" Target="charts/chart9.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chart" Target="charts/chart4.xm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chart" Target="charts/chart8.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chart" Target="charts/chart7.xml"/><Relationship Id="rId28" Type="http://schemas.openxmlformats.org/officeDocument/2006/relationships/chart" Target="charts/chart12.xml"/><Relationship Id="rId10" Type="http://schemas.openxmlformats.org/officeDocument/2006/relationships/image" Target="media/image2.png"/><Relationship Id="rId19" Type="http://schemas.openxmlformats.org/officeDocument/2006/relationships/chart" Target="charts/chart3.xm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chart" Target="charts/chart6.xml"/><Relationship Id="rId27" Type="http://schemas.openxmlformats.org/officeDocument/2006/relationships/chart" Target="charts/chart11.xml"/><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Curly\Desktop\PoD%20Coursework%20Dataset%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Curly\Desktop\PoD%20Coursework%20Dataset%20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Curly\Desktop\PoD%20Coursework%20Dataset%20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Curly\Desktop\PoD%20Coursework%20Dataset%20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Curly\Desktop\PoD%20Coursework%20Dataset%201.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F:\MASTERS\NDT%20Principles%20Standards%20&amp;%20Applications\Probability%20of%20Sizing%20Datase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Curly\Desktop\Probability%20of%20Sizing%20Dataset.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Curly\Desktop\Probability%20of%20Sizing%20Dataset.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Curly\Desktop\Probability%20of%20Sizing%20Dataset.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Curly\Desktop\Probability%20of%20Sizing%20Dataset.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Curly\Desktop\Probability%20of%20Sizing%20Dataset.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Curly\Desktop\Probability%20of%20Sizing%20Dataset.xlsx" TargetMode="External"/><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Hits for</a:t>
            </a:r>
            <a:r>
              <a:rPr lang="en-GB" baseline="0"/>
              <a:t> each operator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spPr>
            <a:solidFill>
              <a:schemeClr val="accent1"/>
            </a:solidFill>
            <a:ln>
              <a:noFill/>
            </a:ln>
            <a:effectLst/>
          </c:spPr>
          <c:invertIfNegative val="0"/>
          <c:cat>
            <c:strRef>
              <c:f>'HitMiss Data'!$U$42:$U$51</c:f>
              <c:strCache>
                <c:ptCount val="10"/>
                <c:pt idx="0">
                  <c:v>Op1</c:v>
                </c:pt>
                <c:pt idx="1">
                  <c:v>Op2</c:v>
                </c:pt>
                <c:pt idx="2">
                  <c:v>Op3</c:v>
                </c:pt>
                <c:pt idx="3">
                  <c:v>Op4</c:v>
                </c:pt>
                <c:pt idx="4">
                  <c:v>Op5</c:v>
                </c:pt>
                <c:pt idx="5">
                  <c:v>Op6</c:v>
                </c:pt>
                <c:pt idx="6">
                  <c:v>Op7</c:v>
                </c:pt>
                <c:pt idx="7">
                  <c:v>Op8</c:v>
                </c:pt>
                <c:pt idx="8">
                  <c:v>Op9</c:v>
                </c:pt>
                <c:pt idx="9">
                  <c:v>Op10</c:v>
                </c:pt>
              </c:strCache>
            </c:strRef>
          </c:cat>
          <c:val>
            <c:numRef>
              <c:f>'HitMiss Data'!$V$42:$V$51</c:f>
              <c:numCache>
                <c:formatCode>General</c:formatCode>
                <c:ptCount val="10"/>
                <c:pt idx="0">
                  <c:v>7</c:v>
                </c:pt>
                <c:pt idx="1">
                  <c:v>9</c:v>
                </c:pt>
                <c:pt idx="2">
                  <c:v>10</c:v>
                </c:pt>
                <c:pt idx="3">
                  <c:v>5</c:v>
                </c:pt>
                <c:pt idx="4">
                  <c:v>15</c:v>
                </c:pt>
                <c:pt idx="5">
                  <c:v>17</c:v>
                </c:pt>
                <c:pt idx="6">
                  <c:v>19</c:v>
                </c:pt>
                <c:pt idx="7">
                  <c:v>17</c:v>
                </c:pt>
                <c:pt idx="8">
                  <c:v>12</c:v>
                </c:pt>
                <c:pt idx="9">
                  <c:v>8</c:v>
                </c:pt>
              </c:numCache>
            </c:numRef>
          </c:val>
          <c:extLst>
            <c:ext xmlns:c16="http://schemas.microsoft.com/office/drawing/2014/chart" uri="{C3380CC4-5D6E-409C-BE32-E72D297353CC}">
              <c16:uniqueId val="{00000000-C233-480A-A750-F71DD8C47559}"/>
            </c:ext>
          </c:extLst>
        </c:ser>
        <c:dLbls>
          <c:showLegendKey val="0"/>
          <c:showVal val="0"/>
          <c:showCatName val="0"/>
          <c:showSerName val="0"/>
          <c:showPercent val="0"/>
          <c:showBubbleSize val="0"/>
        </c:dLbls>
        <c:gapWidth val="150"/>
        <c:overlap val="100"/>
        <c:axId val="677592848"/>
        <c:axId val="677593504"/>
      </c:barChart>
      <c:catAx>
        <c:axId val="67759284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Operator number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7593504"/>
        <c:crosses val="autoZero"/>
        <c:auto val="1"/>
        <c:lblAlgn val="ctr"/>
        <c:lblOffset val="100"/>
        <c:noMultiLvlLbl val="0"/>
      </c:catAx>
      <c:valAx>
        <c:axId val="6775935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hits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7592848"/>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Mean Hits per Op</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'HitMiss Data'!$BE$23:$BE$32</c:f>
              <c:strCache>
                <c:ptCount val="10"/>
                <c:pt idx="0">
                  <c:v>Op1</c:v>
                </c:pt>
                <c:pt idx="1">
                  <c:v>Op2</c:v>
                </c:pt>
                <c:pt idx="2">
                  <c:v>Op3</c:v>
                </c:pt>
                <c:pt idx="3">
                  <c:v>Op4</c:v>
                </c:pt>
                <c:pt idx="4">
                  <c:v>Op5</c:v>
                </c:pt>
                <c:pt idx="5">
                  <c:v>Op6</c:v>
                </c:pt>
                <c:pt idx="6">
                  <c:v>Op7</c:v>
                </c:pt>
                <c:pt idx="7">
                  <c:v>Op8</c:v>
                </c:pt>
                <c:pt idx="8">
                  <c:v>Op9</c:v>
                </c:pt>
                <c:pt idx="9">
                  <c:v>Op10</c:v>
                </c:pt>
              </c:strCache>
            </c:strRef>
          </c:cat>
          <c:val>
            <c:numRef>
              <c:f>'HitMiss Data'!$BF$23:$BF$32</c:f>
              <c:numCache>
                <c:formatCode>General</c:formatCode>
                <c:ptCount val="10"/>
                <c:pt idx="0">
                  <c:v>0.25</c:v>
                </c:pt>
                <c:pt idx="1">
                  <c:v>0.32142857142857145</c:v>
                </c:pt>
                <c:pt idx="2">
                  <c:v>0.35714285714285715</c:v>
                </c:pt>
                <c:pt idx="3">
                  <c:v>0.17857142857142858</c:v>
                </c:pt>
                <c:pt idx="4">
                  <c:v>0.5357142857142857</c:v>
                </c:pt>
                <c:pt idx="5">
                  <c:v>0.6071428571428571</c:v>
                </c:pt>
                <c:pt idx="6">
                  <c:v>0.6785714285714286</c:v>
                </c:pt>
                <c:pt idx="7">
                  <c:v>0.6071428571428571</c:v>
                </c:pt>
                <c:pt idx="8">
                  <c:v>0.42857142857142855</c:v>
                </c:pt>
                <c:pt idx="9">
                  <c:v>0.2857142857142857</c:v>
                </c:pt>
              </c:numCache>
            </c:numRef>
          </c:val>
          <c:extLst>
            <c:ext xmlns:c16="http://schemas.microsoft.com/office/drawing/2014/chart" uri="{C3380CC4-5D6E-409C-BE32-E72D297353CC}">
              <c16:uniqueId val="{00000000-98A9-405A-BFA8-A5BD9CD91CBF}"/>
            </c:ext>
          </c:extLst>
        </c:ser>
        <c:dLbls>
          <c:showLegendKey val="0"/>
          <c:showVal val="0"/>
          <c:showCatName val="0"/>
          <c:showSerName val="0"/>
          <c:showPercent val="0"/>
          <c:showBubbleSize val="0"/>
        </c:dLbls>
        <c:gapWidth val="219"/>
        <c:overlap val="-27"/>
        <c:axId val="460491480"/>
        <c:axId val="460493448"/>
      </c:barChart>
      <c:catAx>
        <c:axId val="4604914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Operator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0493448"/>
        <c:crosses val="autoZero"/>
        <c:auto val="1"/>
        <c:lblAlgn val="ctr"/>
        <c:lblOffset val="100"/>
        <c:noMultiLvlLbl val="0"/>
      </c:catAx>
      <c:valAx>
        <c:axId val="4604934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a:t>
                </a:r>
                <a:r>
                  <a:rPr lang="en-GB" baseline="0"/>
                  <a:t> hits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04914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POD Curves</a:t>
            </a:r>
            <a:r>
              <a:rPr lang="en-GB" baseline="0"/>
              <a:t> for oporators 4 and 7</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Operator 4</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'HitMiss Data'!$Z$67:$Z$94</c:f>
              <c:numCache>
                <c:formatCode>General</c:formatCode>
                <c:ptCount val="28"/>
                <c:pt idx="0">
                  <c:v>0.1</c:v>
                </c:pt>
                <c:pt idx="1">
                  <c:v>0.2</c:v>
                </c:pt>
                <c:pt idx="2">
                  <c:v>0.3</c:v>
                </c:pt>
                <c:pt idx="3">
                  <c:v>0.4</c:v>
                </c:pt>
                <c:pt idx="4">
                  <c:v>0.5</c:v>
                </c:pt>
                <c:pt idx="5">
                  <c:v>0.6</c:v>
                </c:pt>
                <c:pt idx="6">
                  <c:v>0.7</c:v>
                </c:pt>
                <c:pt idx="7">
                  <c:v>0.8</c:v>
                </c:pt>
                <c:pt idx="8">
                  <c:v>0.9</c:v>
                </c:pt>
                <c:pt idx="9">
                  <c:v>1</c:v>
                </c:pt>
                <c:pt idx="10">
                  <c:v>1.1000000000000001</c:v>
                </c:pt>
                <c:pt idx="11">
                  <c:v>1.2</c:v>
                </c:pt>
                <c:pt idx="12">
                  <c:v>1.3</c:v>
                </c:pt>
                <c:pt idx="13">
                  <c:v>1.4</c:v>
                </c:pt>
                <c:pt idx="14">
                  <c:v>1.5</c:v>
                </c:pt>
                <c:pt idx="15">
                  <c:v>1.6</c:v>
                </c:pt>
                <c:pt idx="16">
                  <c:v>1.7</c:v>
                </c:pt>
                <c:pt idx="17">
                  <c:v>1.7</c:v>
                </c:pt>
                <c:pt idx="18">
                  <c:v>1.8</c:v>
                </c:pt>
                <c:pt idx="19">
                  <c:v>1.9</c:v>
                </c:pt>
                <c:pt idx="20">
                  <c:v>2</c:v>
                </c:pt>
                <c:pt idx="21">
                  <c:v>2</c:v>
                </c:pt>
                <c:pt idx="22">
                  <c:v>2.1</c:v>
                </c:pt>
                <c:pt idx="23">
                  <c:v>2.2000000000000002</c:v>
                </c:pt>
                <c:pt idx="24">
                  <c:v>2.25</c:v>
                </c:pt>
                <c:pt idx="25">
                  <c:v>2.2999999999999998</c:v>
                </c:pt>
                <c:pt idx="26">
                  <c:v>2.4</c:v>
                </c:pt>
                <c:pt idx="27">
                  <c:v>3</c:v>
                </c:pt>
              </c:numCache>
            </c:numRef>
          </c:xVal>
          <c:yVal>
            <c:numRef>
              <c:f>'HitMiss Data'!$AO$3:$AO$30</c:f>
              <c:numCache>
                <c:formatCode>General</c:formatCode>
                <c:ptCount val="28"/>
                <c:pt idx="0">
                  <c:v>5.1300366982141907E-5</c:v>
                </c:pt>
                <c:pt idx="1">
                  <c:v>1.2868519606081103E-3</c:v>
                </c:pt>
                <c:pt idx="2">
                  <c:v>8.4203625203265412E-3</c:v>
                </c:pt>
                <c:pt idx="3">
                  <c:v>3.1347358978687484E-2</c:v>
                </c:pt>
                <c:pt idx="4">
                  <c:v>8.3704727232601125E-2</c:v>
                </c:pt>
                <c:pt idx="5">
                  <c:v>0.17578732183612872</c:v>
                </c:pt>
                <c:pt idx="6">
                  <c:v>0.30401027429019301</c:v>
                </c:pt>
                <c:pt idx="7">
                  <c:v>0.44836390052228209</c:v>
                </c:pt>
                <c:pt idx="8">
                  <c:v>0.58430434324639136</c:v>
                </c:pt>
                <c:pt idx="9">
                  <c:v>0.69644995288947487</c:v>
                </c:pt>
                <c:pt idx="10">
                  <c:v>0.78137393772185404</c:v>
                </c:pt>
                <c:pt idx="11">
                  <c:v>0.84268445037084549</c:v>
                </c:pt>
                <c:pt idx="12">
                  <c:v>0.88600609757382864</c:v>
                </c:pt>
                <c:pt idx="13">
                  <c:v>0.91646201996578802</c:v>
                </c:pt>
                <c:pt idx="14">
                  <c:v>0.93796836693433971</c:v>
                </c:pt>
                <c:pt idx="15">
                  <c:v>0.95330105751592087</c:v>
                </c:pt>
                <c:pt idx="16">
                  <c:v>0.96436512069973179</c:v>
                </c:pt>
                <c:pt idx="17">
                  <c:v>0.96436512069973179</c:v>
                </c:pt>
                <c:pt idx="18">
                  <c:v>0.97245388730435378</c:v>
                </c:pt>
                <c:pt idx="19">
                  <c:v>0.97844594878084001</c:v>
                </c:pt>
                <c:pt idx="20">
                  <c:v>0.98294218900858854</c:v>
                </c:pt>
                <c:pt idx="21">
                  <c:v>0.98294218900858854</c:v>
                </c:pt>
                <c:pt idx="22">
                  <c:v>0.98635766984807938</c:v>
                </c:pt>
                <c:pt idx="23">
                  <c:v>0.98898241244796248</c:v>
                </c:pt>
                <c:pt idx="24">
                  <c:v>0.99006487564274726</c:v>
                </c:pt>
                <c:pt idx="25">
                  <c:v>0.99102153520228187</c:v>
                </c:pt>
                <c:pt idx="26">
                  <c:v>0.99262188451848221</c:v>
                </c:pt>
                <c:pt idx="27">
                  <c:v>0.99737373901205151</c:v>
                </c:pt>
              </c:numCache>
            </c:numRef>
          </c:yVal>
          <c:smooth val="1"/>
          <c:extLst>
            <c:ext xmlns:c16="http://schemas.microsoft.com/office/drawing/2014/chart" uri="{C3380CC4-5D6E-409C-BE32-E72D297353CC}">
              <c16:uniqueId val="{00000000-7A8F-43DB-9135-1842BFD2443A}"/>
            </c:ext>
          </c:extLst>
        </c:ser>
        <c:ser>
          <c:idx val="1"/>
          <c:order val="1"/>
          <c:tx>
            <c:v>Operator 7</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'HitMiss Data'!$Z$67:$Z$94</c:f>
              <c:numCache>
                <c:formatCode>General</c:formatCode>
                <c:ptCount val="28"/>
                <c:pt idx="0">
                  <c:v>0.1</c:v>
                </c:pt>
                <c:pt idx="1">
                  <c:v>0.2</c:v>
                </c:pt>
                <c:pt idx="2">
                  <c:v>0.3</c:v>
                </c:pt>
                <c:pt idx="3">
                  <c:v>0.4</c:v>
                </c:pt>
                <c:pt idx="4">
                  <c:v>0.5</c:v>
                </c:pt>
                <c:pt idx="5">
                  <c:v>0.6</c:v>
                </c:pt>
                <c:pt idx="6">
                  <c:v>0.7</c:v>
                </c:pt>
                <c:pt idx="7">
                  <c:v>0.8</c:v>
                </c:pt>
                <c:pt idx="8">
                  <c:v>0.9</c:v>
                </c:pt>
                <c:pt idx="9">
                  <c:v>1</c:v>
                </c:pt>
                <c:pt idx="10">
                  <c:v>1.1000000000000001</c:v>
                </c:pt>
                <c:pt idx="11">
                  <c:v>1.2</c:v>
                </c:pt>
                <c:pt idx="12">
                  <c:v>1.3</c:v>
                </c:pt>
                <c:pt idx="13">
                  <c:v>1.4</c:v>
                </c:pt>
                <c:pt idx="14">
                  <c:v>1.5</c:v>
                </c:pt>
                <c:pt idx="15">
                  <c:v>1.6</c:v>
                </c:pt>
                <c:pt idx="16">
                  <c:v>1.7</c:v>
                </c:pt>
                <c:pt idx="17">
                  <c:v>1.7</c:v>
                </c:pt>
                <c:pt idx="18">
                  <c:v>1.8</c:v>
                </c:pt>
                <c:pt idx="19">
                  <c:v>1.9</c:v>
                </c:pt>
                <c:pt idx="20">
                  <c:v>2</c:v>
                </c:pt>
                <c:pt idx="21">
                  <c:v>2</c:v>
                </c:pt>
                <c:pt idx="22">
                  <c:v>2.1</c:v>
                </c:pt>
                <c:pt idx="23">
                  <c:v>2.2000000000000002</c:v>
                </c:pt>
                <c:pt idx="24">
                  <c:v>2.25</c:v>
                </c:pt>
                <c:pt idx="25">
                  <c:v>2.2999999999999998</c:v>
                </c:pt>
                <c:pt idx="26">
                  <c:v>2.4</c:v>
                </c:pt>
                <c:pt idx="27">
                  <c:v>3</c:v>
                </c:pt>
              </c:numCache>
            </c:numRef>
          </c:xVal>
          <c:yVal>
            <c:numRef>
              <c:f>'HitMiss Data'!$S$67:$S$94</c:f>
              <c:numCache>
                <c:formatCode>General</c:formatCode>
                <c:ptCount val="28"/>
                <c:pt idx="0">
                  <c:v>2.0383377385630483E-3</c:v>
                </c:pt>
                <c:pt idx="1">
                  <c:v>2.7920104765675979E-2</c:v>
                </c:pt>
                <c:pt idx="2">
                  <c:v>0.11880987478416734</c:v>
                </c:pt>
                <c:pt idx="3">
                  <c:v>0.28769573434570889</c:v>
                </c:pt>
                <c:pt idx="4">
                  <c:v>0.48610651316324094</c:v>
                </c:pt>
                <c:pt idx="5">
                  <c:v>0.65469476796959625</c:v>
                </c:pt>
                <c:pt idx="6">
                  <c:v>0.77340391028001632</c:v>
                </c:pt>
                <c:pt idx="7">
                  <c:v>0.8502912930298776</c:v>
                </c:pt>
                <c:pt idx="8">
                  <c:v>0.89899272978413314</c:v>
                </c:pt>
                <c:pt idx="9">
                  <c:v>0.9300788373633887</c:v>
                </c:pt>
                <c:pt idx="10">
                  <c:v>0.95032914647697586</c:v>
                </c:pt>
                <c:pt idx="11">
                  <c:v>0.96384898559797261</c:v>
                </c:pt>
                <c:pt idx="12">
                  <c:v>0.97310345080470428</c:v>
                </c:pt>
                <c:pt idx="13">
                  <c:v>0.97959024901250835</c:v>
                </c:pt>
                <c:pt idx="14">
                  <c:v>0.98423764815094672</c:v>
                </c:pt>
                <c:pt idx="15">
                  <c:v>0.98763418777540479</c:v>
                </c:pt>
                <c:pt idx="16">
                  <c:v>0.99016168575060892</c:v>
                </c:pt>
                <c:pt idx="17">
                  <c:v>0.99016168575060892</c:v>
                </c:pt>
                <c:pt idx="18">
                  <c:v>0.99207339054975663</c:v>
                </c:pt>
                <c:pt idx="19">
                  <c:v>0.99354080544026879</c:v>
                </c:pt>
                <c:pt idx="20">
                  <c:v>0.99468234091732755</c:v>
                </c:pt>
                <c:pt idx="21">
                  <c:v>0.99468234091732755</c:v>
                </c:pt>
                <c:pt idx="22">
                  <c:v>0.99558122268643057</c:v>
                </c:pt>
                <c:pt idx="23">
                  <c:v>0.99629691599213499</c:v>
                </c:pt>
                <c:pt idx="24">
                  <c:v>0.99660003763539062</c:v>
                </c:pt>
                <c:pt idx="25">
                  <c:v>0.99687255698010568</c:v>
                </c:pt>
                <c:pt idx="26">
                  <c:v>0.99733987599658458</c:v>
                </c:pt>
                <c:pt idx="27">
                  <c:v>0.99886244099529842</c:v>
                </c:pt>
              </c:numCache>
            </c:numRef>
          </c:yVal>
          <c:smooth val="1"/>
          <c:extLst>
            <c:ext xmlns:c16="http://schemas.microsoft.com/office/drawing/2014/chart" uri="{C3380CC4-5D6E-409C-BE32-E72D297353CC}">
              <c16:uniqueId val="{00000001-7A8F-43DB-9135-1842BFD2443A}"/>
            </c:ext>
          </c:extLst>
        </c:ser>
        <c:dLbls>
          <c:showLegendKey val="0"/>
          <c:showVal val="0"/>
          <c:showCatName val="0"/>
          <c:showSerName val="0"/>
          <c:showPercent val="0"/>
          <c:showBubbleSize val="0"/>
        </c:dLbls>
        <c:axId val="504585352"/>
        <c:axId val="504584040"/>
      </c:scatterChart>
      <c:valAx>
        <c:axId val="5045853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Defect length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584040"/>
        <c:crosses val="autoZero"/>
        <c:crossBetween val="midCat"/>
      </c:valAx>
      <c:valAx>
        <c:axId val="5045840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Probability of detection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58535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Operator 7 and 8</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Operator 7</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'HitMiss Data'!$O$67:$O$94</c:f>
              <c:numCache>
                <c:formatCode>General</c:formatCode>
                <c:ptCount val="28"/>
                <c:pt idx="0">
                  <c:v>0.1</c:v>
                </c:pt>
                <c:pt idx="1">
                  <c:v>0.2</c:v>
                </c:pt>
                <c:pt idx="2">
                  <c:v>0.3</c:v>
                </c:pt>
                <c:pt idx="3">
                  <c:v>0.4</c:v>
                </c:pt>
                <c:pt idx="4">
                  <c:v>0.5</c:v>
                </c:pt>
                <c:pt idx="5">
                  <c:v>0.6</c:v>
                </c:pt>
                <c:pt idx="6">
                  <c:v>0.7</c:v>
                </c:pt>
                <c:pt idx="7">
                  <c:v>0.8</c:v>
                </c:pt>
                <c:pt idx="8">
                  <c:v>0.9</c:v>
                </c:pt>
                <c:pt idx="9">
                  <c:v>1</c:v>
                </c:pt>
                <c:pt idx="10">
                  <c:v>1.1000000000000001</c:v>
                </c:pt>
                <c:pt idx="11">
                  <c:v>1.2</c:v>
                </c:pt>
                <c:pt idx="12">
                  <c:v>1.3</c:v>
                </c:pt>
                <c:pt idx="13">
                  <c:v>1.4</c:v>
                </c:pt>
                <c:pt idx="14">
                  <c:v>1.5</c:v>
                </c:pt>
                <c:pt idx="15">
                  <c:v>1.6</c:v>
                </c:pt>
                <c:pt idx="16">
                  <c:v>1.7</c:v>
                </c:pt>
                <c:pt idx="17">
                  <c:v>1.7</c:v>
                </c:pt>
                <c:pt idx="18">
                  <c:v>1.8</c:v>
                </c:pt>
                <c:pt idx="19">
                  <c:v>1.9</c:v>
                </c:pt>
                <c:pt idx="20">
                  <c:v>2</c:v>
                </c:pt>
                <c:pt idx="21">
                  <c:v>2</c:v>
                </c:pt>
                <c:pt idx="22">
                  <c:v>2.1</c:v>
                </c:pt>
                <c:pt idx="23">
                  <c:v>2.2000000000000002</c:v>
                </c:pt>
                <c:pt idx="24">
                  <c:v>2.25</c:v>
                </c:pt>
                <c:pt idx="25">
                  <c:v>2.2999999999999998</c:v>
                </c:pt>
                <c:pt idx="26">
                  <c:v>2.4</c:v>
                </c:pt>
                <c:pt idx="27">
                  <c:v>3</c:v>
                </c:pt>
              </c:numCache>
            </c:numRef>
          </c:xVal>
          <c:yVal>
            <c:numRef>
              <c:f>'HitMiss Data'!$S$67:$S$94</c:f>
              <c:numCache>
                <c:formatCode>General</c:formatCode>
                <c:ptCount val="28"/>
                <c:pt idx="0">
                  <c:v>2.0383377385630483E-3</c:v>
                </c:pt>
                <c:pt idx="1">
                  <c:v>2.7920104765675979E-2</c:v>
                </c:pt>
                <c:pt idx="2">
                  <c:v>0.11880987478416734</c:v>
                </c:pt>
                <c:pt idx="3">
                  <c:v>0.28769573434570889</c:v>
                </c:pt>
                <c:pt idx="4">
                  <c:v>0.48610651316324094</c:v>
                </c:pt>
                <c:pt idx="5">
                  <c:v>0.65469476796959625</c:v>
                </c:pt>
                <c:pt idx="6">
                  <c:v>0.77340391028001632</c:v>
                </c:pt>
                <c:pt idx="7">
                  <c:v>0.8502912930298776</c:v>
                </c:pt>
                <c:pt idx="8">
                  <c:v>0.89899272978413314</c:v>
                </c:pt>
                <c:pt idx="9">
                  <c:v>0.9300788373633887</c:v>
                </c:pt>
                <c:pt idx="10">
                  <c:v>0.95032914647697586</c:v>
                </c:pt>
                <c:pt idx="11">
                  <c:v>0.96384898559797261</c:v>
                </c:pt>
                <c:pt idx="12">
                  <c:v>0.97310345080470428</c:v>
                </c:pt>
                <c:pt idx="13">
                  <c:v>0.97959024901250835</c:v>
                </c:pt>
                <c:pt idx="14">
                  <c:v>0.98423764815094672</c:v>
                </c:pt>
                <c:pt idx="15">
                  <c:v>0.98763418777540479</c:v>
                </c:pt>
                <c:pt idx="16">
                  <c:v>0.99016168575060892</c:v>
                </c:pt>
                <c:pt idx="17">
                  <c:v>0.99016168575060892</c:v>
                </c:pt>
                <c:pt idx="18">
                  <c:v>0.99207339054975663</c:v>
                </c:pt>
                <c:pt idx="19">
                  <c:v>0.99354080544026879</c:v>
                </c:pt>
                <c:pt idx="20">
                  <c:v>0.99468234091732755</c:v>
                </c:pt>
                <c:pt idx="21">
                  <c:v>0.99468234091732755</c:v>
                </c:pt>
                <c:pt idx="22">
                  <c:v>0.99558122268643057</c:v>
                </c:pt>
                <c:pt idx="23">
                  <c:v>0.99629691599213499</c:v>
                </c:pt>
                <c:pt idx="24">
                  <c:v>0.99660003763539062</c:v>
                </c:pt>
                <c:pt idx="25">
                  <c:v>0.99687255698010568</c:v>
                </c:pt>
                <c:pt idx="26">
                  <c:v>0.99733987599658458</c:v>
                </c:pt>
                <c:pt idx="27">
                  <c:v>0.99886244099529842</c:v>
                </c:pt>
              </c:numCache>
            </c:numRef>
          </c:yVal>
          <c:smooth val="1"/>
          <c:extLst>
            <c:ext xmlns:c16="http://schemas.microsoft.com/office/drawing/2014/chart" uri="{C3380CC4-5D6E-409C-BE32-E72D297353CC}">
              <c16:uniqueId val="{00000000-92C7-41EE-8F04-C874C0E3D1D0}"/>
            </c:ext>
          </c:extLst>
        </c:ser>
        <c:ser>
          <c:idx val="1"/>
          <c:order val="1"/>
          <c:tx>
            <c:strRef>
              <c:f>'HitMiss Data'!$Y$65</c:f>
              <c:strCache>
                <c:ptCount val="1"/>
                <c:pt idx="0">
                  <c:v>Operator 8</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'HitMiss Data'!$Z$67:$Z$94</c:f>
              <c:numCache>
                <c:formatCode>General</c:formatCode>
                <c:ptCount val="28"/>
                <c:pt idx="0">
                  <c:v>0.1</c:v>
                </c:pt>
                <c:pt idx="1">
                  <c:v>0.2</c:v>
                </c:pt>
                <c:pt idx="2">
                  <c:v>0.3</c:v>
                </c:pt>
                <c:pt idx="3">
                  <c:v>0.4</c:v>
                </c:pt>
                <c:pt idx="4">
                  <c:v>0.5</c:v>
                </c:pt>
                <c:pt idx="5">
                  <c:v>0.6</c:v>
                </c:pt>
                <c:pt idx="6">
                  <c:v>0.7</c:v>
                </c:pt>
                <c:pt idx="7">
                  <c:v>0.8</c:v>
                </c:pt>
                <c:pt idx="8">
                  <c:v>0.9</c:v>
                </c:pt>
                <c:pt idx="9">
                  <c:v>1</c:v>
                </c:pt>
                <c:pt idx="10">
                  <c:v>1.1000000000000001</c:v>
                </c:pt>
                <c:pt idx="11">
                  <c:v>1.2</c:v>
                </c:pt>
                <c:pt idx="12">
                  <c:v>1.3</c:v>
                </c:pt>
                <c:pt idx="13">
                  <c:v>1.4</c:v>
                </c:pt>
                <c:pt idx="14">
                  <c:v>1.5</c:v>
                </c:pt>
                <c:pt idx="15">
                  <c:v>1.6</c:v>
                </c:pt>
                <c:pt idx="16">
                  <c:v>1.7</c:v>
                </c:pt>
                <c:pt idx="17">
                  <c:v>1.7</c:v>
                </c:pt>
                <c:pt idx="18">
                  <c:v>1.8</c:v>
                </c:pt>
                <c:pt idx="19">
                  <c:v>1.9</c:v>
                </c:pt>
                <c:pt idx="20">
                  <c:v>2</c:v>
                </c:pt>
                <c:pt idx="21">
                  <c:v>2</c:v>
                </c:pt>
                <c:pt idx="22">
                  <c:v>2.1</c:v>
                </c:pt>
                <c:pt idx="23">
                  <c:v>2.2000000000000002</c:v>
                </c:pt>
                <c:pt idx="24">
                  <c:v>2.25</c:v>
                </c:pt>
                <c:pt idx="25">
                  <c:v>2.2999999999999998</c:v>
                </c:pt>
                <c:pt idx="26">
                  <c:v>2.4</c:v>
                </c:pt>
                <c:pt idx="27">
                  <c:v>3</c:v>
                </c:pt>
              </c:numCache>
            </c:numRef>
          </c:xVal>
          <c:yVal>
            <c:numRef>
              <c:f>'HitMiss Data'!$AD$67:$AD$94</c:f>
              <c:numCache>
                <c:formatCode>General</c:formatCode>
                <c:ptCount val="28"/>
                <c:pt idx="0">
                  <c:v>2.0595905161152174E-3</c:v>
                </c:pt>
                <c:pt idx="1">
                  <c:v>2.5201776733567501E-2</c:v>
                </c:pt>
                <c:pt idx="2">
                  <c:v>0.10187097985731999</c:v>
                </c:pt>
                <c:pt idx="3">
                  <c:v>0.2446328100736663</c:v>
                </c:pt>
                <c:pt idx="4">
                  <c:v>0.42222330305079858</c:v>
                </c:pt>
                <c:pt idx="5">
                  <c:v>0.58692400254937205</c:v>
                </c:pt>
                <c:pt idx="6">
                  <c:v>0.71370418369973643</c:v>
                </c:pt>
                <c:pt idx="7">
                  <c:v>0.80225128211307084</c:v>
                </c:pt>
                <c:pt idx="8">
                  <c:v>0.86175852613722148</c:v>
                </c:pt>
                <c:pt idx="9">
                  <c:v>0.90151897938587655</c:v>
                </c:pt>
                <c:pt idx="10">
                  <c:v>0.92836281477186178</c:v>
                </c:pt>
                <c:pt idx="11">
                  <c:v>0.94680527103750434</c:v>
                </c:pt>
                <c:pt idx="12">
                  <c:v>0.95973001353868626</c:v>
                </c:pt>
                <c:pt idx="13">
                  <c:v>0.96897102750171382</c:v>
                </c:pt>
                <c:pt idx="14">
                  <c:v>0.97570587491088312</c:v>
                </c:pt>
                <c:pt idx="15">
                  <c:v>0.98070252906219346</c:v>
                </c:pt>
                <c:pt idx="16">
                  <c:v>0.98447091838591727</c:v>
                </c:pt>
                <c:pt idx="17">
                  <c:v>0.98447091838591727</c:v>
                </c:pt>
                <c:pt idx="18">
                  <c:v>0.98735594559510864</c:v>
                </c:pt>
                <c:pt idx="19">
                  <c:v>0.98959514870382081</c:v>
                </c:pt>
                <c:pt idx="20">
                  <c:v>0.99135496617624874</c:v>
                </c:pt>
                <c:pt idx="21">
                  <c:v>0.99135496617624874</c:v>
                </c:pt>
                <c:pt idx="22">
                  <c:v>0.99275392388249306</c:v>
                </c:pt>
                <c:pt idx="23">
                  <c:v>0.99387771457373275</c:v>
                </c:pt>
                <c:pt idx="24">
                  <c:v>0.99435675056741757</c:v>
                </c:pt>
                <c:pt idx="25">
                  <c:v>0.99478917114144161</c:v>
                </c:pt>
                <c:pt idx="26">
                  <c:v>0.9955349708610195</c:v>
                </c:pt>
                <c:pt idx="27">
                  <c:v>0.99801628254904251</c:v>
                </c:pt>
              </c:numCache>
            </c:numRef>
          </c:yVal>
          <c:smooth val="1"/>
          <c:extLst>
            <c:ext xmlns:c16="http://schemas.microsoft.com/office/drawing/2014/chart" uri="{C3380CC4-5D6E-409C-BE32-E72D297353CC}">
              <c16:uniqueId val="{00000001-92C7-41EE-8F04-C874C0E3D1D0}"/>
            </c:ext>
          </c:extLst>
        </c:ser>
        <c:dLbls>
          <c:showLegendKey val="0"/>
          <c:showVal val="0"/>
          <c:showCatName val="0"/>
          <c:showSerName val="0"/>
          <c:showPercent val="0"/>
          <c:showBubbleSize val="0"/>
        </c:dLbls>
        <c:axId val="512765144"/>
        <c:axId val="512765800"/>
      </c:scatterChart>
      <c:valAx>
        <c:axId val="51276514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Defect length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2765800"/>
        <c:crosses val="autoZero"/>
        <c:crossBetween val="midCat"/>
      </c:valAx>
      <c:valAx>
        <c:axId val="5127658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Probability</a:t>
                </a:r>
                <a:r>
                  <a:rPr lang="en-GB" baseline="0"/>
                  <a:t> of detection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276514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Mean POD for all operators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rgbClr val="FF0000"/>
              </a:solidFill>
              <a:round/>
            </a:ln>
            <a:effectLst/>
          </c:spPr>
          <c:marker>
            <c:symbol val="circle"/>
            <c:size val="5"/>
            <c:spPr>
              <a:solidFill>
                <a:schemeClr val="accent1"/>
              </a:solidFill>
              <a:ln w="9525">
                <a:solidFill>
                  <a:srgbClr val="FF0000"/>
                </a:solidFill>
              </a:ln>
              <a:effectLst/>
            </c:spPr>
          </c:marker>
          <c:xVal>
            <c:numRef>
              <c:f>'HitMiss Data'!$AV$3:$AV$30</c:f>
              <c:numCache>
                <c:formatCode>General</c:formatCode>
                <c:ptCount val="28"/>
                <c:pt idx="0">
                  <c:v>0.1</c:v>
                </c:pt>
                <c:pt idx="1">
                  <c:v>0.2</c:v>
                </c:pt>
                <c:pt idx="2">
                  <c:v>0.3</c:v>
                </c:pt>
                <c:pt idx="3">
                  <c:v>0.4</c:v>
                </c:pt>
                <c:pt idx="4">
                  <c:v>0.5</c:v>
                </c:pt>
                <c:pt idx="5">
                  <c:v>0.6</c:v>
                </c:pt>
                <c:pt idx="6">
                  <c:v>0.7</c:v>
                </c:pt>
                <c:pt idx="7">
                  <c:v>0.8</c:v>
                </c:pt>
                <c:pt idx="8">
                  <c:v>0.9</c:v>
                </c:pt>
                <c:pt idx="9">
                  <c:v>1</c:v>
                </c:pt>
                <c:pt idx="10">
                  <c:v>1.1000000000000001</c:v>
                </c:pt>
                <c:pt idx="11">
                  <c:v>1.2</c:v>
                </c:pt>
                <c:pt idx="12">
                  <c:v>1.3</c:v>
                </c:pt>
                <c:pt idx="13">
                  <c:v>1.4</c:v>
                </c:pt>
                <c:pt idx="14">
                  <c:v>1.5</c:v>
                </c:pt>
                <c:pt idx="15">
                  <c:v>1.6</c:v>
                </c:pt>
                <c:pt idx="16">
                  <c:v>1.7</c:v>
                </c:pt>
                <c:pt idx="17">
                  <c:v>1.7</c:v>
                </c:pt>
                <c:pt idx="18">
                  <c:v>1.8</c:v>
                </c:pt>
                <c:pt idx="19">
                  <c:v>1.9</c:v>
                </c:pt>
                <c:pt idx="20">
                  <c:v>2</c:v>
                </c:pt>
                <c:pt idx="21">
                  <c:v>2</c:v>
                </c:pt>
                <c:pt idx="22">
                  <c:v>2.1</c:v>
                </c:pt>
                <c:pt idx="23">
                  <c:v>2.2000000000000002</c:v>
                </c:pt>
                <c:pt idx="24">
                  <c:v>2.25</c:v>
                </c:pt>
                <c:pt idx="25">
                  <c:v>2.2999999999999998</c:v>
                </c:pt>
                <c:pt idx="26">
                  <c:v>2.4</c:v>
                </c:pt>
                <c:pt idx="27">
                  <c:v>3</c:v>
                </c:pt>
              </c:numCache>
            </c:numRef>
          </c:xVal>
          <c:yVal>
            <c:numRef>
              <c:f>'HitMiss Data'!$BC$3:$BC$30</c:f>
              <c:numCache>
                <c:formatCode>General</c:formatCode>
                <c:ptCount val="28"/>
                <c:pt idx="0">
                  <c:v>1.1171130494952392E-3</c:v>
                </c:pt>
                <c:pt idx="1">
                  <c:v>1.3966680169300213E-2</c:v>
                </c:pt>
                <c:pt idx="2">
                  <c:v>5.8969952856149539E-2</c:v>
                </c:pt>
                <c:pt idx="3">
                  <c:v>0.14965213204611366</c:v>
                </c:pt>
                <c:pt idx="4">
                  <c:v>0.2773118334338327</c:v>
                </c:pt>
                <c:pt idx="5">
                  <c:v>0.41819800128573092</c:v>
                </c:pt>
                <c:pt idx="6">
                  <c:v>0.5509326555703884</c:v>
                </c:pt>
                <c:pt idx="7">
                  <c:v>0.66338345655572128</c:v>
                </c:pt>
                <c:pt idx="8">
                  <c:v>0.75175115597992903</c:v>
                </c:pt>
                <c:pt idx="9">
                  <c:v>0.8177465110389357</c:v>
                </c:pt>
                <c:pt idx="10">
                  <c:v>0.86560682187622751</c:v>
                </c:pt>
                <c:pt idx="11">
                  <c:v>0.89989991343546816</c:v>
                </c:pt>
                <c:pt idx="12">
                  <c:v>0.92447134278757004</c:v>
                </c:pt>
                <c:pt idx="13">
                  <c:v>0.94220618414665325</c:v>
                </c:pt>
                <c:pt idx="14">
                  <c:v>0.95515139777016023</c:v>
                </c:pt>
                <c:pt idx="15">
                  <c:v>0.96472452964763789</c:v>
                </c:pt>
                <c:pt idx="16">
                  <c:v>0.97190063902760948</c:v>
                </c:pt>
                <c:pt idx="17">
                  <c:v>0.97190063902760948</c:v>
                </c:pt>
                <c:pt idx="18">
                  <c:v>0.97735238159111604</c:v>
                </c:pt>
                <c:pt idx="19">
                  <c:v>0.98154759894545185</c:v>
                </c:pt>
                <c:pt idx="20">
                  <c:v>0.98481523307247509</c:v>
                </c:pt>
                <c:pt idx="21">
                  <c:v>0.98481523307247509</c:v>
                </c:pt>
                <c:pt idx="22">
                  <c:v>0.98738937582116892</c:v>
                </c:pt>
                <c:pt idx="23">
                  <c:v>0.98943870746902873</c:v>
                </c:pt>
                <c:pt idx="24">
                  <c:v>0.99030640684874982</c:v>
                </c:pt>
                <c:pt idx="25">
                  <c:v>0.99108628559035594</c:v>
                </c:pt>
                <c:pt idx="26">
                  <c:v>0.99242296692308374</c:v>
                </c:pt>
                <c:pt idx="27">
                  <c:v>0.99676771690672905</c:v>
                </c:pt>
              </c:numCache>
            </c:numRef>
          </c:yVal>
          <c:smooth val="0"/>
          <c:extLst>
            <c:ext xmlns:c16="http://schemas.microsoft.com/office/drawing/2014/chart" uri="{C3380CC4-5D6E-409C-BE32-E72D297353CC}">
              <c16:uniqueId val="{00000000-8D57-48D0-89BB-28BD5BFFA92C}"/>
            </c:ext>
          </c:extLst>
        </c:ser>
        <c:dLbls>
          <c:showLegendKey val="0"/>
          <c:showVal val="0"/>
          <c:showCatName val="0"/>
          <c:showSerName val="0"/>
          <c:showPercent val="0"/>
          <c:showBubbleSize val="0"/>
        </c:dLbls>
        <c:axId val="502455736"/>
        <c:axId val="502456064"/>
      </c:scatterChart>
      <c:valAx>
        <c:axId val="5024557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Defect length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2456064"/>
        <c:crosses val="autoZero"/>
        <c:crossBetween val="midCat"/>
      </c:valAx>
      <c:valAx>
        <c:axId val="5024560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POD</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245573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r>
              <a:rPr lang="en-GB"/>
              <a:t>Range of each op</a:t>
            </a:r>
          </a:p>
        </c:rich>
      </c:tx>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scatterChart>
        <c:scatterStyle val="lineMarker"/>
        <c:varyColors val="0"/>
        <c:ser>
          <c:idx val="0"/>
          <c:order val="0"/>
          <c:spPr>
            <a:ln w="28575" cap="rnd">
              <a:solidFill>
                <a:schemeClr val="lt1">
                  <a:alpha val="50000"/>
                </a:schemeClr>
              </a:solidFill>
              <a:round/>
            </a:ln>
            <a:effectLst>
              <a:outerShdw dist="25400" dir="2700000" algn="tl" rotWithShape="0">
                <a:schemeClr val="accent1"/>
              </a:outerShdw>
            </a:effectLst>
          </c:spPr>
          <c:marker>
            <c:symbol val="circle"/>
            <c:size val="6"/>
            <c:spPr>
              <a:solidFill>
                <a:schemeClr val="accent1"/>
              </a:solidFill>
              <a:ln w="22225">
                <a:solidFill>
                  <a:schemeClr val="l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1">
                          <a:lumMod val="60000"/>
                          <a:lumOff val="40000"/>
                        </a:schemeClr>
                      </a:solidFill>
                    </a:ln>
                    <a:effectLst/>
                  </c:spPr>
                </c15:leaderLines>
              </c:ext>
            </c:extLst>
          </c:dLbls>
          <c:yVal>
            <c:numRef>
              <c:f>(Sheet1!$F$26,Sheet1!$J$26,Sheet1!$N$26,Sheet1!$R$26,Sheet1!$V$26,Sheet1!$Z$26,Sheet1!$AD$26,Sheet1!$AH$26,Sheet1!$AL$26,Sheet1!$AP$26)</c:f>
              <c:numCache>
                <c:formatCode>General</c:formatCode>
                <c:ptCount val="10"/>
                <c:pt idx="0">
                  <c:v>0.85840161540699189</c:v>
                </c:pt>
                <c:pt idx="1">
                  <c:v>1.3522172268431685</c:v>
                </c:pt>
                <c:pt idx="2">
                  <c:v>1.0277186941404317</c:v>
                </c:pt>
                <c:pt idx="3">
                  <c:v>1.0620447484070754</c:v>
                </c:pt>
                <c:pt idx="4">
                  <c:v>0.92113594467452464</c:v>
                </c:pt>
                <c:pt idx="5">
                  <c:v>0.76437088977986134</c:v>
                </c:pt>
                <c:pt idx="6">
                  <c:v>1.1025667024417769</c:v>
                </c:pt>
                <c:pt idx="7">
                  <c:v>0.50866398301732285</c:v>
                </c:pt>
                <c:pt idx="8">
                  <c:v>0.82111190583547333</c:v>
                </c:pt>
                <c:pt idx="9">
                  <c:v>0.51673918999451751</c:v>
                </c:pt>
              </c:numCache>
            </c:numRef>
          </c:yVal>
          <c:smooth val="0"/>
          <c:extLst>
            <c:ext xmlns:c16="http://schemas.microsoft.com/office/drawing/2014/chart" uri="{C3380CC4-5D6E-409C-BE32-E72D297353CC}">
              <c16:uniqueId val="{00000000-3711-42E1-8487-A586046A5843}"/>
            </c:ext>
          </c:extLst>
        </c:ser>
        <c:dLbls>
          <c:dLblPos val="t"/>
          <c:showLegendKey val="0"/>
          <c:showVal val="1"/>
          <c:showCatName val="0"/>
          <c:showSerName val="0"/>
          <c:showPercent val="0"/>
          <c:showBubbleSize val="0"/>
        </c:dLbls>
        <c:axId val="580303904"/>
        <c:axId val="580308824"/>
      </c:scatterChart>
      <c:valAx>
        <c:axId val="580303904"/>
        <c:scaling>
          <c:orientation val="minMax"/>
          <c:max val="10"/>
          <c:min val="1"/>
        </c:scaling>
        <c:delete val="0"/>
        <c:axPos val="b"/>
        <c:majorGridlines>
          <c:spPr>
            <a:ln w="9525" cap="flat" cmpd="sng" algn="ctr">
              <a:solidFill>
                <a:schemeClr val="lt1">
                  <a:alpha val="2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solidFill>
                    <a:latin typeface="+mn-lt"/>
                    <a:ea typeface="+mn-ea"/>
                    <a:cs typeface="+mn-cs"/>
                  </a:defRPr>
                </a:pPr>
                <a:r>
                  <a:rPr lang="en-GB"/>
                  <a:t>Operator Number </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solidFill>
                  <a:latin typeface="+mn-lt"/>
                  <a:ea typeface="+mn-ea"/>
                  <a:cs typeface="+mn-cs"/>
                </a:defRPr>
              </a:pPr>
              <a:endParaRPr lang="en-US"/>
            </a:p>
          </c:txPr>
        </c:title>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580308824"/>
        <c:crosses val="autoZero"/>
        <c:crossBetween val="midCat"/>
        <c:majorUnit val="1"/>
        <c:minorUnit val="1"/>
      </c:valAx>
      <c:valAx>
        <c:axId val="580308824"/>
        <c:scaling>
          <c:orientation val="minMax"/>
        </c:scaling>
        <c:delete val="0"/>
        <c:axPos val="l"/>
        <c:majorGridlines>
          <c:spPr>
            <a:ln w="9525" cap="flat" cmpd="sng" algn="ctr">
              <a:solidFill>
                <a:schemeClr val="lt1">
                  <a:alpha val="2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solidFill>
                    <a:latin typeface="+mn-lt"/>
                    <a:ea typeface="+mn-ea"/>
                    <a:cs typeface="+mn-cs"/>
                  </a:defRPr>
                </a:pPr>
                <a:r>
                  <a:rPr lang="en-GB"/>
                  <a:t>Range </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580303904"/>
        <c:crosses val="autoZero"/>
        <c:crossBetween val="midCat"/>
      </c:valAx>
      <c:spPr>
        <a:noFill/>
        <a:ln>
          <a:noFill/>
        </a:ln>
        <a:effectLst/>
      </c:spPr>
    </c:plotArea>
    <c:plotVisOnly val="1"/>
    <c:dispBlanksAs val="gap"/>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US"/>
              <a:t>R-squared values for each Op</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stacked"/>
        <c:varyColors val="0"/>
        <c:ser>
          <c:idx val="0"/>
          <c:order val="0"/>
          <c:tx>
            <c:strRef>
              <c:f>Sheet1!$AZ$24</c:f>
              <c:strCache>
                <c:ptCount val="1"/>
                <c:pt idx="0">
                  <c:v>R-squared</c:v>
                </c:pt>
              </c:strCache>
            </c:strRef>
          </c:tx>
          <c:spPr>
            <a:solidFill>
              <a:schemeClr val="accent2"/>
            </a:solidFill>
            <a:ln>
              <a:noFill/>
            </a:ln>
            <a:effectLst/>
          </c:spPr>
          <c:invertIfNegative val="0"/>
          <c:cat>
            <c:strRef>
              <c:f>Sheet1!$AY$25:$AY$34</c:f>
              <c:strCache>
                <c:ptCount val="10"/>
                <c:pt idx="0">
                  <c:v>Op1</c:v>
                </c:pt>
                <c:pt idx="1">
                  <c:v>Op2</c:v>
                </c:pt>
                <c:pt idx="2">
                  <c:v>Op3</c:v>
                </c:pt>
                <c:pt idx="3">
                  <c:v>Op4</c:v>
                </c:pt>
                <c:pt idx="4">
                  <c:v>Op5</c:v>
                </c:pt>
                <c:pt idx="5">
                  <c:v>Op6</c:v>
                </c:pt>
                <c:pt idx="6">
                  <c:v>Op7</c:v>
                </c:pt>
                <c:pt idx="7">
                  <c:v>Op8</c:v>
                </c:pt>
                <c:pt idx="8">
                  <c:v>Op9</c:v>
                </c:pt>
                <c:pt idx="9">
                  <c:v>Op10</c:v>
                </c:pt>
              </c:strCache>
            </c:strRef>
          </c:cat>
          <c:val>
            <c:numRef>
              <c:f>Sheet1!$AZ$25:$AZ$34</c:f>
              <c:numCache>
                <c:formatCode>General</c:formatCode>
                <c:ptCount val="10"/>
                <c:pt idx="0">
                  <c:v>0.9556</c:v>
                </c:pt>
                <c:pt idx="1">
                  <c:v>0.91490000000000005</c:v>
                </c:pt>
                <c:pt idx="2">
                  <c:v>0.94199999999999995</c:v>
                </c:pt>
                <c:pt idx="3">
                  <c:v>0.94399999999999995</c:v>
                </c:pt>
                <c:pt idx="4">
                  <c:v>0.9476</c:v>
                </c:pt>
                <c:pt idx="5">
                  <c:v>0.96509999999999996</c:v>
                </c:pt>
                <c:pt idx="6">
                  <c:v>0.93810000000000004</c:v>
                </c:pt>
                <c:pt idx="7">
                  <c:v>0.9839</c:v>
                </c:pt>
                <c:pt idx="8">
                  <c:v>0.96640000000000004</c:v>
                </c:pt>
                <c:pt idx="9">
                  <c:v>0.99250000000000005</c:v>
                </c:pt>
              </c:numCache>
            </c:numRef>
          </c:val>
          <c:extLst>
            <c:ext xmlns:c16="http://schemas.microsoft.com/office/drawing/2014/chart" uri="{C3380CC4-5D6E-409C-BE32-E72D297353CC}">
              <c16:uniqueId val="{00000000-ED69-4612-863C-03E19EB78214}"/>
            </c:ext>
          </c:extLst>
        </c:ser>
        <c:dLbls>
          <c:showLegendKey val="0"/>
          <c:showVal val="0"/>
          <c:showCatName val="0"/>
          <c:showSerName val="0"/>
          <c:showPercent val="0"/>
          <c:showBubbleSize val="0"/>
        </c:dLbls>
        <c:gapWidth val="150"/>
        <c:overlap val="100"/>
        <c:axId val="647244280"/>
        <c:axId val="647244936"/>
      </c:barChart>
      <c:catAx>
        <c:axId val="647244280"/>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Operator number</a:t>
                </a:r>
              </a:p>
            </c:rich>
          </c:tx>
          <c:layout>
            <c:manualLayout>
              <c:xMode val="edge"/>
              <c:yMode val="edge"/>
              <c:x val="0.44361258974859547"/>
              <c:y val="0.91378966833691244"/>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647244936"/>
        <c:crosses val="autoZero"/>
        <c:auto val="1"/>
        <c:lblAlgn val="ctr"/>
        <c:lblOffset val="100"/>
        <c:noMultiLvlLbl val="0"/>
      </c:catAx>
      <c:valAx>
        <c:axId val="647244936"/>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R-squared value (%)</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2442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Op 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1"/>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Sheet1!$B$2:$B$22</c:f>
              <c:numCache>
                <c:formatCode>General</c:formatCode>
                <c:ptCount val="21"/>
                <c:pt idx="0">
                  <c:v>0.25</c:v>
                </c:pt>
                <c:pt idx="1">
                  <c:v>0.27</c:v>
                </c:pt>
                <c:pt idx="2">
                  <c:v>0.28000000000000003</c:v>
                </c:pt>
                <c:pt idx="3">
                  <c:v>0.4</c:v>
                </c:pt>
                <c:pt idx="4">
                  <c:v>0.4</c:v>
                </c:pt>
                <c:pt idx="5">
                  <c:v>0.5</c:v>
                </c:pt>
                <c:pt idx="6">
                  <c:v>0.52</c:v>
                </c:pt>
                <c:pt idx="7">
                  <c:v>0.55000000000000004</c:v>
                </c:pt>
                <c:pt idx="8">
                  <c:v>0.7</c:v>
                </c:pt>
                <c:pt idx="9">
                  <c:v>0.98</c:v>
                </c:pt>
                <c:pt idx="10">
                  <c:v>1.1200000000000001</c:v>
                </c:pt>
                <c:pt idx="11">
                  <c:v>1.1499999999999999</c:v>
                </c:pt>
                <c:pt idx="12">
                  <c:v>1.1000000000000001</c:v>
                </c:pt>
                <c:pt idx="13">
                  <c:v>1.3</c:v>
                </c:pt>
                <c:pt idx="14">
                  <c:v>1.6</c:v>
                </c:pt>
                <c:pt idx="15">
                  <c:v>1.8</c:v>
                </c:pt>
                <c:pt idx="16">
                  <c:v>2.1</c:v>
                </c:pt>
                <c:pt idx="17">
                  <c:v>2.7</c:v>
                </c:pt>
                <c:pt idx="18">
                  <c:v>4.9000000000000004</c:v>
                </c:pt>
                <c:pt idx="19">
                  <c:v>6</c:v>
                </c:pt>
                <c:pt idx="20">
                  <c:v>7.5</c:v>
                </c:pt>
              </c:numCache>
            </c:numRef>
          </c:xVal>
          <c:yVal>
            <c:numRef>
              <c:f>Sheet1!$H$2:$H$22</c:f>
              <c:numCache>
                <c:formatCode>0.000</c:formatCode>
                <c:ptCount val="21"/>
                <c:pt idx="0">
                  <c:v>0.5</c:v>
                </c:pt>
                <c:pt idx="1">
                  <c:v>1.2</c:v>
                </c:pt>
                <c:pt idx="2">
                  <c:v>1</c:v>
                </c:pt>
                <c:pt idx="3">
                  <c:v>0.5</c:v>
                </c:pt>
                <c:pt idx="4">
                  <c:v>1.2</c:v>
                </c:pt>
                <c:pt idx="5">
                  <c:v>0.9</c:v>
                </c:pt>
                <c:pt idx="6">
                  <c:v>1.5</c:v>
                </c:pt>
                <c:pt idx="7">
                  <c:v>1.2</c:v>
                </c:pt>
                <c:pt idx="8">
                  <c:v>1.5</c:v>
                </c:pt>
                <c:pt idx="9">
                  <c:v>1</c:v>
                </c:pt>
                <c:pt idx="10">
                  <c:v>0.5</c:v>
                </c:pt>
                <c:pt idx="11">
                  <c:v>1.8</c:v>
                </c:pt>
                <c:pt idx="12">
                  <c:v>2</c:v>
                </c:pt>
                <c:pt idx="13">
                  <c:v>2.1</c:v>
                </c:pt>
                <c:pt idx="14">
                  <c:v>0.8</c:v>
                </c:pt>
                <c:pt idx="15">
                  <c:v>2</c:v>
                </c:pt>
                <c:pt idx="16">
                  <c:v>1.8</c:v>
                </c:pt>
                <c:pt idx="17">
                  <c:v>3</c:v>
                </c:pt>
                <c:pt idx="18">
                  <c:v>4.5</c:v>
                </c:pt>
                <c:pt idx="19">
                  <c:v>5.5</c:v>
                </c:pt>
                <c:pt idx="20">
                  <c:v>6</c:v>
                </c:pt>
              </c:numCache>
            </c:numRef>
          </c:yVal>
          <c:smooth val="0"/>
          <c:extLst>
            <c:ext xmlns:c16="http://schemas.microsoft.com/office/drawing/2014/chart" uri="{C3380CC4-5D6E-409C-BE32-E72D297353CC}">
              <c16:uniqueId val="{00000002-4485-4493-BFB4-058942FAAF2D}"/>
            </c:ext>
          </c:extLst>
        </c:ser>
        <c:ser>
          <c:idx val="1"/>
          <c:order val="1"/>
          <c:spPr>
            <a:ln w="25400" cap="rnd">
              <a:solidFill>
                <a:srgbClr val="FFC000"/>
              </a:solidFill>
              <a:round/>
            </a:ln>
            <a:effectLst/>
          </c:spPr>
          <c:marker>
            <c:symbol val="none"/>
          </c:marker>
          <c:xVal>
            <c:numRef>
              <c:f>Sheet1!$B$2:$B$22</c:f>
              <c:numCache>
                <c:formatCode>General</c:formatCode>
                <c:ptCount val="21"/>
                <c:pt idx="0">
                  <c:v>0.25</c:v>
                </c:pt>
                <c:pt idx="1">
                  <c:v>0.27</c:v>
                </c:pt>
                <c:pt idx="2">
                  <c:v>0.28000000000000003</c:v>
                </c:pt>
                <c:pt idx="3">
                  <c:v>0.4</c:v>
                </c:pt>
                <c:pt idx="4">
                  <c:v>0.4</c:v>
                </c:pt>
                <c:pt idx="5">
                  <c:v>0.5</c:v>
                </c:pt>
                <c:pt idx="6">
                  <c:v>0.52</c:v>
                </c:pt>
                <c:pt idx="7">
                  <c:v>0.55000000000000004</c:v>
                </c:pt>
                <c:pt idx="8">
                  <c:v>0.7</c:v>
                </c:pt>
                <c:pt idx="9">
                  <c:v>0.98</c:v>
                </c:pt>
                <c:pt idx="10">
                  <c:v>1.1200000000000001</c:v>
                </c:pt>
                <c:pt idx="11">
                  <c:v>1.1499999999999999</c:v>
                </c:pt>
                <c:pt idx="12">
                  <c:v>1.1000000000000001</c:v>
                </c:pt>
                <c:pt idx="13">
                  <c:v>1.3</c:v>
                </c:pt>
                <c:pt idx="14">
                  <c:v>1.6</c:v>
                </c:pt>
                <c:pt idx="15">
                  <c:v>1.8</c:v>
                </c:pt>
                <c:pt idx="16">
                  <c:v>2.1</c:v>
                </c:pt>
                <c:pt idx="17">
                  <c:v>2.7</c:v>
                </c:pt>
                <c:pt idx="18">
                  <c:v>4.9000000000000004</c:v>
                </c:pt>
                <c:pt idx="19">
                  <c:v>6</c:v>
                </c:pt>
                <c:pt idx="20">
                  <c:v>7.5</c:v>
                </c:pt>
              </c:numCache>
            </c:numRef>
          </c:xVal>
          <c:yVal>
            <c:numRef>
              <c:f>Sheet1!$J$2:$J$22</c:f>
              <c:numCache>
                <c:formatCode>General</c:formatCode>
                <c:ptCount val="21"/>
                <c:pt idx="0">
                  <c:v>-0.50094788230630516</c:v>
                </c:pt>
                <c:pt idx="1">
                  <c:v>-0.48592188230630518</c:v>
                </c:pt>
                <c:pt idx="2">
                  <c:v>-0.47840888230630518</c:v>
                </c:pt>
                <c:pt idx="3">
                  <c:v>-0.38825288230630517</c:v>
                </c:pt>
                <c:pt idx="4">
                  <c:v>-0.38825288230630517</c:v>
                </c:pt>
                <c:pt idx="5">
                  <c:v>-0.31312288230630525</c:v>
                </c:pt>
                <c:pt idx="6">
                  <c:v>-0.29809688230630504</c:v>
                </c:pt>
                <c:pt idx="7">
                  <c:v>-0.27555788230630518</c:v>
                </c:pt>
                <c:pt idx="8">
                  <c:v>-0.16286288230630519</c:v>
                </c:pt>
                <c:pt idx="9">
                  <c:v>4.7501117693694805E-2</c:v>
                </c:pt>
                <c:pt idx="10">
                  <c:v>0.15268311769369491</c:v>
                </c:pt>
                <c:pt idx="11">
                  <c:v>0.17522211769369456</c:v>
                </c:pt>
                <c:pt idx="12">
                  <c:v>0.13765711769369471</c:v>
                </c:pt>
                <c:pt idx="13">
                  <c:v>0.28791711769369477</c:v>
                </c:pt>
                <c:pt idx="14">
                  <c:v>0.51330711769369497</c:v>
                </c:pt>
                <c:pt idx="15">
                  <c:v>0.66356711769369481</c:v>
                </c:pt>
                <c:pt idx="16">
                  <c:v>0.88895711769369479</c:v>
                </c:pt>
                <c:pt idx="17">
                  <c:v>1.3397371176936952</c:v>
                </c:pt>
                <c:pt idx="18">
                  <c:v>2.9925971176936952</c:v>
                </c:pt>
                <c:pt idx="19">
                  <c:v>3.8190271176936945</c:v>
                </c:pt>
                <c:pt idx="20">
                  <c:v>4.945977117693694</c:v>
                </c:pt>
              </c:numCache>
            </c:numRef>
          </c:yVal>
          <c:smooth val="0"/>
          <c:extLst>
            <c:ext xmlns:c16="http://schemas.microsoft.com/office/drawing/2014/chart" uri="{C3380CC4-5D6E-409C-BE32-E72D297353CC}">
              <c16:uniqueId val="{00000003-4485-4493-BFB4-058942FAAF2D}"/>
            </c:ext>
          </c:extLst>
        </c:ser>
        <c:ser>
          <c:idx val="2"/>
          <c:order val="2"/>
          <c:spPr>
            <a:ln w="25400" cap="rnd">
              <a:solidFill>
                <a:srgbClr val="FFC000"/>
              </a:solidFill>
              <a:round/>
            </a:ln>
            <a:effectLst/>
          </c:spPr>
          <c:marker>
            <c:symbol val="none"/>
          </c:marker>
          <c:xVal>
            <c:numRef>
              <c:f>Sheet1!$B$2:$B$22</c:f>
              <c:numCache>
                <c:formatCode>General</c:formatCode>
                <c:ptCount val="21"/>
                <c:pt idx="0">
                  <c:v>0.25</c:v>
                </c:pt>
                <c:pt idx="1">
                  <c:v>0.27</c:v>
                </c:pt>
                <c:pt idx="2">
                  <c:v>0.28000000000000003</c:v>
                </c:pt>
                <c:pt idx="3">
                  <c:v>0.4</c:v>
                </c:pt>
                <c:pt idx="4">
                  <c:v>0.4</c:v>
                </c:pt>
                <c:pt idx="5">
                  <c:v>0.5</c:v>
                </c:pt>
                <c:pt idx="6">
                  <c:v>0.52</c:v>
                </c:pt>
                <c:pt idx="7">
                  <c:v>0.55000000000000004</c:v>
                </c:pt>
                <c:pt idx="8">
                  <c:v>0.7</c:v>
                </c:pt>
                <c:pt idx="9">
                  <c:v>0.98</c:v>
                </c:pt>
                <c:pt idx="10">
                  <c:v>1.1200000000000001</c:v>
                </c:pt>
                <c:pt idx="11">
                  <c:v>1.1499999999999999</c:v>
                </c:pt>
                <c:pt idx="12">
                  <c:v>1.1000000000000001</c:v>
                </c:pt>
                <c:pt idx="13">
                  <c:v>1.3</c:v>
                </c:pt>
                <c:pt idx="14">
                  <c:v>1.6</c:v>
                </c:pt>
                <c:pt idx="15">
                  <c:v>1.8</c:v>
                </c:pt>
                <c:pt idx="16">
                  <c:v>2.1</c:v>
                </c:pt>
                <c:pt idx="17">
                  <c:v>2.7</c:v>
                </c:pt>
                <c:pt idx="18">
                  <c:v>4.9000000000000004</c:v>
                </c:pt>
                <c:pt idx="19">
                  <c:v>6</c:v>
                </c:pt>
                <c:pt idx="20">
                  <c:v>7.5</c:v>
                </c:pt>
              </c:numCache>
            </c:numRef>
          </c:xVal>
          <c:yVal>
            <c:numRef>
              <c:f>Sheet1!$K$2:$K$22</c:f>
              <c:numCache>
                <c:formatCode>General</c:formatCode>
                <c:ptCount val="21"/>
                <c:pt idx="0">
                  <c:v>2.1493978823063049</c:v>
                </c:pt>
                <c:pt idx="1">
                  <c:v>2.1644238823063051</c:v>
                </c:pt>
                <c:pt idx="2">
                  <c:v>2.171936882306305</c:v>
                </c:pt>
                <c:pt idx="3">
                  <c:v>2.2620928823063053</c:v>
                </c:pt>
                <c:pt idx="4">
                  <c:v>2.2620928823063053</c:v>
                </c:pt>
                <c:pt idx="5">
                  <c:v>2.337222882306305</c:v>
                </c:pt>
                <c:pt idx="6">
                  <c:v>2.3522488823063052</c:v>
                </c:pt>
                <c:pt idx="7">
                  <c:v>2.3747878823063049</c:v>
                </c:pt>
                <c:pt idx="8">
                  <c:v>2.4874828823063053</c:v>
                </c:pt>
                <c:pt idx="9">
                  <c:v>2.6978468823063051</c:v>
                </c:pt>
                <c:pt idx="10">
                  <c:v>2.8030288823063052</c:v>
                </c:pt>
                <c:pt idx="11">
                  <c:v>2.8255678823063048</c:v>
                </c:pt>
                <c:pt idx="12">
                  <c:v>2.788002882306305</c:v>
                </c:pt>
                <c:pt idx="13">
                  <c:v>2.9382628823063053</c:v>
                </c:pt>
                <c:pt idx="14">
                  <c:v>3.1636528823063053</c:v>
                </c:pt>
                <c:pt idx="15">
                  <c:v>3.3139128823063051</c:v>
                </c:pt>
                <c:pt idx="16">
                  <c:v>3.5393028823063051</c:v>
                </c:pt>
                <c:pt idx="17">
                  <c:v>3.9900828823063055</c:v>
                </c:pt>
                <c:pt idx="18">
                  <c:v>5.6429428823063059</c:v>
                </c:pt>
                <c:pt idx="19">
                  <c:v>6.4693728823063044</c:v>
                </c:pt>
                <c:pt idx="20">
                  <c:v>7.5963228823063051</c:v>
                </c:pt>
              </c:numCache>
            </c:numRef>
          </c:yVal>
          <c:smooth val="0"/>
          <c:extLst>
            <c:ext xmlns:c16="http://schemas.microsoft.com/office/drawing/2014/chart" uri="{C3380CC4-5D6E-409C-BE32-E72D297353CC}">
              <c16:uniqueId val="{00000004-4485-4493-BFB4-058942FAAF2D}"/>
            </c:ext>
          </c:extLst>
        </c:ser>
        <c:dLbls>
          <c:showLegendKey val="0"/>
          <c:showVal val="0"/>
          <c:showCatName val="0"/>
          <c:showSerName val="0"/>
          <c:showPercent val="0"/>
          <c:showBubbleSize val="0"/>
        </c:dLbls>
        <c:axId val="643695472"/>
        <c:axId val="643695800"/>
      </c:scatterChart>
      <c:valAx>
        <c:axId val="6436954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True Size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3695800"/>
        <c:crosses val="autoZero"/>
        <c:crossBetween val="midCat"/>
      </c:valAx>
      <c:valAx>
        <c:axId val="6436958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Estimated size (mm)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369547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Op 7</a:t>
            </a:r>
          </a:p>
          <a:p>
            <a:pPr>
              <a:defRPr/>
            </a:pP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Sheet1!$P$2:$P$22</c:f>
              <c:strCache>
                <c:ptCount val="21"/>
                <c:pt idx="0">
                  <c:v>0.500</c:v>
                </c:pt>
                <c:pt idx="1">
                  <c:v>1.000</c:v>
                </c:pt>
                <c:pt idx="2">
                  <c:v>0.500</c:v>
                </c:pt>
                <c:pt idx="3">
                  <c:v>1.000</c:v>
                </c:pt>
                <c:pt idx="4">
                  <c:v>1.200</c:v>
                </c:pt>
                <c:pt idx="5">
                  <c:v>0.800</c:v>
                </c:pt>
                <c:pt idx="6">
                  <c:v>1.000</c:v>
                </c:pt>
                <c:pt idx="7">
                  <c:v>1.200</c:v>
                </c:pt>
                <c:pt idx="8">
                  <c:v>1.000</c:v>
                </c:pt>
                <c:pt idx="9">
                  <c:v>1.600</c:v>
                </c:pt>
                <c:pt idx="10">
                  <c:v>1.800</c:v>
                </c:pt>
                <c:pt idx="11">
                  <c:v>1.500</c:v>
                </c:pt>
                <c:pt idx="12">
                  <c:v>1.500</c:v>
                </c:pt>
                <c:pt idx="13">
                  <c:v>2.000</c:v>
                </c:pt>
                <c:pt idx="14">
                  <c:v>1.500</c:v>
                </c:pt>
                <c:pt idx="15">
                  <c:v>3.200</c:v>
                </c:pt>
                <c:pt idx="16">
                  <c:v>3.000</c:v>
                </c:pt>
                <c:pt idx="17">
                  <c:v>3.500</c:v>
                </c:pt>
                <c:pt idx="18">
                  <c:v>4.000</c:v>
                </c:pt>
                <c:pt idx="19">
                  <c:v>5.500</c:v>
                </c:pt>
                <c:pt idx="20">
                  <c:v>7.000</c:v>
                </c:pt>
              </c:strCache>
            </c:strRef>
          </c:tx>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1"/>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Sheet1!$B$2:$B$22</c:f>
              <c:numCache>
                <c:formatCode>General</c:formatCode>
                <c:ptCount val="21"/>
                <c:pt idx="0">
                  <c:v>0.25</c:v>
                </c:pt>
                <c:pt idx="1">
                  <c:v>0.27</c:v>
                </c:pt>
                <c:pt idx="2">
                  <c:v>0.28000000000000003</c:v>
                </c:pt>
                <c:pt idx="3">
                  <c:v>0.4</c:v>
                </c:pt>
                <c:pt idx="4">
                  <c:v>0.4</c:v>
                </c:pt>
                <c:pt idx="5">
                  <c:v>0.5</c:v>
                </c:pt>
                <c:pt idx="6">
                  <c:v>0.52</c:v>
                </c:pt>
                <c:pt idx="7">
                  <c:v>0.55000000000000004</c:v>
                </c:pt>
                <c:pt idx="8">
                  <c:v>0.7</c:v>
                </c:pt>
                <c:pt idx="9">
                  <c:v>0.98</c:v>
                </c:pt>
                <c:pt idx="10">
                  <c:v>1.1200000000000001</c:v>
                </c:pt>
                <c:pt idx="11">
                  <c:v>1.1499999999999999</c:v>
                </c:pt>
                <c:pt idx="12">
                  <c:v>1.1000000000000001</c:v>
                </c:pt>
                <c:pt idx="13">
                  <c:v>1.3</c:v>
                </c:pt>
                <c:pt idx="14">
                  <c:v>1.6</c:v>
                </c:pt>
                <c:pt idx="15">
                  <c:v>1.8</c:v>
                </c:pt>
                <c:pt idx="16">
                  <c:v>2.1</c:v>
                </c:pt>
                <c:pt idx="17">
                  <c:v>2.7</c:v>
                </c:pt>
                <c:pt idx="18">
                  <c:v>4.9000000000000004</c:v>
                </c:pt>
                <c:pt idx="19">
                  <c:v>6</c:v>
                </c:pt>
                <c:pt idx="20">
                  <c:v>7.5</c:v>
                </c:pt>
              </c:numCache>
            </c:numRef>
          </c:xVal>
          <c:yVal>
            <c:numRef>
              <c:f>Sheet1!$AB$2:$AB$22</c:f>
              <c:numCache>
                <c:formatCode>0.000</c:formatCode>
                <c:ptCount val="21"/>
                <c:pt idx="0">
                  <c:v>0.5</c:v>
                </c:pt>
                <c:pt idx="1">
                  <c:v>0.5</c:v>
                </c:pt>
                <c:pt idx="2">
                  <c:v>0.5</c:v>
                </c:pt>
                <c:pt idx="3">
                  <c:v>0.6</c:v>
                </c:pt>
                <c:pt idx="4">
                  <c:v>0.2</c:v>
                </c:pt>
                <c:pt idx="5">
                  <c:v>0</c:v>
                </c:pt>
                <c:pt idx="6">
                  <c:v>1</c:v>
                </c:pt>
                <c:pt idx="7">
                  <c:v>1.3</c:v>
                </c:pt>
                <c:pt idx="8">
                  <c:v>1.6</c:v>
                </c:pt>
                <c:pt idx="9">
                  <c:v>0.5</c:v>
                </c:pt>
                <c:pt idx="10">
                  <c:v>1.8</c:v>
                </c:pt>
                <c:pt idx="11">
                  <c:v>1.8</c:v>
                </c:pt>
                <c:pt idx="12">
                  <c:v>0.5</c:v>
                </c:pt>
                <c:pt idx="13">
                  <c:v>1.7</c:v>
                </c:pt>
                <c:pt idx="14">
                  <c:v>1.2</c:v>
                </c:pt>
                <c:pt idx="15">
                  <c:v>2.2000000000000002</c:v>
                </c:pt>
                <c:pt idx="16">
                  <c:v>2</c:v>
                </c:pt>
                <c:pt idx="17">
                  <c:v>2.5</c:v>
                </c:pt>
                <c:pt idx="18">
                  <c:v>4.2</c:v>
                </c:pt>
                <c:pt idx="19">
                  <c:v>5.3</c:v>
                </c:pt>
                <c:pt idx="20">
                  <c:v>6.5</c:v>
                </c:pt>
              </c:numCache>
            </c:numRef>
          </c:yVal>
          <c:smooth val="0"/>
          <c:extLst>
            <c:ext xmlns:c16="http://schemas.microsoft.com/office/drawing/2014/chart" uri="{C3380CC4-5D6E-409C-BE32-E72D297353CC}">
              <c16:uniqueId val="{00000002-62CA-4E64-8370-9E28405DA5BE}"/>
            </c:ext>
          </c:extLst>
        </c:ser>
        <c:ser>
          <c:idx val="1"/>
          <c:order val="1"/>
          <c:spPr>
            <a:ln w="25400" cap="rnd">
              <a:solidFill>
                <a:srgbClr val="FFC000"/>
              </a:solidFill>
              <a:round/>
            </a:ln>
            <a:effectLst/>
          </c:spPr>
          <c:marker>
            <c:symbol val="none"/>
          </c:marker>
          <c:xVal>
            <c:numRef>
              <c:f>Sheet1!$B$2:$B$22</c:f>
              <c:numCache>
                <c:formatCode>General</c:formatCode>
                <c:ptCount val="21"/>
                <c:pt idx="0">
                  <c:v>0.25</c:v>
                </c:pt>
                <c:pt idx="1">
                  <c:v>0.27</c:v>
                </c:pt>
                <c:pt idx="2">
                  <c:v>0.28000000000000003</c:v>
                </c:pt>
                <c:pt idx="3">
                  <c:v>0.4</c:v>
                </c:pt>
                <c:pt idx="4">
                  <c:v>0.4</c:v>
                </c:pt>
                <c:pt idx="5">
                  <c:v>0.5</c:v>
                </c:pt>
                <c:pt idx="6">
                  <c:v>0.52</c:v>
                </c:pt>
                <c:pt idx="7">
                  <c:v>0.55000000000000004</c:v>
                </c:pt>
                <c:pt idx="8">
                  <c:v>0.7</c:v>
                </c:pt>
                <c:pt idx="9">
                  <c:v>0.98</c:v>
                </c:pt>
                <c:pt idx="10">
                  <c:v>1.1200000000000001</c:v>
                </c:pt>
                <c:pt idx="11">
                  <c:v>1.1499999999999999</c:v>
                </c:pt>
                <c:pt idx="12">
                  <c:v>1.1000000000000001</c:v>
                </c:pt>
                <c:pt idx="13">
                  <c:v>1.3</c:v>
                </c:pt>
                <c:pt idx="14">
                  <c:v>1.6</c:v>
                </c:pt>
                <c:pt idx="15">
                  <c:v>1.8</c:v>
                </c:pt>
                <c:pt idx="16">
                  <c:v>2.1</c:v>
                </c:pt>
                <c:pt idx="17">
                  <c:v>2.7</c:v>
                </c:pt>
                <c:pt idx="18">
                  <c:v>4.9000000000000004</c:v>
                </c:pt>
                <c:pt idx="19">
                  <c:v>6</c:v>
                </c:pt>
                <c:pt idx="20">
                  <c:v>7.5</c:v>
                </c:pt>
              </c:numCache>
            </c:numRef>
          </c:xVal>
          <c:yVal>
            <c:numRef>
              <c:f>Sheet1!$AD$2:$AD$22</c:f>
              <c:numCache>
                <c:formatCode>General</c:formatCode>
                <c:ptCount val="21"/>
                <c:pt idx="0">
                  <c:v>-0.55679036839294138</c:v>
                </c:pt>
                <c:pt idx="1">
                  <c:v>-0.54033236839294141</c:v>
                </c:pt>
                <c:pt idx="2">
                  <c:v>-0.53210336839294137</c:v>
                </c:pt>
                <c:pt idx="3">
                  <c:v>-0.43335536839294142</c:v>
                </c:pt>
                <c:pt idx="4">
                  <c:v>-0.43335536839294142</c:v>
                </c:pt>
                <c:pt idx="5">
                  <c:v>-0.35106536839294145</c:v>
                </c:pt>
                <c:pt idx="6">
                  <c:v>-0.33460736839294136</c:v>
                </c:pt>
                <c:pt idx="7">
                  <c:v>-0.30992036839294135</c:v>
                </c:pt>
                <c:pt idx="8">
                  <c:v>-0.1864853683929415</c:v>
                </c:pt>
                <c:pt idx="9">
                  <c:v>4.3926631607058564E-2</c:v>
                </c:pt>
                <c:pt idx="10">
                  <c:v>0.15913263160705871</c:v>
                </c:pt>
                <c:pt idx="11">
                  <c:v>0.18381963160705861</c:v>
                </c:pt>
                <c:pt idx="12">
                  <c:v>0.14267463160705862</c:v>
                </c:pt>
                <c:pt idx="13">
                  <c:v>0.30725463160705857</c:v>
                </c:pt>
                <c:pt idx="14">
                  <c:v>0.55412463160705872</c:v>
                </c:pt>
                <c:pt idx="15">
                  <c:v>0.71870463160705866</c:v>
                </c:pt>
                <c:pt idx="16">
                  <c:v>0.96557463160705859</c:v>
                </c:pt>
                <c:pt idx="17">
                  <c:v>1.4593146316070589</c:v>
                </c:pt>
                <c:pt idx="18">
                  <c:v>3.2696946316070585</c:v>
                </c:pt>
                <c:pt idx="19">
                  <c:v>4.1748846316070587</c:v>
                </c:pt>
                <c:pt idx="20">
                  <c:v>5.4092346316070579</c:v>
                </c:pt>
              </c:numCache>
            </c:numRef>
          </c:yVal>
          <c:smooth val="0"/>
          <c:extLst>
            <c:ext xmlns:c16="http://schemas.microsoft.com/office/drawing/2014/chart" uri="{C3380CC4-5D6E-409C-BE32-E72D297353CC}">
              <c16:uniqueId val="{00000003-62CA-4E64-8370-9E28405DA5BE}"/>
            </c:ext>
          </c:extLst>
        </c:ser>
        <c:ser>
          <c:idx val="2"/>
          <c:order val="2"/>
          <c:spPr>
            <a:ln w="25400" cap="rnd">
              <a:solidFill>
                <a:srgbClr val="FFC000"/>
              </a:solidFill>
              <a:round/>
            </a:ln>
            <a:effectLst/>
          </c:spPr>
          <c:marker>
            <c:symbol val="none"/>
          </c:marker>
          <c:xVal>
            <c:numRef>
              <c:f>Sheet1!$B$2:$B$22</c:f>
              <c:numCache>
                <c:formatCode>General</c:formatCode>
                <c:ptCount val="21"/>
                <c:pt idx="0">
                  <c:v>0.25</c:v>
                </c:pt>
                <c:pt idx="1">
                  <c:v>0.27</c:v>
                </c:pt>
                <c:pt idx="2">
                  <c:v>0.28000000000000003</c:v>
                </c:pt>
                <c:pt idx="3">
                  <c:v>0.4</c:v>
                </c:pt>
                <c:pt idx="4">
                  <c:v>0.4</c:v>
                </c:pt>
                <c:pt idx="5">
                  <c:v>0.5</c:v>
                </c:pt>
                <c:pt idx="6">
                  <c:v>0.52</c:v>
                </c:pt>
                <c:pt idx="7">
                  <c:v>0.55000000000000004</c:v>
                </c:pt>
                <c:pt idx="8">
                  <c:v>0.7</c:v>
                </c:pt>
                <c:pt idx="9">
                  <c:v>0.98</c:v>
                </c:pt>
                <c:pt idx="10">
                  <c:v>1.1200000000000001</c:v>
                </c:pt>
                <c:pt idx="11">
                  <c:v>1.1499999999999999</c:v>
                </c:pt>
                <c:pt idx="12">
                  <c:v>1.1000000000000001</c:v>
                </c:pt>
                <c:pt idx="13">
                  <c:v>1.3</c:v>
                </c:pt>
                <c:pt idx="14">
                  <c:v>1.6</c:v>
                </c:pt>
                <c:pt idx="15">
                  <c:v>1.8</c:v>
                </c:pt>
                <c:pt idx="16">
                  <c:v>2.1</c:v>
                </c:pt>
                <c:pt idx="17">
                  <c:v>2.7</c:v>
                </c:pt>
                <c:pt idx="18">
                  <c:v>4.9000000000000004</c:v>
                </c:pt>
                <c:pt idx="19">
                  <c:v>6</c:v>
                </c:pt>
                <c:pt idx="20">
                  <c:v>7.5</c:v>
                </c:pt>
              </c:numCache>
            </c:numRef>
          </c:xVal>
          <c:yVal>
            <c:numRef>
              <c:f>Sheet1!$AE$2:$AE$22</c:f>
              <c:numCache>
                <c:formatCode>General</c:formatCode>
                <c:ptCount val="21"/>
                <c:pt idx="0">
                  <c:v>1.6042403683929414</c:v>
                </c:pt>
                <c:pt idx="1">
                  <c:v>1.6206983683929415</c:v>
                </c:pt>
                <c:pt idx="2">
                  <c:v>1.6289273683929415</c:v>
                </c:pt>
                <c:pt idx="3">
                  <c:v>1.7276753683929413</c:v>
                </c:pt>
                <c:pt idx="4">
                  <c:v>1.7276753683929413</c:v>
                </c:pt>
                <c:pt idx="5">
                  <c:v>1.8099653683929413</c:v>
                </c:pt>
                <c:pt idx="6">
                  <c:v>1.8264233683929414</c:v>
                </c:pt>
                <c:pt idx="7">
                  <c:v>1.8511103683929413</c:v>
                </c:pt>
                <c:pt idx="8">
                  <c:v>1.9745453683929413</c:v>
                </c:pt>
                <c:pt idx="9">
                  <c:v>2.2049573683929413</c:v>
                </c:pt>
                <c:pt idx="10">
                  <c:v>2.3201633683929415</c:v>
                </c:pt>
                <c:pt idx="11">
                  <c:v>2.3448503683929411</c:v>
                </c:pt>
                <c:pt idx="12">
                  <c:v>2.3037053683929414</c:v>
                </c:pt>
                <c:pt idx="13">
                  <c:v>2.4682853683929413</c:v>
                </c:pt>
                <c:pt idx="14">
                  <c:v>2.7151553683929412</c:v>
                </c:pt>
                <c:pt idx="15">
                  <c:v>2.8797353683929412</c:v>
                </c:pt>
                <c:pt idx="16">
                  <c:v>3.1266053683929416</c:v>
                </c:pt>
                <c:pt idx="17">
                  <c:v>3.6203453683929414</c:v>
                </c:pt>
                <c:pt idx="18">
                  <c:v>5.4307253683929408</c:v>
                </c:pt>
                <c:pt idx="19">
                  <c:v>6.335915368392941</c:v>
                </c:pt>
                <c:pt idx="20">
                  <c:v>7.5702653683929402</c:v>
                </c:pt>
              </c:numCache>
            </c:numRef>
          </c:yVal>
          <c:smooth val="0"/>
          <c:extLst>
            <c:ext xmlns:c16="http://schemas.microsoft.com/office/drawing/2014/chart" uri="{C3380CC4-5D6E-409C-BE32-E72D297353CC}">
              <c16:uniqueId val="{00000004-62CA-4E64-8370-9E28405DA5BE}"/>
            </c:ext>
          </c:extLst>
        </c:ser>
        <c:dLbls>
          <c:showLegendKey val="0"/>
          <c:showVal val="0"/>
          <c:showCatName val="0"/>
          <c:showSerName val="0"/>
          <c:showPercent val="0"/>
          <c:showBubbleSize val="0"/>
        </c:dLbls>
        <c:axId val="643695472"/>
        <c:axId val="643695800"/>
      </c:scatterChart>
      <c:valAx>
        <c:axId val="6436954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True Size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3695800"/>
        <c:crosses val="autoZero"/>
        <c:crossBetween val="midCat"/>
      </c:valAx>
      <c:valAx>
        <c:axId val="6436958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Estimated size (mm)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369547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Op 8</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Sheet1!$P$2:$P$22</c:f>
              <c:strCache>
                <c:ptCount val="21"/>
                <c:pt idx="0">
                  <c:v>0.500</c:v>
                </c:pt>
                <c:pt idx="1">
                  <c:v>1.000</c:v>
                </c:pt>
                <c:pt idx="2">
                  <c:v>0.500</c:v>
                </c:pt>
                <c:pt idx="3">
                  <c:v>1.000</c:v>
                </c:pt>
                <c:pt idx="4">
                  <c:v>1.200</c:v>
                </c:pt>
                <c:pt idx="5">
                  <c:v>0.800</c:v>
                </c:pt>
                <c:pt idx="6">
                  <c:v>1.000</c:v>
                </c:pt>
                <c:pt idx="7">
                  <c:v>1.200</c:v>
                </c:pt>
                <c:pt idx="8">
                  <c:v>1.000</c:v>
                </c:pt>
                <c:pt idx="9">
                  <c:v>1.600</c:v>
                </c:pt>
                <c:pt idx="10">
                  <c:v>1.800</c:v>
                </c:pt>
                <c:pt idx="11">
                  <c:v>1.500</c:v>
                </c:pt>
                <c:pt idx="12">
                  <c:v>1.500</c:v>
                </c:pt>
                <c:pt idx="13">
                  <c:v>2.000</c:v>
                </c:pt>
                <c:pt idx="14">
                  <c:v>1.500</c:v>
                </c:pt>
                <c:pt idx="15">
                  <c:v>3.200</c:v>
                </c:pt>
                <c:pt idx="16">
                  <c:v>3.000</c:v>
                </c:pt>
                <c:pt idx="17">
                  <c:v>3.500</c:v>
                </c:pt>
                <c:pt idx="18">
                  <c:v>4.000</c:v>
                </c:pt>
                <c:pt idx="19">
                  <c:v>5.500</c:v>
                </c:pt>
                <c:pt idx="20">
                  <c:v>7.000</c:v>
                </c:pt>
              </c:strCache>
            </c:strRef>
          </c:tx>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1"/>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Sheet1!$B$2:$B$22</c:f>
              <c:numCache>
                <c:formatCode>General</c:formatCode>
                <c:ptCount val="21"/>
                <c:pt idx="0">
                  <c:v>0.25</c:v>
                </c:pt>
                <c:pt idx="1">
                  <c:v>0.27</c:v>
                </c:pt>
                <c:pt idx="2">
                  <c:v>0.28000000000000003</c:v>
                </c:pt>
                <c:pt idx="3">
                  <c:v>0.4</c:v>
                </c:pt>
                <c:pt idx="4">
                  <c:v>0.4</c:v>
                </c:pt>
                <c:pt idx="5">
                  <c:v>0.5</c:v>
                </c:pt>
                <c:pt idx="6">
                  <c:v>0.52</c:v>
                </c:pt>
                <c:pt idx="7">
                  <c:v>0.55000000000000004</c:v>
                </c:pt>
                <c:pt idx="8">
                  <c:v>0.7</c:v>
                </c:pt>
                <c:pt idx="9">
                  <c:v>0.98</c:v>
                </c:pt>
                <c:pt idx="10">
                  <c:v>1.1200000000000001</c:v>
                </c:pt>
                <c:pt idx="11">
                  <c:v>1.1499999999999999</c:v>
                </c:pt>
                <c:pt idx="12">
                  <c:v>1.1000000000000001</c:v>
                </c:pt>
                <c:pt idx="13">
                  <c:v>1.3</c:v>
                </c:pt>
                <c:pt idx="14">
                  <c:v>1.6</c:v>
                </c:pt>
                <c:pt idx="15">
                  <c:v>1.8</c:v>
                </c:pt>
                <c:pt idx="16">
                  <c:v>2.1</c:v>
                </c:pt>
                <c:pt idx="17">
                  <c:v>2.7</c:v>
                </c:pt>
                <c:pt idx="18">
                  <c:v>4.9000000000000004</c:v>
                </c:pt>
                <c:pt idx="19">
                  <c:v>6</c:v>
                </c:pt>
                <c:pt idx="20">
                  <c:v>7.5</c:v>
                </c:pt>
              </c:numCache>
            </c:numRef>
          </c:xVal>
          <c:yVal>
            <c:numRef>
              <c:f>Sheet1!$AF$2:$AF$22</c:f>
              <c:numCache>
                <c:formatCode>0.000</c:formatCode>
                <c:ptCount val="21"/>
                <c:pt idx="0">
                  <c:v>1</c:v>
                </c:pt>
                <c:pt idx="1">
                  <c:v>1</c:v>
                </c:pt>
                <c:pt idx="2">
                  <c:v>1</c:v>
                </c:pt>
                <c:pt idx="3">
                  <c:v>1</c:v>
                </c:pt>
                <c:pt idx="4">
                  <c:v>1</c:v>
                </c:pt>
                <c:pt idx="5">
                  <c:v>1.2</c:v>
                </c:pt>
                <c:pt idx="6">
                  <c:v>1</c:v>
                </c:pt>
                <c:pt idx="7">
                  <c:v>1</c:v>
                </c:pt>
                <c:pt idx="8">
                  <c:v>1</c:v>
                </c:pt>
                <c:pt idx="9">
                  <c:v>1</c:v>
                </c:pt>
                <c:pt idx="10">
                  <c:v>1.5</c:v>
                </c:pt>
                <c:pt idx="11">
                  <c:v>1.5</c:v>
                </c:pt>
                <c:pt idx="12">
                  <c:v>2</c:v>
                </c:pt>
                <c:pt idx="13">
                  <c:v>1.5</c:v>
                </c:pt>
                <c:pt idx="14">
                  <c:v>2</c:v>
                </c:pt>
                <c:pt idx="15">
                  <c:v>2.5</c:v>
                </c:pt>
                <c:pt idx="16">
                  <c:v>2</c:v>
                </c:pt>
                <c:pt idx="17">
                  <c:v>3.5</c:v>
                </c:pt>
                <c:pt idx="18">
                  <c:v>5.5</c:v>
                </c:pt>
                <c:pt idx="19">
                  <c:v>6.5</c:v>
                </c:pt>
                <c:pt idx="20">
                  <c:v>8</c:v>
                </c:pt>
              </c:numCache>
            </c:numRef>
          </c:yVal>
          <c:smooth val="0"/>
          <c:extLst>
            <c:ext xmlns:c16="http://schemas.microsoft.com/office/drawing/2014/chart" uri="{C3380CC4-5D6E-409C-BE32-E72D297353CC}">
              <c16:uniqueId val="{00000002-A7D8-4735-830F-86C7A82072BC}"/>
            </c:ext>
          </c:extLst>
        </c:ser>
        <c:ser>
          <c:idx val="1"/>
          <c:order val="1"/>
          <c:spPr>
            <a:ln w="25400" cap="rnd">
              <a:solidFill>
                <a:srgbClr val="FFC000"/>
              </a:solidFill>
              <a:round/>
            </a:ln>
            <a:effectLst/>
          </c:spPr>
          <c:marker>
            <c:symbol val="none"/>
          </c:marker>
          <c:xVal>
            <c:numRef>
              <c:f>Sheet1!$B$2:$B$22</c:f>
              <c:numCache>
                <c:formatCode>General</c:formatCode>
                <c:ptCount val="21"/>
                <c:pt idx="0">
                  <c:v>0.25</c:v>
                </c:pt>
                <c:pt idx="1">
                  <c:v>0.27</c:v>
                </c:pt>
                <c:pt idx="2">
                  <c:v>0.28000000000000003</c:v>
                </c:pt>
                <c:pt idx="3">
                  <c:v>0.4</c:v>
                </c:pt>
                <c:pt idx="4">
                  <c:v>0.4</c:v>
                </c:pt>
                <c:pt idx="5">
                  <c:v>0.5</c:v>
                </c:pt>
                <c:pt idx="6">
                  <c:v>0.52</c:v>
                </c:pt>
                <c:pt idx="7">
                  <c:v>0.55000000000000004</c:v>
                </c:pt>
                <c:pt idx="8">
                  <c:v>0.7</c:v>
                </c:pt>
                <c:pt idx="9">
                  <c:v>0.98</c:v>
                </c:pt>
                <c:pt idx="10">
                  <c:v>1.1200000000000001</c:v>
                </c:pt>
                <c:pt idx="11">
                  <c:v>1.1499999999999999</c:v>
                </c:pt>
                <c:pt idx="12">
                  <c:v>1.1000000000000001</c:v>
                </c:pt>
                <c:pt idx="13">
                  <c:v>1.3</c:v>
                </c:pt>
                <c:pt idx="14">
                  <c:v>1.6</c:v>
                </c:pt>
                <c:pt idx="15">
                  <c:v>1.8</c:v>
                </c:pt>
                <c:pt idx="16">
                  <c:v>2.1</c:v>
                </c:pt>
                <c:pt idx="17">
                  <c:v>2.7</c:v>
                </c:pt>
                <c:pt idx="18">
                  <c:v>4.9000000000000004</c:v>
                </c:pt>
                <c:pt idx="19">
                  <c:v>6</c:v>
                </c:pt>
                <c:pt idx="20">
                  <c:v>7.5</c:v>
                </c:pt>
              </c:numCache>
            </c:numRef>
          </c:xVal>
          <c:yVal>
            <c:numRef>
              <c:f>Sheet1!$AH$2:$AH$22</c:f>
              <c:numCache>
                <c:formatCode>General</c:formatCode>
                <c:ptCount val="21"/>
                <c:pt idx="0">
                  <c:v>0.2633342966430236</c:v>
                </c:pt>
                <c:pt idx="1">
                  <c:v>0.28322429664302357</c:v>
                </c:pt>
                <c:pt idx="2">
                  <c:v>0.29316929664302366</c:v>
                </c:pt>
                <c:pt idx="3">
                  <c:v>0.41250929664302366</c:v>
                </c:pt>
                <c:pt idx="4">
                  <c:v>0.41250929664302366</c:v>
                </c:pt>
                <c:pt idx="5">
                  <c:v>0.51195929664302375</c:v>
                </c:pt>
                <c:pt idx="6">
                  <c:v>0.53184929664302372</c:v>
                </c:pt>
                <c:pt idx="7">
                  <c:v>0.56168429664302377</c:v>
                </c:pt>
                <c:pt idx="8">
                  <c:v>0.71085929664302383</c:v>
                </c:pt>
                <c:pt idx="9">
                  <c:v>0.98931929664302376</c:v>
                </c:pt>
                <c:pt idx="10">
                  <c:v>1.1285492966430237</c:v>
                </c:pt>
                <c:pt idx="11">
                  <c:v>1.1583842966430236</c:v>
                </c:pt>
                <c:pt idx="12">
                  <c:v>1.108659296643024</c:v>
                </c:pt>
                <c:pt idx="13">
                  <c:v>1.3075592966430236</c:v>
                </c:pt>
                <c:pt idx="14">
                  <c:v>1.6059092966430237</c:v>
                </c:pt>
                <c:pt idx="15">
                  <c:v>1.8048092966430238</c:v>
                </c:pt>
                <c:pt idx="16">
                  <c:v>2.1031592966430237</c:v>
                </c:pt>
                <c:pt idx="17">
                  <c:v>2.6998592966430235</c:v>
                </c:pt>
                <c:pt idx="18">
                  <c:v>4.8877592966430248</c:v>
                </c:pt>
                <c:pt idx="19">
                  <c:v>5.9817092966430243</c:v>
                </c:pt>
                <c:pt idx="20">
                  <c:v>7.473459296643024</c:v>
                </c:pt>
              </c:numCache>
            </c:numRef>
          </c:yVal>
          <c:smooth val="0"/>
          <c:extLst>
            <c:ext xmlns:c16="http://schemas.microsoft.com/office/drawing/2014/chart" uri="{C3380CC4-5D6E-409C-BE32-E72D297353CC}">
              <c16:uniqueId val="{00000003-A7D8-4735-830F-86C7A82072BC}"/>
            </c:ext>
          </c:extLst>
        </c:ser>
        <c:ser>
          <c:idx val="2"/>
          <c:order val="2"/>
          <c:spPr>
            <a:ln w="25400" cap="rnd">
              <a:solidFill>
                <a:srgbClr val="FFC000"/>
              </a:solidFill>
              <a:round/>
            </a:ln>
            <a:effectLst/>
          </c:spPr>
          <c:marker>
            <c:symbol val="none"/>
          </c:marker>
          <c:xVal>
            <c:numRef>
              <c:f>Sheet1!$B$2:$B$22</c:f>
              <c:numCache>
                <c:formatCode>General</c:formatCode>
                <c:ptCount val="21"/>
                <c:pt idx="0">
                  <c:v>0.25</c:v>
                </c:pt>
                <c:pt idx="1">
                  <c:v>0.27</c:v>
                </c:pt>
                <c:pt idx="2">
                  <c:v>0.28000000000000003</c:v>
                </c:pt>
                <c:pt idx="3">
                  <c:v>0.4</c:v>
                </c:pt>
                <c:pt idx="4">
                  <c:v>0.4</c:v>
                </c:pt>
                <c:pt idx="5">
                  <c:v>0.5</c:v>
                </c:pt>
                <c:pt idx="6">
                  <c:v>0.52</c:v>
                </c:pt>
                <c:pt idx="7">
                  <c:v>0.55000000000000004</c:v>
                </c:pt>
                <c:pt idx="8">
                  <c:v>0.7</c:v>
                </c:pt>
                <c:pt idx="9">
                  <c:v>0.98</c:v>
                </c:pt>
                <c:pt idx="10">
                  <c:v>1.1200000000000001</c:v>
                </c:pt>
                <c:pt idx="11">
                  <c:v>1.1499999999999999</c:v>
                </c:pt>
                <c:pt idx="12">
                  <c:v>1.1000000000000001</c:v>
                </c:pt>
                <c:pt idx="13">
                  <c:v>1.3</c:v>
                </c:pt>
                <c:pt idx="14">
                  <c:v>1.6</c:v>
                </c:pt>
                <c:pt idx="15">
                  <c:v>1.8</c:v>
                </c:pt>
                <c:pt idx="16">
                  <c:v>2.1</c:v>
                </c:pt>
                <c:pt idx="17">
                  <c:v>2.7</c:v>
                </c:pt>
                <c:pt idx="18">
                  <c:v>4.9000000000000004</c:v>
                </c:pt>
                <c:pt idx="19">
                  <c:v>6</c:v>
                </c:pt>
                <c:pt idx="20">
                  <c:v>7.5</c:v>
                </c:pt>
              </c:numCache>
            </c:numRef>
          </c:xVal>
          <c:yVal>
            <c:numRef>
              <c:f>Sheet1!$AI$2:$AI$22</c:f>
              <c:numCache>
                <c:formatCode>General</c:formatCode>
                <c:ptCount val="21"/>
                <c:pt idx="0">
                  <c:v>1.2603157033569763</c:v>
                </c:pt>
                <c:pt idx="1">
                  <c:v>1.2802057033569763</c:v>
                </c:pt>
                <c:pt idx="2">
                  <c:v>1.2901507033569763</c:v>
                </c:pt>
                <c:pt idx="3">
                  <c:v>1.4094907033569763</c:v>
                </c:pt>
                <c:pt idx="4">
                  <c:v>1.4094907033569763</c:v>
                </c:pt>
                <c:pt idx="5">
                  <c:v>1.5089407033569764</c:v>
                </c:pt>
                <c:pt idx="6">
                  <c:v>1.5288307033569764</c:v>
                </c:pt>
                <c:pt idx="7">
                  <c:v>1.5586657033569764</c:v>
                </c:pt>
                <c:pt idx="8">
                  <c:v>1.7078407033569765</c:v>
                </c:pt>
                <c:pt idx="9">
                  <c:v>1.9863007033569764</c:v>
                </c:pt>
                <c:pt idx="10">
                  <c:v>2.1255307033569766</c:v>
                </c:pt>
                <c:pt idx="11">
                  <c:v>2.1553657033569764</c:v>
                </c:pt>
                <c:pt idx="12">
                  <c:v>2.1056407033569768</c:v>
                </c:pt>
                <c:pt idx="13">
                  <c:v>2.3045407033569765</c:v>
                </c:pt>
                <c:pt idx="14">
                  <c:v>2.6028907033569766</c:v>
                </c:pt>
                <c:pt idx="15">
                  <c:v>2.8017907033569767</c:v>
                </c:pt>
                <c:pt idx="16">
                  <c:v>3.1001407033569768</c:v>
                </c:pt>
                <c:pt idx="17">
                  <c:v>3.6968407033569766</c:v>
                </c:pt>
                <c:pt idx="18">
                  <c:v>5.8847407033569779</c:v>
                </c:pt>
                <c:pt idx="19">
                  <c:v>6.9786907033569774</c:v>
                </c:pt>
                <c:pt idx="20">
                  <c:v>8.4704407033569762</c:v>
                </c:pt>
              </c:numCache>
            </c:numRef>
          </c:yVal>
          <c:smooth val="0"/>
          <c:extLst>
            <c:ext xmlns:c16="http://schemas.microsoft.com/office/drawing/2014/chart" uri="{C3380CC4-5D6E-409C-BE32-E72D297353CC}">
              <c16:uniqueId val="{00000004-A7D8-4735-830F-86C7A82072BC}"/>
            </c:ext>
          </c:extLst>
        </c:ser>
        <c:dLbls>
          <c:showLegendKey val="0"/>
          <c:showVal val="0"/>
          <c:showCatName val="0"/>
          <c:showSerName val="0"/>
          <c:showPercent val="0"/>
          <c:showBubbleSize val="0"/>
        </c:dLbls>
        <c:axId val="643695472"/>
        <c:axId val="643695800"/>
      </c:scatterChart>
      <c:valAx>
        <c:axId val="6436954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True Size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3695800"/>
        <c:crosses val="autoZero"/>
        <c:crossBetween val="midCat"/>
      </c:valAx>
      <c:valAx>
        <c:axId val="6436958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Estimated size (mm)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369547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Op 10</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Sheet1!$P$2:$P$22</c:f>
              <c:strCache>
                <c:ptCount val="21"/>
                <c:pt idx="0">
                  <c:v>0.500</c:v>
                </c:pt>
                <c:pt idx="1">
                  <c:v>1.000</c:v>
                </c:pt>
                <c:pt idx="2">
                  <c:v>0.500</c:v>
                </c:pt>
                <c:pt idx="3">
                  <c:v>1.000</c:v>
                </c:pt>
                <c:pt idx="4">
                  <c:v>1.200</c:v>
                </c:pt>
                <c:pt idx="5">
                  <c:v>0.800</c:v>
                </c:pt>
                <c:pt idx="6">
                  <c:v>1.000</c:v>
                </c:pt>
                <c:pt idx="7">
                  <c:v>1.200</c:v>
                </c:pt>
                <c:pt idx="8">
                  <c:v>1.000</c:v>
                </c:pt>
                <c:pt idx="9">
                  <c:v>1.600</c:v>
                </c:pt>
                <c:pt idx="10">
                  <c:v>1.800</c:v>
                </c:pt>
                <c:pt idx="11">
                  <c:v>1.500</c:v>
                </c:pt>
                <c:pt idx="12">
                  <c:v>1.500</c:v>
                </c:pt>
                <c:pt idx="13">
                  <c:v>2.000</c:v>
                </c:pt>
                <c:pt idx="14">
                  <c:v>1.500</c:v>
                </c:pt>
                <c:pt idx="15">
                  <c:v>3.200</c:v>
                </c:pt>
                <c:pt idx="16">
                  <c:v>3.000</c:v>
                </c:pt>
                <c:pt idx="17">
                  <c:v>3.500</c:v>
                </c:pt>
                <c:pt idx="18">
                  <c:v>4.000</c:v>
                </c:pt>
                <c:pt idx="19">
                  <c:v>5.500</c:v>
                </c:pt>
                <c:pt idx="20">
                  <c:v>7.000</c:v>
                </c:pt>
              </c:strCache>
            </c:strRef>
          </c:tx>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1"/>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Sheet1!$B$2:$B$22</c:f>
              <c:numCache>
                <c:formatCode>General</c:formatCode>
                <c:ptCount val="21"/>
                <c:pt idx="0">
                  <c:v>0.25</c:v>
                </c:pt>
                <c:pt idx="1">
                  <c:v>0.27</c:v>
                </c:pt>
                <c:pt idx="2">
                  <c:v>0.28000000000000003</c:v>
                </c:pt>
                <c:pt idx="3">
                  <c:v>0.4</c:v>
                </c:pt>
                <c:pt idx="4">
                  <c:v>0.4</c:v>
                </c:pt>
                <c:pt idx="5">
                  <c:v>0.5</c:v>
                </c:pt>
                <c:pt idx="6">
                  <c:v>0.52</c:v>
                </c:pt>
                <c:pt idx="7">
                  <c:v>0.55000000000000004</c:v>
                </c:pt>
                <c:pt idx="8">
                  <c:v>0.7</c:v>
                </c:pt>
                <c:pt idx="9">
                  <c:v>0.98</c:v>
                </c:pt>
                <c:pt idx="10">
                  <c:v>1.1200000000000001</c:v>
                </c:pt>
                <c:pt idx="11">
                  <c:v>1.1499999999999999</c:v>
                </c:pt>
                <c:pt idx="12">
                  <c:v>1.1000000000000001</c:v>
                </c:pt>
                <c:pt idx="13">
                  <c:v>1.3</c:v>
                </c:pt>
                <c:pt idx="14">
                  <c:v>1.6</c:v>
                </c:pt>
                <c:pt idx="15">
                  <c:v>1.8</c:v>
                </c:pt>
                <c:pt idx="16">
                  <c:v>2.1</c:v>
                </c:pt>
                <c:pt idx="17">
                  <c:v>2.7</c:v>
                </c:pt>
                <c:pt idx="18">
                  <c:v>4.9000000000000004</c:v>
                </c:pt>
                <c:pt idx="19">
                  <c:v>6</c:v>
                </c:pt>
                <c:pt idx="20">
                  <c:v>7.5</c:v>
                </c:pt>
              </c:numCache>
            </c:numRef>
          </c:xVal>
          <c:yVal>
            <c:numRef>
              <c:f>Sheet1!$AN$2:$AN$22</c:f>
              <c:numCache>
                <c:formatCode>0.000</c:formatCode>
                <c:ptCount val="21"/>
                <c:pt idx="0">
                  <c:v>0.495</c:v>
                </c:pt>
                <c:pt idx="1">
                  <c:v>0.72699999999999998</c:v>
                </c:pt>
                <c:pt idx="2">
                  <c:v>0.75800000000000001</c:v>
                </c:pt>
                <c:pt idx="3">
                  <c:v>0.90999999999999992</c:v>
                </c:pt>
                <c:pt idx="4">
                  <c:v>0.97999999999999987</c:v>
                </c:pt>
                <c:pt idx="5">
                  <c:v>0.78999999999999992</c:v>
                </c:pt>
                <c:pt idx="6">
                  <c:v>1.012</c:v>
                </c:pt>
                <c:pt idx="7">
                  <c:v>0.95500000000000007</c:v>
                </c:pt>
                <c:pt idx="8">
                  <c:v>1.35</c:v>
                </c:pt>
                <c:pt idx="9">
                  <c:v>1.3080000000000003</c:v>
                </c:pt>
                <c:pt idx="10">
                  <c:v>1.3720000000000001</c:v>
                </c:pt>
                <c:pt idx="11">
                  <c:v>1.5550000000000002</c:v>
                </c:pt>
                <c:pt idx="12">
                  <c:v>1.6</c:v>
                </c:pt>
                <c:pt idx="13">
                  <c:v>1.73</c:v>
                </c:pt>
                <c:pt idx="14">
                  <c:v>1.5599999999999998</c:v>
                </c:pt>
                <c:pt idx="15">
                  <c:v>2.1399999999999997</c:v>
                </c:pt>
                <c:pt idx="16">
                  <c:v>2.4899999999999998</c:v>
                </c:pt>
                <c:pt idx="17">
                  <c:v>2.9699999999999998</c:v>
                </c:pt>
                <c:pt idx="18">
                  <c:v>4.87</c:v>
                </c:pt>
                <c:pt idx="19">
                  <c:v>6.17</c:v>
                </c:pt>
                <c:pt idx="20">
                  <c:v>6.9850000000000012</c:v>
                </c:pt>
              </c:numCache>
            </c:numRef>
          </c:yVal>
          <c:smooth val="0"/>
          <c:extLst>
            <c:ext xmlns:c16="http://schemas.microsoft.com/office/drawing/2014/chart" uri="{C3380CC4-5D6E-409C-BE32-E72D297353CC}">
              <c16:uniqueId val="{00000002-0BFE-460D-B3A5-86F490C6AC0D}"/>
            </c:ext>
          </c:extLst>
        </c:ser>
        <c:ser>
          <c:idx val="1"/>
          <c:order val="1"/>
          <c:spPr>
            <a:ln w="25400" cap="rnd">
              <a:solidFill>
                <a:srgbClr val="FFC000"/>
              </a:solidFill>
              <a:round/>
            </a:ln>
            <a:effectLst/>
          </c:spPr>
          <c:marker>
            <c:symbol val="none"/>
          </c:marker>
          <c:xVal>
            <c:numRef>
              <c:f>Sheet1!$B$2:$B$22</c:f>
              <c:numCache>
                <c:formatCode>General</c:formatCode>
                <c:ptCount val="21"/>
                <c:pt idx="0">
                  <c:v>0.25</c:v>
                </c:pt>
                <c:pt idx="1">
                  <c:v>0.27</c:v>
                </c:pt>
                <c:pt idx="2">
                  <c:v>0.28000000000000003</c:v>
                </c:pt>
                <c:pt idx="3">
                  <c:v>0.4</c:v>
                </c:pt>
                <c:pt idx="4">
                  <c:v>0.4</c:v>
                </c:pt>
                <c:pt idx="5">
                  <c:v>0.5</c:v>
                </c:pt>
                <c:pt idx="6">
                  <c:v>0.52</c:v>
                </c:pt>
                <c:pt idx="7">
                  <c:v>0.55000000000000004</c:v>
                </c:pt>
                <c:pt idx="8">
                  <c:v>0.7</c:v>
                </c:pt>
                <c:pt idx="9">
                  <c:v>0.98</c:v>
                </c:pt>
                <c:pt idx="10">
                  <c:v>1.1200000000000001</c:v>
                </c:pt>
                <c:pt idx="11">
                  <c:v>1.1499999999999999</c:v>
                </c:pt>
                <c:pt idx="12">
                  <c:v>1.1000000000000001</c:v>
                </c:pt>
                <c:pt idx="13">
                  <c:v>1.3</c:v>
                </c:pt>
                <c:pt idx="14">
                  <c:v>1.6</c:v>
                </c:pt>
                <c:pt idx="15">
                  <c:v>1.8</c:v>
                </c:pt>
                <c:pt idx="16">
                  <c:v>2.1</c:v>
                </c:pt>
                <c:pt idx="17">
                  <c:v>2.7</c:v>
                </c:pt>
                <c:pt idx="18">
                  <c:v>4.9000000000000004</c:v>
                </c:pt>
                <c:pt idx="19">
                  <c:v>6</c:v>
                </c:pt>
                <c:pt idx="20">
                  <c:v>7.5</c:v>
                </c:pt>
              </c:numCache>
            </c:numRef>
          </c:xVal>
          <c:yVal>
            <c:numRef>
              <c:f>Sheet1!$AP$2:$AP$22</c:f>
              <c:numCache>
                <c:formatCode>General</c:formatCode>
                <c:ptCount val="21"/>
                <c:pt idx="0">
                  <c:v>0.20989559380537282</c:v>
                </c:pt>
                <c:pt idx="1">
                  <c:v>0.22783159380537288</c:v>
                </c:pt>
                <c:pt idx="2">
                  <c:v>0.23679959380537285</c:v>
                </c:pt>
                <c:pt idx="3">
                  <c:v>0.3444155938053729</c:v>
                </c:pt>
                <c:pt idx="4">
                  <c:v>0.3444155938053729</c:v>
                </c:pt>
                <c:pt idx="5">
                  <c:v>0.43409559380537288</c:v>
                </c:pt>
                <c:pt idx="6">
                  <c:v>0.45203159380537294</c:v>
                </c:pt>
                <c:pt idx="7">
                  <c:v>0.47893559380537298</c:v>
                </c:pt>
                <c:pt idx="8">
                  <c:v>0.61345559380537296</c:v>
                </c:pt>
                <c:pt idx="9">
                  <c:v>0.86455959380537273</c:v>
                </c:pt>
                <c:pt idx="10">
                  <c:v>0.99011159380537306</c:v>
                </c:pt>
                <c:pt idx="11">
                  <c:v>1.0170155938053729</c:v>
                </c:pt>
                <c:pt idx="12">
                  <c:v>0.97217559380537288</c:v>
                </c:pt>
                <c:pt idx="13">
                  <c:v>1.1515355938053728</c:v>
                </c:pt>
                <c:pt idx="14">
                  <c:v>1.420575593805373</c:v>
                </c:pt>
                <c:pt idx="15">
                  <c:v>1.5999355938053732</c:v>
                </c:pt>
                <c:pt idx="16">
                  <c:v>1.8689755938053727</c:v>
                </c:pt>
                <c:pt idx="17">
                  <c:v>2.4070555938053735</c:v>
                </c:pt>
                <c:pt idx="18">
                  <c:v>4.3800155938053731</c:v>
                </c:pt>
                <c:pt idx="19">
                  <c:v>5.3664955938053733</c:v>
                </c:pt>
                <c:pt idx="20">
                  <c:v>6.7116955938053726</c:v>
                </c:pt>
              </c:numCache>
            </c:numRef>
          </c:yVal>
          <c:smooth val="0"/>
          <c:extLst>
            <c:ext xmlns:c16="http://schemas.microsoft.com/office/drawing/2014/chart" uri="{C3380CC4-5D6E-409C-BE32-E72D297353CC}">
              <c16:uniqueId val="{00000003-0BFE-460D-B3A5-86F490C6AC0D}"/>
            </c:ext>
          </c:extLst>
        </c:ser>
        <c:ser>
          <c:idx val="2"/>
          <c:order val="2"/>
          <c:spPr>
            <a:ln w="25400" cap="rnd">
              <a:solidFill>
                <a:srgbClr val="FFC000"/>
              </a:solidFill>
              <a:round/>
            </a:ln>
            <a:effectLst/>
          </c:spPr>
          <c:marker>
            <c:symbol val="none"/>
          </c:marker>
          <c:xVal>
            <c:numRef>
              <c:f>Sheet1!$B$2:$B$22</c:f>
              <c:numCache>
                <c:formatCode>General</c:formatCode>
                <c:ptCount val="21"/>
                <c:pt idx="0">
                  <c:v>0.25</c:v>
                </c:pt>
                <c:pt idx="1">
                  <c:v>0.27</c:v>
                </c:pt>
                <c:pt idx="2">
                  <c:v>0.28000000000000003</c:v>
                </c:pt>
                <c:pt idx="3">
                  <c:v>0.4</c:v>
                </c:pt>
                <c:pt idx="4">
                  <c:v>0.4</c:v>
                </c:pt>
                <c:pt idx="5">
                  <c:v>0.5</c:v>
                </c:pt>
                <c:pt idx="6">
                  <c:v>0.52</c:v>
                </c:pt>
                <c:pt idx="7">
                  <c:v>0.55000000000000004</c:v>
                </c:pt>
                <c:pt idx="8">
                  <c:v>0.7</c:v>
                </c:pt>
                <c:pt idx="9">
                  <c:v>0.98</c:v>
                </c:pt>
                <c:pt idx="10">
                  <c:v>1.1200000000000001</c:v>
                </c:pt>
                <c:pt idx="11">
                  <c:v>1.1499999999999999</c:v>
                </c:pt>
                <c:pt idx="12">
                  <c:v>1.1000000000000001</c:v>
                </c:pt>
                <c:pt idx="13">
                  <c:v>1.3</c:v>
                </c:pt>
                <c:pt idx="14">
                  <c:v>1.6</c:v>
                </c:pt>
                <c:pt idx="15">
                  <c:v>1.8</c:v>
                </c:pt>
                <c:pt idx="16">
                  <c:v>2.1</c:v>
                </c:pt>
                <c:pt idx="17">
                  <c:v>2.7</c:v>
                </c:pt>
                <c:pt idx="18">
                  <c:v>4.9000000000000004</c:v>
                </c:pt>
                <c:pt idx="19">
                  <c:v>6</c:v>
                </c:pt>
                <c:pt idx="20">
                  <c:v>7.5</c:v>
                </c:pt>
              </c:numCache>
            </c:numRef>
          </c:xVal>
          <c:yVal>
            <c:numRef>
              <c:f>Sheet1!$AQ$2:$AQ$22</c:f>
              <c:numCache>
                <c:formatCode>General</c:formatCode>
                <c:ptCount val="21"/>
                <c:pt idx="0">
                  <c:v>1.2227044061946271</c:v>
                </c:pt>
                <c:pt idx="1">
                  <c:v>1.2406404061946272</c:v>
                </c:pt>
                <c:pt idx="2">
                  <c:v>1.2496084061946271</c:v>
                </c:pt>
                <c:pt idx="3">
                  <c:v>1.3572244061946273</c:v>
                </c:pt>
                <c:pt idx="4">
                  <c:v>1.3572244061946273</c:v>
                </c:pt>
                <c:pt idx="5">
                  <c:v>1.4469044061946272</c:v>
                </c:pt>
                <c:pt idx="6">
                  <c:v>1.4648404061946272</c:v>
                </c:pt>
                <c:pt idx="7">
                  <c:v>1.4917444061946272</c:v>
                </c:pt>
                <c:pt idx="8">
                  <c:v>1.6262644061946272</c:v>
                </c:pt>
                <c:pt idx="9">
                  <c:v>1.877368406194627</c:v>
                </c:pt>
                <c:pt idx="10">
                  <c:v>2.0029204061946273</c:v>
                </c:pt>
                <c:pt idx="11">
                  <c:v>2.0298244061946269</c:v>
                </c:pt>
                <c:pt idx="12">
                  <c:v>1.9849844061946271</c:v>
                </c:pt>
                <c:pt idx="13">
                  <c:v>2.1643444061946271</c:v>
                </c:pt>
                <c:pt idx="14">
                  <c:v>2.4333844061946275</c:v>
                </c:pt>
                <c:pt idx="15">
                  <c:v>2.6127444061946274</c:v>
                </c:pt>
                <c:pt idx="16">
                  <c:v>2.8817844061946269</c:v>
                </c:pt>
                <c:pt idx="17">
                  <c:v>3.4198644061946277</c:v>
                </c:pt>
                <c:pt idx="18">
                  <c:v>5.3928244061946273</c:v>
                </c:pt>
                <c:pt idx="19">
                  <c:v>6.3793044061946276</c:v>
                </c:pt>
                <c:pt idx="20">
                  <c:v>7.7245044061946269</c:v>
                </c:pt>
              </c:numCache>
            </c:numRef>
          </c:yVal>
          <c:smooth val="0"/>
          <c:extLst>
            <c:ext xmlns:c16="http://schemas.microsoft.com/office/drawing/2014/chart" uri="{C3380CC4-5D6E-409C-BE32-E72D297353CC}">
              <c16:uniqueId val="{00000004-0BFE-460D-B3A5-86F490C6AC0D}"/>
            </c:ext>
          </c:extLst>
        </c:ser>
        <c:dLbls>
          <c:showLegendKey val="0"/>
          <c:showVal val="0"/>
          <c:showCatName val="0"/>
          <c:showSerName val="0"/>
          <c:showPercent val="0"/>
          <c:showBubbleSize val="0"/>
        </c:dLbls>
        <c:axId val="643695472"/>
        <c:axId val="643695800"/>
      </c:scatterChart>
      <c:valAx>
        <c:axId val="6436954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True Size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3695800"/>
        <c:crosses val="autoZero"/>
        <c:crossBetween val="midCat"/>
      </c:valAx>
      <c:valAx>
        <c:axId val="6436958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Estimated size (mm)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369547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Mean POS for all operators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Sheet1!$BD$2</c:f>
              <c:strCache>
                <c:ptCount val="1"/>
                <c:pt idx="0">
                  <c:v>Mean</c:v>
                </c:pt>
              </c:strCache>
            </c:strRef>
          </c:tx>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1"/>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Sheet1!$B$2:$B$22</c:f>
              <c:numCache>
                <c:formatCode>General</c:formatCode>
                <c:ptCount val="21"/>
                <c:pt idx="0">
                  <c:v>0.25</c:v>
                </c:pt>
                <c:pt idx="1">
                  <c:v>0.27</c:v>
                </c:pt>
                <c:pt idx="2">
                  <c:v>0.28000000000000003</c:v>
                </c:pt>
                <c:pt idx="3">
                  <c:v>0.4</c:v>
                </c:pt>
                <c:pt idx="4">
                  <c:v>0.4</c:v>
                </c:pt>
                <c:pt idx="5">
                  <c:v>0.5</c:v>
                </c:pt>
                <c:pt idx="6">
                  <c:v>0.52</c:v>
                </c:pt>
                <c:pt idx="7">
                  <c:v>0.55000000000000004</c:v>
                </c:pt>
                <c:pt idx="8">
                  <c:v>0.7</c:v>
                </c:pt>
                <c:pt idx="9">
                  <c:v>0.98</c:v>
                </c:pt>
                <c:pt idx="10">
                  <c:v>1.1200000000000001</c:v>
                </c:pt>
                <c:pt idx="11">
                  <c:v>1.1499999999999999</c:v>
                </c:pt>
                <c:pt idx="12">
                  <c:v>1.1000000000000001</c:v>
                </c:pt>
                <c:pt idx="13">
                  <c:v>1.3</c:v>
                </c:pt>
                <c:pt idx="14">
                  <c:v>1.6</c:v>
                </c:pt>
                <c:pt idx="15">
                  <c:v>1.8</c:v>
                </c:pt>
                <c:pt idx="16">
                  <c:v>2.1</c:v>
                </c:pt>
                <c:pt idx="17">
                  <c:v>2.7</c:v>
                </c:pt>
                <c:pt idx="18">
                  <c:v>4.9000000000000004</c:v>
                </c:pt>
                <c:pt idx="19">
                  <c:v>6</c:v>
                </c:pt>
                <c:pt idx="20">
                  <c:v>7.5</c:v>
                </c:pt>
              </c:numCache>
            </c:numRef>
          </c:xVal>
          <c:yVal>
            <c:numRef>
              <c:f>Sheet1!$BD$3:$BD$22</c:f>
              <c:numCache>
                <c:formatCode>0.000</c:formatCode>
                <c:ptCount val="20"/>
                <c:pt idx="0">
                  <c:v>0.51950000000000007</c:v>
                </c:pt>
                <c:pt idx="1">
                  <c:v>0.77270000000000005</c:v>
                </c:pt>
                <c:pt idx="2">
                  <c:v>0.80579999999999996</c:v>
                </c:pt>
                <c:pt idx="3">
                  <c:v>0.96100000000000008</c:v>
                </c:pt>
                <c:pt idx="4">
                  <c:v>1.0379999999999998</c:v>
                </c:pt>
                <c:pt idx="5">
                  <c:v>0.81899999999999995</c:v>
                </c:pt>
                <c:pt idx="6">
                  <c:v>1.0611999999999999</c:v>
                </c:pt>
                <c:pt idx="7">
                  <c:v>0.99550000000000005</c:v>
                </c:pt>
                <c:pt idx="8">
                  <c:v>1.4149999999999998</c:v>
                </c:pt>
                <c:pt idx="9">
                  <c:v>1.3408000000000002</c:v>
                </c:pt>
                <c:pt idx="10">
                  <c:v>1.3972</c:v>
                </c:pt>
                <c:pt idx="11">
                  <c:v>1.5955000000000001</c:v>
                </c:pt>
                <c:pt idx="12">
                  <c:v>1.65</c:v>
                </c:pt>
                <c:pt idx="13">
                  <c:v>1.7730000000000001</c:v>
                </c:pt>
                <c:pt idx="14">
                  <c:v>1.5560000000000003</c:v>
                </c:pt>
                <c:pt idx="15">
                  <c:v>2.1739999999999999</c:v>
                </c:pt>
                <c:pt idx="16">
                  <c:v>2.5289999999999999</c:v>
                </c:pt>
                <c:pt idx="17">
                  <c:v>2.9969999999999999</c:v>
                </c:pt>
                <c:pt idx="18">
                  <c:v>4.867</c:v>
                </c:pt>
                <c:pt idx="19">
                  <c:v>6.1870000000000003</c:v>
                </c:pt>
              </c:numCache>
            </c:numRef>
          </c:yVal>
          <c:smooth val="0"/>
          <c:extLst>
            <c:ext xmlns:c16="http://schemas.microsoft.com/office/drawing/2014/chart" uri="{C3380CC4-5D6E-409C-BE32-E72D297353CC}">
              <c16:uniqueId val="{00000001-DD5F-4CEE-A79B-E08ADA4865DF}"/>
            </c:ext>
          </c:extLst>
        </c:ser>
        <c:ser>
          <c:idx val="1"/>
          <c:order val="1"/>
          <c:tx>
            <c:strRef>
              <c:f>Sheet1!$BE$2</c:f>
              <c:strCache>
                <c:ptCount val="1"/>
                <c:pt idx="0">
                  <c:v>Mean lower</c:v>
                </c:pt>
              </c:strCache>
            </c:strRef>
          </c:tx>
          <c:spPr>
            <a:ln w="25400" cap="rnd">
              <a:solidFill>
                <a:schemeClr val="accent6">
                  <a:lumMod val="75000"/>
                </a:schemeClr>
              </a:solidFill>
              <a:round/>
            </a:ln>
            <a:effectLst/>
          </c:spPr>
          <c:marker>
            <c:symbol val="none"/>
          </c:marker>
          <c:xVal>
            <c:numRef>
              <c:f>Sheet1!$B$2:$B$22</c:f>
              <c:numCache>
                <c:formatCode>General</c:formatCode>
                <c:ptCount val="21"/>
                <c:pt idx="0">
                  <c:v>0.25</c:v>
                </c:pt>
                <c:pt idx="1">
                  <c:v>0.27</c:v>
                </c:pt>
                <c:pt idx="2">
                  <c:v>0.28000000000000003</c:v>
                </c:pt>
                <c:pt idx="3">
                  <c:v>0.4</c:v>
                </c:pt>
                <c:pt idx="4">
                  <c:v>0.4</c:v>
                </c:pt>
                <c:pt idx="5">
                  <c:v>0.5</c:v>
                </c:pt>
                <c:pt idx="6">
                  <c:v>0.52</c:v>
                </c:pt>
                <c:pt idx="7">
                  <c:v>0.55000000000000004</c:v>
                </c:pt>
                <c:pt idx="8">
                  <c:v>0.7</c:v>
                </c:pt>
                <c:pt idx="9">
                  <c:v>0.98</c:v>
                </c:pt>
                <c:pt idx="10">
                  <c:v>1.1200000000000001</c:v>
                </c:pt>
                <c:pt idx="11">
                  <c:v>1.1499999999999999</c:v>
                </c:pt>
                <c:pt idx="12">
                  <c:v>1.1000000000000001</c:v>
                </c:pt>
                <c:pt idx="13">
                  <c:v>1.3</c:v>
                </c:pt>
                <c:pt idx="14">
                  <c:v>1.6</c:v>
                </c:pt>
                <c:pt idx="15">
                  <c:v>1.8</c:v>
                </c:pt>
                <c:pt idx="16">
                  <c:v>2.1</c:v>
                </c:pt>
                <c:pt idx="17">
                  <c:v>2.7</c:v>
                </c:pt>
                <c:pt idx="18">
                  <c:v>4.9000000000000004</c:v>
                </c:pt>
                <c:pt idx="19">
                  <c:v>6</c:v>
                </c:pt>
                <c:pt idx="20">
                  <c:v>7.5</c:v>
                </c:pt>
              </c:numCache>
            </c:numRef>
          </c:xVal>
          <c:yVal>
            <c:numRef>
              <c:f>Sheet1!$BE$3:$BE$22</c:f>
              <c:numCache>
                <c:formatCode>General</c:formatCode>
                <c:ptCount val="20"/>
                <c:pt idx="0">
                  <c:v>-9.7329172873355102E-2</c:v>
                </c:pt>
                <c:pt idx="1">
                  <c:v>-7.959917287335512E-2</c:v>
                </c:pt>
                <c:pt idx="2">
                  <c:v>-7.0734172873355081E-2</c:v>
                </c:pt>
                <c:pt idx="3">
                  <c:v>3.5645827126644922E-2</c:v>
                </c:pt>
                <c:pt idx="4">
                  <c:v>3.5645827126644922E-2</c:v>
                </c:pt>
                <c:pt idx="5">
                  <c:v>0.12429582712664491</c:v>
                </c:pt>
                <c:pt idx="6">
                  <c:v>0.14202582712664494</c:v>
                </c:pt>
                <c:pt idx="7">
                  <c:v>0.16862082712664495</c:v>
                </c:pt>
                <c:pt idx="8">
                  <c:v>0.3015958271266449</c:v>
                </c:pt>
                <c:pt idx="9">
                  <c:v>0.5498158271266449</c:v>
                </c:pt>
                <c:pt idx="10">
                  <c:v>0.67392582712664484</c:v>
                </c:pt>
                <c:pt idx="11">
                  <c:v>0.70052082712664487</c:v>
                </c:pt>
                <c:pt idx="12">
                  <c:v>0.65619582712664493</c:v>
                </c:pt>
                <c:pt idx="13">
                  <c:v>0.83349582712664494</c:v>
                </c:pt>
                <c:pt idx="14">
                  <c:v>1.099445827126645</c:v>
                </c:pt>
                <c:pt idx="15">
                  <c:v>1.276745827126645</c:v>
                </c:pt>
                <c:pt idx="16">
                  <c:v>1.5426958271266447</c:v>
                </c:pt>
                <c:pt idx="17">
                  <c:v>2.0745958271266449</c:v>
                </c:pt>
                <c:pt idx="18">
                  <c:v>4.0248958271266462</c:v>
                </c:pt>
                <c:pt idx="19">
                  <c:v>5.0000458271266455</c:v>
                </c:pt>
              </c:numCache>
            </c:numRef>
          </c:yVal>
          <c:smooth val="0"/>
          <c:extLst>
            <c:ext xmlns:c16="http://schemas.microsoft.com/office/drawing/2014/chart" uri="{C3380CC4-5D6E-409C-BE32-E72D297353CC}">
              <c16:uniqueId val="{00000002-DD5F-4CEE-A79B-E08ADA4865DF}"/>
            </c:ext>
          </c:extLst>
        </c:ser>
        <c:ser>
          <c:idx val="2"/>
          <c:order val="2"/>
          <c:tx>
            <c:strRef>
              <c:f>Sheet1!$BF$2</c:f>
              <c:strCache>
                <c:ptCount val="1"/>
                <c:pt idx="0">
                  <c:v>Mean for upper</c:v>
                </c:pt>
              </c:strCache>
            </c:strRef>
          </c:tx>
          <c:spPr>
            <a:ln w="25400" cap="rnd">
              <a:solidFill>
                <a:schemeClr val="accent6">
                  <a:lumMod val="75000"/>
                </a:schemeClr>
              </a:solidFill>
              <a:round/>
            </a:ln>
            <a:effectLst/>
          </c:spPr>
          <c:marker>
            <c:symbol val="none"/>
          </c:marker>
          <c:xVal>
            <c:numRef>
              <c:f>Sheet1!$B$2:$B$22</c:f>
              <c:numCache>
                <c:formatCode>General</c:formatCode>
                <c:ptCount val="21"/>
                <c:pt idx="0">
                  <c:v>0.25</c:v>
                </c:pt>
                <c:pt idx="1">
                  <c:v>0.27</c:v>
                </c:pt>
                <c:pt idx="2">
                  <c:v>0.28000000000000003</c:v>
                </c:pt>
                <c:pt idx="3">
                  <c:v>0.4</c:v>
                </c:pt>
                <c:pt idx="4">
                  <c:v>0.4</c:v>
                </c:pt>
                <c:pt idx="5">
                  <c:v>0.5</c:v>
                </c:pt>
                <c:pt idx="6">
                  <c:v>0.52</c:v>
                </c:pt>
                <c:pt idx="7">
                  <c:v>0.55000000000000004</c:v>
                </c:pt>
                <c:pt idx="8">
                  <c:v>0.7</c:v>
                </c:pt>
                <c:pt idx="9">
                  <c:v>0.98</c:v>
                </c:pt>
                <c:pt idx="10">
                  <c:v>1.1200000000000001</c:v>
                </c:pt>
                <c:pt idx="11">
                  <c:v>1.1499999999999999</c:v>
                </c:pt>
                <c:pt idx="12">
                  <c:v>1.1000000000000001</c:v>
                </c:pt>
                <c:pt idx="13">
                  <c:v>1.3</c:v>
                </c:pt>
                <c:pt idx="14">
                  <c:v>1.6</c:v>
                </c:pt>
                <c:pt idx="15">
                  <c:v>1.8</c:v>
                </c:pt>
                <c:pt idx="16">
                  <c:v>2.1</c:v>
                </c:pt>
                <c:pt idx="17">
                  <c:v>2.7</c:v>
                </c:pt>
                <c:pt idx="18">
                  <c:v>4.9000000000000004</c:v>
                </c:pt>
                <c:pt idx="19">
                  <c:v>6</c:v>
                </c:pt>
                <c:pt idx="20">
                  <c:v>7.5</c:v>
                </c:pt>
              </c:numCache>
            </c:numRef>
          </c:xVal>
          <c:yVal>
            <c:numRef>
              <c:f>Sheet1!$BF$3:$BF$22</c:f>
              <c:numCache>
                <c:formatCode>General</c:formatCode>
                <c:ptCount val="20"/>
                <c:pt idx="0">
                  <c:v>1.623199172873355</c:v>
                </c:pt>
                <c:pt idx="1">
                  <c:v>1.6409291728733553</c:v>
                </c:pt>
                <c:pt idx="2">
                  <c:v>1.6497941728733552</c:v>
                </c:pt>
                <c:pt idx="3">
                  <c:v>1.7561741728733549</c:v>
                </c:pt>
                <c:pt idx="4">
                  <c:v>1.7561741728733549</c:v>
                </c:pt>
                <c:pt idx="5">
                  <c:v>1.844824172873355</c:v>
                </c:pt>
                <c:pt idx="6">
                  <c:v>1.8625541728733552</c:v>
                </c:pt>
                <c:pt idx="7">
                  <c:v>1.8891491728733549</c:v>
                </c:pt>
                <c:pt idx="8">
                  <c:v>2.022124172873355</c:v>
                </c:pt>
                <c:pt idx="9">
                  <c:v>2.2703441728733553</c:v>
                </c:pt>
                <c:pt idx="10">
                  <c:v>2.3944541728733553</c:v>
                </c:pt>
                <c:pt idx="11">
                  <c:v>2.4210491728733552</c:v>
                </c:pt>
                <c:pt idx="12">
                  <c:v>2.376724172873355</c:v>
                </c:pt>
                <c:pt idx="13">
                  <c:v>2.5540241728733553</c:v>
                </c:pt>
                <c:pt idx="14">
                  <c:v>2.8199741728733554</c:v>
                </c:pt>
                <c:pt idx="15">
                  <c:v>2.9972741728733552</c:v>
                </c:pt>
                <c:pt idx="16">
                  <c:v>3.2632241728733549</c:v>
                </c:pt>
                <c:pt idx="17">
                  <c:v>3.7951241728733551</c:v>
                </c:pt>
                <c:pt idx="18">
                  <c:v>5.7454241728733555</c:v>
                </c:pt>
                <c:pt idx="19">
                  <c:v>6.7205741728733539</c:v>
                </c:pt>
              </c:numCache>
            </c:numRef>
          </c:yVal>
          <c:smooth val="0"/>
          <c:extLst>
            <c:ext xmlns:c16="http://schemas.microsoft.com/office/drawing/2014/chart" uri="{C3380CC4-5D6E-409C-BE32-E72D297353CC}">
              <c16:uniqueId val="{00000003-DD5F-4CEE-A79B-E08ADA4865DF}"/>
            </c:ext>
          </c:extLst>
        </c:ser>
        <c:dLbls>
          <c:showLegendKey val="0"/>
          <c:showVal val="0"/>
          <c:showCatName val="0"/>
          <c:showSerName val="0"/>
          <c:showPercent val="0"/>
          <c:showBubbleSize val="0"/>
        </c:dLbls>
        <c:axId val="646109824"/>
        <c:axId val="646107856"/>
      </c:scatterChart>
      <c:valAx>
        <c:axId val="6461098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True size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6107856"/>
        <c:crosses val="autoZero"/>
        <c:crossBetween val="midCat"/>
      </c:valAx>
      <c:valAx>
        <c:axId val="6461078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True size (mm)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610982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7">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12700" cap="flat" cmpd="sng" algn="ctr">
        <a:solidFill>
          <a:schemeClr val="lt1">
            <a:alpha val="25000"/>
          </a:schemeClr>
        </a:solidFill>
        <a:round/>
      </a:ln>
    </cs:spPr>
    <cs:defRPr sz="900" b="0" kern="1200" spc="10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effectRef idx="0"/>
    <cs:fontRef idx="minor">
      <a:schemeClr val="lt1"/>
    </cs:fontRef>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28575" cap="rnd">
        <a:solidFill>
          <a:schemeClr val="lt1">
            <a:alpha val="50000"/>
          </a:schemeClr>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cap="flat" cmpd="sng" algn="ctr">
        <a:gradFill>
          <a:gsLst>
            <a:gs pos="79000">
              <a:schemeClr val="phClr"/>
            </a:gs>
            <a:gs pos="0">
              <a:schemeClr val="lt1">
                <a:alpha val="60000"/>
              </a:schemeClr>
            </a:gs>
          </a:gsLst>
          <a:lin ang="5400000" scaled="0"/>
        </a:gradFill>
        <a:round/>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306">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P137237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Geo06</b:Tag>
    <b:SourceType>Report</b:SourceType>
    <b:Guid>{3EDDA056-2FEC-4E46-AA16-10A6C72A519C}</b:Guid>
    <b:Author>
      <b:Author>
        <b:NameList>
          <b:Person>
            <b:Last>Georgiou</b:Last>
            <b:First>George</b:First>
            <b:Middle>A</b:Middle>
          </b:Person>
        </b:NameList>
      </b:Author>
    </b:Author>
    <b:Title>Probability of Detection (PoD) curves</b:Title>
    <b:Year>2006</b:Year>
    <b:Publisher>Jacobi Consulting Limited </b:Publisher>
    <b:City>London</b:City>
    <b:RefOrder>4</b:RefOrder>
  </b:Source>
  <b:Source>
    <b:Tag>DrW02</b:Tag>
    <b:SourceType>Report</b:SourceType>
    <b:Guid>{023919DA-6D96-47AD-B1D9-78C5A1A429C5}</b:Guid>
    <b:Author>
      <b:Author>
        <b:NameList>
          <b:Person>
            <b:Last>Visser</b:Last>
            <b:First>Dr</b:First>
            <b:Middle>W (Pim)</b:Middle>
          </b:Person>
        </b:NameList>
      </b:Author>
    </b:Author>
    <b:Title>POD/POS curves for non-destructive examination</b:Title>
    <b:Year>2002</b:Year>
    <b:Publisher>Visser Consultancy Limited </b:Publisher>
    <b:City>Weybridge</b:City>
    <b:RefOrder>7</b:RefOrder>
  </b:Source>
  <b:Source>
    <b:Tag>Arv16</b:Tag>
    <b:SourceType>JournalArticle</b:SourceType>
    <b:Guid>{AF0EB84C-0FE2-4FF0-B169-361A715B9635}</b:Guid>
    <b:Title>Probability of detection: History, Development and future</b:Title>
    <b:Year>2016</b:Year>
    <b:Author>
      <b:Author>
        <b:NameList>
          <b:Person>
            <b:Last>Keprat</b:Last>
            <b:First>Arvind</b:First>
          </b:Person>
        </b:NameList>
      </b:Author>
    </b:Author>
    <b:JournalName>Research Gate</b:JournalName>
    <b:RefOrder>2</b:RefOrder>
  </b:Source>
  <b:Source>
    <b:Tag>Geo01</b:Tag>
    <b:SourceType>Report</b:SourceType>
    <b:Guid>{9178FB93-5092-4887-9AB7-F24D2F16980D}</b:Guid>
    <b:Title>Probability of Detection (POD) for non-destructive evaluation (NDE)</b:Title>
    <b:Year>2001</b:Year>
    <b:Author>
      <b:Author>
        <b:NameList>
          <b:Person>
            <b:Last>George A. Matzkanin</b:Last>
            <b:First>H.</b:First>
            <b:Middle>Thomas Yolken</b:Middle>
          </b:Person>
        </b:NameList>
      </b:Author>
    </b:Author>
    <b:Publisher>NTIAC</b:Publisher>
    <b:City>Austin </b:City>
    <b:RefOrder>10</b:RefOrder>
  </b:Source>
  <b:Source>
    <b:Tag>Sch09</b:Tag>
    <b:SourceType>DocumentFromInternetSite</b:SourceType>
    <b:Guid>{161CB428-0CAC-4EAE-8AC8-03A81B73BD2D}</b:Guid>
    <b:Title>Reliability for NDT</b:Title>
    <b:Year>2009</b:Year>
    <b:Month>June</b:Month>
    <b:Day>23</b:Day>
    <b:Author>
      <b:Author>
        <b:NameList>
          <b:Person>
            <b:Last>Schaefer</b:Last>
            <b:First>L.</b:First>
          </b:Person>
        </b:NameList>
      </b:Author>
    </b:Author>
    <b:InternetSiteTitle>NDT.net</b:InternetSiteTitle>
    <b:URL>http://www.ndt.net/article/reliability2009/Inhalt/podadv~1.pdf</b:URL>
    <b:RefOrder>1</b:RefOrder>
  </b:Source>
  <b:Source>
    <b:Tag>NDT1</b:Tag>
    <b:SourceType>DocumentFromInternetSite</b:SourceType>
    <b:Guid>{8633B9AE-D5B7-4187-ADA0-0FDE49791DE0}</b:Guid>
    <b:Author>
      <b:Author>
        <b:Corporate>NDT Resource Center</b:Corporate>
      </b:Author>
    </b:Author>
    <b:InternetSiteTitle>NDT Resource Center</b:InternetSiteTitle>
    <b:URL>https://www.nde-ed.org/EducationResources/CommunityCollege/PenetrantTest/Graphics/POD_Etch.jpg</b:URL>
    <b:RefOrder>5</b:RefOrder>
  </b:Source>
  <b:Source>
    <b:Tag>Pra17</b:Tag>
    <b:SourceType>DocumentFromInternetSite</b:SourceType>
    <b:Guid>{60D70686-B46A-4E1D-A881-8B2A344F9D11}</b:Guid>
    <b:Author>
      <b:Author>
        <b:NameList>
          <b:Person>
            <b:Last>Prathamesh Bilgunde</b:Last>
            <b:First>Leonard</b:First>
            <b:Middle>J Bond</b:Middle>
          </b:Person>
        </b:NameList>
      </b:Author>
    </b:Author>
    <b:InternetSiteTitle>Research Gate</b:InternetSiteTitle>
    <b:Year>2017</b:Year>
    <b:Month>June</b:Month>
    <b:URL>https://www.researchgate.net/figure/317643257_fig7_Figure-10-Estimation-of-High-temperatureHT-POD-using-room-temperature-experimental-POD</b:URL>
    <b:RefOrder>6</b:RefOrder>
  </b:Source>
  <b:Source>
    <b:Tag>ITC</b:Tag>
    <b:SourceType>DocumentFromInternetSite</b:SourceType>
    <b:Guid>{823CDE1E-C4CA-45F8-A5D9-441FD327CB1F}</b:Guid>
    <b:Title>ITCC Online</b:Title>
    <b:URL>https://www.ltcconline.net/greenl/courses/201/estimation/smallConfLevelTable.htm</b:URL>
    <b:RefOrder>9</b:RefOrder>
  </b:Source>
  <b:Source>
    <b:Tag>Mat17</b:Tag>
    <b:SourceType>DocumentFromInternetSite</b:SourceType>
    <b:Guid>{05C7EAF5-D6B6-41CA-9841-14C9AB351125}</b:Guid>
    <b:Author>
      <b:Author>
        <b:Corporate>MathsIsFun</b:Corporate>
      </b:Author>
    </b:Author>
    <b:InternetSiteTitle>MathsIsFun</b:InternetSiteTitle>
    <b:Year>2017</b:Year>
    <b:URL>https://www.mathsisfun.com/data/confidence-interval.html</b:URL>
    <b:RefOrder>8</b:RefOrder>
  </b:Source>
  <b:Source>
    <b:Tag>HSE08</b:Tag>
    <b:SourceType>Report</b:SourceType>
    <b:Guid>{FE168C76-31ED-4B3A-B8EE-E0A29D904308}</b:Guid>
    <b:Title> Ultrasonic Sizing Errors and Their Implication for Defect Assessment</b:Title>
    <b:Year>2008</b:Year>
    <b:Author>
      <b:Author>
        <b:Corporate>HSE</b:Corporate>
      </b:Author>
    </b:Author>
    <b:Publisher>HSE</b:Publisher>
    <b:City>London</b:City>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D2A2922-941B-4248-A673-6DAAB3C7F1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945</TotalTime>
  <Pages>26</Pages>
  <Words>3634</Words>
  <Characters>20718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Probability of Detection and Probability of Sizing Analysis</vt:lpstr>
    </vt:vector>
  </TitlesOfParts>
  <Company/>
  <LinksUpToDate>false</LinksUpToDate>
  <CharactersWithSpaces>24304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Probability of Detection and Probability of Sizing Analysis</dc:title>
  <dc:subject>NDT Principles, Standards and Applications</dc:subject>
  <dc:creator>Joe Scott</dc:creator>
  <cp:keywords/>
  <dc:description/>
  <cp:lastModifiedBy>Joe Scott</cp:lastModifiedBy>
  <cp:revision>55</cp:revision>
  <dcterms:created xsi:type="dcterms:W3CDTF">2017-12-07T20:49:00Z</dcterms:created>
  <dcterms:modified xsi:type="dcterms:W3CDTF">2017-12-12T16:24:00Z</dcterms:modified>
</cp:coreProperties>
</file>