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CDA72" w14:textId="56C2ED40" w:rsidR="00C95AE7" w:rsidRPr="00C95AE7" w:rsidRDefault="00C95AE7">
      <w:pPr>
        <w:rPr>
          <w:rFonts w:ascii="Amasis MT Pro Light" w:hAnsi="Amasis MT Pro Light"/>
          <w:b/>
          <w:bCs/>
          <w:sz w:val="28"/>
          <w:szCs w:val="28"/>
          <w:u w:val="single"/>
        </w:rPr>
      </w:pPr>
      <w:r w:rsidRPr="00C95AE7">
        <w:rPr>
          <w:rFonts w:ascii="Amasis MT Pro Light" w:hAnsi="Amasis MT Pro Light"/>
          <w:b/>
          <w:bCs/>
          <w:sz w:val="28"/>
          <w:szCs w:val="28"/>
          <w:u w:val="single"/>
        </w:rPr>
        <w:t>Introduction</w:t>
      </w:r>
    </w:p>
    <w:p w14:paraId="718CB9C5" w14:textId="0CB9149B" w:rsidR="00D657F0" w:rsidRPr="00280FCF" w:rsidRDefault="00D657F0" w:rsidP="00181DA8">
      <w:pPr>
        <w:rPr>
          <w:rFonts w:ascii="Amasis MT Pro Light" w:eastAsiaTheme="minorEastAsia" w:hAnsi="Amasis MT Pro Light"/>
          <w:sz w:val="28"/>
          <w:szCs w:val="28"/>
        </w:rPr>
      </w:pPr>
      <w:r w:rsidRPr="00280FCF">
        <w:rPr>
          <w:rFonts w:ascii="Amasis MT Pro Light" w:eastAsiaTheme="minorEastAsia" w:hAnsi="Amasis MT Pro Light"/>
          <w:sz w:val="28"/>
          <w:szCs w:val="28"/>
        </w:rPr>
        <w:t xml:space="preserve">In understanding and managing water resources, the study and surveillance of environmental conditions are crucial. This includes examining the quality and quantity of water, which are essential aspects to consider. In the </w:t>
      </w:r>
      <w:r w:rsidR="001C4D2A" w:rsidRPr="00280FCF">
        <w:rPr>
          <w:rFonts w:ascii="Amasis MT Pro Light" w:eastAsiaTheme="minorEastAsia" w:hAnsi="Amasis MT Pro Light"/>
          <w:sz w:val="28"/>
          <w:szCs w:val="28"/>
        </w:rPr>
        <w:t>domain</w:t>
      </w:r>
      <w:r w:rsidRPr="00280FCF">
        <w:rPr>
          <w:rFonts w:ascii="Amasis MT Pro Light" w:eastAsiaTheme="minorEastAsia" w:hAnsi="Amasis MT Pro Light"/>
          <w:sz w:val="28"/>
          <w:szCs w:val="28"/>
        </w:rPr>
        <w:t xml:space="preserve"> of managing water resources and ensuring water quality, the utilisation of monitoring programmes holds a pivotal position. The assessment and understanding of the effects of climate change on water resources and agriculture play a crucial role in the implementation of sustainable water management </w:t>
      </w:r>
      <w:r w:rsidR="00A76FDE" w:rsidRPr="00280FCF">
        <w:rPr>
          <w:rFonts w:ascii="Amasis MT Pro Light" w:eastAsiaTheme="minorEastAsia" w:hAnsi="Amasis MT Pro Light"/>
          <w:sz w:val="28"/>
          <w:szCs w:val="28"/>
        </w:rPr>
        <w:t>practises.</w:t>
      </w:r>
      <w:r w:rsidRPr="00280FCF">
        <w:rPr>
          <w:rFonts w:ascii="Amasis MT Pro Light" w:eastAsiaTheme="minorEastAsia" w:hAnsi="Amasis MT Pro Light"/>
          <w:sz w:val="28"/>
          <w:szCs w:val="28"/>
        </w:rPr>
        <w:t xml:space="preserve"> </w:t>
      </w:r>
      <w:r w:rsidR="00A76FDE" w:rsidRPr="00280FCF">
        <w:rPr>
          <w:rFonts w:ascii="Amasis MT Pro Light" w:eastAsiaTheme="minorEastAsia" w:hAnsi="Amasis MT Pro Light"/>
          <w:sz w:val="28"/>
          <w:szCs w:val="28"/>
        </w:rPr>
        <w:t>A goal</w:t>
      </w:r>
      <w:r w:rsidRPr="00280FCF">
        <w:rPr>
          <w:rFonts w:ascii="Amasis MT Pro Light" w:eastAsiaTheme="minorEastAsia" w:hAnsi="Amasis MT Pro Light"/>
          <w:sz w:val="28"/>
          <w:szCs w:val="28"/>
        </w:rPr>
        <w:t xml:space="preserve"> is to evaluate detrimental</w:t>
      </w:r>
      <w:r w:rsidR="00280FCF">
        <w:rPr>
          <w:rFonts w:ascii="Amasis MT Pro Light" w:eastAsiaTheme="minorEastAsia" w:hAnsi="Amasis MT Pro Light"/>
          <w:sz w:val="28"/>
          <w:szCs w:val="28"/>
        </w:rPr>
        <w:t xml:space="preserve"> </w:t>
      </w:r>
      <w:r w:rsidR="00A76FDE" w:rsidRPr="00280FCF">
        <w:rPr>
          <w:rFonts w:ascii="Amasis MT Pro Light" w:eastAsiaTheme="minorEastAsia" w:hAnsi="Amasis MT Pro Light"/>
          <w:sz w:val="28"/>
          <w:szCs w:val="28"/>
        </w:rPr>
        <w:t>situations</w:t>
      </w:r>
      <w:r w:rsidRPr="00280FCF">
        <w:rPr>
          <w:rFonts w:ascii="Amasis MT Pro Light" w:eastAsiaTheme="minorEastAsia" w:hAnsi="Amasis MT Pro Light"/>
          <w:sz w:val="28"/>
          <w:szCs w:val="28"/>
        </w:rPr>
        <w:t xml:space="preserve">, which helps us prevent and mitigate any negative impacts on the management of water resources. Water quality identification is a crucial aspect in the ongoing efforts to monitor water pollution and safeguard our valuable water resources. </w:t>
      </w:r>
      <w:r w:rsidR="00A76FDE" w:rsidRPr="00280FCF">
        <w:rPr>
          <w:rFonts w:ascii="Amasis MT Pro Light" w:eastAsiaTheme="minorEastAsia" w:hAnsi="Amasis MT Pro Light"/>
          <w:sz w:val="28"/>
          <w:szCs w:val="28"/>
        </w:rPr>
        <w:t>To</w:t>
      </w:r>
      <w:r w:rsidRPr="00280FCF">
        <w:rPr>
          <w:rFonts w:ascii="Amasis MT Pro Light" w:eastAsiaTheme="minorEastAsia" w:hAnsi="Amasis MT Pro Light"/>
          <w:sz w:val="28"/>
          <w:szCs w:val="28"/>
        </w:rPr>
        <w:t xml:space="preserve"> effectively manage water resources, it is crucial to have accurate monitoring and assessment methods in place. </w:t>
      </w:r>
      <w:r w:rsidR="00A76FDE" w:rsidRPr="00280FCF">
        <w:rPr>
          <w:rFonts w:ascii="Amasis MT Pro Light" w:eastAsiaTheme="minorEastAsia" w:hAnsi="Amasis MT Pro Light"/>
          <w:sz w:val="28"/>
          <w:szCs w:val="28"/>
        </w:rPr>
        <w:t>T</w:t>
      </w:r>
      <w:r w:rsidRPr="00280FCF">
        <w:rPr>
          <w:rFonts w:ascii="Amasis MT Pro Light" w:eastAsiaTheme="minorEastAsia" w:hAnsi="Amasis MT Pro Light"/>
          <w:sz w:val="28"/>
          <w:szCs w:val="28"/>
        </w:rPr>
        <w:t xml:space="preserve">he importance of monitoring water resources cannot be overstated. </w:t>
      </w:r>
    </w:p>
    <w:p w14:paraId="5ECF99DB" w14:textId="2C2F30B2" w:rsidR="00D235E3" w:rsidRPr="00280FCF" w:rsidRDefault="00D235E3" w:rsidP="00181DA8">
      <w:pPr>
        <w:rPr>
          <w:rFonts w:ascii="Amasis MT Pro Light" w:eastAsiaTheme="minorEastAsia" w:hAnsi="Amasis MT Pro Light"/>
          <w:b/>
          <w:bCs/>
          <w:i/>
          <w:iCs/>
          <w:sz w:val="28"/>
          <w:szCs w:val="28"/>
          <w:u w:val="single"/>
        </w:rPr>
      </w:pPr>
      <w:r w:rsidRPr="00280FCF">
        <w:rPr>
          <w:rFonts w:ascii="Amasis MT Pro Light" w:eastAsiaTheme="minorEastAsia" w:hAnsi="Amasis MT Pro Light"/>
          <w:b/>
          <w:bCs/>
          <w:i/>
          <w:iCs/>
          <w:sz w:val="28"/>
          <w:szCs w:val="28"/>
          <w:u w:val="single"/>
        </w:rPr>
        <w:t>Q1)</w:t>
      </w:r>
    </w:p>
    <w:p w14:paraId="329B3F0E" w14:textId="3EBFC0FD" w:rsidR="00181DA8" w:rsidRPr="00280FCF" w:rsidRDefault="00181DA8" w:rsidP="00181DA8">
      <w:pPr>
        <w:rPr>
          <w:rFonts w:ascii="Amasis MT Pro Light" w:eastAsiaTheme="minorEastAsia" w:hAnsi="Amasis MT Pro Light"/>
          <w:b/>
          <w:bCs/>
          <w:i/>
          <w:iCs/>
          <w:sz w:val="28"/>
          <w:szCs w:val="28"/>
          <w:u w:val="single"/>
        </w:rPr>
      </w:pPr>
      <w:r w:rsidRPr="00280FCF">
        <w:rPr>
          <w:rFonts w:ascii="Amasis MT Pro Light" w:eastAsiaTheme="minorEastAsia" w:hAnsi="Amasis MT Pro Light"/>
          <w:b/>
          <w:bCs/>
          <w:i/>
          <w:iCs/>
          <w:sz w:val="28"/>
          <w:szCs w:val="28"/>
          <w:u w:val="single"/>
        </w:rPr>
        <w:t>Sample 1</w:t>
      </w:r>
    </w:p>
    <w:p w14:paraId="08CECC90" w14:textId="77777777" w:rsidR="00181DA8" w:rsidRPr="00280FCF" w:rsidRDefault="00181DA8" w:rsidP="00181DA8">
      <w:pPr>
        <w:rPr>
          <w:rFonts w:ascii="Amasis MT Pro Light" w:eastAsiaTheme="minorEastAsia" w:hAnsi="Amasis MT Pro Light"/>
          <w:sz w:val="28"/>
          <w:szCs w:val="28"/>
        </w:rPr>
      </w:pPr>
      <m:oMath>
        <m:r>
          <w:rPr>
            <w:rFonts w:ascii="Cambria Math" w:eastAsiaTheme="minorEastAsia" w:hAnsi="Cambria Math"/>
            <w:sz w:val="28"/>
            <w:szCs w:val="28"/>
          </w:rPr>
          <m:t>[10≤</m:t>
        </m:r>
        <m:f>
          <m:fPr>
            <m:ctrlPr>
              <w:rPr>
                <w:rFonts w:ascii="Cambria Math" w:hAnsi="Cambria Math"/>
                <w:i/>
                <w:sz w:val="28"/>
                <w:szCs w:val="28"/>
              </w:rPr>
            </m:ctrlPr>
          </m:fPr>
          <m:num>
            <m:r>
              <w:rPr>
                <w:rFonts w:ascii="Cambria Math" w:hAnsi="Cambria Math"/>
                <w:sz w:val="28"/>
                <w:szCs w:val="28"/>
              </w:rPr>
              <m:t>0.10</m:t>
            </m:r>
          </m:num>
          <m:den>
            <m:r>
              <w:rPr>
                <w:rFonts w:ascii="Cambria Math" w:hAnsi="Cambria Math"/>
                <w:sz w:val="28"/>
                <w:szCs w:val="28"/>
              </w:rPr>
              <m:t>0.005</m:t>
            </m:r>
          </m:den>
        </m:f>
        <m:r>
          <w:rPr>
            <w:rFonts w:ascii="Cambria Math" w:hAnsi="Cambria Math"/>
            <w:sz w:val="28"/>
            <w:szCs w:val="28"/>
          </w:rPr>
          <m:t>≤30]</m:t>
        </m:r>
      </m:oMath>
      <w:r w:rsidRPr="00280FCF">
        <w:rPr>
          <w:rFonts w:ascii="Amasis MT Pro Light" w:eastAsiaTheme="minorEastAsia" w:hAnsi="Amasis MT Pro Light"/>
          <w:sz w:val="28"/>
          <w:szCs w:val="28"/>
        </w:rPr>
        <w:t>=20</w:t>
      </w:r>
    </w:p>
    <w:p w14:paraId="008A66F0"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oMath>
      <w:r w:rsidR="00181DA8" w:rsidRPr="00280FCF">
        <w:rPr>
          <w:rFonts w:ascii="Amasis MT Pro Light" w:eastAsiaTheme="minorEastAsia" w:hAnsi="Amasis MT Pro Light"/>
          <w:sz w:val="28"/>
          <w:szCs w:val="28"/>
        </w:rPr>
        <w:t>=</w:t>
      </w:r>
      <m:oMath>
        <m:r>
          <w:rPr>
            <w:rFonts w:ascii="Cambria Math" w:eastAsiaTheme="minorEastAsia" w:hAnsi="Cambria Math"/>
            <w:sz w:val="28"/>
            <w:szCs w:val="28"/>
          </w:rPr>
          <m:t>16.8+(</m:t>
        </m:r>
        <m:func>
          <m:funcPr>
            <m:ctrlPr>
              <w:rPr>
                <w:rFonts w:ascii="Cambria Math" w:eastAsiaTheme="minorEastAsia" w:hAnsi="Cambria Math"/>
                <w:i/>
                <w:sz w:val="28"/>
                <w:szCs w:val="28"/>
              </w:rPr>
            </m:ctrlPr>
          </m:funcPr>
          <m:fName>
            <m:r>
              <m:rPr>
                <m:sty m:val="p"/>
              </m:rPr>
              <w:rPr>
                <w:rFonts w:ascii="Cambria Math" w:hAnsi="Cambria Math"/>
                <w:sz w:val="28"/>
                <w:szCs w:val="28"/>
              </w:rPr>
              <m:t>14.4</m:t>
            </m:r>
          </m:fName>
          <m:e>
            <m:r>
              <w:rPr>
                <w:rFonts w:ascii="Cambria Math" w:eastAsiaTheme="minorEastAsia" w:hAnsi="Cambria Math"/>
                <w:sz w:val="28"/>
                <w:szCs w:val="28"/>
              </w:rPr>
              <m:t>×(</m:t>
            </m:r>
            <m:r>
              <m:rPr>
                <m:sty m:val="p"/>
              </m:rPr>
              <w:rPr>
                <w:rFonts w:ascii="Cambria Math" w:eastAsiaTheme="minorEastAsia" w:hAnsi="Cambria Math"/>
                <w:sz w:val="28"/>
                <w:szCs w:val="28"/>
              </w:rPr>
              <m:t>ln⁡</m:t>
            </m:r>
            <m:r>
              <w:rPr>
                <w:rFonts w:ascii="Cambria Math" w:eastAsiaTheme="minorEastAsia" w:hAnsi="Cambria Math"/>
                <w:sz w:val="28"/>
                <w:szCs w:val="28"/>
              </w:rPr>
              <m:t>(</m:t>
            </m:r>
          </m:e>
        </m:func>
        <m:r>
          <w:rPr>
            <w:rFonts w:ascii="Cambria Math" w:eastAsiaTheme="minorEastAsia" w:hAnsi="Cambria Math"/>
            <w:sz w:val="28"/>
            <w:szCs w:val="28"/>
          </w:rPr>
          <m:t>0.6)))=9.44</m:t>
        </m:r>
      </m:oMath>
    </w:p>
    <w:p w14:paraId="589BC89F" w14:textId="37D18655" w:rsidR="00181DA8" w:rsidRPr="00280FCF" w:rsidRDefault="00000000" w:rsidP="00181DA8">
      <w:pPr>
        <w:rPr>
          <w:rFonts w:ascii="Amasis MT Pro Light" w:eastAsiaTheme="minorEastAsia" w:hAnsi="Amasis MT Pro Light"/>
          <w:sz w:val="28"/>
          <w:szCs w:val="28"/>
        </w:rPr>
      </w:pPr>
      <m:oMath>
        <m:sSub>
          <m:sSubPr>
            <m:ctrlPr>
              <w:rPr>
                <w:rFonts w:ascii="Cambria Math" w:hAnsi="Cambria Math"/>
                <w:i/>
                <w:sz w:val="28"/>
                <w:szCs w:val="28"/>
              </w:rPr>
            </m:ctrlPr>
          </m:sSubPr>
          <m:e>
            <m:r>
              <w:rPr>
                <w:rFonts w:ascii="Cambria Math" w:hAnsi="Cambria Math"/>
                <w:sz w:val="28"/>
                <w:szCs w:val="28"/>
              </w:rPr>
              <m:t>TSI</m:t>
            </m:r>
          </m:e>
          <m:sub>
            <m:r>
              <w:rPr>
                <w:rFonts w:ascii="Cambria Math" w:hAnsi="Cambria Math"/>
                <w:sz w:val="28"/>
                <w:szCs w:val="28"/>
              </w:rPr>
              <m:t>(TP)</m:t>
            </m:r>
          </m:sub>
        </m:sSub>
        <m:r>
          <w:rPr>
            <w:rFonts w:ascii="Cambria Math" w:hAnsi="Cambria Math"/>
            <w:sz w:val="28"/>
            <w:szCs w:val="28"/>
          </w:rPr>
          <m:t>={18.6</m:t>
        </m:r>
        <w:bookmarkStart w:id="0" w:name="_Hlk151377527"/>
        <m:r>
          <w:rPr>
            <w:rFonts w:ascii="Cambria Math" w:hAnsi="Cambria Math"/>
            <w:sz w:val="28"/>
            <w:szCs w:val="28"/>
          </w:rPr>
          <m:t>×</m:t>
        </m:r>
        <w:bookmarkEnd w:id="0"/>
        <m:r>
          <w:rPr>
            <w:rFonts w:ascii="Cambria Math" w:hAnsi="Cambria Math"/>
            <w:sz w:val="28"/>
            <w:szCs w:val="28"/>
          </w:rPr>
          <m:t>[</m:t>
        </m:r>
        <m:func>
          <m:funcPr>
            <m:ctrlPr>
              <w:rPr>
                <w:rFonts w:ascii="Cambria Math" w:hAnsi="Cambria Math"/>
                <w:i/>
                <w:sz w:val="28"/>
                <w:szCs w:val="28"/>
              </w:rPr>
            </m:ctrlPr>
          </m:funcPr>
          <m:fName>
            <m:r>
              <m:rPr>
                <m:sty m:val="p"/>
              </m:rPr>
              <w:rPr>
                <w:rFonts w:ascii="Cambria Math" w:hAnsi="Cambria Math"/>
                <w:sz w:val="28"/>
                <w:szCs w:val="28"/>
              </w:rPr>
              <m:t>ln</m:t>
            </m:r>
          </m:fName>
          <m:e>
            <m:r>
              <w:rPr>
                <w:rFonts w:ascii="Cambria Math" w:hAnsi="Cambria Math"/>
                <w:sz w:val="28"/>
                <w:szCs w:val="28"/>
              </w:rPr>
              <m:t>(0.04×1000)]}-18.4</m:t>
            </m:r>
          </m:e>
        </m:func>
        <m:r>
          <w:rPr>
            <w:rFonts w:ascii="Cambria Math" w:hAnsi="Cambria Math"/>
            <w:sz w:val="28"/>
            <w:szCs w:val="28"/>
          </w:rPr>
          <m:t>=</m:t>
        </m:r>
      </m:oMath>
      <w:r w:rsidR="00181DA8" w:rsidRPr="00280FCF">
        <w:rPr>
          <w:rFonts w:ascii="Amasis MT Pro Light" w:eastAsiaTheme="minorEastAsia" w:hAnsi="Amasis MT Pro Light"/>
          <w:sz w:val="28"/>
          <w:szCs w:val="28"/>
        </w:rPr>
        <w:t>11.53</w:t>
      </w:r>
    </w:p>
    <w:p w14:paraId="6B6C67E2"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(TN)</m:t>
            </m:r>
          </m:sub>
        </m:sSub>
        <m:r>
          <w:rPr>
            <w:rFonts w:ascii="Cambria Math" w:eastAsiaTheme="minorEastAsia" w:hAnsi="Cambria Math"/>
            <w:sz w:val="28"/>
            <w:szCs w:val="28"/>
          </w:rPr>
          <m:t>=56+(19×</m:t>
        </m:r>
        <m:d>
          <m:dPr>
            <m:ctrlPr>
              <w:rPr>
                <w:rFonts w:ascii="Cambria Math" w:eastAsiaTheme="minorEastAsia" w:hAnsi="Cambria Math"/>
                <w:i/>
                <w:sz w:val="28"/>
                <w:szCs w:val="28"/>
              </w:rPr>
            </m:ctrlPr>
          </m:dPr>
          <m:e>
            <m:func>
              <m:funcPr>
                <m:ctrlPr>
                  <w:rPr>
                    <w:rFonts w:ascii="Cambria Math" w:eastAsiaTheme="minorEastAsia" w:hAnsi="Cambria Math"/>
                    <w:i/>
                    <w:sz w:val="28"/>
                    <w:szCs w:val="28"/>
                  </w:rPr>
                </m:ctrlPr>
              </m:funcPr>
              <m:fName>
                <m:r>
                  <m:rPr>
                    <m:sty m:val="p"/>
                  </m:rPr>
                  <w:rPr>
                    <w:rFonts w:ascii="Cambria Math" w:hAnsi="Cambria Math"/>
                    <w:sz w:val="28"/>
                    <w:szCs w:val="28"/>
                  </w:rPr>
                  <m:t>ln</m:t>
                </m:r>
              </m:fName>
              <m:e>
                <m:r>
                  <w:rPr>
                    <w:rFonts w:ascii="Cambria Math" w:eastAsiaTheme="minorEastAsia" w:hAnsi="Cambria Math"/>
                    <w:sz w:val="28"/>
                    <w:szCs w:val="28"/>
                  </w:rPr>
                  <m:t>0.10</m:t>
                </m:r>
              </m:e>
            </m:func>
          </m:e>
        </m:d>
      </m:oMath>
      <w:r w:rsidR="00181DA8" w:rsidRPr="00280FCF">
        <w:rPr>
          <w:rFonts w:ascii="Amasis MT Pro Light" w:eastAsiaTheme="minorEastAsia" w:hAnsi="Amasis MT Pro Light"/>
          <w:sz w:val="28"/>
          <w:szCs w:val="28"/>
        </w:rPr>
        <w:t xml:space="preserve"> =12.25</w:t>
      </w:r>
    </w:p>
    <w:p w14:paraId="44F4CC62" w14:textId="20069E02" w:rsidR="00181DA8" w:rsidRPr="00280FCF" w:rsidRDefault="00181DA8" w:rsidP="00181DA8">
      <w:pPr>
        <w:rPr>
          <w:rFonts w:ascii="Amasis MT Pro Light" w:eastAsiaTheme="minorEastAsia" w:hAnsi="Amasis MT Pro Light"/>
          <w:sz w:val="28"/>
          <w:szCs w:val="28"/>
        </w:rPr>
      </w:pPr>
      <m:oMath>
        <m:r>
          <w:rPr>
            <w:rFonts w:ascii="Cambria Math" w:eastAsiaTheme="minorEastAsia" w:hAnsi="Cambria Math"/>
            <w:sz w:val="32"/>
            <w:szCs w:val="32"/>
          </w:rPr>
          <m:t>TSI=</m:t>
        </m:r>
        <m:f>
          <m:fPr>
            <m:ctrlPr>
              <w:rPr>
                <w:rFonts w:ascii="Cambria Math" w:eastAsiaTheme="minorEastAsia" w:hAnsi="Cambria Math"/>
                <w:i/>
                <w:sz w:val="32"/>
                <w:szCs w:val="32"/>
              </w:rPr>
            </m:ctrlPr>
          </m:fPr>
          <m:num>
            <m:r>
              <w:rPr>
                <w:rFonts w:ascii="Cambria Math" w:eastAsiaTheme="minorEastAsia" w:hAnsi="Cambria Math"/>
                <w:sz w:val="32"/>
                <w:szCs w:val="32"/>
              </w:rPr>
              <m:t xml:space="preserve">{TSI(9.44) + </m:t>
            </m:r>
            <m:f>
              <m:fPr>
                <m:ctrlPr>
                  <w:rPr>
                    <w:rFonts w:ascii="Cambria Math" w:eastAsiaTheme="minorEastAsia" w:hAnsi="Cambria Math"/>
                    <w:i/>
                    <w:sz w:val="32"/>
                    <w:szCs w:val="32"/>
                  </w:rPr>
                </m:ctrlPr>
              </m:fPr>
              <m:num>
                <m:r>
                  <w:rPr>
                    <w:rFonts w:ascii="Cambria Math" w:eastAsiaTheme="minorEastAsia" w:hAnsi="Cambria Math"/>
                    <w:sz w:val="32"/>
                    <w:szCs w:val="32"/>
                  </w:rPr>
                  <m:t>[(TSI(12.25) +TSI(11.53))]</m:t>
                </m:r>
              </m:num>
              <m:den>
                <m:r>
                  <w:rPr>
                    <w:rFonts w:ascii="Cambria Math" w:eastAsiaTheme="minorEastAsia" w:hAnsi="Cambria Math"/>
                    <w:sz w:val="32"/>
                    <w:szCs w:val="32"/>
                  </w:rPr>
                  <m:t>2</m:t>
                </m:r>
              </m:den>
            </m:f>
          </m:num>
          <m:den>
            <m:r>
              <w:rPr>
                <w:rFonts w:ascii="Cambria Math" w:eastAsiaTheme="minorEastAsia" w:hAnsi="Cambria Math"/>
                <w:sz w:val="32"/>
                <w:szCs w:val="32"/>
              </w:rPr>
              <m:t>2</m:t>
            </m:r>
          </m:den>
        </m:f>
      </m:oMath>
      <w:r w:rsidRPr="00280FCF">
        <w:rPr>
          <w:rFonts w:ascii="Amasis MT Pro Light" w:eastAsiaTheme="minorEastAsia" w:hAnsi="Amasis MT Pro Light"/>
          <w:sz w:val="28"/>
          <w:szCs w:val="28"/>
        </w:rPr>
        <w:t>=10.66</w:t>
      </w:r>
    </w:p>
    <w:p w14:paraId="501B7889" w14:textId="77777777" w:rsidR="00181DA8" w:rsidRPr="00280FCF" w:rsidRDefault="00181DA8" w:rsidP="00181DA8">
      <w:pPr>
        <w:rPr>
          <w:rFonts w:ascii="Amasis MT Pro Light" w:eastAsiaTheme="minorEastAsia" w:hAnsi="Amasis MT Pro Light"/>
          <w:sz w:val="28"/>
          <w:szCs w:val="28"/>
          <w:u w:val="single"/>
        </w:rPr>
      </w:pPr>
      <w:r w:rsidRPr="00280FCF">
        <w:rPr>
          <w:rFonts w:ascii="Amasis MT Pro Light" w:eastAsiaTheme="minorEastAsia" w:hAnsi="Amasis MT Pro Light"/>
          <w:sz w:val="28"/>
          <w:szCs w:val="28"/>
          <w:u w:val="single"/>
        </w:rPr>
        <w:t>Sample 2</w:t>
      </w:r>
    </w:p>
    <w:p w14:paraId="48EBF20A" w14:textId="2D8BA16F" w:rsidR="00181DA8" w:rsidRPr="00280FCF" w:rsidRDefault="00181DA8" w:rsidP="00181DA8">
      <w:pPr>
        <w:rPr>
          <w:rFonts w:ascii="Amasis MT Pro Light" w:eastAsiaTheme="minorEastAsia" w:hAnsi="Amasis MT Pro Light"/>
          <w:sz w:val="28"/>
          <w:szCs w:val="28"/>
        </w:rPr>
      </w:pPr>
      <m:oMathPara>
        <m:oMathParaPr>
          <m:jc m:val="left"/>
        </m:oMathParaPr>
        <m:oMath>
          <m:r>
            <w:rPr>
              <w:rFonts w:ascii="Cambria Math" w:eastAsiaTheme="minorEastAsia" w:hAnsi="Cambria Math"/>
              <w:sz w:val="28"/>
              <w:szCs w:val="28"/>
            </w:rPr>
            <m:t>[10≤</m:t>
          </m:r>
          <m:f>
            <m:fPr>
              <m:ctrlPr>
                <w:rPr>
                  <w:rFonts w:ascii="Cambria Math" w:eastAsiaTheme="minorEastAsia" w:hAnsi="Cambria Math"/>
                  <w:i/>
                  <w:sz w:val="28"/>
                  <w:szCs w:val="28"/>
                </w:rPr>
              </m:ctrlPr>
            </m:fPr>
            <m:num>
              <m:r>
                <w:rPr>
                  <w:rFonts w:ascii="Cambria Math" w:eastAsiaTheme="minorEastAsia" w:hAnsi="Cambria Math"/>
                  <w:sz w:val="28"/>
                  <w:szCs w:val="28"/>
                </w:rPr>
                <m:t>0.70</m:t>
              </m:r>
            </m:num>
            <m:den>
              <m:r>
                <w:rPr>
                  <w:rFonts w:ascii="Cambria Math" w:eastAsiaTheme="minorEastAsia" w:hAnsi="Cambria Math"/>
                  <w:sz w:val="28"/>
                  <w:szCs w:val="28"/>
                </w:rPr>
                <m:t>0.04</m:t>
              </m:r>
            </m:den>
          </m:f>
          <m:r>
            <w:rPr>
              <w:rFonts w:ascii="Cambria Math" w:eastAsiaTheme="minorEastAsia" w:hAnsi="Cambria Math"/>
              <w:sz w:val="28"/>
              <w:szCs w:val="28"/>
            </w:rPr>
            <m:t>≤30]=17.5</m:t>
          </m:r>
        </m:oMath>
      </m:oMathPara>
    </w:p>
    <w:p w14:paraId="1EB15468"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 +(14.4</m:t>
        </m:r>
        <m:r>
          <w:rPr>
            <w:rFonts w:ascii="Cambria Math" w:hAnsi="Cambria Math"/>
            <w:sz w:val="28"/>
            <w:szCs w:val="28"/>
          </w:rPr>
          <m:t>×(ln(10)))=</m:t>
        </m:r>
      </m:oMath>
      <w:r w:rsidR="00181DA8" w:rsidRPr="00280FCF">
        <w:rPr>
          <w:rFonts w:ascii="Amasis MT Pro Light" w:eastAsiaTheme="minorEastAsia" w:hAnsi="Amasis MT Pro Light"/>
          <w:sz w:val="28"/>
          <w:szCs w:val="28"/>
        </w:rPr>
        <w:t>49.95</w:t>
      </w:r>
    </w:p>
    <w:p w14:paraId="13FFED67" w14:textId="77777777" w:rsidR="00181DA8" w:rsidRPr="00280FCF" w:rsidRDefault="00000000" w:rsidP="00181DA8">
      <w:pPr>
        <w:rPr>
          <w:rFonts w:ascii="Amasis MT Pro Light" w:eastAsiaTheme="minorEastAsia" w:hAnsi="Amasis MT Pro Light"/>
          <w:sz w:val="28"/>
          <w:szCs w:val="28"/>
        </w:rPr>
      </w:p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(TP)</m:t>
            </m:r>
          </m:sub>
        </m:sSub>
        <m:r>
          <w:rPr>
            <w:rFonts w:ascii="Cambria Math" w:eastAsiaTheme="minorEastAsia" w:hAnsi="Cambria Math"/>
            <w:sz w:val="28"/>
            <w:szCs w:val="28"/>
          </w:rPr>
          <m:t>={18.6</m:t>
        </m:r>
        <w:bookmarkStart w:id="1" w:name="_Hlk151378073"/>
        <m:r>
          <w:rPr>
            <w:rFonts w:ascii="Cambria Math" w:eastAsiaTheme="minorEastAsia" w:hAnsi="Cambria Math"/>
            <w:sz w:val="28"/>
            <w:szCs w:val="28"/>
          </w:rPr>
          <m:t>×</m:t>
        </m:r>
        <w:bookmarkEnd w:id="1"/>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hAnsi="Cambria Math"/>
                <w:sz w:val="28"/>
                <w:szCs w:val="28"/>
              </w:rPr>
              <m:t>ln</m:t>
            </m:r>
          </m:fName>
          <m:e>
            <m:r>
              <w:rPr>
                <w:rFonts w:ascii="Cambria Math" w:eastAsiaTheme="minorEastAsia" w:hAnsi="Cambria Math"/>
                <w:sz w:val="28"/>
                <w:szCs w:val="28"/>
              </w:rPr>
              <m:t>(TP×1000)]}-18.4=</m:t>
            </m:r>
          </m:e>
        </m:func>
      </m:oMath>
      <w:r w:rsidR="00181DA8" w:rsidRPr="00280FCF">
        <w:rPr>
          <w:rFonts w:ascii="Amasis MT Pro Light" w:eastAsiaTheme="minorEastAsia" w:hAnsi="Amasis MT Pro Light"/>
          <w:sz w:val="28"/>
          <w:szCs w:val="28"/>
        </w:rPr>
        <w:t xml:space="preserve"> 50.21</w:t>
      </w:r>
    </w:p>
    <w:p w14:paraId="5C43572B" w14:textId="77777777" w:rsidR="00181DA8" w:rsidRPr="00280FCF" w:rsidRDefault="00000000" w:rsidP="00181DA8">
      <w:pPr>
        <w:rPr>
          <w:rFonts w:ascii="Amasis MT Pro Light" w:eastAsiaTheme="minorEastAsia" w:hAnsi="Amasis MT Pro Light"/>
          <w:sz w:val="28"/>
          <w:szCs w:val="28"/>
        </w:rPr>
      </w:pPr>
      <m:oMathPara>
        <m:oMathParaPr>
          <m:jc m:val="left"/>
        </m:oMathParaPr>
        <m:oMath>
          <m:sSub>
            <m:sSubPr>
              <m:ctrlPr>
                <w:rPr>
                  <w:rFonts w:ascii="Cambria Math" w:eastAsiaTheme="minorEastAsia" w:hAnsi="Cambria Math"/>
                  <w:i/>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(TN)</m:t>
              </m:r>
            </m:sub>
          </m:sSub>
          <m:r>
            <w:rPr>
              <w:rFonts w:ascii="Cambria Math" w:eastAsiaTheme="minorEastAsia" w:hAnsi="Cambria Math"/>
              <w:sz w:val="28"/>
              <w:szCs w:val="28"/>
            </w:rPr>
            <m:t>=56+(19×(ln0.70))=49.22</m:t>
          </m:r>
        </m:oMath>
      </m:oMathPara>
    </w:p>
    <w:p w14:paraId="1E73E2CA" w14:textId="2361D86E" w:rsidR="00181DA8" w:rsidRPr="00280FCF" w:rsidRDefault="00181DA8" w:rsidP="00181DA8">
      <w:pPr>
        <w:rPr>
          <w:rFonts w:eastAsiaTheme="minorEastAsia"/>
          <w:sz w:val="28"/>
          <w:szCs w:val="28"/>
        </w:rPr>
      </w:pPr>
      <w:bookmarkStart w:id="2" w:name="_Hlk151380371"/>
      <m:oMathPara>
        <m:oMathParaPr>
          <m:jc m:val="left"/>
        </m:oMathParaPr>
        <m:oMath>
          <m:r>
            <w:rPr>
              <w:rFonts w:ascii="Cambria Math" w:eastAsiaTheme="minorEastAsia" w:hAnsi="Cambria Math"/>
              <w:sz w:val="28"/>
              <w:szCs w:val="28"/>
            </w:rPr>
            <w:lastRenderedPageBreak/>
            <m:t>TSI=</m:t>
          </m:r>
          <m:f>
            <m:fPr>
              <m:ctrlPr>
                <w:rPr>
                  <w:rFonts w:ascii="Cambria Math" w:eastAsiaTheme="minorEastAsia" w:hAnsi="Cambria Math"/>
                  <w:i/>
                  <w:sz w:val="28"/>
                  <w:szCs w:val="28"/>
                </w:rPr>
              </m:ctrlPr>
            </m:fPr>
            <m:num>
              <m:r>
                <w:rPr>
                  <w:rFonts w:ascii="Cambria Math" w:eastAsiaTheme="minorEastAsia" w:hAnsi="Cambria Math"/>
                  <w:sz w:val="28"/>
                  <w:szCs w:val="28"/>
                </w:rPr>
                <m:t>{TSI(10)+</m:t>
              </m:r>
              <m:f>
                <m:fPr>
                  <m:ctrlPr>
                    <w:rPr>
                      <w:rFonts w:ascii="Cambria Math" w:eastAsiaTheme="minorEastAsia" w:hAnsi="Cambria Math"/>
                      <w:i/>
                      <w:sz w:val="28"/>
                      <w:szCs w:val="28"/>
                    </w:rPr>
                  </m:ctrlPr>
                </m:fPr>
                <m:num>
                  <m:r>
                    <w:rPr>
                      <w:rFonts w:ascii="Cambria Math" w:eastAsiaTheme="minorEastAsia" w:hAnsi="Cambria Math"/>
                      <w:sz w:val="28"/>
                      <w:szCs w:val="28"/>
                    </w:rPr>
                    <m:t>[TSI(49.22) + TSI(50.21))]</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=62.13</m:t>
          </m:r>
        </m:oMath>
      </m:oMathPara>
    </w:p>
    <w:bookmarkEnd w:id="2"/>
    <w:p w14:paraId="4D083F7D" w14:textId="1CFD9EC2" w:rsidR="00181DA8" w:rsidRPr="00280FCF" w:rsidRDefault="00181DA8" w:rsidP="00181DA8">
      <w:r w:rsidRPr="00280FCF">
        <w:rPr>
          <w:noProof/>
        </w:rPr>
        <w:drawing>
          <wp:inline distT="0" distB="0" distL="0" distR="0" wp14:anchorId="52076A43" wp14:editId="7FF50B07">
            <wp:extent cx="5731510" cy="2424430"/>
            <wp:effectExtent l="0" t="0" r="0" b="0"/>
            <wp:docPr id="15911860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24430"/>
                    </a:xfrm>
                    <a:prstGeom prst="rect">
                      <a:avLst/>
                    </a:prstGeom>
                    <a:noFill/>
                    <a:ln>
                      <a:noFill/>
                    </a:ln>
                  </pic:spPr>
                </pic:pic>
              </a:graphicData>
            </a:graphic>
          </wp:inline>
        </w:drawing>
      </w:r>
    </w:p>
    <w:p w14:paraId="3BCAB9FE" w14:textId="77777777" w:rsidR="00181DA8" w:rsidRPr="00280FCF" w:rsidRDefault="00181DA8" w:rsidP="00181DA8">
      <w:pPr>
        <w:rPr>
          <w:rFonts w:ascii="Amasis MT Pro Light" w:eastAsiaTheme="minorEastAsia" w:hAnsi="Amasis MT Pro Light"/>
          <w:iCs/>
          <w:sz w:val="28"/>
          <w:szCs w:val="28"/>
          <w:u w:val="single"/>
        </w:rPr>
      </w:pPr>
      <w:r w:rsidRPr="00280FCF">
        <w:rPr>
          <w:rFonts w:ascii="Amasis MT Pro Light" w:eastAsiaTheme="minorEastAsia" w:hAnsi="Amasis MT Pro Light"/>
          <w:iCs/>
          <w:sz w:val="28"/>
          <w:szCs w:val="28"/>
          <w:u w:val="single"/>
        </w:rPr>
        <w:t>Sample 4</w:t>
      </w:r>
    </w:p>
    <w:p w14:paraId="6B4E09AE" w14:textId="77777777" w:rsidR="00181DA8" w:rsidRPr="00280FCF" w:rsidRDefault="00181DA8" w:rsidP="00181DA8">
      <w:pPr>
        <w:rPr>
          <w:rFonts w:ascii="Amasis MT Pro Light" w:eastAsiaTheme="minorEastAsia" w:hAnsi="Amasis MT Pro Light"/>
          <w:iCs/>
          <w:sz w:val="28"/>
          <w:szCs w:val="28"/>
        </w:rPr>
      </w:pPr>
      <w:bookmarkStart w:id="3" w:name="_Hlk151382750"/>
      <m:oMathPara>
        <m:oMathParaPr>
          <m:jc m:val="left"/>
        </m:oMathParaPr>
        <m:oMath>
          <m:r>
            <m:rPr>
              <m:sty m:val="p"/>
            </m:rPr>
            <w:rPr>
              <w:rFonts w:ascii="Cambria Math" w:eastAsiaTheme="minorEastAsia" w:hAnsi="Cambria Math"/>
              <w:sz w:val="28"/>
              <w:szCs w:val="28"/>
            </w:rPr>
            <m:t>[10≤</m:t>
          </m:r>
          <m:f>
            <m:fPr>
              <m:ctrlPr>
                <w:rPr>
                  <w:rFonts w:ascii="Cambria Math" w:eastAsiaTheme="minorEastAsia" w:hAnsi="Cambria Math"/>
                  <w:iCs/>
                  <w:sz w:val="28"/>
                  <w:szCs w:val="28"/>
                </w:rPr>
              </m:ctrlPr>
            </m:fPr>
            <m:num>
              <m:r>
                <m:rPr>
                  <m:sty m:val="p"/>
                </m:rPr>
                <w:rPr>
                  <w:rFonts w:ascii="Cambria Math" w:eastAsiaTheme="minorEastAsia" w:hAnsi="Cambria Math"/>
                  <w:sz w:val="28"/>
                  <w:szCs w:val="28"/>
                </w:rPr>
                <m:t>2.8</m:t>
              </m:r>
            </m:num>
            <m:den>
              <m:r>
                <m:rPr>
                  <m:sty m:val="p"/>
                </m:rPr>
                <w:rPr>
                  <w:rFonts w:ascii="Cambria Math" w:eastAsiaTheme="minorEastAsia" w:hAnsi="Cambria Math"/>
                  <w:sz w:val="28"/>
                  <w:szCs w:val="28"/>
                </w:rPr>
                <m:t>0.96</m:t>
              </m:r>
            </m:den>
          </m:f>
          <m:r>
            <m:rPr>
              <m:sty m:val="p"/>
            </m:rPr>
            <w:rPr>
              <w:rFonts w:ascii="Cambria Math" w:eastAsiaTheme="minorEastAsia" w:hAnsi="Cambria Math"/>
              <w:sz w:val="28"/>
              <w:szCs w:val="28"/>
            </w:rPr>
            <m:t>≤30]=2.9</m:t>
          </m:r>
        </m:oMath>
      </m:oMathPara>
    </w:p>
    <w:p w14:paraId="2BD65232"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=16.8+(14.4×(ln(120)))=85.73</m:t>
          </m:r>
        </m:oMath>
      </m:oMathPara>
    </w:p>
    <w:p w14:paraId="581C16EA" w14:textId="77777777" w:rsidR="00181DA8" w:rsidRPr="00280FCF" w:rsidRDefault="00000000" w:rsidP="00181DA8">
      <w:pPr>
        <w:rPr>
          <w:rFonts w:ascii="Amasis MT Pro Light" w:eastAsiaTheme="minorEastAsia" w:hAnsi="Amasis MT Pro Light"/>
          <w:iCs/>
          <w:sz w:val="28"/>
          <w:szCs w:val="28"/>
        </w:rPr>
      </w:p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2(TP)</m:t>
            </m:r>
          </m:sub>
        </m:sSub>
        <m:r>
          <w:rPr>
            <w:rFonts w:ascii="Cambria Math" w:eastAsiaTheme="minorEastAsia" w:hAnsi="Cambria Math"/>
            <w:sz w:val="28"/>
            <w:szCs w:val="28"/>
          </w:rPr>
          <m:t>={10×[2.36×(ln(0.96×</m:t>
        </m:r>
      </m:oMath>
      <w:r w:rsidR="00181DA8" w:rsidRPr="00280FCF">
        <w:rPr>
          <w:rFonts w:ascii="Amasis MT Pro Light" w:eastAsiaTheme="minorEastAsia" w:hAnsi="Amasis MT Pro Light"/>
          <w:iCs/>
          <w:sz w:val="28"/>
          <w:szCs w:val="28"/>
        </w:rPr>
        <w:t>1000))]}- 2.38= 159.67</w:t>
      </w:r>
    </w:p>
    <w:p w14:paraId="48A7E52D"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2(TN)</m:t>
              </m:r>
            </m:sub>
          </m:sSub>
          <m:r>
            <w:rPr>
              <w:rFonts w:ascii="Cambria Math" w:eastAsiaTheme="minorEastAsia" w:hAnsi="Cambria Math"/>
              <w:sz w:val="28"/>
              <w:szCs w:val="28"/>
            </w:rPr>
            <m:t>=10×[5.96 +(2.15×ln(2.8+0.001))]=8.18</m:t>
          </m:r>
        </m:oMath>
      </m:oMathPara>
    </w:p>
    <w:p w14:paraId="6C0FC4D7" w14:textId="77777777" w:rsidR="00181DA8" w:rsidRPr="00280FCF" w:rsidRDefault="00181DA8" w:rsidP="00181DA8">
      <w:pPr>
        <w:rPr>
          <w:rFonts w:ascii="Amasis MT Pro Light" w:eastAsiaTheme="minorEastAsia" w:hAnsi="Amasis MT Pro Light"/>
          <w:iCs/>
          <w:sz w:val="28"/>
          <w:szCs w:val="28"/>
        </w:rPr>
      </w:pPr>
      <m:oMathPara>
        <m:oMathParaPr>
          <m:jc m:val="left"/>
        </m:oMathParaPr>
        <m:oMath>
          <m:r>
            <w:rPr>
              <w:rFonts w:ascii="Cambria Math" w:eastAsiaTheme="minorEastAsia" w:hAnsi="Cambria Math"/>
              <w:sz w:val="28"/>
              <w:szCs w:val="28"/>
            </w:rPr>
            <m:t>TSI=</m:t>
          </m:r>
          <m:f>
            <m:fPr>
              <m:ctrlPr>
                <w:rPr>
                  <w:rFonts w:ascii="Cambria Math" w:eastAsiaTheme="minorEastAsia" w:hAnsi="Cambria Math"/>
                  <w:i/>
                  <w:sz w:val="28"/>
                  <w:szCs w:val="28"/>
                </w:rPr>
              </m:ctrlPr>
            </m:fPr>
            <m:num>
              <m:r>
                <w:rPr>
                  <w:rFonts w:ascii="Cambria Math" w:eastAsiaTheme="minorEastAsia" w:hAnsi="Cambria Math"/>
                  <w:sz w:val="28"/>
                  <w:szCs w:val="28"/>
                </w:rPr>
                <m:t>{TSI(85.73)+</m:t>
              </m:r>
              <m:f>
                <m:fPr>
                  <m:ctrlPr>
                    <w:rPr>
                      <w:rFonts w:ascii="Cambria Math" w:eastAsiaTheme="minorEastAsia" w:hAnsi="Cambria Math"/>
                      <w:i/>
                      <w:sz w:val="28"/>
                      <w:szCs w:val="28"/>
                    </w:rPr>
                  </m:ctrlPr>
                </m:fPr>
                <m:num>
                  <m:r>
                    <w:rPr>
                      <w:rFonts w:ascii="Cambria Math" w:eastAsiaTheme="minorEastAsia" w:hAnsi="Cambria Math"/>
                      <w:sz w:val="28"/>
                      <w:szCs w:val="28"/>
                    </w:rPr>
                    <m:t>[TSI(8.18) + TSI(159.67))]</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=86.87</m:t>
          </m:r>
        </m:oMath>
      </m:oMathPara>
    </w:p>
    <w:bookmarkEnd w:id="3"/>
    <w:p w14:paraId="649DF5E7" w14:textId="77777777" w:rsidR="00181DA8" w:rsidRPr="00280FCF" w:rsidRDefault="00181DA8" w:rsidP="00181DA8">
      <w:pPr>
        <w:rPr>
          <w:rFonts w:ascii="Amasis MT Pro Light" w:eastAsiaTheme="minorEastAsia" w:hAnsi="Amasis MT Pro Light"/>
          <w:b/>
          <w:bCs/>
          <w:iCs/>
          <w:sz w:val="28"/>
          <w:szCs w:val="28"/>
          <w:u w:val="single"/>
        </w:rPr>
      </w:pPr>
      <w:r w:rsidRPr="00280FCF">
        <w:rPr>
          <w:rFonts w:ascii="Amasis MT Pro Light" w:eastAsiaTheme="minorEastAsia" w:hAnsi="Amasis MT Pro Light"/>
          <w:b/>
          <w:bCs/>
          <w:iCs/>
          <w:sz w:val="28"/>
          <w:szCs w:val="28"/>
          <w:u w:val="single"/>
        </w:rPr>
        <w:t>Sample 5</w:t>
      </w:r>
    </w:p>
    <w:p w14:paraId="1AEF7DC8" w14:textId="77777777" w:rsidR="00181DA8" w:rsidRPr="00280FCF" w:rsidRDefault="00181DA8" w:rsidP="00181DA8">
      <w:pPr>
        <w:rPr>
          <w:rFonts w:ascii="Amasis MT Pro Light" w:eastAsiaTheme="minorEastAsia" w:hAnsi="Amasis MT Pro Light"/>
          <w:iCs/>
          <w:sz w:val="28"/>
          <w:szCs w:val="28"/>
        </w:rPr>
      </w:pPr>
      <m:oMathPara>
        <m:oMathParaPr>
          <m:jc m:val="left"/>
        </m:oMathParaPr>
        <m:oMath>
          <m:r>
            <m:rPr>
              <m:sty m:val="p"/>
            </m:rPr>
            <w:rPr>
              <w:rFonts w:ascii="Cambria Math" w:eastAsiaTheme="minorEastAsia" w:hAnsi="Cambria Math"/>
              <w:sz w:val="28"/>
              <w:szCs w:val="28"/>
            </w:rPr>
            <m:t>[10≤</m:t>
          </m:r>
          <m:f>
            <m:fPr>
              <m:ctrlPr>
                <w:rPr>
                  <w:rFonts w:ascii="Cambria Math" w:eastAsiaTheme="minorEastAsia" w:hAnsi="Cambria Math"/>
                  <w:iCs/>
                  <w:sz w:val="28"/>
                  <w:szCs w:val="28"/>
                </w:rPr>
              </m:ctrlPr>
            </m:fPr>
            <m:num>
              <m:r>
                <m:rPr>
                  <m:sty m:val="p"/>
                </m:rPr>
                <w:rPr>
                  <w:rFonts w:ascii="Cambria Math" w:eastAsiaTheme="minorEastAsia" w:hAnsi="Cambria Math"/>
                  <w:sz w:val="28"/>
                  <w:szCs w:val="28"/>
                </w:rPr>
                <m:t>7.8</m:t>
              </m:r>
            </m:num>
            <m:den>
              <m:r>
                <m:rPr>
                  <m:sty m:val="p"/>
                </m:rPr>
                <w:rPr>
                  <w:rFonts w:ascii="Cambria Math" w:eastAsiaTheme="minorEastAsia" w:hAnsi="Cambria Math"/>
                  <w:sz w:val="28"/>
                  <w:szCs w:val="28"/>
                </w:rPr>
                <m:t>0.22</m:t>
              </m:r>
            </m:den>
          </m:f>
          <m:r>
            <m:rPr>
              <m:sty m:val="p"/>
            </m:rPr>
            <w:rPr>
              <w:rFonts w:ascii="Cambria Math" w:eastAsiaTheme="minorEastAsia" w:hAnsi="Cambria Math"/>
              <w:sz w:val="28"/>
              <w:szCs w:val="28"/>
            </w:rPr>
            <m:t>≤30]=35.45</m:t>
          </m:r>
        </m:oMath>
      </m:oMathPara>
    </w:p>
    <w:p w14:paraId="70B9137B" w14:textId="77777777"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(chl a)</m:t>
              </m:r>
            </m:sub>
          </m:sSub>
          <m:r>
            <w:rPr>
              <w:rFonts w:ascii="Cambria Math" w:eastAsiaTheme="minorEastAsia" w:hAnsi="Cambria Math"/>
              <w:sz w:val="28"/>
              <w:szCs w:val="28"/>
            </w:rPr>
            <m:t>=16.8+(14.4×(ln(25)))=63.15</m:t>
          </m:r>
        </m:oMath>
      </m:oMathPara>
    </w:p>
    <w:p w14:paraId="072D4DDF" w14:textId="77777777" w:rsidR="00181DA8" w:rsidRPr="00280FCF" w:rsidRDefault="00000000" w:rsidP="00181DA8">
      <w:pPr>
        <w:rPr>
          <w:rFonts w:ascii="Amasis MT Pro Light" w:eastAsiaTheme="minorEastAsia" w:hAnsi="Amasis MT Pro Light"/>
          <w:iCs/>
          <w:sz w:val="28"/>
          <w:szCs w:val="28"/>
        </w:rPr>
      </w:p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2(TP)</m:t>
            </m:r>
          </m:sub>
        </m:sSub>
        <m:r>
          <w:rPr>
            <w:rFonts w:ascii="Cambria Math" w:eastAsiaTheme="minorEastAsia" w:hAnsi="Cambria Math"/>
            <w:sz w:val="28"/>
            <w:szCs w:val="28"/>
          </w:rPr>
          <m:t>={10×[2.36×(ln(0.22×</m:t>
        </m:r>
      </m:oMath>
      <w:r w:rsidR="00181DA8" w:rsidRPr="00280FCF">
        <w:rPr>
          <w:rFonts w:ascii="Amasis MT Pro Light" w:eastAsiaTheme="minorEastAsia" w:hAnsi="Amasis MT Pro Light"/>
          <w:iCs/>
          <w:sz w:val="28"/>
          <w:szCs w:val="28"/>
        </w:rPr>
        <w:t xml:space="preserve">1000))]}- 2.38= </w:t>
      </w:r>
      <w:r w:rsidR="00181DA8" w:rsidRPr="00280FCF">
        <w:rPr>
          <w:rFonts w:ascii="Amasis MT Pro Light" w:eastAsiaTheme="minorEastAsia" w:hAnsi="Amasis MT Pro Light"/>
          <w:b/>
          <w:bCs/>
          <w:iCs/>
          <w:sz w:val="28"/>
          <w:szCs w:val="28"/>
        </w:rPr>
        <w:t>124.90</w:t>
      </w:r>
    </w:p>
    <w:p w14:paraId="701124F9" w14:textId="771A09F6" w:rsidR="00181DA8" w:rsidRPr="00280FCF" w:rsidRDefault="00000000" w:rsidP="00181DA8">
      <w:pPr>
        <w:rPr>
          <w:rFonts w:ascii="Amasis MT Pro Light" w:eastAsiaTheme="minorEastAsia" w:hAnsi="Amasis MT Pro Light"/>
          <w:iCs/>
          <w:sz w:val="28"/>
          <w:szCs w:val="28"/>
        </w:rPr>
      </w:pPr>
      <m:oMathPara>
        <m:oMathParaPr>
          <m:jc m:val="left"/>
        </m:oMathParaPr>
        <m:oMath>
          <m:sSub>
            <m:sSubPr>
              <m:ctrlPr>
                <w:rPr>
                  <w:rFonts w:ascii="Cambria Math" w:eastAsiaTheme="minorEastAsia" w:hAnsi="Cambria Math"/>
                  <w:i/>
                  <w:iCs/>
                  <w:sz w:val="28"/>
                  <w:szCs w:val="28"/>
                </w:rPr>
              </m:ctrlPr>
            </m:sSubPr>
            <m:e>
              <m:r>
                <w:rPr>
                  <w:rFonts w:ascii="Cambria Math" w:eastAsiaTheme="minorEastAsia" w:hAnsi="Cambria Math"/>
                  <w:sz w:val="28"/>
                  <w:szCs w:val="28"/>
                </w:rPr>
                <m:t>TSI</m:t>
              </m:r>
            </m:e>
            <m:sub>
              <m:r>
                <w:rPr>
                  <w:rFonts w:ascii="Cambria Math" w:eastAsiaTheme="minorEastAsia" w:hAnsi="Cambria Math"/>
                  <w:sz w:val="28"/>
                  <w:szCs w:val="28"/>
                </w:rPr>
                <m:t>2(TN)</m:t>
              </m:r>
            </m:sub>
          </m:sSub>
          <m:r>
            <w:rPr>
              <w:rFonts w:ascii="Cambria Math" w:eastAsiaTheme="minorEastAsia" w:hAnsi="Cambria Math"/>
              <w:sz w:val="28"/>
              <w:szCs w:val="28"/>
            </w:rPr>
            <m:t>=10×[5.96 +(2.15×ln(2.8+0.001))]=8.17</m:t>
          </m:r>
        </m:oMath>
      </m:oMathPara>
    </w:p>
    <w:p w14:paraId="5CC450CD" w14:textId="11CCADD9" w:rsidR="00181DA8" w:rsidRPr="00280FCF" w:rsidRDefault="00181DA8" w:rsidP="00181DA8">
      <w:pPr>
        <w:rPr>
          <w:rFonts w:ascii="Amasis MT Pro Light" w:eastAsiaTheme="minorEastAsia" w:hAnsi="Amasis MT Pro Light"/>
          <w:iCs/>
          <w:sz w:val="28"/>
          <w:szCs w:val="28"/>
        </w:rPr>
      </w:pPr>
      <m:oMathPara>
        <m:oMathParaPr>
          <m:jc m:val="left"/>
        </m:oMathParaPr>
        <m:oMath>
          <m:r>
            <w:rPr>
              <w:rFonts w:ascii="Cambria Math" w:eastAsiaTheme="minorEastAsia" w:hAnsi="Cambria Math"/>
              <w:sz w:val="28"/>
              <w:szCs w:val="28"/>
            </w:rPr>
            <m:t>TSI=</m:t>
          </m:r>
          <m:f>
            <m:fPr>
              <m:ctrlPr>
                <w:rPr>
                  <w:rFonts w:ascii="Cambria Math" w:eastAsiaTheme="minorEastAsia" w:hAnsi="Cambria Math"/>
                  <w:i/>
                  <w:sz w:val="28"/>
                  <w:szCs w:val="28"/>
                </w:rPr>
              </m:ctrlPr>
            </m:fPr>
            <m:num>
              <m:r>
                <w:rPr>
                  <w:rFonts w:ascii="Cambria Math" w:eastAsiaTheme="minorEastAsia" w:hAnsi="Cambria Math"/>
                  <w:sz w:val="28"/>
                  <w:szCs w:val="28"/>
                </w:rPr>
                <m:t>{TSI(63.15)+</m:t>
              </m:r>
              <m:f>
                <m:fPr>
                  <m:ctrlPr>
                    <w:rPr>
                      <w:rFonts w:ascii="Cambria Math" w:eastAsiaTheme="minorEastAsia" w:hAnsi="Cambria Math"/>
                      <w:i/>
                      <w:sz w:val="28"/>
                      <w:szCs w:val="28"/>
                    </w:rPr>
                  </m:ctrlPr>
                </m:fPr>
                <m:num>
                  <m:r>
                    <w:rPr>
                      <w:rFonts w:ascii="Cambria Math" w:eastAsiaTheme="minorEastAsia" w:hAnsi="Cambria Math"/>
                      <w:sz w:val="28"/>
                      <w:szCs w:val="28"/>
                    </w:rPr>
                    <m:t>[TSI(8.17) + TSI(124.90))]</m:t>
                  </m:r>
                </m:num>
                <m:den>
                  <m:r>
                    <w:rPr>
                      <w:rFonts w:ascii="Cambria Math" w:eastAsiaTheme="minorEastAsia" w:hAnsi="Cambria Math"/>
                      <w:sz w:val="28"/>
                      <w:szCs w:val="28"/>
                    </w:rPr>
                    <m:t>2</m:t>
                  </m:r>
                </m:den>
              </m:f>
            </m:num>
            <m:den>
              <m:r>
                <w:rPr>
                  <w:rFonts w:ascii="Cambria Math" w:eastAsiaTheme="minorEastAsia" w:hAnsi="Cambria Math"/>
                  <w:sz w:val="28"/>
                  <w:szCs w:val="28"/>
                </w:rPr>
                <m:t>2</m:t>
              </m:r>
            </m:den>
          </m:f>
          <m:r>
            <w:rPr>
              <w:rFonts w:ascii="Cambria Math" w:eastAsiaTheme="minorEastAsia" w:hAnsi="Cambria Math"/>
              <w:sz w:val="28"/>
              <w:szCs w:val="28"/>
            </w:rPr>
            <m:t>=64.84</m:t>
          </m:r>
        </m:oMath>
      </m:oMathPara>
    </w:p>
    <w:p w14:paraId="3509DB40" w14:textId="5BFDE11B" w:rsidR="000074E9" w:rsidRPr="00280FCF" w:rsidRDefault="000074E9" w:rsidP="00B5087A">
      <w:pPr>
        <w:rPr>
          <w:rFonts w:ascii="Amasis MT Pro Light" w:hAnsi="Amasis MT Pro Light"/>
          <w:b/>
          <w:bCs/>
          <w:sz w:val="28"/>
          <w:szCs w:val="28"/>
          <w:u w:val="single"/>
        </w:rPr>
      </w:pPr>
      <w:r w:rsidRPr="00280FCF">
        <w:rPr>
          <w:rFonts w:ascii="Amasis MT Pro Light" w:hAnsi="Amasis MT Pro Light"/>
          <w:b/>
          <w:bCs/>
          <w:sz w:val="28"/>
          <w:szCs w:val="28"/>
          <w:u w:val="single"/>
        </w:rPr>
        <w:lastRenderedPageBreak/>
        <w:t>Describing the results.</w:t>
      </w:r>
    </w:p>
    <w:p w14:paraId="44F3F15E" w14:textId="5BD80BBA" w:rsidR="00B5087A" w:rsidRPr="00280FCF" w:rsidRDefault="00280FCF"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trophic</w:t>
      </w:r>
      <w:r w:rsidR="00B5087A" w:rsidRPr="00280FCF">
        <w:rPr>
          <w:rFonts w:ascii="Amasis MT Pro Light" w:hAnsi="Amasis MT Pro Light"/>
          <w:b/>
          <w:bCs/>
          <w:sz w:val="28"/>
          <w:szCs w:val="28"/>
          <w:u w:val="single"/>
        </w:rPr>
        <w:t xml:space="preserve"> state</w:t>
      </w:r>
    </w:p>
    <w:p w14:paraId="1D0C6AE8" w14:textId="4566D84C" w:rsidR="00857476" w:rsidRPr="00280FCF" w:rsidRDefault="006D52C9" w:rsidP="0023125C">
      <w:pPr>
        <w:rPr>
          <w:rFonts w:ascii="Amasis MT Pro Light" w:hAnsi="Amasis MT Pro Light"/>
          <w:sz w:val="28"/>
          <w:szCs w:val="28"/>
        </w:rPr>
      </w:pPr>
      <w:r w:rsidRPr="00280FCF">
        <w:rPr>
          <w:rFonts w:ascii="Amasis MT Pro Light" w:hAnsi="Amasis MT Pro Light"/>
          <w:sz w:val="28"/>
          <w:szCs w:val="28"/>
        </w:rPr>
        <w:t>Trophic states span a wide array of academic fields, such as ecology and environmental science, hence fostering the integration of information</w:t>
      </w:r>
      <w:r w:rsidR="00857476" w:rsidRPr="00280FCF">
        <w:rPr>
          <w:rFonts w:ascii="Amasis MT Pro Light" w:hAnsi="Amasis MT Pro Light"/>
          <w:sz w:val="28"/>
          <w:szCs w:val="28"/>
        </w:rPr>
        <w:t xml:space="preserve"> of broad information</w:t>
      </w:r>
      <w:r w:rsidRPr="00280FCF">
        <w:rPr>
          <w:rFonts w:ascii="Amasis MT Pro Light" w:hAnsi="Amasis MT Pro Light"/>
          <w:sz w:val="28"/>
          <w:szCs w:val="28"/>
        </w:rPr>
        <w:t xml:space="preserve">. The procedure involves assessing factors related to nutrients, primary productivity, and utilising several indices to understand the trophic status of the ecosystem. Dodds and Cole (2007) argue that the trophic state is a significant attribute that relates to the structure of ecosystems and the influence of human activities on water quality. </w:t>
      </w:r>
      <w:r w:rsidR="00546059" w:rsidRPr="00280FCF">
        <w:rPr>
          <w:rFonts w:ascii="Amasis MT Pro Light" w:hAnsi="Amasis MT Pro Light"/>
          <w:sz w:val="28"/>
          <w:szCs w:val="28"/>
        </w:rPr>
        <w:t>Furthermore</w:t>
      </w:r>
      <w:r w:rsidRPr="00280FCF">
        <w:rPr>
          <w:rFonts w:ascii="Amasis MT Pro Light" w:hAnsi="Amasis MT Pro Light"/>
          <w:sz w:val="28"/>
          <w:szCs w:val="28"/>
        </w:rPr>
        <w:t xml:space="preserve">, a correlation can be observed between the trophic state and the nutrient limitation status over a trophic gradient. </w:t>
      </w:r>
      <w:r w:rsidR="00857476" w:rsidRPr="00280FCF">
        <w:rPr>
          <w:rFonts w:ascii="Amasis MT Pro Light" w:hAnsi="Amasis MT Pro Light"/>
          <w:sz w:val="28"/>
          <w:szCs w:val="28"/>
        </w:rPr>
        <w:t>There can be</w:t>
      </w:r>
      <w:r w:rsidR="00497285">
        <w:rPr>
          <w:rFonts w:ascii="Amasis MT Pro Light" w:hAnsi="Amasis MT Pro Light"/>
          <w:sz w:val="28"/>
          <w:szCs w:val="28"/>
        </w:rPr>
        <w:t xml:space="preserve"> what is called</w:t>
      </w:r>
      <w:r w:rsidR="00857476" w:rsidRPr="00280FCF">
        <w:rPr>
          <w:rFonts w:ascii="Amasis MT Pro Light" w:hAnsi="Amasis MT Pro Light"/>
          <w:sz w:val="28"/>
          <w:szCs w:val="28"/>
        </w:rPr>
        <w:t xml:space="preserve"> A</w:t>
      </w:r>
      <w:r w:rsidRPr="00280FCF">
        <w:rPr>
          <w:rFonts w:ascii="Amasis MT Pro Light" w:hAnsi="Amasis MT Pro Light"/>
          <w:sz w:val="28"/>
          <w:szCs w:val="28"/>
        </w:rPr>
        <w:t xml:space="preserve"> Principal Component Analysis (PCA) integrat</w:t>
      </w:r>
      <w:r w:rsidR="00710DDD">
        <w:rPr>
          <w:rFonts w:ascii="Amasis MT Pro Light" w:hAnsi="Amasis MT Pro Light"/>
          <w:sz w:val="28"/>
          <w:szCs w:val="28"/>
        </w:rPr>
        <w:t>ing</w:t>
      </w:r>
      <w:r w:rsidRPr="00280FCF">
        <w:rPr>
          <w:rFonts w:ascii="Amasis MT Pro Light" w:hAnsi="Amasis MT Pro Light"/>
          <w:sz w:val="28"/>
          <w:szCs w:val="28"/>
        </w:rPr>
        <w:t xml:space="preserve"> factors that are in accordance with the components of the Trophic State Index. </w:t>
      </w:r>
    </w:p>
    <w:p w14:paraId="705B8B06" w14:textId="32E0F363" w:rsidR="00E00C5A" w:rsidRDefault="00546059" w:rsidP="0023125C">
      <w:pPr>
        <w:rPr>
          <w:rFonts w:ascii="Amasis MT Pro Light" w:hAnsi="Amasis MT Pro Light"/>
          <w:sz w:val="28"/>
          <w:szCs w:val="28"/>
        </w:rPr>
      </w:pPr>
      <w:r w:rsidRPr="00280FCF">
        <w:rPr>
          <w:rFonts w:ascii="Amasis MT Pro Light" w:hAnsi="Amasis MT Pro Light"/>
          <w:sz w:val="28"/>
          <w:szCs w:val="28"/>
        </w:rPr>
        <w:t>Additionally</w:t>
      </w:r>
      <w:r w:rsidR="006D52C9" w:rsidRPr="00280FCF">
        <w:rPr>
          <w:rFonts w:ascii="Amasis MT Pro Light" w:hAnsi="Amasis MT Pro Light"/>
          <w:sz w:val="28"/>
          <w:szCs w:val="28"/>
        </w:rPr>
        <w:t xml:space="preserve">, </w:t>
      </w:r>
      <w:r w:rsidR="00857476" w:rsidRPr="00280FCF">
        <w:rPr>
          <w:rFonts w:ascii="Amasis MT Pro Light" w:hAnsi="Amasis MT Pro Light"/>
          <w:sz w:val="28"/>
          <w:szCs w:val="28"/>
        </w:rPr>
        <w:t xml:space="preserve">in </w:t>
      </w:r>
      <w:r w:rsidR="00280FCF" w:rsidRPr="00280FCF">
        <w:rPr>
          <w:rFonts w:ascii="Amasis MT Pro Light" w:hAnsi="Amasis MT Pro Light"/>
          <w:sz w:val="28"/>
          <w:szCs w:val="28"/>
        </w:rPr>
        <w:t>river trophic states</w:t>
      </w:r>
      <w:r w:rsidR="00857476" w:rsidRPr="00280FCF">
        <w:rPr>
          <w:rFonts w:ascii="Amasis MT Pro Light" w:hAnsi="Amasis MT Pro Light"/>
          <w:sz w:val="28"/>
          <w:szCs w:val="28"/>
        </w:rPr>
        <w:t xml:space="preserve"> </w:t>
      </w:r>
      <w:r w:rsidR="00280FCF" w:rsidRPr="00280FCF">
        <w:rPr>
          <w:rFonts w:ascii="Amasis MT Pro Light" w:hAnsi="Amasis MT Pro Light"/>
          <w:sz w:val="28"/>
          <w:szCs w:val="28"/>
        </w:rPr>
        <w:t>form biotic</w:t>
      </w:r>
      <w:r w:rsidR="00280FCF">
        <w:rPr>
          <w:rFonts w:ascii="Amasis MT Pro Light" w:hAnsi="Amasis MT Pro Light"/>
          <w:sz w:val="28"/>
          <w:szCs w:val="28"/>
        </w:rPr>
        <w:t xml:space="preserve"> (living organism)</w:t>
      </w:r>
      <w:r w:rsidR="00777C01" w:rsidRPr="00280FCF">
        <w:rPr>
          <w:rFonts w:ascii="Amasis MT Pro Light" w:hAnsi="Amasis MT Pro Light"/>
          <w:sz w:val="28"/>
          <w:szCs w:val="28"/>
        </w:rPr>
        <w:t xml:space="preserve"> interaction </w:t>
      </w:r>
      <w:r w:rsidR="006D52C9" w:rsidRPr="00280FCF">
        <w:rPr>
          <w:rFonts w:ascii="Amasis MT Pro Light" w:hAnsi="Amasis MT Pro Light"/>
          <w:sz w:val="28"/>
          <w:szCs w:val="28"/>
        </w:rPr>
        <w:t>network</w:t>
      </w:r>
      <w:r w:rsidR="00777C01" w:rsidRPr="00280FCF">
        <w:rPr>
          <w:rFonts w:ascii="Amasis MT Pro Light" w:hAnsi="Amasis MT Pro Light"/>
          <w:sz w:val="28"/>
          <w:szCs w:val="28"/>
        </w:rPr>
        <w:t>s</w:t>
      </w:r>
      <w:r w:rsidR="006D52C9" w:rsidRPr="00280FCF">
        <w:rPr>
          <w:rFonts w:ascii="Amasis MT Pro Light" w:hAnsi="Amasis MT Pro Light"/>
          <w:sz w:val="28"/>
          <w:szCs w:val="28"/>
        </w:rPr>
        <w:t xml:space="preserve">, denoting the organisation of trophic levels, is </w:t>
      </w:r>
      <w:r w:rsidR="006D52C9" w:rsidRPr="00BC56FA">
        <w:rPr>
          <w:rFonts w:ascii="Amasis MT Pro Light" w:hAnsi="Amasis MT Pro Light"/>
          <w:sz w:val="28"/>
          <w:szCs w:val="28"/>
        </w:rPr>
        <w:t>intricately</w:t>
      </w:r>
      <w:r w:rsidR="00777C01" w:rsidRPr="00BC56FA">
        <w:rPr>
          <w:rFonts w:ascii="Amasis MT Pro Light" w:hAnsi="Amasis MT Pro Light"/>
          <w:sz w:val="28"/>
          <w:szCs w:val="28"/>
        </w:rPr>
        <w:t xml:space="preserve"> </w:t>
      </w:r>
      <w:r w:rsidR="006D52C9" w:rsidRPr="00BC56FA">
        <w:rPr>
          <w:rFonts w:ascii="Amasis MT Pro Light" w:hAnsi="Amasis MT Pro Light"/>
          <w:sz w:val="28"/>
          <w:szCs w:val="28"/>
        </w:rPr>
        <w:t>link</w:t>
      </w:r>
      <w:r w:rsidR="00777C01" w:rsidRPr="00BC56FA">
        <w:rPr>
          <w:rFonts w:ascii="Amasis MT Pro Light" w:hAnsi="Amasis MT Pro Light"/>
          <w:sz w:val="28"/>
          <w:szCs w:val="28"/>
        </w:rPr>
        <w:t>s</w:t>
      </w:r>
      <w:r w:rsidR="006D52C9" w:rsidRPr="00BC56FA">
        <w:rPr>
          <w:rFonts w:ascii="Amasis MT Pro Light" w:hAnsi="Amasis MT Pro Light"/>
          <w:sz w:val="28"/>
          <w:szCs w:val="28"/>
        </w:rPr>
        <w:t xml:space="preserve"> to many attributes such as cycle structure, stability, and percolation (MacKay et al., 2020).  The Trophic State Index (TSI) is a commonly used method for evaluating the trophic state or overall ecological condition of a lake on a scale ranging from 0 to 100 (Carlson, 1977). </w:t>
      </w:r>
      <w:r w:rsidRPr="00BC56FA">
        <w:rPr>
          <w:rFonts w:ascii="Amasis MT Pro Light" w:hAnsi="Amasis MT Pro Light"/>
          <w:sz w:val="28"/>
          <w:szCs w:val="28"/>
        </w:rPr>
        <w:t>Moreover</w:t>
      </w:r>
      <w:r w:rsidR="00E00C5A" w:rsidRPr="00BC56FA">
        <w:rPr>
          <w:rFonts w:ascii="Amasis MT Pro Light" w:hAnsi="Amasis MT Pro Light"/>
          <w:sz w:val="28"/>
          <w:szCs w:val="28"/>
        </w:rPr>
        <w:t xml:space="preserve">, Kumar et al. (2023) </w:t>
      </w:r>
      <w:r w:rsidR="0023125C" w:rsidRPr="00BC56FA">
        <w:rPr>
          <w:rFonts w:ascii="Amasis MT Pro Light" w:hAnsi="Amasis MT Pro Light"/>
          <w:sz w:val="28"/>
          <w:szCs w:val="28"/>
        </w:rPr>
        <w:t>found a</w:t>
      </w:r>
      <w:r w:rsidR="00777C01" w:rsidRPr="00280FCF">
        <w:rPr>
          <w:rFonts w:ascii="Amasis MT Pro Light" w:hAnsi="Amasis MT Pro Light"/>
          <w:sz w:val="28"/>
          <w:szCs w:val="28"/>
        </w:rPr>
        <w:t xml:space="preserve"> </w:t>
      </w:r>
      <w:r w:rsidR="006D52C9" w:rsidRPr="00280FCF">
        <w:rPr>
          <w:rFonts w:ascii="Amasis MT Pro Light" w:hAnsi="Amasis MT Pro Light"/>
          <w:sz w:val="28"/>
          <w:szCs w:val="28"/>
        </w:rPr>
        <w:t xml:space="preserve">diverse </w:t>
      </w:r>
      <w:r w:rsidR="00777C01" w:rsidRPr="00280FCF">
        <w:rPr>
          <w:rFonts w:ascii="Amasis MT Pro Light" w:hAnsi="Amasis MT Pro Light"/>
          <w:sz w:val="28"/>
          <w:szCs w:val="28"/>
        </w:rPr>
        <w:t>quantity</w:t>
      </w:r>
      <w:r w:rsidR="006D52C9" w:rsidRPr="00280FCF">
        <w:rPr>
          <w:rFonts w:ascii="Amasis MT Pro Light" w:hAnsi="Amasis MT Pro Light"/>
          <w:sz w:val="28"/>
          <w:szCs w:val="28"/>
        </w:rPr>
        <w:t xml:space="preserve"> of nutrients and organic matter within the water, whereby </w:t>
      </w:r>
      <w:r w:rsidR="00E00C5A" w:rsidRPr="00280FCF">
        <w:rPr>
          <w:rFonts w:ascii="Amasis MT Pro Light" w:hAnsi="Amasis MT Pro Light"/>
          <w:sz w:val="28"/>
          <w:szCs w:val="28"/>
        </w:rPr>
        <w:t>higher</w:t>
      </w:r>
      <w:r w:rsidR="006D52C9" w:rsidRPr="00280FCF">
        <w:rPr>
          <w:rFonts w:ascii="Amasis MT Pro Light" w:hAnsi="Amasis MT Pro Light"/>
          <w:sz w:val="28"/>
          <w:szCs w:val="28"/>
        </w:rPr>
        <w:t xml:space="preserve"> concentrations result in an escalation of trophic status. </w:t>
      </w:r>
    </w:p>
    <w:p w14:paraId="6DF2E935" w14:textId="0E2AC552" w:rsidR="002B30DF" w:rsidRPr="002B30DF" w:rsidRDefault="002B30DF" w:rsidP="00B5087A">
      <w:pPr>
        <w:rPr>
          <w:rFonts w:ascii="Amasis MT Pro Light" w:hAnsi="Amasis MT Pro Light"/>
          <w:b/>
          <w:bCs/>
          <w:sz w:val="28"/>
          <w:szCs w:val="28"/>
          <w:u w:val="single"/>
        </w:rPr>
      </w:pPr>
      <w:r w:rsidRPr="002B30DF">
        <w:rPr>
          <w:rFonts w:ascii="Amasis MT Pro Light" w:hAnsi="Amasis MT Pro Light"/>
          <w:b/>
          <w:bCs/>
          <w:sz w:val="28"/>
          <w:szCs w:val="28"/>
          <w:u w:val="single"/>
        </w:rPr>
        <w:t>Nutrients</w:t>
      </w:r>
    </w:p>
    <w:p w14:paraId="751CDD43" w14:textId="77777777" w:rsidR="002B30DF" w:rsidRDefault="002B30DF" w:rsidP="002B30DF">
      <w:pPr>
        <w:rPr>
          <w:rFonts w:ascii="Amasis MT Pro Light" w:hAnsi="Amasis MT Pro Light"/>
          <w:sz w:val="28"/>
          <w:szCs w:val="28"/>
        </w:rPr>
      </w:pPr>
      <w:r w:rsidRPr="002B30DF">
        <w:rPr>
          <w:rFonts w:ascii="Amasis MT Pro Light" w:hAnsi="Amasis MT Pro Light"/>
          <w:sz w:val="28"/>
          <w:szCs w:val="28"/>
        </w:rPr>
        <w:t xml:space="preserve">Nutrient concentration pertains to the quantity of nutrients contained within a specific volume or mass of a substance, such as water, soil, or biological tissues. The nutrient concentration is vital for a multitude of ecological and biological processes. In aquatic ecosystems, the abundance of nutrients, such as nitrogen and phosphorus, can impact the proliferation of algae and other aquatic plants. This, in turn, influences the trophic state of the water body (Alexander &amp; Smith, 2006). </w:t>
      </w:r>
    </w:p>
    <w:p w14:paraId="03982FA1" w14:textId="77777777" w:rsidR="002B30DF" w:rsidRDefault="002B30DF" w:rsidP="002B30DF">
      <w:pPr>
        <w:rPr>
          <w:rFonts w:ascii="Amasis MT Pro Light" w:hAnsi="Amasis MT Pro Light"/>
          <w:sz w:val="28"/>
          <w:szCs w:val="28"/>
        </w:rPr>
      </w:pPr>
    </w:p>
    <w:p w14:paraId="2D426156" w14:textId="77777777" w:rsidR="002B30DF" w:rsidRDefault="002B30DF" w:rsidP="002B30DF">
      <w:pPr>
        <w:rPr>
          <w:rFonts w:ascii="Amasis MT Pro Light" w:hAnsi="Amasis MT Pro Light"/>
          <w:sz w:val="28"/>
          <w:szCs w:val="28"/>
        </w:rPr>
      </w:pPr>
    </w:p>
    <w:p w14:paraId="07E23456" w14:textId="1E7C6FC6" w:rsidR="002B30DF" w:rsidRPr="00280FCF" w:rsidRDefault="002B30DF" w:rsidP="00B5087A">
      <w:pPr>
        <w:rPr>
          <w:rFonts w:ascii="Amasis MT Pro Light" w:hAnsi="Amasis MT Pro Light"/>
          <w:sz w:val="28"/>
          <w:szCs w:val="28"/>
        </w:rPr>
      </w:pPr>
      <w:r w:rsidRPr="002B30DF">
        <w:rPr>
          <w:rFonts w:ascii="Amasis MT Pro Light" w:hAnsi="Amasis MT Pro Light"/>
          <w:sz w:val="28"/>
          <w:szCs w:val="28"/>
        </w:rPr>
        <w:t xml:space="preserve">The growth strategies of macroalgae in coastal areas are influenced by the concentration of nutrients, with regions that have low nutrient levels being more </w:t>
      </w:r>
      <w:r w:rsidRPr="002B30DF">
        <w:rPr>
          <w:rFonts w:ascii="Amasis MT Pro Light" w:hAnsi="Amasis MT Pro Light"/>
          <w:sz w:val="28"/>
          <w:szCs w:val="28"/>
        </w:rPr>
        <w:lastRenderedPageBreak/>
        <w:t>suitable for the growth of slow-growing macroalgae (Pedersen &amp; Borum, 1997). Phosphorus concentrations, specifically in lakes, are utilised to evaluate the trophic state of the water body, offering crucial insights into eutrophication (Imboden, 1974).</w:t>
      </w:r>
    </w:p>
    <w:p w14:paraId="6461F01E" w14:textId="565C14D2"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Descri</w:t>
      </w:r>
      <w:r w:rsidR="00E00C5A" w:rsidRPr="00280FCF">
        <w:rPr>
          <w:rFonts w:ascii="Amasis MT Pro Light" w:hAnsi="Amasis MT Pro Light"/>
          <w:b/>
          <w:bCs/>
          <w:sz w:val="28"/>
          <w:szCs w:val="28"/>
          <w:u w:val="single"/>
        </w:rPr>
        <w:t xml:space="preserve">ption of </w:t>
      </w:r>
      <w:r w:rsidRPr="00280FCF">
        <w:rPr>
          <w:rFonts w:ascii="Amasis MT Pro Light" w:hAnsi="Amasis MT Pro Light"/>
          <w:b/>
          <w:bCs/>
          <w:sz w:val="28"/>
          <w:szCs w:val="28"/>
          <w:u w:val="single"/>
        </w:rPr>
        <w:t>the</w:t>
      </w:r>
      <w:r w:rsidR="002B30DF">
        <w:rPr>
          <w:rFonts w:ascii="Amasis MT Pro Light" w:hAnsi="Amasis MT Pro Light"/>
          <w:b/>
          <w:bCs/>
          <w:sz w:val="28"/>
          <w:szCs w:val="28"/>
          <w:u w:val="single"/>
        </w:rPr>
        <w:t xml:space="preserve"> Sample</w:t>
      </w:r>
      <w:r w:rsidRPr="00280FCF">
        <w:rPr>
          <w:rFonts w:ascii="Amasis MT Pro Light" w:hAnsi="Amasis MT Pro Light"/>
          <w:b/>
          <w:bCs/>
          <w:sz w:val="28"/>
          <w:szCs w:val="28"/>
          <w:u w:val="single"/>
        </w:rPr>
        <w:t xml:space="preserve"> results</w:t>
      </w:r>
    </w:p>
    <w:p w14:paraId="352F3EB1" w14:textId="53340DE1"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w:t>
      </w:r>
      <w:r w:rsidR="006D52C9" w:rsidRPr="00280FCF">
        <w:rPr>
          <w:rFonts w:ascii="Amasis MT Pro Light" w:hAnsi="Amasis MT Pro Light"/>
          <w:b/>
          <w:bCs/>
          <w:sz w:val="28"/>
          <w:szCs w:val="28"/>
          <w:u w:val="single"/>
        </w:rPr>
        <w:t>le</w:t>
      </w:r>
      <w:r w:rsidRPr="00280FCF">
        <w:rPr>
          <w:rFonts w:ascii="Amasis MT Pro Light" w:hAnsi="Amasis MT Pro Light"/>
          <w:b/>
          <w:bCs/>
          <w:sz w:val="28"/>
          <w:szCs w:val="28"/>
          <w:u w:val="single"/>
        </w:rPr>
        <w:t xml:space="preserve"> 1</w:t>
      </w:r>
    </w:p>
    <w:p w14:paraId="09A2BD5E" w14:textId="3EBF5840" w:rsidR="006D52C9" w:rsidRPr="001C3D46" w:rsidRDefault="006D52C9" w:rsidP="006D52C9">
      <w:pPr>
        <w:rPr>
          <w:rFonts w:ascii="Amasis MT Pro Light" w:hAnsi="Amasis MT Pro Light"/>
          <w:sz w:val="28"/>
          <w:szCs w:val="28"/>
        </w:rPr>
      </w:pPr>
      <w:r w:rsidRPr="00280FCF">
        <w:rPr>
          <w:rFonts w:ascii="Amasis MT Pro Light" w:hAnsi="Amasis MT Pro Light"/>
          <w:sz w:val="28"/>
          <w:szCs w:val="28"/>
        </w:rPr>
        <w:t xml:space="preserve">A trophic index value of 10.66 would fall within the range of 0 to 10, indicating a water body with significantly low nutrient levels and a restricted occurrence of algae development. The </w:t>
      </w:r>
      <w:r w:rsidR="000074E9" w:rsidRPr="00280FCF">
        <w:rPr>
          <w:rFonts w:ascii="Amasis MT Pro Light" w:hAnsi="Amasis MT Pro Light"/>
          <w:sz w:val="28"/>
          <w:szCs w:val="28"/>
        </w:rPr>
        <w:t>discovery</w:t>
      </w:r>
      <w:r w:rsidRPr="00280FCF">
        <w:rPr>
          <w:rFonts w:ascii="Amasis MT Pro Light" w:hAnsi="Amasis MT Pro Light"/>
          <w:sz w:val="28"/>
          <w:szCs w:val="28"/>
        </w:rPr>
        <w:t xml:space="preserve"> suggests the existence of an ultraoligotrophic state, characterised by extremely low nutrient levels and limited primary productivity. Water bodies in this specific trophic stage are commonly distinguished by their unspoiled condition and outstanding quality of water. </w:t>
      </w:r>
      <w:r w:rsidRPr="001C3D46">
        <w:rPr>
          <w:rFonts w:ascii="Amasis MT Pro Light" w:hAnsi="Amasis MT Pro Light"/>
          <w:sz w:val="28"/>
          <w:szCs w:val="28"/>
        </w:rPr>
        <w:t>These ecosystems generally support minimal algal growth and exhibit markedly low levels of eutrophication</w:t>
      </w:r>
      <w:r w:rsidR="001C3D46" w:rsidRPr="001C3D46">
        <w:rPr>
          <w:rFonts w:ascii="Amasis MT Pro Light" w:hAnsi="Amasis MT Pro Light"/>
          <w:sz w:val="28"/>
          <w:szCs w:val="28"/>
        </w:rPr>
        <w:t xml:space="preserve"> </w:t>
      </w:r>
      <w:r w:rsidRPr="001C3D46">
        <w:rPr>
          <w:rFonts w:ascii="Amasis MT Pro Light" w:hAnsi="Amasis MT Pro Light"/>
          <w:sz w:val="28"/>
          <w:szCs w:val="28"/>
        </w:rPr>
        <w:t xml:space="preserve"> </w:t>
      </w:r>
      <w:r w:rsidR="001C3D46" w:rsidRPr="001C3D46">
        <w:rPr>
          <w:rFonts w:ascii="Amasis MT Pro Light" w:hAnsi="Amasis MT Pro Light"/>
          <w:sz w:val="28"/>
          <w:szCs w:val="28"/>
        </w:rPr>
        <w:t>a</w:t>
      </w:r>
      <w:r w:rsidRPr="001C3D46">
        <w:rPr>
          <w:rFonts w:ascii="Amasis MT Pro Light" w:hAnsi="Amasis MT Pro Light"/>
          <w:sz w:val="28"/>
          <w:szCs w:val="28"/>
        </w:rPr>
        <w:t>ccording to Ofem et al. (2011)</w:t>
      </w:r>
      <w:r w:rsidR="001C3D46" w:rsidRPr="001C3D46">
        <w:rPr>
          <w:rFonts w:ascii="Amasis MT Pro Light" w:hAnsi="Amasis MT Pro Light"/>
          <w:sz w:val="40"/>
          <w:szCs w:val="40"/>
        </w:rPr>
        <w:t>.</w:t>
      </w:r>
    </w:p>
    <w:p w14:paraId="1D601E5A" w14:textId="43478415" w:rsidR="006D52C9" w:rsidRPr="00280FCF" w:rsidRDefault="006D52C9" w:rsidP="006D52C9">
      <w:pPr>
        <w:rPr>
          <w:rFonts w:ascii="Amasis MT Pro Light" w:hAnsi="Amasis MT Pro Light"/>
          <w:sz w:val="28"/>
          <w:szCs w:val="28"/>
        </w:rPr>
      </w:pPr>
      <w:r w:rsidRPr="001C3D46">
        <w:rPr>
          <w:rFonts w:ascii="Amasis MT Pro Light" w:hAnsi="Amasis MT Pro Light"/>
          <w:sz w:val="28"/>
          <w:szCs w:val="28"/>
        </w:rPr>
        <w:t>This observation implies that the trophic state classification of the system ranges from Oligotrophic to Mid-Eutrophic, which signifies a good state.</w:t>
      </w:r>
    </w:p>
    <w:p w14:paraId="029DB3FE" w14:textId="30B15710" w:rsidR="006D52C9" w:rsidRPr="00280FCF" w:rsidRDefault="00B5087A" w:rsidP="006D52C9">
      <w:pPr>
        <w:rPr>
          <w:rFonts w:ascii="Amasis MT Pro Light" w:hAnsi="Amasis MT Pro Light"/>
          <w:b/>
          <w:bCs/>
          <w:sz w:val="28"/>
          <w:szCs w:val="28"/>
          <w:u w:val="single"/>
        </w:rPr>
      </w:pPr>
      <w:r w:rsidRPr="00280FCF">
        <w:rPr>
          <w:rFonts w:ascii="Amasis MT Pro Light" w:hAnsi="Amasis MT Pro Light"/>
          <w:b/>
          <w:bCs/>
          <w:sz w:val="28"/>
          <w:szCs w:val="28"/>
          <w:u w:val="single"/>
        </w:rPr>
        <w:t>Sample 2</w:t>
      </w:r>
    </w:p>
    <w:p w14:paraId="2BBE8255" w14:textId="77777777" w:rsidR="00E00C5A" w:rsidRPr="00280FCF" w:rsidRDefault="006D52C9" w:rsidP="006D52C9">
      <w:pPr>
        <w:rPr>
          <w:rFonts w:ascii="Amasis MT Pro Light" w:hAnsi="Amasis MT Pro Light"/>
          <w:sz w:val="28"/>
          <w:szCs w:val="28"/>
        </w:rPr>
      </w:pPr>
      <w:r w:rsidRPr="00280FCF">
        <w:rPr>
          <w:rFonts w:ascii="Amasis MT Pro Light" w:hAnsi="Amasis MT Pro Light"/>
          <w:sz w:val="28"/>
          <w:szCs w:val="28"/>
        </w:rPr>
        <w:t xml:space="preserve">Based on the trophic index value of 62.13, it can be inferred that the water body is in a eutrophic condition. This observation suggests that the presence of a considerable quantity of nutrients in the aquatic environment leads to a huge proliferation of algae, potentially harming the overall water quality. </w:t>
      </w:r>
    </w:p>
    <w:p w14:paraId="23EC9CB9" w14:textId="72D18823" w:rsidR="006D52C9" w:rsidRPr="00280FCF" w:rsidRDefault="00E00C5A" w:rsidP="006D52C9">
      <w:pPr>
        <w:rPr>
          <w:rFonts w:ascii="Amasis MT Pro Light" w:hAnsi="Amasis MT Pro Light"/>
          <w:sz w:val="28"/>
          <w:szCs w:val="28"/>
        </w:rPr>
      </w:pPr>
      <w:r w:rsidRPr="00280FCF">
        <w:rPr>
          <w:rFonts w:ascii="Amasis MT Pro Light" w:hAnsi="Amasis MT Pro Light"/>
          <w:sz w:val="28"/>
          <w:szCs w:val="28"/>
        </w:rPr>
        <w:t>E</w:t>
      </w:r>
      <w:r w:rsidR="006D52C9" w:rsidRPr="00280FCF">
        <w:rPr>
          <w:rFonts w:ascii="Amasis MT Pro Light" w:hAnsi="Amasis MT Pro Light"/>
          <w:sz w:val="28"/>
          <w:szCs w:val="28"/>
        </w:rPr>
        <w:t xml:space="preserve">xistence of eutrophic conditions can lead to a range of issues, such as the emergence of algal blooms, reduced oxygen levels, and overall degradation of the aquatic ecosystem. Therefore, a trophic index value of 62.13 would signify the existence of heightened nutrient concentrations in an aquatic ecosystem, implying a probable occurrence of environmental concerns associated with eutrophication </w:t>
      </w:r>
      <w:r w:rsidR="00EC218E" w:rsidRPr="00EC218E">
        <w:rPr>
          <w:rFonts w:ascii="Amasis MT Pro Light" w:hAnsi="Amasis MT Pro Light"/>
          <w:sz w:val="28"/>
          <w:szCs w:val="28"/>
        </w:rPr>
        <w:t>a</w:t>
      </w:r>
      <w:r w:rsidR="006D52C9" w:rsidRPr="00EC218E">
        <w:rPr>
          <w:rFonts w:ascii="Amasis MT Pro Light" w:hAnsi="Amasis MT Pro Light"/>
          <w:sz w:val="28"/>
          <w:szCs w:val="28"/>
        </w:rPr>
        <w:t>ccording to Paerl (2009)</w:t>
      </w:r>
      <w:r w:rsidR="00546059" w:rsidRPr="00EC218E">
        <w:rPr>
          <w:rFonts w:ascii="Amasis MT Pro Light" w:hAnsi="Amasis MT Pro Light"/>
          <w:sz w:val="28"/>
          <w:szCs w:val="28"/>
        </w:rPr>
        <w:t>.</w:t>
      </w:r>
    </w:p>
    <w:p w14:paraId="07633BB9" w14:textId="05DAF0CB" w:rsidR="006D52C9" w:rsidRPr="00280FCF" w:rsidRDefault="006D52C9" w:rsidP="00B5087A">
      <w:pPr>
        <w:rPr>
          <w:rFonts w:ascii="Amasis MT Pro Light" w:hAnsi="Amasis MT Pro Light"/>
          <w:sz w:val="28"/>
          <w:szCs w:val="28"/>
        </w:rPr>
      </w:pPr>
      <w:r w:rsidRPr="00280FCF">
        <w:rPr>
          <w:rFonts w:ascii="Amasis MT Pro Light" w:hAnsi="Amasis MT Pro Light"/>
          <w:sz w:val="28"/>
          <w:szCs w:val="28"/>
        </w:rPr>
        <w:t>This implies that the water's condition can be categorised as Mid-Eutrophic to Eutrophic, signifying a substantial level of nutrient enrichment, and can be deemed satisfactory in relation to water quality.</w:t>
      </w:r>
    </w:p>
    <w:p w14:paraId="626817DA" w14:textId="5DCFC91D"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3</w:t>
      </w:r>
    </w:p>
    <w:p w14:paraId="7F72DA79" w14:textId="21E309B2" w:rsidR="00E00C5A" w:rsidRPr="00280FCF" w:rsidRDefault="006D52C9" w:rsidP="006D52C9">
      <w:pPr>
        <w:rPr>
          <w:rFonts w:ascii="Amasis MT Pro Light" w:hAnsi="Amasis MT Pro Light"/>
          <w:sz w:val="28"/>
          <w:szCs w:val="28"/>
        </w:rPr>
      </w:pPr>
      <w:r w:rsidRPr="00280FCF">
        <w:rPr>
          <w:rFonts w:ascii="Amasis MT Pro Light" w:hAnsi="Amasis MT Pro Light"/>
          <w:sz w:val="28"/>
          <w:szCs w:val="28"/>
        </w:rPr>
        <w:lastRenderedPageBreak/>
        <w:t>Based on the trophic index score of 11.80, it may be inferred that the trophic level is relatively low. This implies that the organism inhabits a trophic level that is in closer proximity to autotrophs, such as plants or algae, rather than higher-level heterotrophs. The</w:t>
      </w:r>
      <w:r w:rsidR="00546059">
        <w:rPr>
          <w:rFonts w:ascii="Amasis MT Pro Light" w:hAnsi="Amasis MT Pro Light"/>
          <w:sz w:val="28"/>
          <w:szCs w:val="28"/>
        </w:rPr>
        <w:t xml:space="preserve"> </w:t>
      </w:r>
      <w:r w:rsidRPr="00280FCF">
        <w:rPr>
          <w:rFonts w:ascii="Amasis MT Pro Light" w:hAnsi="Amasis MT Pro Light"/>
          <w:sz w:val="28"/>
          <w:szCs w:val="28"/>
        </w:rPr>
        <w:t>evidence indicates a comparatively lower trophic level in the ecosystem, indicating that th</w:t>
      </w:r>
      <w:r w:rsidR="00546059">
        <w:rPr>
          <w:rFonts w:ascii="Amasis MT Pro Light" w:hAnsi="Amasis MT Pro Light"/>
          <w:sz w:val="28"/>
          <w:szCs w:val="28"/>
        </w:rPr>
        <w:t>is as a</w:t>
      </w:r>
      <w:r w:rsidRPr="00280FCF">
        <w:rPr>
          <w:rFonts w:ascii="Amasis MT Pro Light" w:hAnsi="Amasis MT Pro Light"/>
          <w:sz w:val="28"/>
          <w:szCs w:val="28"/>
        </w:rPr>
        <w:t xml:space="preserve"> feeding place is closer to the base of the food chain. </w:t>
      </w:r>
    </w:p>
    <w:p w14:paraId="1C5EDDEE" w14:textId="0F245238" w:rsidR="006D52C9" w:rsidRPr="00280FCF" w:rsidRDefault="006D52C9" w:rsidP="006D52C9">
      <w:pPr>
        <w:rPr>
          <w:rFonts w:ascii="Amasis MT Pro Light" w:hAnsi="Amasis MT Pro Light"/>
          <w:sz w:val="28"/>
          <w:szCs w:val="28"/>
        </w:rPr>
      </w:pPr>
      <w:r w:rsidRPr="00280FCF">
        <w:rPr>
          <w:rFonts w:ascii="Amasis MT Pro Light" w:hAnsi="Amasis MT Pro Light"/>
          <w:sz w:val="28"/>
          <w:szCs w:val="28"/>
        </w:rPr>
        <w:t>Trophic levels are a crucial concept within the field of ecology, serving to denote the precise feeding position of an organism within a certain food web. A trophic level value of 11.80 suggests a relatively lower hierarchical position within the food chain, typically held by primary consumers or species that predominantly consume autotrophs. Schneider and Melzer (2003) conducted a study.</w:t>
      </w:r>
    </w:p>
    <w:p w14:paraId="029AF4F3" w14:textId="35FB5439" w:rsidR="006D52C9" w:rsidRPr="00280FCF" w:rsidRDefault="006D52C9" w:rsidP="006D52C9">
      <w:pPr>
        <w:rPr>
          <w:rFonts w:ascii="Amasis MT Pro Light" w:hAnsi="Amasis MT Pro Light"/>
          <w:sz w:val="28"/>
          <w:szCs w:val="28"/>
        </w:rPr>
      </w:pPr>
      <w:r w:rsidRPr="00280FCF">
        <w:rPr>
          <w:rFonts w:ascii="Amasis MT Pro Light" w:hAnsi="Amasis MT Pro Light"/>
          <w:sz w:val="28"/>
          <w:szCs w:val="28"/>
        </w:rPr>
        <w:t>This implies that the body of water under consideration exhibits hyper eutrophication, leading to a decline in the overall quality of the water.</w:t>
      </w:r>
    </w:p>
    <w:p w14:paraId="3FFBE936" w14:textId="2EA1C653" w:rsidR="00B5087A"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4</w:t>
      </w:r>
    </w:p>
    <w:p w14:paraId="15B63813" w14:textId="77777777" w:rsidR="00D22ED6"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A trophic index value of 86.87 indicates a water body that is in a very eutrophic condition. This observation suggests that the aquatic environment contains a significant amount of nutrients, resulting in a substantial growth of algae and perhaps compromising the overall quality of the water. </w:t>
      </w:r>
    </w:p>
    <w:p w14:paraId="45DBCCA8" w14:textId="21452BFF" w:rsidR="00582A19"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The presence of eutrophic conditions can give rise to various problems, including the occurrence of algal blooms, diminished levels of oxygen, and the overall deterioration of the aquatic ecosystem. Hence, a trophic index value of 86.87 would indicate a water body characterised by elevated nutrient levels and a likelihood of environmental issues related to eutrophication </w:t>
      </w:r>
      <w:r w:rsidR="00E7513F" w:rsidRPr="00C963AB">
        <w:rPr>
          <w:rFonts w:ascii="Amasis MT Pro Light" w:hAnsi="Amasis MT Pro Light"/>
          <w:sz w:val="28"/>
          <w:szCs w:val="28"/>
          <w:highlight w:val="green"/>
        </w:rPr>
        <w:t>(</w:t>
      </w:r>
      <w:r w:rsidRPr="00280FCF">
        <w:rPr>
          <w:rFonts w:ascii="Amasis MT Pro Light" w:hAnsi="Amasis MT Pro Light"/>
          <w:sz w:val="28"/>
          <w:szCs w:val="28"/>
        </w:rPr>
        <w:t>Smith et al.</w:t>
      </w:r>
      <w:r w:rsidR="00E7513F">
        <w:rPr>
          <w:rFonts w:ascii="Amasis MT Pro Light" w:hAnsi="Amasis MT Pro Light"/>
          <w:sz w:val="28"/>
          <w:szCs w:val="28"/>
        </w:rPr>
        <w:t>,</w:t>
      </w:r>
      <w:r w:rsidRPr="00280FCF">
        <w:rPr>
          <w:rFonts w:ascii="Amasis MT Pro Light" w:hAnsi="Amasis MT Pro Light"/>
          <w:sz w:val="28"/>
          <w:szCs w:val="28"/>
        </w:rPr>
        <w:t xml:space="preserve"> 1999)</w:t>
      </w:r>
      <w:r w:rsidR="00E7513F">
        <w:rPr>
          <w:rFonts w:ascii="Amasis MT Pro Light" w:hAnsi="Amasis MT Pro Light"/>
          <w:sz w:val="28"/>
          <w:szCs w:val="28"/>
        </w:rPr>
        <w:t>.</w:t>
      </w:r>
    </w:p>
    <w:p w14:paraId="487B9509" w14:textId="2FD08DEE" w:rsidR="00582A19" w:rsidRPr="00280FCF" w:rsidRDefault="00582A19" w:rsidP="00B5087A">
      <w:pPr>
        <w:rPr>
          <w:rFonts w:ascii="Amasis MT Pro Light" w:hAnsi="Amasis MT Pro Light"/>
          <w:sz w:val="28"/>
          <w:szCs w:val="28"/>
        </w:rPr>
      </w:pPr>
      <w:r w:rsidRPr="00280FCF">
        <w:rPr>
          <w:rFonts w:ascii="Amasis MT Pro Light" w:hAnsi="Amasis MT Pro Light"/>
          <w:sz w:val="28"/>
          <w:szCs w:val="28"/>
        </w:rPr>
        <w:t xml:space="preserve">Moreover, </w:t>
      </w:r>
      <w:r w:rsidR="00EC218E" w:rsidRPr="00EC218E">
        <w:rPr>
          <w:rFonts w:ascii="Amasis MT Pro Light" w:hAnsi="Amasis MT Pro Light"/>
          <w:sz w:val="28"/>
          <w:szCs w:val="28"/>
        </w:rPr>
        <w:t>this would</w:t>
      </w:r>
      <w:r w:rsidRPr="00EC218E">
        <w:rPr>
          <w:rFonts w:ascii="Amasis MT Pro Light" w:hAnsi="Amasis MT Pro Light"/>
          <w:sz w:val="28"/>
          <w:szCs w:val="28"/>
        </w:rPr>
        <w:t xml:space="preserve"> indicate</w:t>
      </w:r>
      <w:r w:rsidRPr="00280FCF">
        <w:rPr>
          <w:rFonts w:ascii="Amasis MT Pro Light" w:hAnsi="Amasis MT Pro Light"/>
          <w:sz w:val="28"/>
          <w:szCs w:val="28"/>
        </w:rPr>
        <w:t xml:space="preserve"> </w:t>
      </w:r>
      <w:r w:rsidR="00546059">
        <w:rPr>
          <w:rFonts w:ascii="Amasis MT Pro Light" w:hAnsi="Amasis MT Pro Light"/>
          <w:sz w:val="28"/>
          <w:szCs w:val="28"/>
        </w:rPr>
        <w:t>is</w:t>
      </w:r>
      <w:r w:rsidRPr="00280FCF">
        <w:rPr>
          <w:rFonts w:ascii="Amasis MT Pro Light" w:hAnsi="Amasis MT Pro Light"/>
          <w:sz w:val="28"/>
          <w:szCs w:val="28"/>
        </w:rPr>
        <w:t xml:space="preserve"> the body of water in question is hypereutrophic.</w:t>
      </w:r>
    </w:p>
    <w:p w14:paraId="2C85B79D" w14:textId="1E65C97F" w:rsidR="00582A19" w:rsidRPr="00280FCF" w:rsidRDefault="00B5087A"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Sample 5</w:t>
      </w:r>
    </w:p>
    <w:p w14:paraId="1A5AAA42" w14:textId="77777777" w:rsidR="00D22ED6" w:rsidRPr="00280FCF" w:rsidRDefault="00582A19" w:rsidP="00582A19">
      <w:pPr>
        <w:rPr>
          <w:rFonts w:ascii="Amasis MT Pro Light" w:hAnsi="Amasis MT Pro Light"/>
          <w:sz w:val="28"/>
          <w:szCs w:val="28"/>
        </w:rPr>
      </w:pPr>
      <w:r w:rsidRPr="00280FCF">
        <w:rPr>
          <w:rFonts w:ascii="Amasis MT Pro Light" w:hAnsi="Amasis MT Pro Light"/>
          <w:sz w:val="28"/>
          <w:szCs w:val="28"/>
        </w:rPr>
        <w:t xml:space="preserve">On this occasion, A trophic index value of 64.84 signifies that the water body is in a condition of eutrophication. The </w:t>
      </w:r>
      <w:r w:rsidR="009860C6" w:rsidRPr="00280FCF">
        <w:rPr>
          <w:rFonts w:ascii="Amasis MT Pro Light" w:hAnsi="Amasis MT Pro Light"/>
          <w:sz w:val="28"/>
          <w:szCs w:val="28"/>
        </w:rPr>
        <w:t>discovery</w:t>
      </w:r>
      <w:r w:rsidRPr="00280FCF">
        <w:rPr>
          <w:rFonts w:ascii="Amasis MT Pro Light" w:hAnsi="Amasis MT Pro Light"/>
          <w:sz w:val="28"/>
          <w:szCs w:val="28"/>
        </w:rPr>
        <w:t xml:space="preserve"> implies that the aquatic environment exhibits a notable presence of nutrients, leading to a considerable proliferation of algae and perhaps degrading the overall water quality. </w:t>
      </w:r>
    </w:p>
    <w:p w14:paraId="2185F820" w14:textId="52EAC83D" w:rsidR="00582A19" w:rsidRPr="00280FCF" w:rsidRDefault="00D22ED6" w:rsidP="00C963AB">
      <w:pPr>
        <w:rPr>
          <w:rFonts w:ascii="Amasis MT Pro Light" w:hAnsi="Amasis MT Pro Light"/>
          <w:sz w:val="28"/>
          <w:szCs w:val="28"/>
        </w:rPr>
      </w:pPr>
      <w:r w:rsidRPr="00280FCF">
        <w:rPr>
          <w:rFonts w:ascii="Amasis MT Pro Light" w:hAnsi="Amasis MT Pro Light"/>
          <w:sz w:val="28"/>
          <w:szCs w:val="28"/>
        </w:rPr>
        <w:lastRenderedPageBreak/>
        <w:t>O</w:t>
      </w:r>
      <w:r w:rsidR="00582A19" w:rsidRPr="00280FCF">
        <w:rPr>
          <w:rFonts w:ascii="Amasis MT Pro Light" w:hAnsi="Amasis MT Pro Light"/>
          <w:sz w:val="28"/>
          <w:szCs w:val="28"/>
        </w:rPr>
        <w:t>ccurrence of eutrophic conditions can lead to a range of issues, such as the expansion of algal blooms, reduced oxygen levels, and general degradation of the aquatic ecosystem. According to the study conducted by Moal et al. (2019),</w:t>
      </w:r>
      <w:r w:rsidR="00C963AB">
        <w:rPr>
          <w:rFonts w:ascii="Amasis MT Pro Light" w:hAnsi="Amasis MT Pro Light"/>
          <w:sz w:val="28"/>
          <w:szCs w:val="28"/>
        </w:rPr>
        <w:t xml:space="preserve"> </w:t>
      </w:r>
      <w:r w:rsidR="00C963AB" w:rsidRPr="00C963AB">
        <w:rPr>
          <w:rFonts w:ascii="Amasis MT Pro Light" w:hAnsi="Amasis MT Pro Light"/>
          <w:sz w:val="28"/>
          <w:szCs w:val="28"/>
          <w:highlight w:val="green"/>
        </w:rPr>
        <w:t>t</w:t>
      </w:r>
      <w:r w:rsidR="00582A19" w:rsidRPr="00280FCF">
        <w:rPr>
          <w:rFonts w:ascii="Amasis MT Pro Light" w:hAnsi="Amasis MT Pro Light"/>
          <w:sz w:val="28"/>
          <w:szCs w:val="28"/>
        </w:rPr>
        <w:t>his observation suggests that the water quality falls within the spectrum of mid-eutrophic to eutrophic conditions, warranting a classification of fair.</w:t>
      </w:r>
    </w:p>
    <w:p w14:paraId="34ACBE5D" w14:textId="33583CA6" w:rsidR="008A60D9" w:rsidRDefault="00582A19" w:rsidP="00B5087A">
      <w:pPr>
        <w:rPr>
          <w:rFonts w:ascii="Amasis MT Pro Light" w:hAnsi="Amasis MT Pro Light"/>
          <w:b/>
          <w:bCs/>
          <w:sz w:val="28"/>
          <w:szCs w:val="28"/>
          <w:u w:val="single"/>
        </w:rPr>
      </w:pPr>
      <w:r w:rsidRPr="00280FCF">
        <w:rPr>
          <w:rFonts w:ascii="Amasis MT Pro Light" w:hAnsi="Amasis MT Pro Light"/>
          <w:b/>
          <w:bCs/>
          <w:sz w:val="28"/>
          <w:szCs w:val="28"/>
          <w:u w:val="single"/>
        </w:rPr>
        <w:t>Question 2A</w:t>
      </w:r>
    </w:p>
    <w:p w14:paraId="0E0B9230" w14:textId="4F8C9FA9" w:rsidR="00127418" w:rsidRDefault="00127418" w:rsidP="00127418">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 xml:space="preserve">Monitoring surface waters and groundwater is essential for a multitude of scientific purposes. Modelling the quality of surface water has become crucial </w:t>
      </w:r>
      <w:r w:rsidR="00546059" w:rsidRPr="00127418">
        <w:rPr>
          <w:rFonts w:ascii="Amasis MT Pro Light" w:hAnsi="Amasis MT Pro Light"/>
          <w:sz w:val="28"/>
          <w:szCs w:val="28"/>
        </w:rPr>
        <w:t>to</w:t>
      </w:r>
      <w:r w:rsidRPr="00127418">
        <w:rPr>
          <w:rFonts w:ascii="Amasis MT Pro Light" w:hAnsi="Amasis MT Pro Light"/>
          <w:sz w:val="28"/>
          <w:szCs w:val="28"/>
        </w:rPr>
        <w:t xml:space="preserve"> comprehend the processes of aquatic and riparian ecosystems at various levels (Lindenschmidt, 2023).</w:t>
      </w:r>
    </w:p>
    <w:p w14:paraId="62BF650E" w14:textId="77777777" w:rsidR="00127418" w:rsidRDefault="00127418" w:rsidP="00127418">
      <w:pPr>
        <w:pStyle w:val="ListParagraph"/>
        <w:rPr>
          <w:rFonts w:ascii="Amasis MT Pro Light" w:hAnsi="Amasis MT Pro Light"/>
          <w:sz w:val="28"/>
          <w:szCs w:val="28"/>
        </w:rPr>
      </w:pPr>
    </w:p>
    <w:p w14:paraId="1217593B" w14:textId="5C44E2CA" w:rsidR="00127418" w:rsidRDefault="00127418" w:rsidP="00127418">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It</w:t>
      </w:r>
      <w:r w:rsidR="00DB3D90">
        <w:rPr>
          <w:rFonts w:ascii="Amasis MT Pro Light" w:hAnsi="Amasis MT Pro Light"/>
          <w:sz w:val="28"/>
          <w:szCs w:val="28"/>
        </w:rPr>
        <w:t xml:space="preserve"> shall</w:t>
      </w:r>
      <w:r w:rsidRPr="00127418">
        <w:rPr>
          <w:rFonts w:ascii="Amasis MT Pro Light" w:hAnsi="Amasis MT Pro Light"/>
          <w:sz w:val="28"/>
          <w:szCs w:val="28"/>
        </w:rPr>
        <w:t xml:space="preserve"> aid in measuring the amount of water resources available and reducing the effects of extreme hydrological and climatic events (Uereyen &amp; Kuenzer, 2019).</w:t>
      </w:r>
    </w:p>
    <w:p w14:paraId="1890C525" w14:textId="77777777" w:rsidR="00127418" w:rsidRPr="004152CA" w:rsidRDefault="00127418" w:rsidP="004152CA">
      <w:pPr>
        <w:rPr>
          <w:rFonts w:ascii="Amasis MT Pro Light" w:hAnsi="Amasis MT Pro Light"/>
          <w:sz w:val="28"/>
          <w:szCs w:val="28"/>
        </w:rPr>
      </w:pPr>
    </w:p>
    <w:p w14:paraId="34201CDB" w14:textId="383E9DE5" w:rsidR="00DB3D90" w:rsidRPr="00DB3D90" w:rsidRDefault="00127418" w:rsidP="00DB3D90">
      <w:pPr>
        <w:pStyle w:val="ListParagraph"/>
        <w:numPr>
          <w:ilvl w:val="0"/>
          <w:numId w:val="2"/>
        </w:numPr>
        <w:rPr>
          <w:rFonts w:ascii="Amasis MT Pro Light" w:hAnsi="Amasis MT Pro Light"/>
          <w:sz w:val="28"/>
          <w:szCs w:val="28"/>
        </w:rPr>
      </w:pPr>
      <w:r w:rsidRPr="00127418">
        <w:rPr>
          <w:rFonts w:ascii="Amasis MT Pro Light" w:hAnsi="Amasis MT Pro Light"/>
          <w:sz w:val="28"/>
          <w:szCs w:val="28"/>
        </w:rPr>
        <w:t>It is crucial to monitor surface waters and groundwater for environmental parameters, indicator bacteria, and viral tracers in order to evaluate the microbial water quality and the consequences of malfunctioning onsite wastewater treatment systems (Conn et al., 2011).</w:t>
      </w:r>
    </w:p>
    <w:p w14:paraId="74B3E333" w14:textId="77777777" w:rsidR="00DB3D90" w:rsidRPr="00DB3D90" w:rsidRDefault="00DB3D90" w:rsidP="00DB3D90">
      <w:pPr>
        <w:pStyle w:val="ListParagraph"/>
        <w:rPr>
          <w:rFonts w:ascii="Amasis MT Pro Light" w:hAnsi="Amasis MT Pro Light"/>
          <w:sz w:val="28"/>
          <w:szCs w:val="28"/>
        </w:rPr>
      </w:pPr>
    </w:p>
    <w:p w14:paraId="47C68645" w14:textId="25617F72" w:rsidR="00582A19" w:rsidRPr="00280FCF" w:rsidRDefault="002A5099" w:rsidP="00582A19">
      <w:pPr>
        <w:pStyle w:val="ListParagraph"/>
        <w:numPr>
          <w:ilvl w:val="0"/>
          <w:numId w:val="2"/>
        </w:numPr>
        <w:rPr>
          <w:rFonts w:ascii="Amasis MT Pro Light" w:hAnsi="Amasis MT Pro Light"/>
          <w:sz w:val="28"/>
          <w:szCs w:val="28"/>
        </w:rPr>
      </w:pPr>
      <w:r w:rsidRPr="00B417BB">
        <w:rPr>
          <w:rFonts w:ascii="Amasis MT Pro Light" w:hAnsi="Amasis MT Pro Light"/>
          <w:sz w:val="28"/>
          <w:szCs w:val="28"/>
        </w:rPr>
        <w:t>G</w:t>
      </w:r>
      <w:r w:rsidR="00582A19" w:rsidRPr="00B417BB">
        <w:rPr>
          <w:rFonts w:ascii="Amasis MT Pro Light" w:hAnsi="Amasis MT Pro Light"/>
          <w:sz w:val="28"/>
          <w:szCs w:val="28"/>
        </w:rPr>
        <w:t>roundwater</w:t>
      </w:r>
      <w:r w:rsidR="00582A19" w:rsidRPr="00280FCF">
        <w:rPr>
          <w:rFonts w:ascii="Amasis MT Pro Light" w:hAnsi="Amasis MT Pro Light"/>
          <w:sz w:val="28"/>
          <w:szCs w:val="28"/>
        </w:rPr>
        <w:t xml:space="preserve"> contamination,</w:t>
      </w:r>
      <w:r w:rsidRPr="00280FCF">
        <w:rPr>
          <w:rFonts w:ascii="Amasis MT Pro Light" w:hAnsi="Amasis MT Pro Light"/>
          <w:sz w:val="28"/>
          <w:szCs w:val="28"/>
        </w:rPr>
        <w:t xml:space="preserve"> and</w:t>
      </w:r>
      <w:r w:rsidR="00582A19" w:rsidRPr="00280FCF">
        <w:rPr>
          <w:rFonts w:ascii="Amasis MT Pro Light" w:hAnsi="Amasis MT Pro Light"/>
          <w:sz w:val="28"/>
          <w:szCs w:val="28"/>
        </w:rPr>
        <w:t xml:space="preserve"> the assessment of the potential harm </w:t>
      </w:r>
      <w:r w:rsidRPr="00280FCF">
        <w:rPr>
          <w:rFonts w:ascii="Amasis MT Pro Light" w:hAnsi="Amasis MT Pro Light"/>
          <w:sz w:val="28"/>
          <w:szCs w:val="28"/>
        </w:rPr>
        <w:t xml:space="preserve">is </w:t>
      </w:r>
      <w:r w:rsidR="00582A19" w:rsidRPr="00280FCF">
        <w:rPr>
          <w:rFonts w:ascii="Amasis MT Pro Light" w:hAnsi="Amasis MT Pro Light"/>
          <w:sz w:val="28"/>
          <w:szCs w:val="28"/>
        </w:rPr>
        <w:t>caused by sources of pollution</w:t>
      </w:r>
      <w:r w:rsidR="008A60D9" w:rsidRPr="00280FCF">
        <w:rPr>
          <w:rFonts w:ascii="Amasis MT Pro Light" w:hAnsi="Amasis MT Pro Light"/>
          <w:sz w:val="28"/>
          <w:szCs w:val="28"/>
        </w:rPr>
        <w:t>.</w:t>
      </w:r>
      <w:r w:rsidR="00582A19" w:rsidRPr="00280FCF">
        <w:rPr>
          <w:rFonts w:ascii="Amasis MT Pro Light" w:hAnsi="Amasis MT Pro Light"/>
          <w:sz w:val="28"/>
          <w:szCs w:val="28"/>
        </w:rPr>
        <w:t xml:space="preserve"> groundwater contamination threats and the assessment of groundwater </w:t>
      </w:r>
      <w:r w:rsidR="00670150">
        <w:rPr>
          <w:rFonts w:ascii="Amasis MT Pro Light" w:hAnsi="Amasis MT Pro Light"/>
          <w:sz w:val="28"/>
          <w:szCs w:val="28"/>
        </w:rPr>
        <w:t xml:space="preserve">likelihood </w:t>
      </w:r>
      <w:r w:rsidR="00582A19" w:rsidRPr="00280FCF">
        <w:rPr>
          <w:rFonts w:ascii="Amasis MT Pro Light" w:hAnsi="Amasis MT Pro Light"/>
          <w:sz w:val="28"/>
          <w:szCs w:val="28"/>
        </w:rPr>
        <w:t xml:space="preserve">contributions to comprehending the impact of waste characteristics on </w:t>
      </w:r>
      <w:r w:rsidR="008A60D9" w:rsidRPr="00280FCF">
        <w:rPr>
          <w:rFonts w:ascii="Amasis MT Pro Light" w:hAnsi="Amasis MT Pro Light"/>
          <w:sz w:val="28"/>
          <w:szCs w:val="28"/>
        </w:rPr>
        <w:t>water</w:t>
      </w:r>
      <w:r w:rsidR="00582A19" w:rsidRPr="00280FCF">
        <w:rPr>
          <w:rFonts w:ascii="Amasis MT Pro Light" w:hAnsi="Amasis MT Pro Light"/>
          <w:sz w:val="28"/>
          <w:szCs w:val="28"/>
        </w:rPr>
        <w:t xml:space="preserve"> ecosystems</w:t>
      </w:r>
      <w:r w:rsidR="00670150">
        <w:rPr>
          <w:rFonts w:ascii="Amasis MT Pro Light" w:hAnsi="Amasis MT Pro Light"/>
          <w:sz w:val="28"/>
          <w:szCs w:val="28"/>
        </w:rPr>
        <w:t>;</w:t>
      </w:r>
      <w:r w:rsidR="00582A19" w:rsidRPr="00280FCF">
        <w:rPr>
          <w:rFonts w:ascii="Amasis MT Pro Light" w:hAnsi="Amasis MT Pro Light"/>
          <w:sz w:val="28"/>
          <w:szCs w:val="28"/>
        </w:rPr>
        <w:t xml:space="preserve"> According to the study conducted by Ouedraogo et al. (2020).</w:t>
      </w:r>
    </w:p>
    <w:p w14:paraId="2619D58B" w14:textId="77777777" w:rsidR="00582A19" w:rsidRPr="00280FCF" w:rsidRDefault="00582A19" w:rsidP="00582A19">
      <w:pPr>
        <w:pStyle w:val="ListParagraph"/>
        <w:rPr>
          <w:rFonts w:ascii="Amasis MT Pro Light" w:hAnsi="Amasis MT Pro Light"/>
          <w:sz w:val="28"/>
          <w:szCs w:val="28"/>
        </w:rPr>
      </w:pPr>
    </w:p>
    <w:p w14:paraId="4821EC1E" w14:textId="6EE1ABFD" w:rsidR="00582A19" w:rsidRDefault="00582A19" w:rsidP="00582A19">
      <w:pPr>
        <w:pStyle w:val="ListParagraph"/>
        <w:numPr>
          <w:ilvl w:val="0"/>
          <w:numId w:val="2"/>
        </w:numPr>
        <w:rPr>
          <w:rFonts w:ascii="Amasis MT Pro Light" w:hAnsi="Amasis MT Pro Light"/>
          <w:sz w:val="28"/>
          <w:szCs w:val="28"/>
        </w:rPr>
      </w:pPr>
      <w:r w:rsidRPr="00EC218E">
        <w:rPr>
          <w:rFonts w:ascii="Amasis MT Pro Light" w:hAnsi="Amasis MT Pro Light"/>
          <w:sz w:val="28"/>
          <w:szCs w:val="28"/>
        </w:rPr>
        <w:t>According</w:t>
      </w:r>
      <w:r w:rsidRPr="00B417BB">
        <w:rPr>
          <w:rFonts w:ascii="Amasis MT Pro Light" w:hAnsi="Amasis MT Pro Light"/>
          <w:sz w:val="28"/>
          <w:szCs w:val="28"/>
        </w:rPr>
        <w:t xml:space="preserve"> to Series (1991), </w:t>
      </w:r>
      <w:r w:rsidR="00670150" w:rsidRPr="00B417BB">
        <w:rPr>
          <w:rFonts w:ascii="Amasis MT Pro Light" w:hAnsi="Amasis MT Pro Light"/>
          <w:sz w:val="28"/>
          <w:szCs w:val="28"/>
        </w:rPr>
        <w:t xml:space="preserve"> </w:t>
      </w:r>
      <w:r w:rsidRPr="00B417BB">
        <w:rPr>
          <w:rFonts w:ascii="Amasis MT Pro Light" w:hAnsi="Amasis MT Pro Light"/>
          <w:sz w:val="28"/>
          <w:szCs w:val="28"/>
        </w:rPr>
        <w:t>the selection of marine organisms for human use is contingent upon various parameters, including pH, oxygen solubility, temperature, and nutrient concentrations. Johansson et al. (1999) have emphasised that the existence of supplementary impurities in water sources has the potential to give rise to health risks.</w:t>
      </w:r>
    </w:p>
    <w:p w14:paraId="0C089831" w14:textId="77777777" w:rsidR="00DB3D90" w:rsidRPr="00DB3D90" w:rsidRDefault="00DB3D90" w:rsidP="00DB3D90">
      <w:pPr>
        <w:pStyle w:val="ListParagraph"/>
        <w:rPr>
          <w:rFonts w:ascii="Amasis MT Pro Light" w:hAnsi="Amasis MT Pro Light"/>
          <w:sz w:val="28"/>
          <w:szCs w:val="28"/>
        </w:rPr>
      </w:pPr>
    </w:p>
    <w:p w14:paraId="2935B25E" w14:textId="77777777" w:rsidR="00DB3D90" w:rsidRPr="00B417BB" w:rsidRDefault="00DB3D90" w:rsidP="00DB3D90">
      <w:pPr>
        <w:pStyle w:val="ListParagraph"/>
        <w:rPr>
          <w:rFonts w:ascii="Amasis MT Pro Light" w:hAnsi="Amasis MT Pro Light"/>
          <w:sz w:val="28"/>
          <w:szCs w:val="28"/>
        </w:rPr>
      </w:pPr>
    </w:p>
    <w:p w14:paraId="586C24B2" w14:textId="77777777" w:rsidR="00582A19" w:rsidRPr="00B417BB" w:rsidRDefault="00582A19" w:rsidP="00582A19">
      <w:pPr>
        <w:pStyle w:val="ListParagraph"/>
        <w:rPr>
          <w:rFonts w:ascii="Amasis MT Pro Light" w:hAnsi="Amasis MT Pro Light"/>
          <w:sz w:val="28"/>
          <w:szCs w:val="28"/>
        </w:rPr>
      </w:pPr>
    </w:p>
    <w:p w14:paraId="24A36943" w14:textId="77777777" w:rsidR="00DB3D90" w:rsidRDefault="00DB3D90" w:rsidP="00DB3D90">
      <w:pPr>
        <w:pStyle w:val="ListParagraph"/>
        <w:rPr>
          <w:rFonts w:ascii="Amasis MT Pro Light" w:hAnsi="Amasis MT Pro Light"/>
          <w:sz w:val="28"/>
          <w:szCs w:val="28"/>
        </w:rPr>
      </w:pPr>
    </w:p>
    <w:p w14:paraId="47C8ACC9" w14:textId="7831AC14" w:rsidR="00582A19" w:rsidRPr="001B081E" w:rsidRDefault="00582A19" w:rsidP="00582A19">
      <w:pPr>
        <w:pStyle w:val="ListParagraph"/>
        <w:numPr>
          <w:ilvl w:val="0"/>
          <w:numId w:val="2"/>
        </w:numPr>
        <w:rPr>
          <w:rFonts w:ascii="Amasis MT Pro Light" w:hAnsi="Amasis MT Pro Light"/>
          <w:sz w:val="28"/>
          <w:szCs w:val="28"/>
        </w:rPr>
      </w:pPr>
      <w:r w:rsidRPr="001B081E">
        <w:rPr>
          <w:rFonts w:ascii="Amasis MT Pro Light" w:hAnsi="Amasis MT Pro Light"/>
          <w:sz w:val="28"/>
          <w:szCs w:val="28"/>
        </w:rPr>
        <w:t>Based on the further evidence provided by Cohen et al. (1986), it has been noticed that the absence of regulation in industrial and agricultural practises can result in the introduction of various contaminants into water bodies. The contaminants encompass a range of substances, such as insecticides, chemical compounds, and heavy metals.</w:t>
      </w:r>
    </w:p>
    <w:p w14:paraId="789978FA" w14:textId="77777777" w:rsidR="00582A19" w:rsidRPr="001B081E" w:rsidRDefault="00582A19" w:rsidP="00582A19">
      <w:pPr>
        <w:pStyle w:val="ListParagraph"/>
        <w:rPr>
          <w:rFonts w:ascii="Amasis MT Pro Light" w:hAnsi="Amasis MT Pro Light"/>
          <w:sz w:val="28"/>
          <w:szCs w:val="28"/>
        </w:rPr>
      </w:pPr>
    </w:p>
    <w:p w14:paraId="32C3067B" w14:textId="286622E1" w:rsidR="00582A19" w:rsidRPr="001B081E" w:rsidRDefault="00582A19" w:rsidP="00582A19">
      <w:pPr>
        <w:pStyle w:val="ListParagraph"/>
        <w:numPr>
          <w:ilvl w:val="0"/>
          <w:numId w:val="2"/>
        </w:numPr>
        <w:rPr>
          <w:rFonts w:ascii="Amasis MT Pro Light" w:hAnsi="Amasis MT Pro Light"/>
          <w:sz w:val="28"/>
          <w:szCs w:val="28"/>
        </w:rPr>
      </w:pPr>
      <w:r w:rsidRPr="001B081E">
        <w:rPr>
          <w:rFonts w:ascii="Amasis MT Pro Light" w:hAnsi="Amasis MT Pro Light"/>
          <w:sz w:val="28"/>
          <w:szCs w:val="28"/>
        </w:rPr>
        <w:t xml:space="preserve">It is crucial to employ documentation of monitoring programmes, which include data from surface water bodies at a macroscopic scale, as stated by Aries et al. (2020), to preserve this vital resource. </w:t>
      </w:r>
    </w:p>
    <w:p w14:paraId="7EDC79AB" w14:textId="77777777" w:rsidR="00582A19" w:rsidRPr="001B081E" w:rsidRDefault="00582A19" w:rsidP="00582A19">
      <w:pPr>
        <w:pStyle w:val="ListParagraph"/>
        <w:rPr>
          <w:rFonts w:ascii="Amasis MT Pro Light" w:hAnsi="Amasis MT Pro Light"/>
          <w:sz w:val="28"/>
          <w:szCs w:val="28"/>
        </w:rPr>
      </w:pPr>
    </w:p>
    <w:p w14:paraId="561DCF1B" w14:textId="47FC3724" w:rsidR="004152CA" w:rsidRPr="001B081E" w:rsidRDefault="00582A19" w:rsidP="004152CA">
      <w:pPr>
        <w:pStyle w:val="ListParagraph"/>
        <w:numPr>
          <w:ilvl w:val="0"/>
          <w:numId w:val="2"/>
        </w:numPr>
        <w:rPr>
          <w:rFonts w:ascii="Amasis MT Pro Light" w:hAnsi="Amasis MT Pro Light"/>
          <w:sz w:val="28"/>
          <w:szCs w:val="28"/>
        </w:rPr>
      </w:pPr>
      <w:r w:rsidRPr="001B081E">
        <w:rPr>
          <w:rFonts w:ascii="Amasis MT Pro Light" w:hAnsi="Amasis MT Pro Light"/>
          <w:sz w:val="28"/>
          <w:szCs w:val="28"/>
        </w:rPr>
        <w:t xml:space="preserve">Fifthly, the monitoring of water availability and </w:t>
      </w:r>
      <w:r w:rsidR="00670150" w:rsidRPr="001B081E">
        <w:rPr>
          <w:rFonts w:ascii="Amasis MT Pro Light" w:hAnsi="Amasis MT Pro Light"/>
          <w:sz w:val="28"/>
          <w:szCs w:val="28"/>
        </w:rPr>
        <w:t>movements in</w:t>
      </w:r>
      <w:r w:rsidRPr="001B081E">
        <w:rPr>
          <w:rFonts w:ascii="Amasis MT Pro Light" w:hAnsi="Amasis MT Pro Light"/>
          <w:sz w:val="28"/>
          <w:szCs w:val="28"/>
        </w:rPr>
        <w:t xml:space="preserve"> water levels is of utmost importance in order to have a comprehensive understanding of the dynamics of water transport within</w:t>
      </w:r>
      <w:r w:rsidR="00D22ED6" w:rsidRPr="001B081E">
        <w:rPr>
          <w:rFonts w:ascii="Amasis MT Pro Light" w:hAnsi="Amasis MT Pro Light"/>
          <w:sz w:val="28"/>
          <w:szCs w:val="28"/>
        </w:rPr>
        <w:t xml:space="preserve"> underground layer of water</w:t>
      </w:r>
      <w:r w:rsidRPr="001B081E">
        <w:rPr>
          <w:rFonts w:ascii="Amasis MT Pro Light" w:hAnsi="Amasis MT Pro Light"/>
          <w:sz w:val="28"/>
          <w:szCs w:val="28"/>
        </w:rPr>
        <w:t xml:space="preserve"> </w:t>
      </w:r>
      <w:r w:rsidR="00D22ED6" w:rsidRPr="001B081E">
        <w:rPr>
          <w:rFonts w:ascii="Amasis MT Pro Light" w:hAnsi="Amasis MT Pro Light"/>
          <w:sz w:val="28"/>
          <w:szCs w:val="28"/>
        </w:rPr>
        <w:t>(</w:t>
      </w:r>
      <w:r w:rsidRPr="001B081E">
        <w:rPr>
          <w:rFonts w:ascii="Amasis MT Pro Light" w:hAnsi="Amasis MT Pro Light"/>
          <w:sz w:val="28"/>
          <w:szCs w:val="28"/>
        </w:rPr>
        <w:t>aquifers</w:t>
      </w:r>
      <w:r w:rsidR="00D22ED6" w:rsidRPr="001B081E">
        <w:rPr>
          <w:rFonts w:ascii="Amasis MT Pro Light" w:hAnsi="Amasis MT Pro Light"/>
          <w:sz w:val="28"/>
          <w:szCs w:val="28"/>
        </w:rPr>
        <w:t>)</w:t>
      </w:r>
      <w:r w:rsidR="00EC218E" w:rsidRPr="001B081E">
        <w:rPr>
          <w:rFonts w:ascii="Amasis MT Pro Light" w:hAnsi="Amasis MT Pro Light"/>
          <w:sz w:val="28"/>
          <w:szCs w:val="28"/>
        </w:rPr>
        <w:t xml:space="preserve"> </w:t>
      </w:r>
      <w:r w:rsidR="001B081E" w:rsidRPr="001B081E">
        <w:rPr>
          <w:rFonts w:ascii="Amasis MT Pro Light" w:hAnsi="Amasis MT Pro Light"/>
          <w:sz w:val="28"/>
          <w:szCs w:val="28"/>
        </w:rPr>
        <w:t>i</w:t>
      </w:r>
      <w:r w:rsidRPr="001B081E">
        <w:rPr>
          <w:rFonts w:ascii="Amasis MT Pro Light" w:hAnsi="Amasis MT Pro Light"/>
          <w:sz w:val="28"/>
          <w:szCs w:val="28"/>
        </w:rPr>
        <w:t>n the study conducted by Harvey and Sibray (2001),</w:t>
      </w:r>
    </w:p>
    <w:p w14:paraId="3F93D445" w14:textId="77777777" w:rsidR="004152CA" w:rsidRPr="00DB3D90" w:rsidRDefault="004152CA" w:rsidP="00DB3D90">
      <w:pPr>
        <w:rPr>
          <w:rFonts w:ascii="Amasis MT Pro Light" w:hAnsi="Amasis MT Pro Light"/>
          <w:sz w:val="28"/>
          <w:szCs w:val="28"/>
        </w:rPr>
      </w:pPr>
    </w:p>
    <w:p w14:paraId="0AA90EA7" w14:textId="2710B113" w:rsidR="001E0F6B" w:rsidRDefault="00582A19" w:rsidP="00B5087A">
      <w:pPr>
        <w:pStyle w:val="ListParagraph"/>
        <w:numPr>
          <w:ilvl w:val="0"/>
          <w:numId w:val="2"/>
        </w:numPr>
        <w:rPr>
          <w:rFonts w:ascii="Amasis MT Pro Light" w:hAnsi="Amasis MT Pro Light"/>
          <w:sz w:val="28"/>
          <w:szCs w:val="28"/>
        </w:rPr>
      </w:pPr>
      <w:r w:rsidRPr="00B417BB">
        <w:rPr>
          <w:rFonts w:ascii="Amasis MT Pro Light" w:hAnsi="Amasis MT Pro Light"/>
          <w:sz w:val="28"/>
          <w:szCs w:val="28"/>
        </w:rPr>
        <w:t>Harvey</w:t>
      </w:r>
      <w:r w:rsidRPr="00280FCF">
        <w:rPr>
          <w:rFonts w:ascii="Amasis MT Pro Light" w:hAnsi="Amasis MT Pro Light"/>
          <w:sz w:val="28"/>
          <w:szCs w:val="28"/>
        </w:rPr>
        <w:t xml:space="preserve"> and Sibray (2001) provide more support for the significance of undertaking thorough studies of surface and groundwater </w:t>
      </w:r>
      <w:r w:rsidR="00670150" w:rsidRPr="00280FCF">
        <w:rPr>
          <w:rFonts w:ascii="Amasis MT Pro Light" w:hAnsi="Amasis MT Pro Light"/>
          <w:sz w:val="28"/>
          <w:szCs w:val="28"/>
        </w:rPr>
        <w:t>resources</w:t>
      </w:r>
      <w:r w:rsidR="00670150">
        <w:rPr>
          <w:rFonts w:ascii="Amasis MT Pro Light" w:hAnsi="Amasis MT Pro Light"/>
          <w:sz w:val="28"/>
          <w:szCs w:val="28"/>
        </w:rPr>
        <w:t xml:space="preserve"> to</w:t>
      </w:r>
      <w:r w:rsidR="00670150" w:rsidRPr="00280FCF">
        <w:rPr>
          <w:rFonts w:ascii="Amasis MT Pro Light" w:hAnsi="Amasis MT Pro Light"/>
          <w:sz w:val="28"/>
          <w:szCs w:val="28"/>
        </w:rPr>
        <w:t xml:space="preserve"> </w:t>
      </w:r>
      <w:r w:rsidR="008E6F6C" w:rsidRPr="00387E73">
        <w:rPr>
          <w:rFonts w:ascii="Amasis MT Pro Light" w:hAnsi="Amasis MT Pro Light"/>
          <w:sz w:val="28"/>
          <w:szCs w:val="28"/>
        </w:rPr>
        <w:t>c</w:t>
      </w:r>
      <w:r w:rsidR="00670150" w:rsidRPr="00387E73">
        <w:rPr>
          <w:rFonts w:ascii="Amasis MT Pro Light" w:hAnsi="Amasis MT Pro Light"/>
          <w:sz w:val="28"/>
          <w:szCs w:val="28"/>
        </w:rPr>
        <w:t>o</w:t>
      </w:r>
      <w:r w:rsidR="00670150" w:rsidRPr="00280FCF">
        <w:rPr>
          <w:rFonts w:ascii="Amasis MT Pro Light" w:hAnsi="Amasis MT Pro Light"/>
          <w:sz w:val="28"/>
          <w:szCs w:val="28"/>
        </w:rPr>
        <w:t>nduct</w:t>
      </w:r>
      <w:r w:rsidRPr="00280FCF">
        <w:rPr>
          <w:rFonts w:ascii="Amasis MT Pro Light" w:hAnsi="Amasis MT Pro Light"/>
          <w:sz w:val="28"/>
          <w:szCs w:val="28"/>
        </w:rPr>
        <w:t xml:space="preserve"> an evaluation is necessary in order to ascertain the accessibility of water, track fluctuations in water levels, and acquire a comprehensive understanding of the dynamics pertaining to </w:t>
      </w:r>
      <w:r w:rsidR="00D22ED6" w:rsidRPr="00280FCF">
        <w:rPr>
          <w:rFonts w:ascii="Amasis MT Pro Light" w:hAnsi="Amasis MT Pro Light"/>
          <w:sz w:val="28"/>
          <w:szCs w:val="28"/>
        </w:rPr>
        <w:t>underground layers of water</w:t>
      </w:r>
      <w:r w:rsidR="004152CA">
        <w:rPr>
          <w:rFonts w:ascii="Amasis MT Pro Light" w:hAnsi="Amasis MT Pro Light"/>
          <w:sz w:val="28"/>
          <w:szCs w:val="28"/>
        </w:rPr>
        <w:t xml:space="preserve"> </w:t>
      </w:r>
      <w:r w:rsidR="00D22ED6" w:rsidRPr="00280FCF">
        <w:rPr>
          <w:rFonts w:ascii="Amasis MT Pro Light" w:hAnsi="Amasis MT Pro Light"/>
          <w:sz w:val="28"/>
          <w:szCs w:val="28"/>
        </w:rPr>
        <w:t>(</w:t>
      </w:r>
      <w:r w:rsidRPr="00280FCF">
        <w:rPr>
          <w:rFonts w:ascii="Amasis MT Pro Light" w:hAnsi="Amasis MT Pro Light"/>
          <w:sz w:val="28"/>
          <w:szCs w:val="28"/>
        </w:rPr>
        <w:t>fluid aquifers</w:t>
      </w:r>
      <w:r w:rsidR="00D22ED6" w:rsidRPr="00280FCF">
        <w:rPr>
          <w:rFonts w:ascii="Amasis MT Pro Light" w:hAnsi="Amasis MT Pro Light"/>
          <w:sz w:val="28"/>
          <w:szCs w:val="28"/>
        </w:rPr>
        <w:t>)</w:t>
      </w:r>
      <w:r w:rsidRPr="00280FCF">
        <w:rPr>
          <w:rFonts w:ascii="Amasis MT Pro Light" w:hAnsi="Amasis MT Pro Light"/>
          <w:sz w:val="28"/>
          <w:szCs w:val="28"/>
        </w:rPr>
        <w:t>.</w:t>
      </w:r>
    </w:p>
    <w:p w14:paraId="0B907471" w14:textId="77777777" w:rsidR="004152CA" w:rsidRPr="004152CA" w:rsidRDefault="004152CA" w:rsidP="004152CA">
      <w:pPr>
        <w:pStyle w:val="ListParagraph"/>
        <w:rPr>
          <w:rFonts w:ascii="Amasis MT Pro Light" w:hAnsi="Amasis MT Pro Light"/>
          <w:sz w:val="28"/>
          <w:szCs w:val="28"/>
        </w:rPr>
      </w:pPr>
    </w:p>
    <w:p w14:paraId="63E33DC2" w14:textId="27FAC130" w:rsidR="004152CA" w:rsidRPr="00387E73" w:rsidRDefault="004152CA" w:rsidP="004152CA">
      <w:pPr>
        <w:pStyle w:val="ListParagraph"/>
        <w:numPr>
          <w:ilvl w:val="0"/>
          <w:numId w:val="2"/>
        </w:numPr>
        <w:rPr>
          <w:rFonts w:ascii="Amasis MT Pro Light" w:hAnsi="Amasis MT Pro Light"/>
          <w:sz w:val="28"/>
          <w:szCs w:val="28"/>
        </w:rPr>
      </w:pPr>
      <w:r w:rsidRPr="00387E73">
        <w:rPr>
          <w:rFonts w:ascii="Amasis MT Pro Light" w:hAnsi="Amasis MT Pro Light"/>
          <w:sz w:val="28"/>
          <w:szCs w:val="28"/>
        </w:rPr>
        <w:t xml:space="preserve">Groundwater is indispensable. Surveillance of the microbiological quality of untreated water is essential to safeguard the catchment regions of surface drinking water reservoirs </w:t>
      </w:r>
      <w:r w:rsidR="00387E73" w:rsidRPr="00387E73">
        <w:rPr>
          <w:rFonts w:ascii="Amasis MT Pro Light" w:hAnsi="Amasis MT Pro Light"/>
          <w:sz w:val="28"/>
          <w:szCs w:val="28"/>
        </w:rPr>
        <w:t>(</w:t>
      </w:r>
      <w:r w:rsidRPr="00387E73">
        <w:rPr>
          <w:rFonts w:ascii="Amasis MT Pro Light" w:hAnsi="Amasis MT Pro Light"/>
          <w:sz w:val="28"/>
          <w:szCs w:val="28"/>
        </w:rPr>
        <w:t>Kistemann et al</w:t>
      </w:r>
      <w:r w:rsidR="00387E73" w:rsidRPr="00387E73">
        <w:rPr>
          <w:rFonts w:ascii="Amasis MT Pro Light" w:hAnsi="Amasis MT Pro Light"/>
          <w:sz w:val="28"/>
          <w:szCs w:val="28"/>
        </w:rPr>
        <w:t xml:space="preserve">, </w:t>
      </w:r>
      <w:r w:rsidRPr="00387E73">
        <w:rPr>
          <w:rFonts w:ascii="Amasis MT Pro Light" w:hAnsi="Amasis MT Pro Light"/>
          <w:sz w:val="28"/>
          <w:szCs w:val="28"/>
        </w:rPr>
        <w:t>2002</w:t>
      </w:r>
      <w:r w:rsidR="00387E73" w:rsidRPr="00387E73">
        <w:rPr>
          <w:rFonts w:ascii="Amasis MT Pro Light" w:hAnsi="Amasis MT Pro Light"/>
          <w:sz w:val="28"/>
          <w:szCs w:val="28"/>
        </w:rPr>
        <w:t>)</w:t>
      </w:r>
      <w:r w:rsidRPr="00387E73">
        <w:rPr>
          <w:rFonts w:ascii="Amasis MT Pro Light" w:hAnsi="Amasis MT Pro Light"/>
          <w:sz w:val="28"/>
          <w:szCs w:val="28"/>
        </w:rPr>
        <w:t xml:space="preserve">. </w:t>
      </w:r>
    </w:p>
    <w:p w14:paraId="1FC514A5" w14:textId="77777777" w:rsidR="004152CA" w:rsidRPr="00387E73" w:rsidRDefault="004152CA" w:rsidP="004152CA">
      <w:pPr>
        <w:pStyle w:val="ListParagraph"/>
        <w:rPr>
          <w:rFonts w:ascii="Amasis MT Pro Light" w:hAnsi="Amasis MT Pro Light"/>
          <w:sz w:val="28"/>
          <w:szCs w:val="28"/>
        </w:rPr>
      </w:pPr>
    </w:p>
    <w:p w14:paraId="66B5B742" w14:textId="4E142389" w:rsidR="004152CA" w:rsidRPr="00387E73" w:rsidRDefault="008E6F6C" w:rsidP="004152CA">
      <w:pPr>
        <w:pStyle w:val="ListParagraph"/>
        <w:numPr>
          <w:ilvl w:val="0"/>
          <w:numId w:val="2"/>
        </w:numPr>
        <w:rPr>
          <w:rFonts w:ascii="Amasis MT Pro Light" w:hAnsi="Amasis MT Pro Light"/>
          <w:sz w:val="28"/>
          <w:szCs w:val="28"/>
        </w:rPr>
      </w:pPr>
      <w:r w:rsidRPr="00387E73">
        <w:rPr>
          <w:rFonts w:ascii="Amasis MT Pro Light" w:hAnsi="Amasis MT Pro Light"/>
          <w:sz w:val="28"/>
          <w:szCs w:val="28"/>
        </w:rPr>
        <w:t>R</w:t>
      </w:r>
      <w:r w:rsidR="004152CA" w:rsidRPr="00387E73">
        <w:rPr>
          <w:rFonts w:ascii="Amasis MT Pro Light" w:hAnsi="Amasis MT Pro Light"/>
          <w:sz w:val="28"/>
          <w:szCs w:val="28"/>
        </w:rPr>
        <w:t>egular monitor</w:t>
      </w:r>
      <w:r w:rsidR="00DB3D90" w:rsidRPr="00387E73">
        <w:rPr>
          <w:rFonts w:ascii="Amasis MT Pro Light" w:hAnsi="Amasis MT Pro Light"/>
          <w:sz w:val="28"/>
          <w:szCs w:val="28"/>
        </w:rPr>
        <w:t>ing</w:t>
      </w:r>
      <w:r w:rsidR="004152CA" w:rsidRPr="00387E73">
        <w:rPr>
          <w:rFonts w:ascii="Amasis MT Pro Light" w:hAnsi="Amasis MT Pro Light"/>
          <w:sz w:val="28"/>
          <w:szCs w:val="28"/>
        </w:rPr>
        <w:t xml:space="preserve"> </w:t>
      </w:r>
      <w:r w:rsidR="00DB3D90" w:rsidRPr="00387E73">
        <w:rPr>
          <w:rFonts w:ascii="Amasis MT Pro Light" w:hAnsi="Amasis MT Pro Light"/>
          <w:sz w:val="28"/>
          <w:szCs w:val="28"/>
        </w:rPr>
        <w:t>of</w:t>
      </w:r>
      <w:r w:rsidR="004152CA" w:rsidRPr="00387E73">
        <w:rPr>
          <w:rFonts w:ascii="Amasis MT Pro Light" w:hAnsi="Amasis MT Pro Light"/>
          <w:sz w:val="28"/>
          <w:szCs w:val="28"/>
        </w:rPr>
        <w:t xml:space="preserve"> quality of groundwater </w:t>
      </w:r>
      <w:r w:rsidRPr="00387E73">
        <w:rPr>
          <w:rFonts w:ascii="Amasis MT Pro Light" w:hAnsi="Amasis MT Pro Light"/>
          <w:sz w:val="28"/>
          <w:szCs w:val="28"/>
        </w:rPr>
        <w:t>is critic</w:t>
      </w:r>
      <w:r w:rsidR="00976A73" w:rsidRPr="00387E73">
        <w:rPr>
          <w:rFonts w:ascii="Amasis MT Pro Light" w:hAnsi="Amasis MT Pro Light"/>
          <w:sz w:val="28"/>
          <w:szCs w:val="28"/>
        </w:rPr>
        <w:t xml:space="preserve">al </w:t>
      </w:r>
      <w:r w:rsidR="004152CA" w:rsidRPr="00387E73">
        <w:rPr>
          <w:rFonts w:ascii="Amasis MT Pro Light" w:hAnsi="Amasis MT Pro Light"/>
          <w:sz w:val="28"/>
          <w:szCs w:val="28"/>
        </w:rPr>
        <w:t xml:space="preserve">in order to safeguard this essential resource and develop plans for its conservation (Ramakrishnaiah et al., 2009). </w:t>
      </w:r>
    </w:p>
    <w:p w14:paraId="771CF830" w14:textId="77777777" w:rsidR="00DB3D90" w:rsidRPr="00DB3D90" w:rsidRDefault="00DB3D90" w:rsidP="00DB3D90">
      <w:pPr>
        <w:pStyle w:val="ListParagraph"/>
        <w:rPr>
          <w:rFonts w:ascii="Amasis MT Pro Light" w:hAnsi="Amasis MT Pro Light"/>
          <w:sz w:val="28"/>
          <w:szCs w:val="28"/>
        </w:rPr>
      </w:pPr>
    </w:p>
    <w:p w14:paraId="4BAAEB98" w14:textId="77777777" w:rsidR="00DB3D90" w:rsidRPr="004152CA" w:rsidRDefault="00DB3D90" w:rsidP="00DB3D90">
      <w:pPr>
        <w:pStyle w:val="ListParagraph"/>
        <w:rPr>
          <w:rFonts w:ascii="Amasis MT Pro Light" w:hAnsi="Amasis MT Pro Light"/>
          <w:sz w:val="28"/>
          <w:szCs w:val="28"/>
        </w:rPr>
      </w:pPr>
    </w:p>
    <w:p w14:paraId="64445D74" w14:textId="77777777" w:rsidR="004152CA" w:rsidRPr="004152CA" w:rsidRDefault="004152CA" w:rsidP="004152CA">
      <w:pPr>
        <w:pStyle w:val="ListParagraph"/>
        <w:numPr>
          <w:ilvl w:val="0"/>
          <w:numId w:val="2"/>
        </w:numPr>
        <w:rPr>
          <w:rFonts w:ascii="Amasis MT Pro Light" w:hAnsi="Amasis MT Pro Light"/>
          <w:sz w:val="28"/>
          <w:szCs w:val="28"/>
        </w:rPr>
      </w:pPr>
      <w:r w:rsidRPr="004152CA">
        <w:rPr>
          <w:rFonts w:ascii="Amasis MT Pro Light" w:hAnsi="Amasis MT Pro Light"/>
          <w:sz w:val="28"/>
          <w:szCs w:val="28"/>
        </w:rPr>
        <w:t xml:space="preserve">Assessing the quality of groundwater is crucial for identifying and safeguarding it against pollution, making monitoring a vital aspect of managing groundwater (Shankar et al., 2022). </w:t>
      </w:r>
    </w:p>
    <w:p w14:paraId="7C1AEC39" w14:textId="77777777" w:rsidR="00582A19" w:rsidRPr="00280FCF" w:rsidRDefault="001E0F6B" w:rsidP="00D22ED6">
      <w:pPr>
        <w:rPr>
          <w:rFonts w:ascii="Amasis MT Pro Light" w:hAnsi="Amasis MT Pro Light"/>
          <w:sz w:val="28"/>
          <w:szCs w:val="28"/>
          <w:u w:val="single"/>
        </w:rPr>
      </w:pPr>
      <w:r w:rsidRPr="00280FCF">
        <w:rPr>
          <w:rFonts w:ascii="Amasis MT Pro Light" w:hAnsi="Amasis MT Pro Light"/>
          <w:sz w:val="28"/>
          <w:szCs w:val="28"/>
          <w:u w:val="single"/>
        </w:rPr>
        <w:lastRenderedPageBreak/>
        <w:t>Examples</w:t>
      </w:r>
    </w:p>
    <w:p w14:paraId="31696DA2" w14:textId="278A4726" w:rsidR="001E0F6B" w:rsidRPr="00280FCF" w:rsidRDefault="00AD1E2D" w:rsidP="00AD1E2D">
      <w:pPr>
        <w:rPr>
          <w:rFonts w:ascii="Amasis MT Pro Light" w:hAnsi="Amasis MT Pro Light"/>
          <w:sz w:val="28"/>
          <w:szCs w:val="28"/>
        </w:rPr>
      </w:pPr>
      <w:r w:rsidRPr="00B417BB">
        <w:rPr>
          <w:rFonts w:ascii="Amasis MT Pro Light" w:hAnsi="Amasis MT Pro Light"/>
          <w:sz w:val="28"/>
          <w:szCs w:val="28"/>
        </w:rPr>
        <w:t>Harvey and Sibray (2001)</w:t>
      </w:r>
      <w:r w:rsidRPr="00280FCF">
        <w:rPr>
          <w:rFonts w:ascii="Amasis MT Pro Light" w:hAnsi="Amasis MT Pro Light"/>
          <w:sz w:val="28"/>
          <w:szCs w:val="28"/>
        </w:rPr>
        <w:t xml:space="preserve"> argue in their paper that the over-extraction of groundwater for the purposes of agriculture and drinking </w:t>
      </w:r>
      <w:r w:rsidRPr="00E228A0">
        <w:rPr>
          <w:rFonts w:ascii="Amasis MT Pro Light" w:hAnsi="Amasis MT Pro Light"/>
          <w:sz w:val="28"/>
          <w:szCs w:val="28"/>
        </w:rPr>
        <w:t>water</w:t>
      </w:r>
      <w:r w:rsidR="00976A73" w:rsidRPr="00E228A0">
        <w:rPr>
          <w:rFonts w:ascii="Amasis MT Pro Light" w:hAnsi="Amasis MT Pro Light"/>
          <w:sz w:val="28"/>
          <w:szCs w:val="28"/>
        </w:rPr>
        <w:t>,</w:t>
      </w:r>
      <w:r w:rsidRPr="00280FCF">
        <w:rPr>
          <w:rFonts w:ascii="Amasis MT Pro Light" w:hAnsi="Amasis MT Pro Light"/>
          <w:sz w:val="28"/>
          <w:szCs w:val="28"/>
        </w:rPr>
        <w:t xml:space="preserve"> places significant stress on ecological and hydrological systems. Nonetheless, the occurrence of climate change has substantial ramifications for the availability of water and its corresponding value</w:t>
      </w:r>
      <w:r w:rsidR="008A60D9" w:rsidRPr="00280FCF">
        <w:rPr>
          <w:rFonts w:ascii="Amasis MT Pro Light" w:hAnsi="Amasis MT Pro Light"/>
          <w:sz w:val="28"/>
          <w:szCs w:val="28"/>
        </w:rPr>
        <w:t xml:space="preserve"> </w:t>
      </w:r>
      <w:r w:rsidR="009F487A" w:rsidRPr="00E228A0">
        <w:rPr>
          <w:rFonts w:ascii="Amasis MT Pro Light" w:hAnsi="Amasis MT Pro Light"/>
          <w:sz w:val="28"/>
          <w:szCs w:val="28"/>
        </w:rPr>
        <w:t>(</w:t>
      </w:r>
      <w:r w:rsidRPr="00E228A0">
        <w:rPr>
          <w:rFonts w:ascii="Amasis MT Pro Light" w:hAnsi="Amasis MT Pro Light"/>
          <w:sz w:val="28"/>
          <w:szCs w:val="28"/>
        </w:rPr>
        <w:t>Hao</w:t>
      </w:r>
      <w:r w:rsidRPr="00280FCF">
        <w:rPr>
          <w:rFonts w:ascii="Amasis MT Pro Light" w:hAnsi="Amasis MT Pro Light"/>
          <w:sz w:val="28"/>
          <w:szCs w:val="28"/>
        </w:rPr>
        <w:t xml:space="preserve"> and Lu</w:t>
      </w:r>
      <w:r w:rsidR="009F487A">
        <w:rPr>
          <w:rFonts w:ascii="Amasis MT Pro Light" w:hAnsi="Amasis MT Pro Light"/>
          <w:sz w:val="28"/>
          <w:szCs w:val="28"/>
        </w:rPr>
        <w:t>,</w:t>
      </w:r>
      <w:r w:rsidRPr="00280FCF">
        <w:rPr>
          <w:rFonts w:ascii="Amasis MT Pro Light" w:hAnsi="Amasis MT Pro Light"/>
          <w:sz w:val="28"/>
          <w:szCs w:val="28"/>
        </w:rPr>
        <w:t xml:space="preserve"> 2022). The existence of contamination </w:t>
      </w:r>
      <w:r w:rsidR="008A60D9" w:rsidRPr="00280FCF">
        <w:rPr>
          <w:rFonts w:ascii="Amasis MT Pro Light" w:hAnsi="Amasis MT Pro Light"/>
          <w:sz w:val="28"/>
          <w:szCs w:val="28"/>
        </w:rPr>
        <w:t xml:space="preserve">within </w:t>
      </w:r>
      <w:r w:rsidRPr="00280FCF">
        <w:rPr>
          <w:rFonts w:ascii="Amasis MT Pro Light" w:hAnsi="Amasis MT Pro Light"/>
          <w:sz w:val="28"/>
          <w:szCs w:val="28"/>
        </w:rPr>
        <w:t xml:space="preserve">agricultural operations </w:t>
      </w:r>
      <w:r w:rsidR="00B417BB">
        <w:rPr>
          <w:rFonts w:ascii="Amasis MT Pro Light" w:hAnsi="Amasis MT Pro Light"/>
          <w:sz w:val="28"/>
          <w:szCs w:val="28"/>
        </w:rPr>
        <w:t>a</w:t>
      </w:r>
      <w:r w:rsidRPr="00280FCF">
        <w:rPr>
          <w:rFonts w:ascii="Amasis MT Pro Light" w:hAnsi="Amasis MT Pro Light"/>
          <w:sz w:val="28"/>
          <w:szCs w:val="28"/>
        </w:rPr>
        <w:t>ccording to the study conducted by Johansson et al. (1999).</w:t>
      </w:r>
      <w:r w:rsidR="008A60D9" w:rsidRPr="00280FCF">
        <w:rPr>
          <w:rFonts w:ascii="Amasis MT Pro Light" w:hAnsi="Amasis MT Pro Light"/>
          <w:sz w:val="28"/>
          <w:szCs w:val="28"/>
        </w:rPr>
        <w:t xml:space="preserve"> </w:t>
      </w:r>
      <w:r w:rsidRPr="00280FCF">
        <w:rPr>
          <w:rFonts w:ascii="Amasis MT Pro Light" w:hAnsi="Amasis MT Pro Light"/>
          <w:sz w:val="28"/>
          <w:szCs w:val="28"/>
        </w:rPr>
        <w:t>Furthermore, according to Ramasamy (2006), the variations in water levels can be attributed to the accumulation of salts in both ground waters and surface liquids.</w:t>
      </w:r>
    </w:p>
    <w:p w14:paraId="7DDC1C5E" w14:textId="6604C6DD" w:rsidR="00181DA8" w:rsidRPr="00280FCF" w:rsidRDefault="001E0F6B" w:rsidP="00AD1E2D">
      <w:pPr>
        <w:rPr>
          <w:rFonts w:ascii="Amasis MT Pro Light" w:hAnsi="Amasis MT Pro Light"/>
          <w:b/>
          <w:bCs/>
          <w:sz w:val="28"/>
          <w:szCs w:val="28"/>
          <w:u w:val="single"/>
        </w:rPr>
      </w:pPr>
      <w:r w:rsidRPr="00280FCF">
        <w:rPr>
          <w:rFonts w:ascii="Amasis MT Pro Light" w:hAnsi="Amasis MT Pro Light"/>
          <w:b/>
          <w:bCs/>
          <w:sz w:val="28"/>
          <w:szCs w:val="28"/>
          <w:u w:val="single"/>
        </w:rPr>
        <w:t>Question 2B</w:t>
      </w:r>
    </w:p>
    <w:p w14:paraId="3EA30903" w14:textId="524CA63A" w:rsidR="00181DA8" w:rsidRPr="00280FCF" w:rsidRDefault="00C6795D"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Investigative monitoring</w:t>
      </w:r>
    </w:p>
    <w:p w14:paraId="4A86A527" w14:textId="20ACC452" w:rsidR="00E75834" w:rsidRPr="00280FCF" w:rsidRDefault="00C6795D" w:rsidP="00C6795D">
      <w:pPr>
        <w:rPr>
          <w:rFonts w:ascii="Amasis MT Pro Light" w:hAnsi="Amasis MT Pro Light"/>
          <w:sz w:val="28"/>
          <w:szCs w:val="28"/>
        </w:rPr>
      </w:pPr>
      <w:r w:rsidRPr="00280FCF">
        <w:rPr>
          <w:rFonts w:ascii="Amasis MT Pro Light" w:hAnsi="Amasis MT Pro Light"/>
          <w:sz w:val="28"/>
          <w:szCs w:val="28"/>
        </w:rPr>
        <w:t>When utilised in the examination of water resources, the application of investigative monitoring involves the proactive execution of a comprehensive framework of investigative monitoring activities. The practise of conducting strategic, systematic, and comprehensive assessments of environmental indicators</w:t>
      </w:r>
      <w:r w:rsidR="005B7D5A">
        <w:rPr>
          <w:rFonts w:ascii="Amasis MT Pro Light" w:hAnsi="Amasis MT Pro Light"/>
          <w:sz w:val="28"/>
          <w:szCs w:val="28"/>
        </w:rPr>
        <w:t xml:space="preserve"> (like ammonium nitrogen)</w:t>
      </w:r>
      <w:r w:rsidRPr="00280FCF">
        <w:rPr>
          <w:rFonts w:ascii="Amasis MT Pro Light" w:hAnsi="Amasis MT Pro Light"/>
          <w:sz w:val="28"/>
          <w:szCs w:val="28"/>
        </w:rPr>
        <w:t xml:space="preserve"> is frequently utilised to get insights into the quality and health of water bodies during investigative monitoring. </w:t>
      </w:r>
    </w:p>
    <w:p w14:paraId="3606F41D" w14:textId="67D63A20" w:rsidR="00C6795D" w:rsidRPr="00280FCF" w:rsidRDefault="009F487A" w:rsidP="00C6795D">
      <w:pPr>
        <w:rPr>
          <w:rFonts w:ascii="Amasis MT Pro Light" w:hAnsi="Amasis MT Pro Light"/>
          <w:sz w:val="28"/>
          <w:szCs w:val="28"/>
        </w:rPr>
      </w:pPr>
      <w:r w:rsidRPr="00E228A0">
        <w:rPr>
          <w:rFonts w:ascii="Amasis MT Pro Light" w:hAnsi="Amasis MT Pro Light"/>
          <w:sz w:val="28"/>
          <w:szCs w:val="28"/>
        </w:rPr>
        <w:t>However,</w:t>
      </w:r>
      <w:r>
        <w:rPr>
          <w:rFonts w:ascii="Amasis MT Pro Light" w:hAnsi="Amasis MT Pro Light"/>
          <w:sz w:val="28"/>
          <w:szCs w:val="28"/>
        </w:rPr>
        <w:t xml:space="preserve"> </w:t>
      </w:r>
      <w:r w:rsidR="00C6795D" w:rsidRPr="00280FCF">
        <w:rPr>
          <w:rFonts w:ascii="Amasis MT Pro Light" w:hAnsi="Amasis MT Pro Light"/>
          <w:sz w:val="28"/>
          <w:szCs w:val="28"/>
        </w:rPr>
        <w:t>Zhou et al. (2006) argue</w:t>
      </w:r>
      <w:r w:rsidR="00AF60C4" w:rsidRPr="00280FCF">
        <w:rPr>
          <w:rFonts w:ascii="Amasis MT Pro Light" w:hAnsi="Amasis MT Pro Light"/>
          <w:sz w:val="28"/>
          <w:szCs w:val="28"/>
        </w:rPr>
        <w:t xml:space="preserve">s </w:t>
      </w:r>
      <w:r w:rsidR="00C6795D" w:rsidRPr="00280FCF">
        <w:rPr>
          <w:rFonts w:ascii="Amasis MT Pro Light" w:hAnsi="Amasis MT Pro Light"/>
          <w:sz w:val="28"/>
          <w:szCs w:val="28"/>
        </w:rPr>
        <w:t xml:space="preserve">that the relevance of the advancement of processes persists in advanced techniques and technologies that facilitate the utilisation of environmental information. </w:t>
      </w:r>
      <w:r w:rsidR="00CE2F15" w:rsidRPr="00280FCF">
        <w:rPr>
          <w:rFonts w:ascii="Amasis MT Pro Light" w:hAnsi="Amasis MT Pro Light"/>
          <w:sz w:val="28"/>
          <w:szCs w:val="28"/>
        </w:rPr>
        <w:t xml:space="preserve">Additionally, </w:t>
      </w:r>
      <w:r w:rsidR="00DB3D90" w:rsidRPr="00280FCF">
        <w:rPr>
          <w:rFonts w:ascii="Amasis MT Pro Light" w:hAnsi="Amasis MT Pro Light"/>
          <w:sz w:val="28"/>
          <w:szCs w:val="28"/>
        </w:rPr>
        <w:t>the</w:t>
      </w:r>
      <w:r w:rsidR="00C6795D" w:rsidRPr="00280FCF">
        <w:rPr>
          <w:rFonts w:ascii="Amasis MT Pro Light" w:hAnsi="Amasis MT Pro Light"/>
          <w:sz w:val="28"/>
          <w:szCs w:val="28"/>
        </w:rPr>
        <w:t xml:space="preserve"> utilisation of large datasets in the context of investigative monitoring </w:t>
      </w:r>
      <w:r w:rsidR="00FC5538" w:rsidRPr="00FC5538">
        <w:rPr>
          <w:rFonts w:ascii="Amasis MT Pro Light" w:hAnsi="Amasis MT Pro Light"/>
          <w:sz w:val="28"/>
          <w:szCs w:val="28"/>
        </w:rPr>
        <w:t>is</w:t>
      </w:r>
      <w:r w:rsidR="00C6795D" w:rsidRPr="00FC5538">
        <w:rPr>
          <w:rFonts w:ascii="Amasis MT Pro Light" w:hAnsi="Amasis MT Pro Light"/>
          <w:sz w:val="28"/>
          <w:szCs w:val="28"/>
        </w:rPr>
        <w:t xml:space="preserve"> notable</w:t>
      </w:r>
      <w:r w:rsidR="00CE2F15" w:rsidRPr="00FC5538">
        <w:rPr>
          <w:rFonts w:ascii="Amasis MT Pro Light" w:hAnsi="Amasis MT Pro Light"/>
          <w:sz w:val="28"/>
          <w:szCs w:val="28"/>
        </w:rPr>
        <w:t xml:space="preserve"> </w:t>
      </w:r>
      <w:r w:rsidR="00FC5538">
        <w:rPr>
          <w:rFonts w:ascii="Amasis MT Pro Light" w:hAnsi="Amasis MT Pro Light"/>
          <w:sz w:val="28"/>
          <w:szCs w:val="28"/>
        </w:rPr>
        <w:t xml:space="preserve">and </w:t>
      </w:r>
      <w:r w:rsidR="00CE2F15" w:rsidRPr="00FC5538">
        <w:rPr>
          <w:rFonts w:ascii="Amasis MT Pro Light" w:hAnsi="Amasis MT Pro Light"/>
          <w:sz w:val="28"/>
          <w:szCs w:val="28"/>
        </w:rPr>
        <w:t>was used</w:t>
      </w:r>
      <w:r w:rsidR="00CE2F15" w:rsidRPr="00280FCF">
        <w:rPr>
          <w:rFonts w:ascii="Amasis MT Pro Light" w:hAnsi="Amasis MT Pro Light"/>
          <w:sz w:val="28"/>
          <w:szCs w:val="28"/>
        </w:rPr>
        <w:t xml:space="preserve"> and</w:t>
      </w:r>
      <w:r w:rsidR="00C6795D" w:rsidRPr="00280FCF">
        <w:rPr>
          <w:rFonts w:ascii="Amasis MT Pro Light" w:hAnsi="Amasis MT Pro Light"/>
          <w:sz w:val="28"/>
          <w:szCs w:val="28"/>
        </w:rPr>
        <w:t xml:space="preserve"> benefit</w:t>
      </w:r>
      <w:r w:rsidR="00CE2F15" w:rsidRPr="00280FCF">
        <w:rPr>
          <w:rFonts w:ascii="Amasis MT Pro Light" w:hAnsi="Amasis MT Pro Light"/>
          <w:sz w:val="28"/>
          <w:szCs w:val="28"/>
        </w:rPr>
        <w:t>ed</w:t>
      </w:r>
      <w:r w:rsidR="00C6795D" w:rsidRPr="00280FCF">
        <w:rPr>
          <w:rFonts w:ascii="Amasis MT Pro Light" w:hAnsi="Amasis MT Pro Light"/>
          <w:sz w:val="28"/>
          <w:szCs w:val="28"/>
        </w:rPr>
        <w:t xml:space="preserve"> in the evaluation of water quality and the identification of pollutants</w:t>
      </w:r>
      <w:r w:rsidR="00AF60C4" w:rsidRPr="00280FCF">
        <w:rPr>
          <w:rFonts w:ascii="Amasis MT Pro Light" w:hAnsi="Amasis MT Pro Light"/>
          <w:sz w:val="28"/>
          <w:szCs w:val="28"/>
        </w:rPr>
        <w:t xml:space="preserve"> </w:t>
      </w:r>
      <w:r w:rsidRPr="00E228A0">
        <w:rPr>
          <w:rFonts w:ascii="Amasis MT Pro Light" w:hAnsi="Amasis MT Pro Light"/>
          <w:sz w:val="28"/>
          <w:szCs w:val="28"/>
        </w:rPr>
        <w:t>(</w:t>
      </w:r>
      <w:r w:rsidR="00C6795D" w:rsidRPr="00280FCF">
        <w:rPr>
          <w:rFonts w:ascii="Amasis MT Pro Light" w:hAnsi="Amasis MT Pro Light"/>
          <w:sz w:val="28"/>
          <w:szCs w:val="28"/>
        </w:rPr>
        <w:t>Zhou et al.</w:t>
      </w:r>
      <w:r>
        <w:rPr>
          <w:rFonts w:ascii="Amasis MT Pro Light" w:hAnsi="Amasis MT Pro Light"/>
          <w:sz w:val="28"/>
          <w:szCs w:val="28"/>
        </w:rPr>
        <w:t>,</w:t>
      </w:r>
      <w:r w:rsidR="00C6795D" w:rsidRPr="00280FCF">
        <w:rPr>
          <w:rFonts w:ascii="Amasis MT Pro Light" w:hAnsi="Amasis MT Pro Light"/>
          <w:sz w:val="28"/>
          <w:szCs w:val="28"/>
        </w:rPr>
        <w:t xml:space="preserve"> 2006). According to Khali and Ouarda (2009), the ongoing persistence of investigative monitoring is attributed to the continued utilisation of Chemometrics techniques.</w:t>
      </w:r>
    </w:p>
    <w:p w14:paraId="396B37D9" w14:textId="3C15103B" w:rsidR="00C6795D" w:rsidRPr="00280FCF" w:rsidRDefault="00C6795D"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Operational monitoring</w:t>
      </w:r>
    </w:p>
    <w:p w14:paraId="5251BEB4" w14:textId="6FDC5559" w:rsidR="00986EDD" w:rsidRDefault="00B56345" w:rsidP="00C6795D">
      <w:pPr>
        <w:rPr>
          <w:rFonts w:ascii="Amasis MT Pro Light" w:hAnsi="Amasis MT Pro Light"/>
          <w:sz w:val="28"/>
          <w:szCs w:val="28"/>
        </w:rPr>
      </w:pPr>
      <w:r w:rsidRPr="00280FCF">
        <w:rPr>
          <w:rFonts w:ascii="Amasis MT Pro Light" w:hAnsi="Amasis MT Pro Light"/>
          <w:sz w:val="28"/>
          <w:szCs w:val="28"/>
        </w:rPr>
        <w:t xml:space="preserve">Operational monitoring serves </w:t>
      </w:r>
      <w:r w:rsidR="000606DD" w:rsidRPr="00280FCF">
        <w:rPr>
          <w:rFonts w:ascii="Amasis MT Pro Light" w:hAnsi="Amasis MT Pro Light"/>
          <w:sz w:val="28"/>
          <w:szCs w:val="28"/>
        </w:rPr>
        <w:t>to</w:t>
      </w:r>
      <w:r w:rsidRPr="00280FCF">
        <w:rPr>
          <w:rFonts w:ascii="Amasis MT Pro Light" w:hAnsi="Amasis MT Pro Light"/>
          <w:sz w:val="28"/>
          <w:szCs w:val="28"/>
        </w:rPr>
        <w:t xml:space="preserve"> assess and ensure the practical and vocational compliance with environmental regulations and ethical norms. Operational Monitoring involves the effective oversight of wastewater management, with the objective of monitoring the actions of plant operators and industrial producers. This underscores the necessity for improved </w:t>
      </w:r>
      <w:r w:rsidRPr="00280FCF">
        <w:rPr>
          <w:rFonts w:ascii="Amasis MT Pro Light" w:hAnsi="Amasis MT Pro Light"/>
          <w:sz w:val="28"/>
          <w:szCs w:val="28"/>
        </w:rPr>
        <w:lastRenderedPageBreak/>
        <w:t xml:space="preserve">comparability and reliability of existing industrial processes in order to adhere to rigorous </w:t>
      </w:r>
      <w:r w:rsidRPr="00E228A0">
        <w:rPr>
          <w:rFonts w:ascii="Amasis MT Pro Light" w:hAnsi="Amasis MT Pro Light"/>
          <w:sz w:val="28"/>
          <w:szCs w:val="28"/>
        </w:rPr>
        <w:t>regulations</w:t>
      </w:r>
      <w:r w:rsidR="004D7EF7" w:rsidRPr="00E228A0">
        <w:rPr>
          <w:rFonts w:ascii="Amasis MT Pro Light" w:hAnsi="Amasis MT Pro Light"/>
          <w:sz w:val="28"/>
          <w:szCs w:val="28"/>
        </w:rPr>
        <w:t xml:space="preserve"> </w:t>
      </w:r>
      <w:r w:rsidR="001D2414" w:rsidRPr="00E228A0">
        <w:rPr>
          <w:rFonts w:ascii="Amasis MT Pro Light" w:hAnsi="Amasis MT Pro Light"/>
          <w:sz w:val="28"/>
          <w:szCs w:val="28"/>
        </w:rPr>
        <w:t>(</w:t>
      </w:r>
      <w:r w:rsidRPr="00E228A0">
        <w:rPr>
          <w:rFonts w:ascii="Amasis MT Pro Light" w:hAnsi="Amasis MT Pro Light"/>
          <w:sz w:val="28"/>
          <w:szCs w:val="28"/>
        </w:rPr>
        <w:t>Bourgeois</w:t>
      </w:r>
      <w:r w:rsidR="001D2414">
        <w:rPr>
          <w:rFonts w:ascii="Amasis MT Pro Light" w:hAnsi="Amasis MT Pro Light"/>
          <w:sz w:val="28"/>
          <w:szCs w:val="28"/>
        </w:rPr>
        <w:t xml:space="preserve">, </w:t>
      </w:r>
      <w:r w:rsidRPr="00280FCF">
        <w:rPr>
          <w:rFonts w:ascii="Amasis MT Pro Light" w:hAnsi="Amasis MT Pro Light"/>
          <w:sz w:val="28"/>
          <w:szCs w:val="28"/>
        </w:rPr>
        <w:t>2001</w:t>
      </w:r>
      <w:proofErr w:type="gramStart"/>
      <w:r w:rsidRPr="00280FCF">
        <w:rPr>
          <w:rFonts w:ascii="Amasis MT Pro Light" w:hAnsi="Amasis MT Pro Light"/>
          <w:sz w:val="28"/>
          <w:szCs w:val="28"/>
        </w:rPr>
        <w:t>) .</w:t>
      </w:r>
      <w:proofErr w:type="gramEnd"/>
      <w:r w:rsidRPr="00280FCF">
        <w:rPr>
          <w:rFonts w:ascii="Amasis MT Pro Light" w:hAnsi="Amasis MT Pro Light"/>
          <w:sz w:val="28"/>
          <w:szCs w:val="28"/>
        </w:rPr>
        <w:t xml:space="preserve"> </w:t>
      </w:r>
    </w:p>
    <w:p w14:paraId="2184211B" w14:textId="1181D736" w:rsidR="004D7EF7" w:rsidRPr="00280FCF" w:rsidRDefault="00B56345" w:rsidP="00C6795D">
      <w:pPr>
        <w:rPr>
          <w:rFonts w:ascii="Amasis MT Pro Light" w:hAnsi="Amasis MT Pro Light"/>
          <w:sz w:val="28"/>
          <w:szCs w:val="28"/>
        </w:rPr>
      </w:pPr>
      <w:r w:rsidRPr="00280FCF">
        <w:rPr>
          <w:rFonts w:ascii="Amasis MT Pro Light" w:hAnsi="Amasis MT Pro Light"/>
          <w:sz w:val="28"/>
          <w:szCs w:val="28"/>
        </w:rPr>
        <w:t>Urban water vendors follow a structured procedure for monitoring significant water resources, while simultaneously meeting their legal responsibilities for water quality and safety</w:t>
      </w:r>
      <w:r w:rsidR="001D2414">
        <w:rPr>
          <w:rFonts w:ascii="Amasis MT Pro Light" w:hAnsi="Amasis MT Pro Light"/>
          <w:sz w:val="28"/>
          <w:szCs w:val="28"/>
        </w:rPr>
        <w:t xml:space="preserve"> </w:t>
      </w:r>
      <w:r w:rsidR="001D2414" w:rsidRPr="00E228A0">
        <w:rPr>
          <w:rFonts w:ascii="Amasis MT Pro Light" w:hAnsi="Amasis MT Pro Light"/>
          <w:sz w:val="28"/>
          <w:szCs w:val="28"/>
        </w:rPr>
        <w:t>(</w:t>
      </w:r>
      <w:r w:rsidRPr="00E228A0">
        <w:rPr>
          <w:rFonts w:ascii="Amasis MT Pro Light" w:hAnsi="Amasis MT Pro Light"/>
          <w:sz w:val="28"/>
          <w:szCs w:val="28"/>
        </w:rPr>
        <w:t>Macleod</w:t>
      </w:r>
      <w:r w:rsidRPr="00280FCF">
        <w:rPr>
          <w:rFonts w:ascii="Amasis MT Pro Light" w:hAnsi="Amasis MT Pro Light"/>
          <w:sz w:val="28"/>
          <w:szCs w:val="28"/>
        </w:rPr>
        <w:t xml:space="preserve"> et al.</w:t>
      </w:r>
      <w:r w:rsidR="001D2414">
        <w:rPr>
          <w:rFonts w:ascii="Amasis MT Pro Light" w:hAnsi="Amasis MT Pro Light"/>
          <w:sz w:val="28"/>
          <w:szCs w:val="28"/>
        </w:rPr>
        <w:t>,</w:t>
      </w:r>
      <w:r w:rsidRPr="00280FCF">
        <w:rPr>
          <w:rFonts w:ascii="Amasis MT Pro Light" w:hAnsi="Amasis MT Pro Light"/>
          <w:sz w:val="28"/>
          <w:szCs w:val="28"/>
        </w:rPr>
        <w:t>2019)</w:t>
      </w:r>
      <w:r w:rsidR="004D7EF7" w:rsidRPr="00280FCF">
        <w:rPr>
          <w:rFonts w:ascii="Amasis MT Pro Light" w:hAnsi="Amasis MT Pro Light"/>
          <w:sz w:val="28"/>
          <w:szCs w:val="28"/>
        </w:rPr>
        <w:t>.</w:t>
      </w:r>
    </w:p>
    <w:p w14:paraId="13492689" w14:textId="04CED204" w:rsidR="00B56345" w:rsidRPr="00280FCF" w:rsidRDefault="004D7EF7" w:rsidP="00C6795D">
      <w:pPr>
        <w:rPr>
          <w:rFonts w:ascii="Amasis MT Pro Light" w:hAnsi="Amasis MT Pro Light"/>
          <w:sz w:val="28"/>
          <w:szCs w:val="28"/>
        </w:rPr>
      </w:pPr>
      <w:r w:rsidRPr="00280FCF">
        <w:rPr>
          <w:rFonts w:ascii="Amasis MT Pro Light" w:hAnsi="Amasis MT Pro Light"/>
          <w:sz w:val="28"/>
          <w:szCs w:val="28"/>
        </w:rPr>
        <w:t>T</w:t>
      </w:r>
      <w:r w:rsidR="00B56345" w:rsidRPr="00280FCF">
        <w:rPr>
          <w:rFonts w:ascii="Amasis MT Pro Light" w:hAnsi="Amasis MT Pro Light"/>
          <w:sz w:val="28"/>
          <w:szCs w:val="28"/>
        </w:rPr>
        <w:t>he use of data analysis methods has broadened the range of possible outcomes and evaluations of probable results</w:t>
      </w:r>
      <w:r w:rsidR="00E75834" w:rsidRPr="00280FCF">
        <w:rPr>
          <w:rFonts w:ascii="Amasis MT Pro Light" w:hAnsi="Amasis MT Pro Light"/>
          <w:sz w:val="28"/>
          <w:szCs w:val="28"/>
        </w:rPr>
        <w:t xml:space="preserve"> when operational monitoring.</w:t>
      </w:r>
      <w:r w:rsidR="00B56345" w:rsidRPr="00280FCF">
        <w:rPr>
          <w:rFonts w:ascii="Amasis MT Pro Light" w:hAnsi="Amasis MT Pro Light"/>
          <w:sz w:val="28"/>
          <w:szCs w:val="28"/>
        </w:rPr>
        <w:t xml:space="preserve"> As A notable example is the utilisation of a mathematical model</w:t>
      </w:r>
      <w:r w:rsidR="00E75834" w:rsidRPr="00280FCF">
        <w:rPr>
          <w:rFonts w:ascii="Amasis MT Pro Light" w:hAnsi="Amasis MT Pro Light"/>
          <w:sz w:val="28"/>
          <w:szCs w:val="28"/>
        </w:rPr>
        <w:t>s</w:t>
      </w:r>
      <w:r w:rsidR="00B56345" w:rsidRPr="00280FCF">
        <w:rPr>
          <w:rFonts w:ascii="Amasis MT Pro Light" w:hAnsi="Amasis MT Pro Light"/>
          <w:sz w:val="28"/>
          <w:szCs w:val="28"/>
        </w:rPr>
        <w:t xml:space="preserve"> for the examination and assessment</w:t>
      </w:r>
      <w:r w:rsidR="00E75834" w:rsidRPr="00280FCF">
        <w:rPr>
          <w:rFonts w:ascii="Amasis MT Pro Light" w:hAnsi="Amasis MT Pro Light"/>
          <w:sz w:val="28"/>
          <w:szCs w:val="28"/>
        </w:rPr>
        <w:t>.</w:t>
      </w:r>
    </w:p>
    <w:p w14:paraId="6B0E510F" w14:textId="37CA4B53" w:rsidR="00AF60C4" w:rsidRPr="00280FCF" w:rsidRDefault="008239FE" w:rsidP="00C6795D">
      <w:pPr>
        <w:rPr>
          <w:rFonts w:ascii="Amasis MT Pro Light" w:hAnsi="Amasis MT Pro Light"/>
          <w:sz w:val="28"/>
          <w:szCs w:val="28"/>
        </w:rPr>
      </w:pPr>
      <w:r w:rsidRPr="00280FCF">
        <w:rPr>
          <w:rFonts w:ascii="Amasis MT Pro Light" w:hAnsi="Amasis MT Pro Light"/>
          <w:sz w:val="28"/>
          <w:szCs w:val="28"/>
        </w:rPr>
        <w:t xml:space="preserve">Scientific </w:t>
      </w:r>
      <w:r w:rsidR="00C95AE7" w:rsidRPr="00280FCF">
        <w:rPr>
          <w:rFonts w:ascii="Amasis MT Pro Light" w:hAnsi="Amasis MT Pro Light"/>
          <w:sz w:val="28"/>
          <w:szCs w:val="28"/>
        </w:rPr>
        <w:t>model</w:t>
      </w:r>
      <w:r w:rsidRPr="00280FCF">
        <w:rPr>
          <w:rFonts w:ascii="Amasis MT Pro Light" w:hAnsi="Amasis MT Pro Light"/>
          <w:sz w:val="28"/>
          <w:szCs w:val="28"/>
        </w:rPr>
        <w:t>s</w:t>
      </w:r>
      <w:r w:rsidR="00B56345" w:rsidRPr="00280FCF">
        <w:rPr>
          <w:rFonts w:ascii="Amasis MT Pro Light" w:hAnsi="Amasis MT Pro Light"/>
          <w:sz w:val="28"/>
          <w:szCs w:val="28"/>
        </w:rPr>
        <w:t xml:space="preserve"> </w:t>
      </w:r>
      <w:r w:rsidR="00162B67">
        <w:rPr>
          <w:rFonts w:ascii="Amasis MT Pro Light" w:hAnsi="Amasis MT Pro Light"/>
          <w:sz w:val="28"/>
          <w:szCs w:val="28"/>
        </w:rPr>
        <w:t xml:space="preserve">used </w:t>
      </w:r>
      <w:r w:rsidRPr="00280FCF">
        <w:rPr>
          <w:rFonts w:ascii="Amasis MT Pro Light" w:hAnsi="Amasis MT Pro Light"/>
          <w:sz w:val="28"/>
          <w:szCs w:val="28"/>
        </w:rPr>
        <w:t>demonstrate</w:t>
      </w:r>
      <w:r w:rsidR="00B56345" w:rsidRPr="00280FCF">
        <w:rPr>
          <w:rFonts w:ascii="Amasis MT Pro Light" w:hAnsi="Amasis MT Pro Light"/>
          <w:sz w:val="28"/>
          <w:szCs w:val="28"/>
        </w:rPr>
        <w:t xml:space="preserve"> a high level of efficacy in the monitoring and processing of activities, resulting in a notable reduction in the incidence of erroneous outcomes and a significant improvement in the overall reliability of operational systems. </w:t>
      </w:r>
      <w:r w:rsidR="00B56345" w:rsidRPr="00FC5538">
        <w:rPr>
          <w:rFonts w:ascii="Amasis MT Pro Light" w:hAnsi="Amasis MT Pro Light"/>
          <w:sz w:val="28"/>
          <w:szCs w:val="28"/>
        </w:rPr>
        <w:t>Yu et al. (2015)</w:t>
      </w:r>
      <w:r w:rsidR="00E228A0" w:rsidRPr="00FC5538">
        <w:rPr>
          <w:rFonts w:ascii="Amasis MT Pro Light" w:hAnsi="Amasis MT Pro Light"/>
          <w:sz w:val="28"/>
          <w:szCs w:val="28"/>
        </w:rPr>
        <w:t xml:space="preserve"> has implied</w:t>
      </w:r>
      <w:r w:rsidR="00B56345" w:rsidRPr="00FC5538">
        <w:rPr>
          <w:rFonts w:ascii="Amasis MT Pro Light" w:hAnsi="Amasis MT Pro Light"/>
          <w:sz w:val="28"/>
          <w:szCs w:val="28"/>
        </w:rPr>
        <w:t xml:space="preserve"> </w:t>
      </w:r>
      <w:r w:rsidR="00FC5538" w:rsidRPr="00FC5538">
        <w:rPr>
          <w:rFonts w:ascii="Amasis MT Pro Light" w:hAnsi="Amasis MT Pro Light"/>
          <w:sz w:val="28"/>
          <w:szCs w:val="28"/>
        </w:rPr>
        <w:t>t</w:t>
      </w:r>
      <w:r w:rsidR="00B56345" w:rsidRPr="00FC5538">
        <w:rPr>
          <w:rFonts w:ascii="Amasis MT Pro Light" w:hAnsi="Amasis MT Pro Light"/>
          <w:sz w:val="28"/>
          <w:szCs w:val="28"/>
        </w:rPr>
        <w:t xml:space="preserve">he topic of operational monitoring, particularly the implementation of integrated environmental monitoring (IEM) </w:t>
      </w:r>
      <w:r w:rsidRPr="00FC5538">
        <w:rPr>
          <w:rFonts w:ascii="Amasis MT Pro Light" w:hAnsi="Amasis MT Pro Light"/>
          <w:sz w:val="28"/>
          <w:szCs w:val="28"/>
        </w:rPr>
        <w:t xml:space="preserve">involves </w:t>
      </w:r>
      <w:r w:rsidR="00B56345" w:rsidRPr="00FC5538">
        <w:rPr>
          <w:rFonts w:ascii="Amasis MT Pro Light" w:hAnsi="Amasis MT Pro Light"/>
          <w:sz w:val="28"/>
          <w:szCs w:val="28"/>
        </w:rPr>
        <w:t>using sensor applications, showcases its systematic relevance to everyday operations</w:t>
      </w:r>
      <w:r w:rsidR="00E228A0">
        <w:rPr>
          <w:rFonts w:ascii="Amasis MT Pro Light" w:hAnsi="Amasis MT Pro Light"/>
          <w:sz w:val="28"/>
          <w:szCs w:val="28"/>
        </w:rPr>
        <w:t>.</w:t>
      </w:r>
      <w:r w:rsidR="00B56345" w:rsidRPr="00280FCF">
        <w:rPr>
          <w:rFonts w:ascii="Amasis MT Pro Light" w:hAnsi="Amasis MT Pro Light"/>
          <w:sz w:val="28"/>
          <w:szCs w:val="28"/>
        </w:rPr>
        <w:t xml:space="preserve"> Hepsoe and colleagues (2012) conducted an empirical investigation</w:t>
      </w:r>
      <w:r w:rsidR="00FC5538">
        <w:rPr>
          <w:rFonts w:ascii="Amasis MT Pro Light" w:hAnsi="Amasis MT Pro Light"/>
          <w:sz w:val="28"/>
          <w:szCs w:val="28"/>
        </w:rPr>
        <w:t xml:space="preserve"> in response</w:t>
      </w:r>
      <w:r w:rsidR="00B56345" w:rsidRPr="00280FCF">
        <w:rPr>
          <w:rFonts w:ascii="Amasis MT Pro Light" w:hAnsi="Amasis MT Pro Light"/>
          <w:sz w:val="28"/>
          <w:szCs w:val="28"/>
        </w:rPr>
        <w:t>.</w:t>
      </w:r>
    </w:p>
    <w:p w14:paraId="59E4370E" w14:textId="1387F0FC" w:rsidR="00B56345" w:rsidRPr="00280FCF" w:rsidRDefault="00B56345" w:rsidP="00C6795D">
      <w:pPr>
        <w:rPr>
          <w:rFonts w:ascii="Amasis MT Pro Light" w:hAnsi="Amasis MT Pro Light"/>
          <w:b/>
          <w:bCs/>
          <w:sz w:val="28"/>
          <w:szCs w:val="28"/>
          <w:u w:val="single"/>
        </w:rPr>
      </w:pPr>
      <w:r w:rsidRPr="00280FCF">
        <w:rPr>
          <w:rFonts w:ascii="Amasis MT Pro Light" w:hAnsi="Amasis MT Pro Light"/>
          <w:b/>
          <w:bCs/>
          <w:sz w:val="28"/>
          <w:szCs w:val="28"/>
          <w:u w:val="single"/>
        </w:rPr>
        <w:t xml:space="preserve">Surveillance monitoring </w:t>
      </w:r>
    </w:p>
    <w:p w14:paraId="6AB10B06" w14:textId="78B86D54" w:rsidR="00B56345" w:rsidRPr="00280FCF" w:rsidRDefault="005D0E4D" w:rsidP="005D0E4D">
      <w:pPr>
        <w:rPr>
          <w:rFonts w:ascii="Amasis MT Pro Light" w:hAnsi="Amasis MT Pro Light"/>
          <w:sz w:val="28"/>
          <w:szCs w:val="28"/>
        </w:rPr>
      </w:pPr>
      <w:r w:rsidRPr="00E228A0">
        <w:rPr>
          <w:rFonts w:ascii="Amasis MT Pro Light" w:hAnsi="Amasis MT Pro Light"/>
          <w:sz w:val="28"/>
          <w:szCs w:val="28"/>
        </w:rPr>
        <w:t>P</w:t>
      </w:r>
      <w:r w:rsidR="00B56345" w:rsidRPr="00E228A0">
        <w:rPr>
          <w:rFonts w:ascii="Amasis MT Pro Light" w:hAnsi="Amasis MT Pro Light"/>
          <w:sz w:val="28"/>
          <w:szCs w:val="28"/>
        </w:rPr>
        <w:t xml:space="preserve">olluted </w:t>
      </w:r>
      <w:r w:rsidR="00864A23" w:rsidRPr="00E228A0">
        <w:rPr>
          <w:rFonts w:ascii="Amasis MT Pro Light" w:hAnsi="Amasis MT Pro Light"/>
          <w:sz w:val="28"/>
          <w:szCs w:val="28"/>
        </w:rPr>
        <w:t>water</w:t>
      </w:r>
      <w:r w:rsidR="00B56345" w:rsidRPr="00E228A0">
        <w:rPr>
          <w:rFonts w:ascii="Amasis MT Pro Light" w:hAnsi="Amasis MT Pro Light"/>
          <w:sz w:val="28"/>
          <w:szCs w:val="28"/>
        </w:rPr>
        <w:t xml:space="preserve"> entities harbouring pathogens and the endeavour of uncovering and grasping the correlation between water purity and public well-being in both rural and urban settings </w:t>
      </w:r>
      <w:r w:rsidRPr="00E228A0">
        <w:rPr>
          <w:rFonts w:ascii="Amasis MT Pro Light" w:hAnsi="Amasis MT Pro Light"/>
          <w:sz w:val="28"/>
          <w:szCs w:val="28"/>
        </w:rPr>
        <w:t>(</w:t>
      </w:r>
      <w:r w:rsidR="00B56345" w:rsidRPr="00E228A0">
        <w:rPr>
          <w:rFonts w:ascii="Amasis MT Pro Light" w:hAnsi="Amasis MT Pro Light"/>
          <w:sz w:val="28"/>
          <w:szCs w:val="28"/>
        </w:rPr>
        <w:t>Kulinkina et al.</w:t>
      </w:r>
      <w:r w:rsidRPr="00E228A0">
        <w:rPr>
          <w:rFonts w:ascii="Amasis MT Pro Light" w:hAnsi="Amasis MT Pro Light"/>
          <w:sz w:val="28"/>
          <w:szCs w:val="28"/>
        </w:rPr>
        <w:t xml:space="preserve">, </w:t>
      </w:r>
      <w:r w:rsidR="00B56345" w:rsidRPr="00E228A0">
        <w:rPr>
          <w:rFonts w:ascii="Amasis MT Pro Light" w:hAnsi="Amasis MT Pro Light"/>
          <w:sz w:val="28"/>
          <w:szCs w:val="28"/>
        </w:rPr>
        <w:t>2016)</w:t>
      </w:r>
      <w:r w:rsidRPr="00E228A0">
        <w:rPr>
          <w:rFonts w:ascii="Amasis MT Pro Light" w:hAnsi="Amasis MT Pro Light"/>
          <w:sz w:val="28"/>
          <w:szCs w:val="28"/>
        </w:rPr>
        <w:t xml:space="preserve">. </w:t>
      </w:r>
      <w:r w:rsidR="00E75834" w:rsidRPr="00E228A0">
        <w:rPr>
          <w:rFonts w:ascii="Amasis MT Pro Light" w:hAnsi="Amasis MT Pro Light"/>
          <w:sz w:val="28"/>
          <w:szCs w:val="28"/>
        </w:rPr>
        <w:t>I</w:t>
      </w:r>
      <w:r w:rsidR="00B56345" w:rsidRPr="00E228A0">
        <w:rPr>
          <w:rFonts w:ascii="Amasis MT Pro Light" w:hAnsi="Amasis MT Pro Light"/>
          <w:sz w:val="28"/>
          <w:szCs w:val="28"/>
        </w:rPr>
        <w:t xml:space="preserve">n addition, the utilisation of surveillance monitoring facilitates the real-time observation of air pollution levels, so contributing to the prevention of diseases through the maintenance of healthy environments </w:t>
      </w:r>
      <w:r w:rsidR="00DF01D2" w:rsidRPr="00E228A0">
        <w:rPr>
          <w:rFonts w:ascii="Amasis MT Pro Light" w:hAnsi="Amasis MT Pro Light"/>
          <w:sz w:val="28"/>
          <w:szCs w:val="28"/>
        </w:rPr>
        <w:t>(</w:t>
      </w:r>
      <w:r w:rsidR="00B56345" w:rsidRPr="00280FCF">
        <w:rPr>
          <w:rFonts w:ascii="Amasis MT Pro Light" w:hAnsi="Amasis MT Pro Light"/>
          <w:sz w:val="28"/>
          <w:szCs w:val="28"/>
        </w:rPr>
        <w:t>Harcourt et al.</w:t>
      </w:r>
      <w:r w:rsidR="00DF01D2">
        <w:rPr>
          <w:rFonts w:ascii="Amasis MT Pro Light" w:hAnsi="Amasis MT Pro Light"/>
          <w:sz w:val="28"/>
          <w:szCs w:val="28"/>
        </w:rPr>
        <w:t xml:space="preserve">, </w:t>
      </w:r>
      <w:r w:rsidR="00B56345" w:rsidRPr="00280FCF">
        <w:rPr>
          <w:rFonts w:ascii="Amasis MT Pro Light" w:hAnsi="Amasis MT Pro Light"/>
          <w:sz w:val="28"/>
          <w:szCs w:val="28"/>
        </w:rPr>
        <w:t xml:space="preserve">2018) </w:t>
      </w:r>
      <w:r w:rsidR="00162B67">
        <w:rPr>
          <w:rFonts w:ascii="Amasis MT Pro Light" w:hAnsi="Amasis MT Pro Light"/>
          <w:sz w:val="28"/>
          <w:szCs w:val="28"/>
        </w:rPr>
        <w:t xml:space="preserve">when </w:t>
      </w:r>
      <w:r w:rsidR="00162B67" w:rsidRPr="00280FCF">
        <w:rPr>
          <w:rFonts w:ascii="Amasis MT Pro Light" w:hAnsi="Amasis MT Pro Light"/>
          <w:sz w:val="28"/>
          <w:szCs w:val="28"/>
        </w:rPr>
        <w:t>conducted.</w:t>
      </w:r>
    </w:p>
    <w:p w14:paraId="2500C341" w14:textId="565A816E" w:rsidR="00B56345" w:rsidRPr="00280FCF" w:rsidRDefault="00B56345" w:rsidP="00DF01D2">
      <w:pPr>
        <w:rPr>
          <w:rFonts w:ascii="Amasis MT Pro Light" w:hAnsi="Amasis MT Pro Light"/>
          <w:sz w:val="28"/>
          <w:szCs w:val="28"/>
        </w:rPr>
      </w:pPr>
      <w:r w:rsidRPr="00280FCF">
        <w:rPr>
          <w:rFonts w:ascii="Amasis MT Pro Light" w:hAnsi="Amasis MT Pro Light"/>
          <w:sz w:val="28"/>
          <w:szCs w:val="28"/>
        </w:rPr>
        <w:t xml:space="preserve">Surveillance monitoring, within the </w:t>
      </w:r>
      <w:r w:rsidR="00E75834" w:rsidRPr="00280FCF">
        <w:rPr>
          <w:rFonts w:ascii="Amasis MT Pro Light" w:hAnsi="Amasis MT Pro Light"/>
          <w:sz w:val="28"/>
          <w:szCs w:val="28"/>
        </w:rPr>
        <w:t>dimension of</w:t>
      </w:r>
      <w:r w:rsidRPr="00280FCF">
        <w:rPr>
          <w:rFonts w:ascii="Amasis MT Pro Light" w:hAnsi="Amasis MT Pro Light"/>
          <w:sz w:val="28"/>
          <w:szCs w:val="28"/>
        </w:rPr>
        <w:t xml:space="preserve"> water quality, involves the proactive observation and examination of several indicators that are linked to the overall quality of water.</w:t>
      </w:r>
      <w:r w:rsidR="00DF01D2">
        <w:rPr>
          <w:rFonts w:ascii="Amasis MT Pro Light" w:hAnsi="Amasis MT Pro Light"/>
          <w:sz w:val="28"/>
          <w:szCs w:val="28"/>
        </w:rPr>
        <w:t xml:space="preserve"> </w:t>
      </w:r>
      <w:r w:rsidRPr="00280FCF">
        <w:rPr>
          <w:rFonts w:ascii="Amasis MT Pro Light" w:hAnsi="Amasis MT Pro Light"/>
          <w:sz w:val="28"/>
          <w:szCs w:val="28"/>
        </w:rPr>
        <w:t>The main goal is to gather relevant data and detect any deviations or anomalies that may require further examination or intervention (Strobl &amp; Robillard, 2008). The process encompasses the intentional organisation of monitoring networks, the collection of data, and the subsequent analysis and interpretation of the collected data.</w:t>
      </w:r>
    </w:p>
    <w:p w14:paraId="30B186A0" w14:textId="77777777" w:rsidR="00DF01D2" w:rsidRDefault="00DF01D2" w:rsidP="00B56345">
      <w:pPr>
        <w:rPr>
          <w:rFonts w:ascii="Amasis MT Pro Light" w:hAnsi="Amasis MT Pro Light"/>
          <w:sz w:val="28"/>
          <w:szCs w:val="28"/>
        </w:rPr>
      </w:pPr>
    </w:p>
    <w:p w14:paraId="3BFB42B9" w14:textId="2C7D2BF5" w:rsidR="00B56345" w:rsidRPr="00C95AE7" w:rsidRDefault="00162B67" w:rsidP="00B56345">
      <w:pPr>
        <w:rPr>
          <w:sz w:val="28"/>
          <w:szCs w:val="28"/>
        </w:rPr>
      </w:pPr>
      <w:r>
        <w:rPr>
          <w:rFonts w:ascii="Amasis MT Pro Light" w:hAnsi="Amasis MT Pro Light"/>
          <w:sz w:val="28"/>
          <w:szCs w:val="28"/>
        </w:rPr>
        <w:lastRenderedPageBreak/>
        <w:t>Though t</w:t>
      </w:r>
      <w:r w:rsidR="00B56345" w:rsidRPr="00280FCF">
        <w:rPr>
          <w:rFonts w:ascii="Amasis MT Pro Light" w:hAnsi="Amasis MT Pro Light"/>
          <w:sz w:val="28"/>
          <w:szCs w:val="28"/>
        </w:rPr>
        <w:t xml:space="preserve">he main goal of </w:t>
      </w:r>
      <w:r w:rsidR="00B56345" w:rsidRPr="00FC5538">
        <w:rPr>
          <w:rFonts w:ascii="Amasis MT Pro Light" w:hAnsi="Amasis MT Pro Light"/>
          <w:sz w:val="28"/>
          <w:szCs w:val="28"/>
        </w:rPr>
        <w:t>surveillance monitoring in</w:t>
      </w:r>
      <w:r w:rsidR="00864A23" w:rsidRPr="00FC5538">
        <w:rPr>
          <w:rFonts w:ascii="Amasis MT Pro Light" w:hAnsi="Amasis MT Pro Light"/>
          <w:sz w:val="28"/>
          <w:szCs w:val="28"/>
        </w:rPr>
        <w:t xml:space="preserve"> </w:t>
      </w:r>
      <w:r w:rsidR="00B56345" w:rsidRPr="00FC5538">
        <w:rPr>
          <w:rFonts w:ascii="Amasis MT Pro Light" w:hAnsi="Amasis MT Pro Light"/>
          <w:sz w:val="28"/>
          <w:szCs w:val="28"/>
        </w:rPr>
        <w:t>is to verify and maintain the integrity and safety of water resources</w:t>
      </w:r>
      <w:r w:rsidR="00DF01D2" w:rsidRPr="00FC5538">
        <w:rPr>
          <w:rFonts w:ascii="Amasis MT Pro Light" w:hAnsi="Amasis MT Pro Light"/>
          <w:sz w:val="28"/>
          <w:szCs w:val="28"/>
        </w:rPr>
        <w:t>,</w:t>
      </w:r>
      <w:r w:rsidR="00B56345" w:rsidRPr="00FC5538">
        <w:rPr>
          <w:rFonts w:ascii="Amasis MT Pro Light" w:hAnsi="Amasis MT Pro Light"/>
          <w:sz w:val="28"/>
          <w:szCs w:val="28"/>
        </w:rPr>
        <w:t xml:space="preserve"> </w:t>
      </w:r>
      <w:r w:rsidR="00DF01D2" w:rsidRPr="00FC5538">
        <w:rPr>
          <w:rFonts w:ascii="Amasis MT Pro Light" w:hAnsi="Amasis MT Pro Light"/>
          <w:sz w:val="28"/>
          <w:szCs w:val="28"/>
        </w:rPr>
        <w:t>t</w:t>
      </w:r>
      <w:r w:rsidR="00B56345" w:rsidRPr="00FC5538">
        <w:rPr>
          <w:rFonts w:ascii="Amasis MT Pro Light" w:hAnsi="Amasis MT Pro Light"/>
          <w:sz w:val="28"/>
          <w:szCs w:val="28"/>
        </w:rPr>
        <w:t>he procedure involves continuous monitoring of many indicators of water quality, such as pH, dissolved oxygen, turbidity, temperature, and the presence of compounds like heavy metals or contaminants</w:t>
      </w:r>
      <w:r w:rsidR="00E35B2B" w:rsidRPr="00FC5538">
        <w:rPr>
          <w:rFonts w:ascii="Amasis MT Pro Light" w:hAnsi="Amasis MT Pro Light"/>
          <w:sz w:val="28"/>
          <w:szCs w:val="28"/>
        </w:rPr>
        <w:t xml:space="preserve"> </w:t>
      </w:r>
      <w:r w:rsidR="00DF01D2" w:rsidRPr="00FC5538">
        <w:rPr>
          <w:rFonts w:ascii="Amasis MT Pro Light" w:hAnsi="Amasis MT Pro Light"/>
          <w:sz w:val="28"/>
          <w:szCs w:val="28"/>
        </w:rPr>
        <w:t>(</w:t>
      </w:r>
      <w:r w:rsidR="00E35B2B" w:rsidRPr="00280FCF">
        <w:rPr>
          <w:rFonts w:ascii="Amasis MT Pro Light" w:hAnsi="Amasis MT Pro Light"/>
          <w:sz w:val="28"/>
          <w:szCs w:val="28"/>
        </w:rPr>
        <w:t>Rahman</w:t>
      </w:r>
      <w:r w:rsidR="00B56345" w:rsidRPr="00280FCF">
        <w:rPr>
          <w:rFonts w:ascii="Amasis MT Pro Light" w:hAnsi="Amasis MT Pro Light"/>
          <w:sz w:val="28"/>
          <w:szCs w:val="28"/>
        </w:rPr>
        <w:t xml:space="preserve"> et al.</w:t>
      </w:r>
      <w:r w:rsidR="00DF01D2">
        <w:rPr>
          <w:rFonts w:ascii="Amasis MT Pro Light" w:hAnsi="Amasis MT Pro Light"/>
          <w:sz w:val="28"/>
          <w:szCs w:val="28"/>
        </w:rPr>
        <w:t xml:space="preserve">, </w:t>
      </w:r>
      <w:r w:rsidR="00B56345" w:rsidRPr="00280FCF">
        <w:rPr>
          <w:rFonts w:ascii="Amasis MT Pro Light" w:hAnsi="Amasis MT Pro Light"/>
          <w:sz w:val="28"/>
          <w:szCs w:val="28"/>
        </w:rPr>
        <w:t>(2020). By actively monitoring these indicators, it becomes feasible to detect any deviations or anomalies, thereby</w:t>
      </w:r>
      <w:r w:rsidR="00B56345" w:rsidRPr="00280FCF">
        <w:rPr>
          <w:sz w:val="28"/>
          <w:szCs w:val="28"/>
        </w:rPr>
        <w:t xml:space="preserve"> </w:t>
      </w:r>
      <w:r w:rsidR="00B56345" w:rsidRPr="00280FCF">
        <w:rPr>
          <w:rFonts w:ascii="Amasis MT Pro Light" w:hAnsi="Amasis MT Pro Light"/>
          <w:sz w:val="28"/>
          <w:szCs w:val="28"/>
        </w:rPr>
        <w:t>facilitating timely interventions and the implementation of suitable management measures.</w:t>
      </w:r>
    </w:p>
    <w:p w14:paraId="38B87ACD" w14:textId="65E9D32F" w:rsidR="00B3260E" w:rsidRPr="00AF60C4" w:rsidRDefault="00B3260E" w:rsidP="00B56345">
      <w:pPr>
        <w:rPr>
          <w:rFonts w:ascii="Amasis MT Pro Light" w:hAnsi="Amasis MT Pro Light"/>
          <w:b/>
          <w:bCs/>
          <w:sz w:val="28"/>
          <w:szCs w:val="28"/>
          <w:u w:val="single"/>
        </w:rPr>
      </w:pPr>
      <w:r w:rsidRPr="00AF60C4">
        <w:rPr>
          <w:rFonts w:ascii="Amasis MT Pro Light" w:hAnsi="Amasis MT Pro Light"/>
          <w:b/>
          <w:bCs/>
          <w:sz w:val="28"/>
          <w:szCs w:val="28"/>
          <w:u w:val="single"/>
        </w:rPr>
        <w:t xml:space="preserve"> </w:t>
      </w:r>
    </w:p>
    <w:p w14:paraId="759E07B6" w14:textId="4C33C9B5" w:rsidR="000E0430" w:rsidRDefault="000E0430" w:rsidP="00B56345">
      <w:pPr>
        <w:rPr>
          <w:rFonts w:ascii="Amasis MT Pro Light" w:hAnsi="Amasis MT Pro Light"/>
          <w:b/>
          <w:bCs/>
          <w:u w:val="single"/>
        </w:rPr>
      </w:pPr>
    </w:p>
    <w:p w14:paraId="622565DF" w14:textId="77777777" w:rsidR="00F772A1" w:rsidRDefault="00F772A1" w:rsidP="00B56345">
      <w:pPr>
        <w:rPr>
          <w:rFonts w:ascii="Amasis MT Pro Light" w:hAnsi="Amasis MT Pro Light"/>
          <w:b/>
          <w:bCs/>
          <w:u w:val="single"/>
        </w:rPr>
      </w:pPr>
    </w:p>
    <w:p w14:paraId="61828C7D" w14:textId="77777777" w:rsidR="00F772A1" w:rsidRDefault="00F772A1" w:rsidP="00B56345">
      <w:pPr>
        <w:rPr>
          <w:rFonts w:ascii="Amasis MT Pro Light" w:hAnsi="Amasis MT Pro Light"/>
          <w:b/>
          <w:bCs/>
          <w:u w:val="single"/>
        </w:rPr>
      </w:pPr>
    </w:p>
    <w:p w14:paraId="42CC08C2" w14:textId="32F37B97" w:rsidR="00191216" w:rsidRPr="0064271D" w:rsidRDefault="008239FE" w:rsidP="00B56345">
      <w:pPr>
        <w:rPr>
          <w:rFonts w:ascii="Amasis MT Pro Light" w:hAnsi="Amasis MT Pro Light"/>
          <w:b/>
          <w:bCs/>
          <w:sz w:val="28"/>
          <w:szCs w:val="28"/>
          <w:u w:val="single"/>
        </w:rPr>
      </w:pPr>
      <w:r w:rsidRPr="00191216">
        <w:rPr>
          <w:rFonts w:ascii="Amasis MT Pro Light" w:hAnsi="Amasis MT Pro Light"/>
          <w:b/>
          <w:bCs/>
          <w:noProof/>
          <w:u w:val="single"/>
        </w:rPr>
        <w:lastRenderedPageBreak/>
        <w:drawing>
          <wp:anchor distT="0" distB="0" distL="114300" distR="114300" simplePos="0" relativeHeight="251658240" behindDoc="1" locked="0" layoutInCell="1" allowOverlap="1" wp14:anchorId="129CDAC3" wp14:editId="7C56172D">
            <wp:simplePos x="0" y="0"/>
            <wp:positionH relativeFrom="margin">
              <wp:posOffset>510540</wp:posOffset>
            </wp:positionH>
            <wp:positionV relativeFrom="paragraph">
              <wp:posOffset>570268</wp:posOffset>
            </wp:positionV>
            <wp:extent cx="4792980" cy="7665085"/>
            <wp:effectExtent l="228600" t="228600" r="236220" b="221615"/>
            <wp:wrapTight wrapText="bothSides">
              <wp:wrapPolygon edited="0">
                <wp:start x="-1030" y="-644"/>
                <wp:lineTo x="-1030" y="22171"/>
                <wp:lineTo x="22579" y="22171"/>
                <wp:lineTo x="22579" y="-644"/>
                <wp:lineTo x="-1030" y="-644"/>
              </wp:wrapPolygon>
            </wp:wrapTight>
            <wp:docPr id="369408494"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08494" name="Picture 1"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92980" cy="766508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64271D">
        <w:rPr>
          <w:rFonts w:ascii="Amasis MT Pro Light" w:hAnsi="Amasis MT Pro Light"/>
          <w:b/>
          <w:bCs/>
          <w:sz w:val="28"/>
          <w:szCs w:val="28"/>
          <w:u w:val="single"/>
        </w:rPr>
        <w:t>Poster</w:t>
      </w:r>
    </w:p>
    <w:p w14:paraId="3C623106" w14:textId="22A87093" w:rsidR="00191216" w:rsidRDefault="00191216" w:rsidP="00B56345">
      <w:pPr>
        <w:rPr>
          <w:rFonts w:ascii="Amasis MT Pro Light" w:hAnsi="Amasis MT Pro Light"/>
          <w:b/>
          <w:bCs/>
          <w:u w:val="single"/>
        </w:rPr>
      </w:pPr>
    </w:p>
    <w:p w14:paraId="2E78541A" w14:textId="787E4A59" w:rsidR="00C45CBF" w:rsidRPr="00280FCF" w:rsidRDefault="00191216" w:rsidP="00B56345">
      <w:pPr>
        <w:rPr>
          <w:rFonts w:ascii="Amasis MT Pro Light" w:hAnsi="Amasis MT Pro Light"/>
          <w:b/>
          <w:bCs/>
          <w:sz w:val="28"/>
          <w:szCs w:val="28"/>
          <w:u w:val="single"/>
        </w:rPr>
      </w:pPr>
      <w:r w:rsidRPr="00280FCF">
        <w:rPr>
          <w:rFonts w:ascii="Amasis MT Pro Light" w:hAnsi="Amasis MT Pro Light"/>
          <w:b/>
          <w:bCs/>
          <w:sz w:val="28"/>
          <w:szCs w:val="28"/>
          <w:u w:val="single"/>
        </w:rPr>
        <w:t>Q3)</w:t>
      </w:r>
    </w:p>
    <w:p w14:paraId="660C805E" w14:textId="75F1D3D9" w:rsidR="00471A3B" w:rsidRPr="00B417BB" w:rsidRDefault="00471A3B" w:rsidP="00471A3B">
      <w:pPr>
        <w:rPr>
          <w:rFonts w:ascii="Amasis MT Pro Light" w:hAnsi="Amasis MT Pro Light"/>
          <w:sz w:val="28"/>
          <w:szCs w:val="28"/>
        </w:rPr>
      </w:pPr>
      <w:r w:rsidRPr="00B417BB">
        <w:rPr>
          <w:rFonts w:ascii="Amasis MT Pro Light" w:hAnsi="Amasis MT Pro Light"/>
          <w:sz w:val="28"/>
          <w:szCs w:val="28"/>
        </w:rPr>
        <w:t>Net primary production (NPP) in UK aquatic habitats depends on water transparency. Increased water clarity allows more light into the aquatic environment, boosting photosynthetic activity and net primary productivity</w:t>
      </w:r>
      <w:r w:rsidR="00004E7C">
        <w:rPr>
          <w:rFonts w:ascii="Amasis MT Pro Light" w:hAnsi="Amasis MT Pro Light"/>
          <w:sz w:val="28"/>
          <w:szCs w:val="28"/>
        </w:rPr>
        <w:t xml:space="preserve"> (</w:t>
      </w:r>
      <w:r w:rsidRPr="00B417BB">
        <w:rPr>
          <w:rFonts w:ascii="Amasis MT Pro Light" w:hAnsi="Amasis MT Pro Light"/>
          <w:sz w:val="28"/>
          <w:szCs w:val="28"/>
        </w:rPr>
        <w:t>Morel and Berthon</w:t>
      </w:r>
      <w:r w:rsidR="00004E7C">
        <w:rPr>
          <w:rFonts w:ascii="Amasis MT Pro Light" w:hAnsi="Amasis MT Pro Light"/>
          <w:sz w:val="28"/>
          <w:szCs w:val="28"/>
        </w:rPr>
        <w:t>, 1</w:t>
      </w:r>
      <w:r w:rsidRPr="00B417BB">
        <w:rPr>
          <w:rFonts w:ascii="Amasis MT Pro Light" w:hAnsi="Amasis MT Pro Light"/>
          <w:sz w:val="28"/>
          <w:szCs w:val="28"/>
        </w:rPr>
        <w:t>989). Morel and Berthon (1989) suggest that water transparency</w:t>
      </w:r>
      <w:r w:rsidR="005F492C" w:rsidRPr="00B417BB">
        <w:rPr>
          <w:rFonts w:ascii="Amasis MT Pro Light" w:hAnsi="Amasis MT Pro Light"/>
          <w:sz w:val="28"/>
          <w:szCs w:val="28"/>
        </w:rPr>
        <w:t xml:space="preserve"> </w:t>
      </w:r>
      <w:r w:rsidRPr="00B417BB">
        <w:rPr>
          <w:rFonts w:ascii="Amasis MT Pro Light" w:hAnsi="Amasis MT Pro Light"/>
          <w:sz w:val="28"/>
          <w:szCs w:val="28"/>
        </w:rPr>
        <w:t>the area of water with enough light for photosynthesis</w:t>
      </w:r>
      <w:r w:rsidR="005F492C" w:rsidRPr="00B417BB">
        <w:rPr>
          <w:rFonts w:ascii="Amasis MT Pro Light" w:hAnsi="Amasis MT Pro Light"/>
          <w:sz w:val="28"/>
          <w:szCs w:val="28"/>
        </w:rPr>
        <w:t xml:space="preserve"> </w:t>
      </w:r>
      <w:r w:rsidRPr="00B417BB">
        <w:rPr>
          <w:rFonts w:ascii="Amasis MT Pro Light" w:hAnsi="Amasis MT Pro Light"/>
          <w:sz w:val="28"/>
          <w:szCs w:val="28"/>
        </w:rPr>
        <w:t xml:space="preserve">affects euphotic layer productivity. Water quality is vital to </w:t>
      </w:r>
      <w:r w:rsidR="005F492C" w:rsidRPr="00B417BB">
        <w:rPr>
          <w:rFonts w:ascii="Amasis MT Pro Light" w:hAnsi="Amasis MT Pro Light"/>
          <w:sz w:val="28"/>
          <w:szCs w:val="28"/>
        </w:rPr>
        <w:t>produce light</w:t>
      </w:r>
      <w:r w:rsidRPr="00B417BB">
        <w:rPr>
          <w:rFonts w:ascii="Amasis MT Pro Light" w:hAnsi="Amasis MT Pro Light"/>
          <w:sz w:val="28"/>
          <w:szCs w:val="28"/>
        </w:rPr>
        <w:t xml:space="preserve"> photon availability and productivity.</w:t>
      </w:r>
    </w:p>
    <w:p w14:paraId="08A57503" w14:textId="024E017F" w:rsidR="00471A3B" w:rsidRPr="00B417BB" w:rsidRDefault="00471A3B" w:rsidP="00471A3B">
      <w:pPr>
        <w:rPr>
          <w:rFonts w:ascii="Amasis MT Pro Light" w:hAnsi="Amasis MT Pro Light"/>
          <w:sz w:val="28"/>
          <w:szCs w:val="28"/>
        </w:rPr>
      </w:pPr>
      <w:r w:rsidRPr="00B417BB">
        <w:rPr>
          <w:rFonts w:ascii="Amasis MT Pro Light" w:hAnsi="Amasis MT Pro Light"/>
          <w:sz w:val="28"/>
          <w:szCs w:val="28"/>
        </w:rPr>
        <w:t>Chlorophyll a concentration is a key indicator of phytoplankton biomass. The measure is strongly correlated with net primary productivity (NPP), as Morel and Berthon showed in their 1989 work. As primary producers, phytoplankton contribute significantly to Net Primary Productivity (NPP) through photosynthesis. Photosynthesis by phytoplankton is crucial to net primary production (NPP). Morel and Berthon (1989) examine</w:t>
      </w:r>
      <w:r w:rsidR="00E35B2B" w:rsidRPr="00B417BB">
        <w:rPr>
          <w:rFonts w:ascii="Amasis MT Pro Light" w:hAnsi="Amasis MT Pro Light"/>
          <w:sz w:val="28"/>
          <w:szCs w:val="28"/>
        </w:rPr>
        <w:t>d</w:t>
      </w:r>
      <w:r w:rsidRPr="00B417BB">
        <w:rPr>
          <w:rFonts w:ascii="Amasis MT Pro Light" w:hAnsi="Amasis MT Pro Light"/>
          <w:sz w:val="28"/>
          <w:szCs w:val="28"/>
        </w:rPr>
        <w:t xml:space="preserve"> how surface pigments and algae biomass patterns affect the euphotic layer. Higher chlorophyll concentrations and focus indicate more phytoplankton, which increases net primary output.</w:t>
      </w:r>
    </w:p>
    <w:p w14:paraId="55682F2B" w14:textId="7B884259" w:rsidR="000E0430" w:rsidRPr="00B417BB" w:rsidRDefault="00471A3B" w:rsidP="00B56345">
      <w:pPr>
        <w:rPr>
          <w:rFonts w:ascii="Amasis MT Pro Light" w:hAnsi="Amasis MT Pro Light"/>
          <w:sz w:val="28"/>
          <w:szCs w:val="28"/>
        </w:rPr>
      </w:pPr>
      <w:r w:rsidRPr="00B417BB">
        <w:rPr>
          <w:rFonts w:ascii="Amasis MT Pro Light" w:hAnsi="Amasis MT Pro Light"/>
          <w:sz w:val="28"/>
          <w:szCs w:val="28"/>
        </w:rPr>
        <w:t>Total phosphorus (TP) levels in</w:t>
      </w:r>
      <w:r w:rsidR="008239FE" w:rsidRPr="00B417BB">
        <w:rPr>
          <w:rFonts w:ascii="Amasis MT Pro Light" w:hAnsi="Amasis MT Pro Light"/>
          <w:sz w:val="28"/>
          <w:szCs w:val="28"/>
        </w:rPr>
        <w:t xml:space="preserve"> </w:t>
      </w:r>
      <w:r w:rsidRPr="00B417BB">
        <w:rPr>
          <w:rFonts w:ascii="Amasis MT Pro Light" w:hAnsi="Amasis MT Pro Light"/>
          <w:sz w:val="28"/>
          <w:szCs w:val="28"/>
        </w:rPr>
        <w:t>aquatic settings affect net primary productivity</w:t>
      </w:r>
      <w:r w:rsidR="00280FCF" w:rsidRPr="00B417BB">
        <w:rPr>
          <w:rFonts w:ascii="Amasis MT Pro Light" w:hAnsi="Amasis MT Pro Light"/>
          <w:sz w:val="28"/>
          <w:szCs w:val="28"/>
        </w:rPr>
        <w:t xml:space="preserve">; </w:t>
      </w:r>
      <w:r w:rsidRPr="00B417BB">
        <w:rPr>
          <w:rFonts w:ascii="Amasis MT Pro Light" w:hAnsi="Amasis MT Pro Light"/>
          <w:sz w:val="28"/>
          <w:szCs w:val="28"/>
        </w:rPr>
        <w:t>Considering phosphorus nutrients is a key aspect in determining net primary production (NPP) accessibility. Phytoplankton growth is promoted by high total phosphorus (TP) levels, which increase phosphorus availability</w:t>
      </w:r>
      <w:r w:rsidR="00653500" w:rsidRPr="00B417BB">
        <w:rPr>
          <w:rFonts w:ascii="Amasis MT Pro Light" w:hAnsi="Amasis MT Pro Light"/>
          <w:sz w:val="28"/>
          <w:szCs w:val="28"/>
        </w:rPr>
        <w:t>; but</w:t>
      </w:r>
      <w:r w:rsidRPr="00B417BB">
        <w:rPr>
          <w:rFonts w:ascii="Amasis MT Pro Light" w:hAnsi="Amasis MT Pro Light"/>
          <w:sz w:val="28"/>
          <w:szCs w:val="28"/>
        </w:rPr>
        <w:t xml:space="preserve"> Takoukam et al. (2021) report</w:t>
      </w:r>
      <w:r w:rsidR="00BC620A" w:rsidRPr="00B417BB">
        <w:rPr>
          <w:rFonts w:ascii="Amasis MT Pro Light" w:hAnsi="Amasis MT Pro Light"/>
          <w:sz w:val="28"/>
          <w:szCs w:val="28"/>
        </w:rPr>
        <w:t>ed</w:t>
      </w:r>
      <w:r w:rsidRPr="00B417BB">
        <w:rPr>
          <w:rFonts w:ascii="Amasis MT Pro Light" w:hAnsi="Amasis MT Pro Light"/>
          <w:sz w:val="28"/>
          <w:szCs w:val="28"/>
        </w:rPr>
        <w:t xml:space="preserve"> that this process increases chlorophyll and net primary production. Takoukam et al. (2021)</w:t>
      </w:r>
      <w:r w:rsidR="00280FCF" w:rsidRPr="00B417BB">
        <w:rPr>
          <w:rFonts w:ascii="Amasis MT Pro Light" w:hAnsi="Amasis MT Pro Light"/>
          <w:sz w:val="28"/>
          <w:szCs w:val="28"/>
        </w:rPr>
        <w:t xml:space="preserve"> also </w:t>
      </w:r>
      <w:r w:rsidR="00453E5E" w:rsidRPr="00B417BB">
        <w:rPr>
          <w:rFonts w:ascii="Amasis MT Pro Light" w:hAnsi="Amasis MT Pro Light"/>
          <w:sz w:val="28"/>
          <w:szCs w:val="28"/>
        </w:rPr>
        <w:t>indicates suspended</w:t>
      </w:r>
      <w:r w:rsidRPr="00B417BB">
        <w:rPr>
          <w:rFonts w:ascii="Amasis MT Pro Light" w:hAnsi="Amasis MT Pro Light"/>
          <w:sz w:val="28"/>
          <w:szCs w:val="28"/>
        </w:rPr>
        <w:t xml:space="preserve"> silt in lakes with low water transparency, which may affect the link between total phosphorus (TP) concentrations and net primary productivity. The degree of influence depends on many factors, including sedimentation.</w:t>
      </w:r>
    </w:p>
    <w:p w14:paraId="0AE283F8" w14:textId="77777777" w:rsidR="0064271D" w:rsidRDefault="0064271D" w:rsidP="00B56345">
      <w:pPr>
        <w:rPr>
          <w:rFonts w:ascii="Amasis MT Pro Light" w:hAnsi="Amasis MT Pro Light"/>
          <w:sz w:val="28"/>
          <w:szCs w:val="28"/>
        </w:rPr>
      </w:pPr>
    </w:p>
    <w:p w14:paraId="696F563F" w14:textId="77777777" w:rsidR="0064271D" w:rsidRDefault="0064271D" w:rsidP="00B56345">
      <w:pPr>
        <w:rPr>
          <w:rFonts w:ascii="Amasis MT Pro Light" w:hAnsi="Amasis MT Pro Light"/>
          <w:sz w:val="28"/>
          <w:szCs w:val="28"/>
        </w:rPr>
      </w:pPr>
    </w:p>
    <w:p w14:paraId="6C0B3558" w14:textId="77777777" w:rsidR="0064271D" w:rsidRDefault="0064271D" w:rsidP="00B56345">
      <w:pPr>
        <w:rPr>
          <w:rFonts w:ascii="Amasis MT Pro Light" w:hAnsi="Amasis MT Pro Light"/>
          <w:sz w:val="28"/>
          <w:szCs w:val="28"/>
        </w:rPr>
      </w:pPr>
    </w:p>
    <w:p w14:paraId="7A4E91A1" w14:textId="77777777" w:rsidR="0064271D" w:rsidRDefault="0064271D" w:rsidP="00B56345">
      <w:pPr>
        <w:rPr>
          <w:rFonts w:ascii="Amasis MT Pro Light" w:hAnsi="Amasis MT Pro Light"/>
          <w:sz w:val="28"/>
          <w:szCs w:val="28"/>
        </w:rPr>
      </w:pPr>
    </w:p>
    <w:p w14:paraId="2F551153" w14:textId="77777777" w:rsidR="0064271D" w:rsidRPr="0064271D" w:rsidRDefault="0064271D" w:rsidP="00B56345">
      <w:pPr>
        <w:rPr>
          <w:rFonts w:ascii="Amasis MT Pro Light" w:hAnsi="Amasis MT Pro Light"/>
          <w:sz w:val="28"/>
          <w:szCs w:val="28"/>
        </w:rPr>
      </w:pPr>
    </w:p>
    <w:p w14:paraId="22E6D21C" w14:textId="4BC4619F" w:rsidR="00BC56FA" w:rsidRPr="00BC56FA" w:rsidRDefault="00BC56FA" w:rsidP="00BC56FA">
      <w:pPr>
        <w:rPr>
          <w:rFonts w:ascii="Amasis MT Pro Light" w:hAnsi="Amasis MT Pro Light"/>
          <w:sz w:val="28"/>
          <w:szCs w:val="28"/>
          <w:u w:val="single"/>
        </w:rPr>
      </w:pPr>
      <w:r w:rsidRPr="00BC56FA">
        <w:rPr>
          <w:rFonts w:ascii="Amasis MT Pro Light" w:hAnsi="Amasis MT Pro Light"/>
          <w:sz w:val="36"/>
          <w:szCs w:val="36"/>
          <w:u w:val="single"/>
        </w:rPr>
        <w:lastRenderedPageBreak/>
        <w:t>Bibliography</w:t>
      </w:r>
    </w:p>
    <w:p w14:paraId="0C174A07"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Aires, F., </w:t>
      </w:r>
      <w:proofErr w:type="spellStart"/>
      <w:r w:rsidRPr="00BC56FA">
        <w:rPr>
          <w:rFonts w:ascii="Times New Roman" w:eastAsia="Times New Roman" w:hAnsi="Times New Roman" w:cs="Times New Roman"/>
          <w:kern w:val="0"/>
          <w:sz w:val="24"/>
          <w:szCs w:val="24"/>
          <w:lang w:eastAsia="en-GB"/>
          <w14:ligatures w14:val="none"/>
        </w:rPr>
        <w:t>Venot</w:t>
      </w:r>
      <w:proofErr w:type="spellEnd"/>
      <w:r w:rsidRPr="00BC56FA">
        <w:rPr>
          <w:rFonts w:ascii="Times New Roman" w:eastAsia="Times New Roman" w:hAnsi="Times New Roman" w:cs="Times New Roman"/>
          <w:kern w:val="0"/>
          <w:sz w:val="24"/>
          <w:szCs w:val="24"/>
          <w:lang w:eastAsia="en-GB"/>
          <w14:ligatures w14:val="none"/>
        </w:rPr>
        <w:t xml:space="preserve">, J.-P., </w:t>
      </w:r>
      <w:proofErr w:type="spellStart"/>
      <w:r w:rsidRPr="00BC56FA">
        <w:rPr>
          <w:rFonts w:ascii="Times New Roman" w:eastAsia="Times New Roman" w:hAnsi="Times New Roman" w:cs="Times New Roman"/>
          <w:kern w:val="0"/>
          <w:sz w:val="24"/>
          <w:szCs w:val="24"/>
          <w:lang w:eastAsia="en-GB"/>
          <w14:ligatures w14:val="none"/>
        </w:rPr>
        <w:t>Massuel</w:t>
      </w:r>
      <w:proofErr w:type="spellEnd"/>
      <w:r w:rsidRPr="00BC56FA">
        <w:rPr>
          <w:rFonts w:ascii="Times New Roman" w:eastAsia="Times New Roman" w:hAnsi="Times New Roman" w:cs="Times New Roman"/>
          <w:kern w:val="0"/>
          <w:sz w:val="24"/>
          <w:szCs w:val="24"/>
          <w:lang w:eastAsia="en-GB"/>
          <w14:ligatures w14:val="none"/>
        </w:rPr>
        <w:t xml:space="preserve">, S., Gratiot, N., Pham-Duc, B. and Prigent, C. (2020). Surface Water Evolution (2001–2017) at the Cambodia/Vietnam Border in the Upper Mekong Delta Using Satellite MODIS Observations. </w:t>
      </w:r>
      <w:r w:rsidRPr="00BC56FA">
        <w:rPr>
          <w:rFonts w:ascii="Times New Roman" w:eastAsia="Times New Roman" w:hAnsi="Times New Roman" w:cs="Times New Roman"/>
          <w:i/>
          <w:iCs/>
          <w:kern w:val="0"/>
          <w:sz w:val="24"/>
          <w:szCs w:val="24"/>
          <w:lang w:eastAsia="en-GB"/>
          <w14:ligatures w14:val="none"/>
        </w:rPr>
        <w:t>Remote Sensing</w:t>
      </w:r>
      <w:r w:rsidRPr="00BC56FA">
        <w:rPr>
          <w:rFonts w:ascii="Times New Roman" w:eastAsia="Times New Roman" w:hAnsi="Times New Roman" w:cs="Times New Roman"/>
          <w:kern w:val="0"/>
          <w:sz w:val="24"/>
          <w:szCs w:val="24"/>
          <w:lang w:eastAsia="en-GB"/>
          <w14:ligatures w14:val="none"/>
        </w:rPr>
        <w:t xml:space="preserve">, 12(5), p.800.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://doi.org/10.3390/rs12050800</w:t>
      </w:r>
      <w:proofErr w:type="gramEnd"/>
      <w:r w:rsidRPr="00BC56FA">
        <w:rPr>
          <w:rFonts w:ascii="Times New Roman" w:eastAsia="Times New Roman" w:hAnsi="Times New Roman" w:cs="Times New Roman"/>
          <w:kern w:val="0"/>
          <w:sz w:val="24"/>
          <w:szCs w:val="24"/>
          <w:lang w:eastAsia="en-GB"/>
          <w14:ligatures w14:val="none"/>
        </w:rPr>
        <w:t>.</w:t>
      </w:r>
    </w:p>
    <w:p w14:paraId="747F9773"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Alexander, R.B. and Smith, R.A. (2006). Trends in the nutrient enrichment of U.S. rivers during the late 20th century and their relation to changes in probable stream trophic conditions.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xml:space="preserve">, 51(1part2), pp.639–654.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://doi.org/10.4319/lo.2006.51.1_part_2.0639</w:t>
      </w:r>
      <w:proofErr w:type="gramEnd"/>
      <w:r w:rsidRPr="00BC56FA">
        <w:rPr>
          <w:rFonts w:ascii="Times New Roman" w:eastAsia="Times New Roman" w:hAnsi="Times New Roman" w:cs="Times New Roman"/>
          <w:kern w:val="0"/>
          <w:sz w:val="24"/>
          <w:szCs w:val="24"/>
          <w:lang w:eastAsia="en-GB"/>
          <w14:ligatures w14:val="none"/>
        </w:rPr>
        <w:t>.</w:t>
      </w:r>
    </w:p>
    <w:p w14:paraId="5DE21DB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Bourgeois, W., Burgess, J.E. and </w:t>
      </w:r>
      <w:proofErr w:type="spellStart"/>
      <w:r w:rsidRPr="00BC56FA">
        <w:rPr>
          <w:rFonts w:ascii="Times New Roman" w:eastAsia="Times New Roman" w:hAnsi="Times New Roman" w:cs="Times New Roman"/>
          <w:kern w:val="0"/>
          <w:sz w:val="24"/>
          <w:szCs w:val="24"/>
          <w:lang w:eastAsia="en-GB"/>
          <w14:ligatures w14:val="none"/>
        </w:rPr>
        <w:t>Stuetz</w:t>
      </w:r>
      <w:proofErr w:type="spellEnd"/>
      <w:r w:rsidRPr="00BC56FA">
        <w:rPr>
          <w:rFonts w:ascii="Times New Roman" w:eastAsia="Times New Roman" w:hAnsi="Times New Roman" w:cs="Times New Roman"/>
          <w:kern w:val="0"/>
          <w:sz w:val="24"/>
          <w:szCs w:val="24"/>
          <w:lang w:eastAsia="en-GB"/>
          <w14:ligatures w14:val="none"/>
        </w:rPr>
        <w:t xml:space="preserve">, R.M. (2001). On-line monitoring of wastewater quality: a review. </w:t>
      </w:r>
      <w:r w:rsidRPr="00BC56FA">
        <w:rPr>
          <w:rFonts w:ascii="Times New Roman" w:eastAsia="Times New Roman" w:hAnsi="Times New Roman" w:cs="Times New Roman"/>
          <w:i/>
          <w:iCs/>
          <w:kern w:val="0"/>
          <w:sz w:val="24"/>
          <w:szCs w:val="24"/>
          <w:lang w:eastAsia="en-GB"/>
          <w14:ligatures w14:val="none"/>
        </w:rPr>
        <w:t>Journal of Chemical Technology &amp; Biotechnology</w:t>
      </w:r>
      <w:r w:rsidRPr="00BC56FA">
        <w:rPr>
          <w:rFonts w:ascii="Times New Roman" w:eastAsia="Times New Roman" w:hAnsi="Times New Roman" w:cs="Times New Roman"/>
          <w:kern w:val="0"/>
          <w:sz w:val="24"/>
          <w:szCs w:val="24"/>
          <w:lang w:eastAsia="en-GB"/>
          <w14:ligatures w14:val="none"/>
        </w:rPr>
        <w:t xml:space="preserve">, 76(4), pp.337–348.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://doi.org/10.1002/jctb.393</w:t>
      </w:r>
      <w:proofErr w:type="gramEnd"/>
      <w:r w:rsidRPr="00BC56FA">
        <w:rPr>
          <w:rFonts w:ascii="Times New Roman" w:eastAsia="Times New Roman" w:hAnsi="Times New Roman" w:cs="Times New Roman"/>
          <w:kern w:val="0"/>
          <w:sz w:val="24"/>
          <w:szCs w:val="24"/>
          <w:lang w:eastAsia="en-GB"/>
          <w14:ligatures w14:val="none"/>
        </w:rPr>
        <w:t>.</w:t>
      </w:r>
    </w:p>
    <w:p w14:paraId="469B214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Carlson, R.E. (1977). A trophic state index for lakes1.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xml:space="preserve">, 22(2), pp.361–369.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://doi.org/10.4319/lo.1977.22.2.0361</w:t>
      </w:r>
      <w:proofErr w:type="gramEnd"/>
      <w:r w:rsidRPr="00BC56FA">
        <w:rPr>
          <w:rFonts w:ascii="Times New Roman" w:eastAsia="Times New Roman" w:hAnsi="Times New Roman" w:cs="Times New Roman"/>
          <w:kern w:val="0"/>
          <w:sz w:val="24"/>
          <w:szCs w:val="24"/>
          <w:lang w:eastAsia="en-GB"/>
          <w14:ligatures w14:val="none"/>
        </w:rPr>
        <w:t>.</w:t>
      </w:r>
    </w:p>
    <w:p w14:paraId="485900F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Cohen, S.M., Eiden, C. and Lorber, M.N. (1986). Monitoring Ground Water for Pesticides. </w:t>
      </w:r>
      <w:r w:rsidRPr="00BC56FA">
        <w:rPr>
          <w:rFonts w:ascii="Times New Roman" w:eastAsia="Times New Roman" w:hAnsi="Times New Roman" w:cs="Times New Roman"/>
          <w:i/>
          <w:iCs/>
          <w:kern w:val="0"/>
          <w:sz w:val="24"/>
          <w:szCs w:val="24"/>
          <w:lang w:eastAsia="en-GB"/>
          <w14:ligatures w14:val="none"/>
        </w:rPr>
        <w:t>ACS publications</w:t>
      </w:r>
      <w:r w:rsidRPr="00BC56FA">
        <w:rPr>
          <w:rFonts w:ascii="Times New Roman" w:eastAsia="Times New Roman" w:hAnsi="Times New Roman" w:cs="Times New Roman"/>
          <w:kern w:val="0"/>
          <w:sz w:val="24"/>
          <w:szCs w:val="24"/>
          <w:lang w:eastAsia="en-GB"/>
          <w14:ligatures w14:val="none"/>
        </w:rPr>
        <w:t xml:space="preserve">, 315(0315), pp.170–196.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://doi.org/10.1021/bk-1986-0315.ch010</w:t>
      </w:r>
      <w:proofErr w:type="gramEnd"/>
      <w:r w:rsidRPr="00BC56FA">
        <w:rPr>
          <w:rFonts w:ascii="Times New Roman" w:eastAsia="Times New Roman" w:hAnsi="Times New Roman" w:cs="Times New Roman"/>
          <w:kern w:val="0"/>
          <w:sz w:val="24"/>
          <w:szCs w:val="24"/>
          <w:lang w:eastAsia="en-GB"/>
          <w14:ligatures w14:val="none"/>
        </w:rPr>
        <w:t>.</w:t>
      </w:r>
    </w:p>
    <w:p w14:paraId="198762A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Conn, K.E., </w:t>
      </w:r>
      <w:proofErr w:type="spellStart"/>
      <w:r w:rsidRPr="00BC56FA">
        <w:rPr>
          <w:rFonts w:ascii="Times New Roman" w:eastAsia="Times New Roman" w:hAnsi="Times New Roman" w:cs="Times New Roman"/>
          <w:kern w:val="0"/>
          <w:sz w:val="24"/>
          <w:szCs w:val="24"/>
          <w:lang w:eastAsia="en-GB"/>
          <w14:ligatures w14:val="none"/>
        </w:rPr>
        <w:t>Habteselassie</w:t>
      </w:r>
      <w:proofErr w:type="spellEnd"/>
      <w:r w:rsidRPr="00BC56FA">
        <w:rPr>
          <w:rFonts w:ascii="Times New Roman" w:eastAsia="Times New Roman" w:hAnsi="Times New Roman" w:cs="Times New Roman"/>
          <w:kern w:val="0"/>
          <w:sz w:val="24"/>
          <w:szCs w:val="24"/>
          <w:lang w:eastAsia="en-GB"/>
          <w14:ligatures w14:val="none"/>
        </w:rPr>
        <w:t xml:space="preserve">, M.Y., Denene Blackwood, A. and Noble, R.T. (2011). Microbial water quality before and after the repair of a failing onsite wastewater treatment system adjacent to coastal waters. </w:t>
      </w:r>
      <w:r w:rsidRPr="00BC56FA">
        <w:rPr>
          <w:rFonts w:ascii="Times New Roman" w:eastAsia="Times New Roman" w:hAnsi="Times New Roman" w:cs="Times New Roman"/>
          <w:i/>
          <w:iCs/>
          <w:kern w:val="0"/>
          <w:sz w:val="24"/>
          <w:szCs w:val="24"/>
          <w:lang w:eastAsia="en-GB"/>
          <w14:ligatures w14:val="none"/>
        </w:rPr>
        <w:t>Journal of Applied Microbiology</w:t>
      </w:r>
      <w:r w:rsidRPr="00BC56FA">
        <w:rPr>
          <w:rFonts w:ascii="Times New Roman" w:eastAsia="Times New Roman" w:hAnsi="Times New Roman" w:cs="Times New Roman"/>
          <w:kern w:val="0"/>
          <w:sz w:val="24"/>
          <w:szCs w:val="24"/>
          <w:lang w:eastAsia="en-GB"/>
          <w14:ligatures w14:val="none"/>
        </w:rPr>
        <w:t xml:space="preserve">, 112(1), pp.214–224.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://doi.org/10.1111/j.1365-2672.2011.05183.x</w:t>
      </w:r>
      <w:proofErr w:type="gramEnd"/>
      <w:r w:rsidRPr="00BC56FA">
        <w:rPr>
          <w:rFonts w:ascii="Times New Roman" w:eastAsia="Times New Roman" w:hAnsi="Times New Roman" w:cs="Times New Roman"/>
          <w:kern w:val="0"/>
          <w:sz w:val="24"/>
          <w:szCs w:val="24"/>
          <w:lang w:eastAsia="en-GB"/>
          <w14:ligatures w14:val="none"/>
        </w:rPr>
        <w:t>.</w:t>
      </w:r>
    </w:p>
    <w:p w14:paraId="79E0160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Dodds, W.K. and Cole, J.J. (2007). Expanding the concept of trophic state in aquatic ecosystems: It’s not just the autotrophs. </w:t>
      </w:r>
      <w:r w:rsidRPr="00BC56FA">
        <w:rPr>
          <w:rFonts w:ascii="Times New Roman" w:eastAsia="Times New Roman" w:hAnsi="Times New Roman" w:cs="Times New Roman"/>
          <w:i/>
          <w:iCs/>
          <w:kern w:val="0"/>
          <w:sz w:val="24"/>
          <w:szCs w:val="24"/>
          <w:lang w:eastAsia="en-GB"/>
          <w14:ligatures w14:val="none"/>
        </w:rPr>
        <w:t>Aquatic Sciences</w:t>
      </w:r>
      <w:r w:rsidRPr="00BC56FA">
        <w:rPr>
          <w:rFonts w:ascii="Times New Roman" w:eastAsia="Times New Roman" w:hAnsi="Times New Roman" w:cs="Times New Roman"/>
          <w:kern w:val="0"/>
          <w:sz w:val="24"/>
          <w:szCs w:val="24"/>
          <w:lang w:eastAsia="en-GB"/>
          <w14:ligatures w14:val="none"/>
        </w:rPr>
        <w:t xml:space="preserve">, 69(4), pp.427–439.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://doi.org/10.1007/s00027-007-0922-1</w:t>
      </w:r>
      <w:proofErr w:type="gramEnd"/>
      <w:r w:rsidRPr="00BC56FA">
        <w:rPr>
          <w:rFonts w:ascii="Times New Roman" w:eastAsia="Times New Roman" w:hAnsi="Times New Roman" w:cs="Times New Roman"/>
          <w:kern w:val="0"/>
          <w:sz w:val="24"/>
          <w:szCs w:val="24"/>
          <w:lang w:eastAsia="en-GB"/>
          <w14:ligatures w14:val="none"/>
        </w:rPr>
        <w:t>.</w:t>
      </w:r>
    </w:p>
    <w:p w14:paraId="24B9EC5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Fang, Z., Liu, Z., Zhao, S., Ma, Y., Li, X. and Gao, H. (2022). Assessment of Groundwater Contamination Risk in Oilfield Drilling Sites Based on Groundwater Vulnerability, Pollution Source Hazard, and Groundwater Value Function in Yitong County.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xml:space="preserve">, 14(4), p.628.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://doi.org/10.3390/w14040628</w:t>
      </w:r>
      <w:proofErr w:type="gramEnd"/>
      <w:r w:rsidRPr="00BC56FA">
        <w:rPr>
          <w:rFonts w:ascii="Times New Roman" w:eastAsia="Times New Roman" w:hAnsi="Times New Roman" w:cs="Times New Roman"/>
          <w:kern w:val="0"/>
          <w:sz w:val="24"/>
          <w:szCs w:val="24"/>
          <w:lang w:eastAsia="en-GB"/>
          <w14:ligatures w14:val="none"/>
        </w:rPr>
        <w:t>.</w:t>
      </w:r>
    </w:p>
    <w:p w14:paraId="0BAC07A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lastRenderedPageBreak/>
        <w:t xml:space="preserve">Harcourt, S., Izon-Cooper, L., Colón-González, F.D., </w:t>
      </w:r>
      <w:proofErr w:type="spellStart"/>
      <w:r w:rsidRPr="00BC56FA">
        <w:rPr>
          <w:rFonts w:ascii="Times New Roman" w:eastAsia="Times New Roman" w:hAnsi="Times New Roman" w:cs="Times New Roman"/>
          <w:kern w:val="0"/>
          <w:sz w:val="24"/>
          <w:szCs w:val="24"/>
          <w:lang w:eastAsia="en-GB"/>
          <w14:ligatures w14:val="none"/>
        </w:rPr>
        <w:t>Morbey</w:t>
      </w:r>
      <w:proofErr w:type="spellEnd"/>
      <w:r w:rsidRPr="00BC56FA">
        <w:rPr>
          <w:rFonts w:ascii="Times New Roman" w:eastAsia="Times New Roman" w:hAnsi="Times New Roman" w:cs="Times New Roman"/>
          <w:kern w:val="0"/>
          <w:sz w:val="24"/>
          <w:szCs w:val="24"/>
          <w:lang w:eastAsia="en-GB"/>
          <w14:ligatures w14:val="none"/>
        </w:rPr>
        <w:t xml:space="preserve">, R., Smith, G., Bradley, N., Exley, K., Dobney, A., Lake, I. and Elliot, A. (2018). Using real-time syndromic surveillance to monitor the health effects of air pollution. </w:t>
      </w:r>
      <w:r w:rsidRPr="00BC56FA">
        <w:rPr>
          <w:rFonts w:ascii="Times New Roman" w:eastAsia="Times New Roman" w:hAnsi="Times New Roman" w:cs="Times New Roman"/>
          <w:i/>
          <w:iCs/>
          <w:kern w:val="0"/>
          <w:sz w:val="24"/>
          <w:szCs w:val="24"/>
          <w:lang w:eastAsia="en-GB"/>
          <w14:ligatures w14:val="none"/>
        </w:rPr>
        <w:t>Online Journal of Public Health Informatics</w:t>
      </w:r>
      <w:r w:rsidRPr="00BC56FA">
        <w:rPr>
          <w:rFonts w:ascii="Times New Roman" w:eastAsia="Times New Roman" w:hAnsi="Times New Roman" w:cs="Times New Roman"/>
          <w:kern w:val="0"/>
          <w:sz w:val="24"/>
          <w:szCs w:val="24"/>
          <w:lang w:eastAsia="en-GB"/>
          <w14:ligatures w14:val="none"/>
        </w:rPr>
        <w:t xml:space="preserve">, 10(1).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://doi.org/10.5210/ojphi.v10i1.8651</w:t>
      </w:r>
      <w:proofErr w:type="gramEnd"/>
      <w:r w:rsidRPr="00BC56FA">
        <w:rPr>
          <w:rFonts w:ascii="Times New Roman" w:eastAsia="Times New Roman" w:hAnsi="Times New Roman" w:cs="Times New Roman"/>
          <w:kern w:val="0"/>
          <w:sz w:val="24"/>
          <w:szCs w:val="24"/>
          <w:lang w:eastAsia="en-GB"/>
          <w14:ligatures w14:val="none"/>
        </w:rPr>
        <w:t>.</w:t>
      </w:r>
    </w:p>
    <w:p w14:paraId="61ADF01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Harvey, F.E. and </w:t>
      </w:r>
      <w:proofErr w:type="spellStart"/>
      <w:r w:rsidRPr="00BC56FA">
        <w:rPr>
          <w:rFonts w:ascii="Times New Roman" w:eastAsia="Times New Roman" w:hAnsi="Times New Roman" w:cs="Times New Roman"/>
          <w:kern w:val="0"/>
          <w:sz w:val="24"/>
          <w:szCs w:val="24"/>
          <w:lang w:eastAsia="en-GB"/>
          <w14:ligatures w14:val="none"/>
        </w:rPr>
        <w:t>Sibray</w:t>
      </w:r>
      <w:proofErr w:type="spellEnd"/>
      <w:r w:rsidRPr="00BC56FA">
        <w:rPr>
          <w:rFonts w:ascii="Times New Roman" w:eastAsia="Times New Roman" w:hAnsi="Times New Roman" w:cs="Times New Roman"/>
          <w:kern w:val="0"/>
          <w:sz w:val="24"/>
          <w:szCs w:val="24"/>
          <w:lang w:eastAsia="en-GB"/>
          <w14:ligatures w14:val="none"/>
        </w:rPr>
        <w:t xml:space="preserve">, S.S. (2001). Delineating Ground Water Recharge from Leaking Irrigation Canals Using Water Chemistry and Isotopes.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xml:space="preserve">, 39(3), pp.408–421.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://doi.org/10.1111/j.1745-6584.2001.tb02325.x</w:t>
      </w:r>
      <w:proofErr w:type="gramEnd"/>
      <w:r w:rsidRPr="00BC56FA">
        <w:rPr>
          <w:rFonts w:ascii="Times New Roman" w:eastAsia="Times New Roman" w:hAnsi="Times New Roman" w:cs="Times New Roman"/>
          <w:kern w:val="0"/>
          <w:sz w:val="24"/>
          <w:szCs w:val="24"/>
          <w:lang w:eastAsia="en-GB"/>
          <w14:ligatures w14:val="none"/>
        </w:rPr>
        <w:t>.</w:t>
      </w:r>
    </w:p>
    <w:p w14:paraId="68E0E0E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Hepsø, V., </w:t>
      </w:r>
      <w:proofErr w:type="spellStart"/>
      <w:r w:rsidRPr="00BC56FA">
        <w:rPr>
          <w:rFonts w:ascii="Times New Roman" w:eastAsia="Times New Roman" w:hAnsi="Times New Roman" w:cs="Times New Roman"/>
          <w:kern w:val="0"/>
          <w:sz w:val="24"/>
          <w:szCs w:val="24"/>
          <w:lang w:eastAsia="en-GB"/>
          <w14:ligatures w14:val="none"/>
        </w:rPr>
        <w:t>Låte</w:t>
      </w:r>
      <w:proofErr w:type="spellEnd"/>
      <w:r w:rsidRPr="00BC56FA">
        <w:rPr>
          <w:rFonts w:ascii="Times New Roman" w:eastAsia="Times New Roman" w:hAnsi="Times New Roman" w:cs="Times New Roman"/>
          <w:kern w:val="0"/>
          <w:sz w:val="24"/>
          <w:szCs w:val="24"/>
          <w:lang w:eastAsia="en-GB"/>
          <w14:ligatures w14:val="none"/>
        </w:rPr>
        <w:t xml:space="preserve">, M., </w:t>
      </w:r>
      <w:proofErr w:type="spellStart"/>
      <w:r w:rsidRPr="00BC56FA">
        <w:rPr>
          <w:rFonts w:ascii="Times New Roman" w:eastAsia="Times New Roman" w:hAnsi="Times New Roman" w:cs="Times New Roman"/>
          <w:kern w:val="0"/>
          <w:sz w:val="24"/>
          <w:szCs w:val="24"/>
          <w:lang w:eastAsia="en-GB"/>
          <w14:ligatures w14:val="none"/>
        </w:rPr>
        <w:t>Gramvik</w:t>
      </w:r>
      <w:proofErr w:type="spellEnd"/>
      <w:r w:rsidRPr="00BC56FA">
        <w:rPr>
          <w:rFonts w:ascii="Times New Roman" w:eastAsia="Times New Roman" w:hAnsi="Times New Roman" w:cs="Times New Roman"/>
          <w:kern w:val="0"/>
          <w:sz w:val="24"/>
          <w:szCs w:val="24"/>
          <w:lang w:eastAsia="en-GB"/>
          <w14:ligatures w14:val="none"/>
        </w:rPr>
        <w:t xml:space="preserve">, G., Johnsen, S., Nilssen, I. and Wesenberg, H. (2012). </w:t>
      </w:r>
      <w:r w:rsidRPr="00BC56FA">
        <w:rPr>
          <w:rFonts w:ascii="Times New Roman" w:eastAsia="Times New Roman" w:hAnsi="Times New Roman" w:cs="Times New Roman"/>
          <w:i/>
          <w:iCs/>
          <w:kern w:val="0"/>
          <w:sz w:val="24"/>
          <w:szCs w:val="24"/>
          <w:lang w:eastAsia="en-GB"/>
          <w14:ligatures w14:val="none"/>
        </w:rPr>
        <w:t>Integrated Environmental Monitoring in Daily Operations</w:t>
      </w:r>
      <w:r w:rsidRPr="00BC56FA">
        <w:rPr>
          <w:rFonts w:ascii="Times New Roman" w:eastAsia="Times New Roman" w:hAnsi="Times New Roman" w:cs="Times New Roman"/>
          <w:kern w:val="0"/>
          <w:sz w:val="24"/>
          <w:szCs w:val="24"/>
          <w:lang w:eastAsia="en-GB"/>
          <w14:ligatures w14:val="none"/>
        </w:rPr>
        <w:t xml:space="preserve">. [online] onepetro.org.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://doi.org/10.2118/150054-MS</w:t>
      </w:r>
      <w:proofErr w:type="gramEnd"/>
      <w:r w:rsidRPr="00BC56FA">
        <w:rPr>
          <w:rFonts w:ascii="Times New Roman" w:eastAsia="Times New Roman" w:hAnsi="Times New Roman" w:cs="Times New Roman"/>
          <w:kern w:val="0"/>
          <w:sz w:val="24"/>
          <w:szCs w:val="24"/>
          <w:lang w:eastAsia="en-GB"/>
          <w14:ligatures w14:val="none"/>
        </w:rPr>
        <w:t>.</w:t>
      </w:r>
    </w:p>
    <w:p w14:paraId="1620AE0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Huang, Z., Jian, W., Liu, Q. and Dou, H. (2022). Response of Step-Like Landslide to Pore-Water Pressure under the Action of Typhoon and Rainstorm. </w:t>
      </w:r>
      <w:r w:rsidRPr="00BC56FA">
        <w:rPr>
          <w:rFonts w:ascii="Times New Roman" w:eastAsia="Times New Roman" w:hAnsi="Times New Roman" w:cs="Times New Roman"/>
          <w:i/>
          <w:iCs/>
          <w:kern w:val="0"/>
          <w:sz w:val="24"/>
          <w:szCs w:val="24"/>
          <w:lang w:eastAsia="en-GB"/>
          <w14:ligatures w14:val="none"/>
        </w:rPr>
        <w:t>Geofluids</w:t>
      </w:r>
      <w:r w:rsidRPr="00BC56FA">
        <w:rPr>
          <w:rFonts w:ascii="Times New Roman" w:eastAsia="Times New Roman" w:hAnsi="Times New Roman" w:cs="Times New Roman"/>
          <w:kern w:val="0"/>
          <w:sz w:val="24"/>
          <w:szCs w:val="24"/>
          <w:lang w:eastAsia="en-GB"/>
          <w14:ligatures w14:val="none"/>
        </w:rPr>
        <w:t xml:space="preserve">, [online] 2022, p.e9903551.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://doi.org/10.1155/2022/9903551</w:t>
      </w:r>
      <w:proofErr w:type="gramEnd"/>
      <w:r w:rsidRPr="00BC56FA">
        <w:rPr>
          <w:rFonts w:ascii="Times New Roman" w:eastAsia="Times New Roman" w:hAnsi="Times New Roman" w:cs="Times New Roman"/>
          <w:kern w:val="0"/>
          <w:sz w:val="24"/>
          <w:szCs w:val="24"/>
          <w:lang w:eastAsia="en-GB"/>
          <w14:ligatures w14:val="none"/>
        </w:rPr>
        <w:t>.</w:t>
      </w:r>
    </w:p>
    <w:p w14:paraId="7EC0E72E"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Imboden, D.M. (1974). Phosphorus model of lake eutrophication.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xml:space="preserve">, 19(2), pp.297–304.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://doi.org/10.4319/lo.1974.19.2.0297</w:t>
      </w:r>
      <w:proofErr w:type="gramEnd"/>
      <w:r w:rsidRPr="00BC56FA">
        <w:rPr>
          <w:rFonts w:ascii="Times New Roman" w:eastAsia="Times New Roman" w:hAnsi="Times New Roman" w:cs="Times New Roman"/>
          <w:kern w:val="0"/>
          <w:sz w:val="24"/>
          <w:szCs w:val="24"/>
          <w:lang w:eastAsia="en-GB"/>
          <w14:ligatures w14:val="none"/>
        </w:rPr>
        <w:t>.</w:t>
      </w:r>
    </w:p>
    <w:p w14:paraId="4971C91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Johansson, P.-</w:t>
      </w:r>
      <w:proofErr w:type="gramStart"/>
      <w:r w:rsidRPr="00BC56FA">
        <w:rPr>
          <w:rFonts w:ascii="Times New Roman" w:eastAsia="Times New Roman" w:hAnsi="Times New Roman" w:cs="Times New Roman"/>
          <w:kern w:val="0"/>
          <w:sz w:val="24"/>
          <w:szCs w:val="24"/>
          <w:lang w:eastAsia="en-GB"/>
          <w14:ligatures w14:val="none"/>
        </w:rPr>
        <w:t>O. .</w:t>
      </w:r>
      <w:proofErr w:type="gramEnd"/>
      <w:r w:rsidRPr="00BC56FA">
        <w:rPr>
          <w:rFonts w:ascii="Times New Roman" w:eastAsia="Times New Roman" w:hAnsi="Times New Roman" w:cs="Times New Roman"/>
          <w:kern w:val="0"/>
          <w:sz w:val="24"/>
          <w:szCs w:val="24"/>
          <w:lang w:eastAsia="en-GB"/>
          <w14:ligatures w14:val="none"/>
        </w:rPr>
        <w:t xml:space="preserve">, Scharp, C., </w:t>
      </w:r>
      <w:proofErr w:type="spellStart"/>
      <w:r w:rsidRPr="00BC56FA">
        <w:rPr>
          <w:rFonts w:ascii="Times New Roman" w:eastAsia="Times New Roman" w:hAnsi="Times New Roman" w:cs="Times New Roman"/>
          <w:kern w:val="0"/>
          <w:sz w:val="24"/>
          <w:szCs w:val="24"/>
          <w:lang w:eastAsia="en-GB"/>
          <w14:ligatures w14:val="none"/>
        </w:rPr>
        <w:t>Alveteg</w:t>
      </w:r>
      <w:proofErr w:type="spellEnd"/>
      <w:r w:rsidRPr="00BC56FA">
        <w:rPr>
          <w:rFonts w:ascii="Times New Roman" w:eastAsia="Times New Roman" w:hAnsi="Times New Roman" w:cs="Times New Roman"/>
          <w:kern w:val="0"/>
          <w:sz w:val="24"/>
          <w:szCs w:val="24"/>
          <w:lang w:eastAsia="en-GB"/>
          <w14:ligatures w14:val="none"/>
        </w:rPr>
        <w:t xml:space="preserve">, T. and Choza, A. (1999). Framework for Ground Water Protection - the Managua Ground Water System as an Example.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xml:space="preserve">, 37(2), pp.204–213.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://doi.org/10.1111/j.1745-6584.1999.tb00975.x</w:t>
      </w:r>
      <w:proofErr w:type="gramEnd"/>
      <w:r w:rsidRPr="00BC56FA">
        <w:rPr>
          <w:rFonts w:ascii="Times New Roman" w:eastAsia="Times New Roman" w:hAnsi="Times New Roman" w:cs="Times New Roman"/>
          <w:kern w:val="0"/>
          <w:sz w:val="24"/>
          <w:szCs w:val="24"/>
          <w:lang w:eastAsia="en-GB"/>
          <w14:ligatures w14:val="none"/>
        </w:rPr>
        <w:t>.</w:t>
      </w:r>
    </w:p>
    <w:p w14:paraId="2D3C8173"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 S., G, E., P, B. and R, S. (2022). Spatial distribution of Groundwater quality assessment using Water Quality Index and GIS techniques in Thanjavur Taluk, Thanjavur District, Tamil Nadu, India. </w:t>
      </w:r>
      <w:r w:rsidRPr="00BC56FA">
        <w:rPr>
          <w:rFonts w:ascii="Times New Roman" w:eastAsia="Times New Roman" w:hAnsi="Times New Roman" w:cs="Times New Roman"/>
          <w:i/>
          <w:iCs/>
          <w:kern w:val="0"/>
          <w:sz w:val="24"/>
          <w:szCs w:val="24"/>
          <w:lang w:eastAsia="en-GB"/>
          <w14:ligatures w14:val="none"/>
        </w:rPr>
        <w:t>International Journal of Civil, Environmental and Agricultural Engineering</w:t>
      </w:r>
      <w:r w:rsidRPr="00BC56FA">
        <w:rPr>
          <w:rFonts w:ascii="Times New Roman" w:eastAsia="Times New Roman" w:hAnsi="Times New Roman" w:cs="Times New Roman"/>
          <w:kern w:val="0"/>
          <w:sz w:val="24"/>
          <w:szCs w:val="24"/>
          <w:lang w:eastAsia="en-GB"/>
          <w14:ligatures w14:val="none"/>
        </w:rPr>
        <w:t xml:space="preserve">, pp.32–58.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://doi.org/10.34256/ijceae2212</w:t>
      </w:r>
      <w:proofErr w:type="gramEnd"/>
      <w:r w:rsidRPr="00BC56FA">
        <w:rPr>
          <w:rFonts w:ascii="Times New Roman" w:eastAsia="Times New Roman" w:hAnsi="Times New Roman" w:cs="Times New Roman"/>
          <w:kern w:val="0"/>
          <w:sz w:val="24"/>
          <w:szCs w:val="24"/>
          <w:lang w:eastAsia="en-GB"/>
          <w14:ligatures w14:val="none"/>
        </w:rPr>
        <w:t>.</w:t>
      </w:r>
    </w:p>
    <w:p w14:paraId="053EE98E"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Khalil, B. and Ouarda, T.B.M.J. (2009). Statistical approaches used to assess and redesign surface water-quality-monitoring networks. </w:t>
      </w:r>
      <w:r w:rsidRPr="00BC56FA">
        <w:rPr>
          <w:rFonts w:ascii="Times New Roman" w:eastAsia="Times New Roman" w:hAnsi="Times New Roman" w:cs="Times New Roman"/>
          <w:i/>
          <w:iCs/>
          <w:kern w:val="0"/>
          <w:sz w:val="24"/>
          <w:szCs w:val="24"/>
          <w:lang w:eastAsia="en-GB"/>
          <w14:ligatures w14:val="none"/>
        </w:rPr>
        <w:t>Journal of Environmental Monitoring</w:t>
      </w:r>
      <w:r w:rsidRPr="00BC56FA">
        <w:rPr>
          <w:rFonts w:ascii="Times New Roman" w:eastAsia="Times New Roman" w:hAnsi="Times New Roman" w:cs="Times New Roman"/>
          <w:kern w:val="0"/>
          <w:sz w:val="24"/>
          <w:szCs w:val="24"/>
          <w:lang w:eastAsia="en-GB"/>
          <w14:ligatures w14:val="none"/>
        </w:rPr>
        <w:t xml:space="preserve">, 11(11), p.1915.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://doi.org/10.1039/b909521g</w:t>
      </w:r>
      <w:proofErr w:type="gramEnd"/>
      <w:r w:rsidRPr="00BC56FA">
        <w:rPr>
          <w:rFonts w:ascii="Times New Roman" w:eastAsia="Times New Roman" w:hAnsi="Times New Roman" w:cs="Times New Roman"/>
          <w:kern w:val="0"/>
          <w:sz w:val="24"/>
          <w:szCs w:val="24"/>
          <w:lang w:eastAsia="en-GB"/>
          <w14:ligatures w14:val="none"/>
        </w:rPr>
        <w:t>.</w:t>
      </w:r>
    </w:p>
    <w:p w14:paraId="599298B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Kistemann</w:t>
      </w:r>
      <w:proofErr w:type="spellEnd"/>
      <w:r w:rsidRPr="00BC56FA">
        <w:rPr>
          <w:rFonts w:ascii="Times New Roman" w:eastAsia="Times New Roman" w:hAnsi="Times New Roman" w:cs="Times New Roman"/>
          <w:kern w:val="0"/>
          <w:sz w:val="24"/>
          <w:szCs w:val="24"/>
          <w:lang w:eastAsia="en-GB"/>
          <w14:ligatures w14:val="none"/>
        </w:rPr>
        <w:t xml:space="preserve">, T., Classen, T., Koch, C., </w:t>
      </w:r>
      <w:proofErr w:type="spellStart"/>
      <w:r w:rsidRPr="00BC56FA">
        <w:rPr>
          <w:rFonts w:ascii="Times New Roman" w:eastAsia="Times New Roman" w:hAnsi="Times New Roman" w:cs="Times New Roman"/>
          <w:kern w:val="0"/>
          <w:sz w:val="24"/>
          <w:szCs w:val="24"/>
          <w:lang w:eastAsia="en-GB"/>
          <w14:ligatures w14:val="none"/>
        </w:rPr>
        <w:t>Dangendorf</w:t>
      </w:r>
      <w:proofErr w:type="spellEnd"/>
      <w:r w:rsidRPr="00BC56FA">
        <w:rPr>
          <w:rFonts w:ascii="Times New Roman" w:eastAsia="Times New Roman" w:hAnsi="Times New Roman" w:cs="Times New Roman"/>
          <w:kern w:val="0"/>
          <w:sz w:val="24"/>
          <w:szCs w:val="24"/>
          <w:lang w:eastAsia="en-GB"/>
          <w14:ligatures w14:val="none"/>
        </w:rPr>
        <w:t xml:space="preserve">, F., </w:t>
      </w:r>
      <w:proofErr w:type="spellStart"/>
      <w:r w:rsidRPr="00BC56FA">
        <w:rPr>
          <w:rFonts w:ascii="Times New Roman" w:eastAsia="Times New Roman" w:hAnsi="Times New Roman" w:cs="Times New Roman"/>
          <w:kern w:val="0"/>
          <w:sz w:val="24"/>
          <w:szCs w:val="24"/>
          <w:lang w:eastAsia="en-GB"/>
          <w14:ligatures w14:val="none"/>
        </w:rPr>
        <w:t>Fischeder</w:t>
      </w:r>
      <w:proofErr w:type="spellEnd"/>
      <w:r w:rsidRPr="00BC56FA">
        <w:rPr>
          <w:rFonts w:ascii="Times New Roman" w:eastAsia="Times New Roman" w:hAnsi="Times New Roman" w:cs="Times New Roman"/>
          <w:kern w:val="0"/>
          <w:sz w:val="24"/>
          <w:szCs w:val="24"/>
          <w:lang w:eastAsia="en-GB"/>
          <w14:ligatures w14:val="none"/>
        </w:rPr>
        <w:t xml:space="preserve">, R., Gebel, J., Vacata, V. and Exner, M. (2002). Microbial load of drinking water reservoir tributaries during extreme </w:t>
      </w:r>
      <w:r w:rsidRPr="00BC56FA">
        <w:rPr>
          <w:rFonts w:ascii="Times New Roman" w:eastAsia="Times New Roman" w:hAnsi="Times New Roman" w:cs="Times New Roman"/>
          <w:kern w:val="0"/>
          <w:sz w:val="24"/>
          <w:szCs w:val="24"/>
          <w:lang w:eastAsia="en-GB"/>
          <w14:ligatures w14:val="none"/>
        </w:rPr>
        <w:lastRenderedPageBreak/>
        <w:t xml:space="preserve">rainfall and runoff. </w:t>
      </w:r>
      <w:r w:rsidRPr="00BC56FA">
        <w:rPr>
          <w:rFonts w:ascii="Times New Roman" w:eastAsia="Times New Roman" w:hAnsi="Times New Roman" w:cs="Times New Roman"/>
          <w:i/>
          <w:iCs/>
          <w:kern w:val="0"/>
          <w:sz w:val="24"/>
          <w:szCs w:val="24"/>
          <w:lang w:eastAsia="en-GB"/>
          <w14:ligatures w14:val="none"/>
        </w:rPr>
        <w:t>Applied and Environmental Microbiology</w:t>
      </w:r>
      <w:r w:rsidRPr="00BC56FA">
        <w:rPr>
          <w:rFonts w:ascii="Times New Roman" w:eastAsia="Times New Roman" w:hAnsi="Times New Roman" w:cs="Times New Roman"/>
          <w:kern w:val="0"/>
          <w:sz w:val="24"/>
          <w:szCs w:val="24"/>
          <w:lang w:eastAsia="en-GB"/>
          <w14:ligatures w14:val="none"/>
        </w:rPr>
        <w:t xml:space="preserve">, [online] 68(5), pp.2188–2197.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://doi.org/10.1128/aem.68.5.2188-2197.2002</w:t>
      </w:r>
      <w:proofErr w:type="gramEnd"/>
      <w:r w:rsidRPr="00BC56FA">
        <w:rPr>
          <w:rFonts w:ascii="Times New Roman" w:eastAsia="Times New Roman" w:hAnsi="Times New Roman" w:cs="Times New Roman"/>
          <w:kern w:val="0"/>
          <w:sz w:val="24"/>
          <w:szCs w:val="24"/>
          <w:lang w:eastAsia="en-GB"/>
          <w14:ligatures w14:val="none"/>
        </w:rPr>
        <w:t>.</w:t>
      </w:r>
    </w:p>
    <w:p w14:paraId="67F9A428"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Kulinkina</w:t>
      </w:r>
      <w:proofErr w:type="spellEnd"/>
      <w:r w:rsidRPr="00BC56FA">
        <w:rPr>
          <w:rFonts w:ascii="Times New Roman" w:eastAsia="Times New Roman" w:hAnsi="Times New Roman" w:cs="Times New Roman"/>
          <w:kern w:val="0"/>
          <w:sz w:val="24"/>
          <w:szCs w:val="24"/>
          <w:lang w:eastAsia="en-GB"/>
          <w14:ligatures w14:val="none"/>
        </w:rPr>
        <w:t xml:space="preserve">, A.V., Mohan, V.R., Francis, M.R., Kattula, D., Sarkar, R., Plummer, J.D., Ward, H., Kang, G., Balraj, V. and Naumova, E.N. (2016). Seasonality of water quality and diarrheal disease counts in urban and rural settings in south India. </w:t>
      </w:r>
      <w:r w:rsidRPr="00BC56FA">
        <w:rPr>
          <w:rFonts w:ascii="Times New Roman" w:eastAsia="Times New Roman" w:hAnsi="Times New Roman" w:cs="Times New Roman"/>
          <w:i/>
          <w:iCs/>
          <w:kern w:val="0"/>
          <w:sz w:val="24"/>
          <w:szCs w:val="24"/>
          <w:lang w:eastAsia="en-GB"/>
          <w14:ligatures w14:val="none"/>
        </w:rPr>
        <w:t>Scientific Reports</w:t>
      </w:r>
      <w:r w:rsidRPr="00BC56FA">
        <w:rPr>
          <w:rFonts w:ascii="Times New Roman" w:eastAsia="Times New Roman" w:hAnsi="Times New Roman" w:cs="Times New Roman"/>
          <w:kern w:val="0"/>
          <w:sz w:val="24"/>
          <w:szCs w:val="24"/>
          <w:lang w:eastAsia="en-GB"/>
          <w14:ligatures w14:val="none"/>
        </w:rPr>
        <w:t xml:space="preserve">, [online] 6(1).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://doi.org/10.1038/srep20521</w:t>
      </w:r>
      <w:proofErr w:type="gramEnd"/>
      <w:r w:rsidRPr="00BC56FA">
        <w:rPr>
          <w:rFonts w:ascii="Times New Roman" w:eastAsia="Times New Roman" w:hAnsi="Times New Roman" w:cs="Times New Roman"/>
          <w:kern w:val="0"/>
          <w:sz w:val="24"/>
          <w:szCs w:val="24"/>
          <w:lang w:eastAsia="en-GB"/>
          <w14:ligatures w14:val="none"/>
        </w:rPr>
        <w:t>.</w:t>
      </w:r>
    </w:p>
    <w:p w14:paraId="6F1B802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Kumar, R., Jindal, R., </w:t>
      </w:r>
      <w:proofErr w:type="spellStart"/>
      <w:r w:rsidRPr="00BC56FA">
        <w:rPr>
          <w:rFonts w:ascii="Times New Roman" w:eastAsia="Times New Roman" w:hAnsi="Times New Roman" w:cs="Times New Roman"/>
          <w:kern w:val="0"/>
          <w:sz w:val="24"/>
          <w:szCs w:val="24"/>
          <w:lang w:eastAsia="en-GB"/>
          <w14:ligatures w14:val="none"/>
        </w:rPr>
        <w:t>Kulharia</w:t>
      </w:r>
      <w:proofErr w:type="spellEnd"/>
      <w:r w:rsidRPr="00BC56FA">
        <w:rPr>
          <w:rFonts w:ascii="Times New Roman" w:eastAsia="Times New Roman" w:hAnsi="Times New Roman" w:cs="Times New Roman"/>
          <w:kern w:val="0"/>
          <w:sz w:val="24"/>
          <w:szCs w:val="24"/>
          <w:lang w:eastAsia="en-GB"/>
          <w14:ligatures w14:val="none"/>
        </w:rPr>
        <w:t xml:space="preserve">, M., Sharma, A., Thakur, K., Brar, B., Mahajan, D., </w:t>
      </w:r>
      <w:proofErr w:type="spellStart"/>
      <w:r w:rsidRPr="00BC56FA">
        <w:rPr>
          <w:rFonts w:ascii="Times New Roman" w:eastAsia="Times New Roman" w:hAnsi="Times New Roman" w:cs="Times New Roman"/>
          <w:kern w:val="0"/>
          <w:sz w:val="24"/>
          <w:szCs w:val="24"/>
          <w:lang w:eastAsia="en-GB"/>
          <w14:ligatures w14:val="none"/>
        </w:rPr>
        <w:t>sharma</w:t>
      </w:r>
      <w:proofErr w:type="spellEnd"/>
      <w:r w:rsidRPr="00BC56FA">
        <w:rPr>
          <w:rFonts w:ascii="Times New Roman" w:eastAsia="Times New Roman" w:hAnsi="Times New Roman" w:cs="Times New Roman"/>
          <w:kern w:val="0"/>
          <w:sz w:val="24"/>
          <w:szCs w:val="24"/>
          <w:lang w:eastAsia="en-GB"/>
          <w14:ligatures w14:val="none"/>
        </w:rPr>
        <w:t xml:space="preserve">, A., </w:t>
      </w:r>
      <w:proofErr w:type="gramStart"/>
      <w:r w:rsidRPr="00BC56FA">
        <w:rPr>
          <w:rFonts w:ascii="Times New Roman" w:eastAsia="Times New Roman" w:hAnsi="Times New Roman" w:cs="Times New Roman"/>
          <w:kern w:val="0"/>
          <w:sz w:val="24"/>
          <w:szCs w:val="24"/>
          <w:lang w:eastAsia="en-GB"/>
          <w14:ligatures w14:val="none"/>
        </w:rPr>
        <w:t>Kumar ,</w:t>
      </w:r>
      <w:proofErr w:type="gramEnd"/>
      <w:r w:rsidRPr="00BC56FA">
        <w:rPr>
          <w:rFonts w:ascii="Times New Roman" w:eastAsia="Times New Roman" w:hAnsi="Times New Roman" w:cs="Times New Roman"/>
          <w:kern w:val="0"/>
          <w:sz w:val="24"/>
          <w:szCs w:val="24"/>
          <w:lang w:eastAsia="en-GB"/>
          <w14:ligatures w14:val="none"/>
        </w:rPr>
        <w:t xml:space="preserve"> S. and Sharma, D. (2023). Knowledge mining for the differentiation pattern with respect to the productivity and trophic status of some selected lakes of Western Himalayas. </w:t>
      </w:r>
      <w:proofErr w:type="gramStart"/>
      <w:r w:rsidRPr="00BC56FA">
        <w:rPr>
          <w:rFonts w:ascii="Times New Roman" w:eastAsia="Times New Roman" w:hAnsi="Times New Roman" w:cs="Times New Roman"/>
          <w:i/>
          <w:iCs/>
          <w:kern w:val="0"/>
          <w:sz w:val="24"/>
          <w:szCs w:val="24"/>
          <w:lang w:eastAsia="en-GB"/>
          <w14:ligatures w14:val="none"/>
        </w:rPr>
        <w:t xml:space="preserve">Frontiers </w:t>
      </w:r>
      <w:r w:rsidRPr="00BC56FA">
        <w:rPr>
          <w:rFonts w:ascii="Times New Roman" w:eastAsia="Times New Roman" w:hAnsi="Times New Roman" w:cs="Times New Roman"/>
          <w:kern w:val="0"/>
          <w:sz w:val="24"/>
          <w:szCs w:val="24"/>
          <w:lang w:eastAsia="en-GB"/>
          <w14:ligatures w14:val="none"/>
        </w:rPr>
        <w:t>,</w:t>
      </w:r>
      <w:proofErr w:type="gramEnd"/>
      <w:r w:rsidRPr="00BC56FA">
        <w:rPr>
          <w:rFonts w:ascii="Times New Roman" w:eastAsia="Times New Roman" w:hAnsi="Times New Roman" w:cs="Times New Roman"/>
          <w:kern w:val="0"/>
          <w:sz w:val="24"/>
          <w:szCs w:val="24"/>
          <w:lang w:eastAsia="en-GB"/>
          <w14:ligatures w14:val="none"/>
        </w:rPr>
        <w:t xml:space="preserve"> [online] 11. Available at: https://www.frontiersin.org/articles/10.3389/fenvs.2023.1009942/full.</w:t>
      </w:r>
    </w:p>
    <w:p w14:paraId="0D10280C"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Le Moal, M., </w:t>
      </w:r>
      <w:proofErr w:type="spellStart"/>
      <w:r w:rsidRPr="00BC56FA">
        <w:rPr>
          <w:rFonts w:ascii="Times New Roman" w:eastAsia="Times New Roman" w:hAnsi="Times New Roman" w:cs="Times New Roman"/>
          <w:kern w:val="0"/>
          <w:sz w:val="24"/>
          <w:szCs w:val="24"/>
          <w:lang w:eastAsia="en-GB"/>
          <w14:ligatures w14:val="none"/>
        </w:rPr>
        <w:t>Gascuel-Odoux</w:t>
      </w:r>
      <w:proofErr w:type="spellEnd"/>
      <w:r w:rsidRPr="00BC56FA">
        <w:rPr>
          <w:rFonts w:ascii="Times New Roman" w:eastAsia="Times New Roman" w:hAnsi="Times New Roman" w:cs="Times New Roman"/>
          <w:kern w:val="0"/>
          <w:sz w:val="24"/>
          <w:szCs w:val="24"/>
          <w:lang w:eastAsia="en-GB"/>
          <w14:ligatures w14:val="none"/>
        </w:rPr>
        <w:t xml:space="preserve">, C., </w:t>
      </w:r>
      <w:proofErr w:type="spellStart"/>
      <w:r w:rsidRPr="00BC56FA">
        <w:rPr>
          <w:rFonts w:ascii="Times New Roman" w:eastAsia="Times New Roman" w:hAnsi="Times New Roman" w:cs="Times New Roman"/>
          <w:kern w:val="0"/>
          <w:sz w:val="24"/>
          <w:szCs w:val="24"/>
          <w:lang w:eastAsia="en-GB"/>
          <w14:ligatures w14:val="none"/>
        </w:rPr>
        <w:t>Ménesguen</w:t>
      </w:r>
      <w:proofErr w:type="spellEnd"/>
      <w:r w:rsidRPr="00BC56FA">
        <w:rPr>
          <w:rFonts w:ascii="Times New Roman" w:eastAsia="Times New Roman" w:hAnsi="Times New Roman" w:cs="Times New Roman"/>
          <w:kern w:val="0"/>
          <w:sz w:val="24"/>
          <w:szCs w:val="24"/>
          <w:lang w:eastAsia="en-GB"/>
          <w14:ligatures w14:val="none"/>
        </w:rPr>
        <w:t xml:space="preserve">, A., </w:t>
      </w:r>
      <w:proofErr w:type="spellStart"/>
      <w:r w:rsidRPr="00BC56FA">
        <w:rPr>
          <w:rFonts w:ascii="Times New Roman" w:eastAsia="Times New Roman" w:hAnsi="Times New Roman" w:cs="Times New Roman"/>
          <w:kern w:val="0"/>
          <w:sz w:val="24"/>
          <w:szCs w:val="24"/>
          <w:lang w:eastAsia="en-GB"/>
          <w14:ligatures w14:val="none"/>
        </w:rPr>
        <w:t>Souchon</w:t>
      </w:r>
      <w:proofErr w:type="spellEnd"/>
      <w:r w:rsidRPr="00BC56FA">
        <w:rPr>
          <w:rFonts w:ascii="Times New Roman" w:eastAsia="Times New Roman" w:hAnsi="Times New Roman" w:cs="Times New Roman"/>
          <w:kern w:val="0"/>
          <w:sz w:val="24"/>
          <w:szCs w:val="24"/>
          <w:lang w:eastAsia="en-GB"/>
          <w14:ligatures w14:val="none"/>
        </w:rPr>
        <w:t xml:space="preserve">, Y., </w:t>
      </w:r>
      <w:proofErr w:type="spellStart"/>
      <w:r w:rsidRPr="00BC56FA">
        <w:rPr>
          <w:rFonts w:ascii="Times New Roman" w:eastAsia="Times New Roman" w:hAnsi="Times New Roman" w:cs="Times New Roman"/>
          <w:kern w:val="0"/>
          <w:sz w:val="24"/>
          <w:szCs w:val="24"/>
          <w:lang w:eastAsia="en-GB"/>
          <w14:ligatures w14:val="none"/>
        </w:rPr>
        <w:t>Étrillard</w:t>
      </w:r>
      <w:proofErr w:type="spellEnd"/>
      <w:r w:rsidRPr="00BC56FA">
        <w:rPr>
          <w:rFonts w:ascii="Times New Roman" w:eastAsia="Times New Roman" w:hAnsi="Times New Roman" w:cs="Times New Roman"/>
          <w:kern w:val="0"/>
          <w:sz w:val="24"/>
          <w:szCs w:val="24"/>
          <w:lang w:eastAsia="en-GB"/>
          <w14:ligatures w14:val="none"/>
        </w:rPr>
        <w:t xml:space="preserve">, C., </w:t>
      </w:r>
      <w:proofErr w:type="spellStart"/>
      <w:r w:rsidRPr="00BC56FA">
        <w:rPr>
          <w:rFonts w:ascii="Times New Roman" w:eastAsia="Times New Roman" w:hAnsi="Times New Roman" w:cs="Times New Roman"/>
          <w:kern w:val="0"/>
          <w:sz w:val="24"/>
          <w:szCs w:val="24"/>
          <w:lang w:eastAsia="en-GB"/>
          <w14:ligatures w14:val="none"/>
        </w:rPr>
        <w:t>Levain</w:t>
      </w:r>
      <w:proofErr w:type="spellEnd"/>
      <w:r w:rsidRPr="00BC56FA">
        <w:rPr>
          <w:rFonts w:ascii="Times New Roman" w:eastAsia="Times New Roman" w:hAnsi="Times New Roman" w:cs="Times New Roman"/>
          <w:kern w:val="0"/>
          <w:sz w:val="24"/>
          <w:szCs w:val="24"/>
          <w:lang w:eastAsia="en-GB"/>
          <w14:ligatures w14:val="none"/>
        </w:rPr>
        <w:t xml:space="preserve">, A., </w:t>
      </w:r>
      <w:proofErr w:type="spellStart"/>
      <w:r w:rsidRPr="00BC56FA">
        <w:rPr>
          <w:rFonts w:ascii="Times New Roman" w:eastAsia="Times New Roman" w:hAnsi="Times New Roman" w:cs="Times New Roman"/>
          <w:kern w:val="0"/>
          <w:sz w:val="24"/>
          <w:szCs w:val="24"/>
          <w:lang w:eastAsia="en-GB"/>
          <w14:ligatures w14:val="none"/>
        </w:rPr>
        <w:t>Moatar</w:t>
      </w:r>
      <w:proofErr w:type="spellEnd"/>
      <w:r w:rsidRPr="00BC56FA">
        <w:rPr>
          <w:rFonts w:ascii="Times New Roman" w:eastAsia="Times New Roman" w:hAnsi="Times New Roman" w:cs="Times New Roman"/>
          <w:kern w:val="0"/>
          <w:sz w:val="24"/>
          <w:szCs w:val="24"/>
          <w:lang w:eastAsia="en-GB"/>
          <w14:ligatures w14:val="none"/>
        </w:rPr>
        <w:t xml:space="preserve">, F., </w:t>
      </w:r>
      <w:proofErr w:type="spellStart"/>
      <w:r w:rsidRPr="00BC56FA">
        <w:rPr>
          <w:rFonts w:ascii="Times New Roman" w:eastAsia="Times New Roman" w:hAnsi="Times New Roman" w:cs="Times New Roman"/>
          <w:kern w:val="0"/>
          <w:sz w:val="24"/>
          <w:szCs w:val="24"/>
          <w:lang w:eastAsia="en-GB"/>
          <w14:ligatures w14:val="none"/>
        </w:rPr>
        <w:t>Pannard</w:t>
      </w:r>
      <w:proofErr w:type="spellEnd"/>
      <w:r w:rsidRPr="00BC56FA">
        <w:rPr>
          <w:rFonts w:ascii="Times New Roman" w:eastAsia="Times New Roman" w:hAnsi="Times New Roman" w:cs="Times New Roman"/>
          <w:kern w:val="0"/>
          <w:sz w:val="24"/>
          <w:szCs w:val="24"/>
          <w:lang w:eastAsia="en-GB"/>
          <w14:ligatures w14:val="none"/>
        </w:rPr>
        <w:t xml:space="preserve">, A., </w:t>
      </w:r>
      <w:proofErr w:type="spellStart"/>
      <w:r w:rsidRPr="00BC56FA">
        <w:rPr>
          <w:rFonts w:ascii="Times New Roman" w:eastAsia="Times New Roman" w:hAnsi="Times New Roman" w:cs="Times New Roman"/>
          <w:kern w:val="0"/>
          <w:sz w:val="24"/>
          <w:szCs w:val="24"/>
          <w:lang w:eastAsia="en-GB"/>
          <w14:ligatures w14:val="none"/>
        </w:rPr>
        <w:t>Souchu</w:t>
      </w:r>
      <w:proofErr w:type="spellEnd"/>
      <w:r w:rsidRPr="00BC56FA">
        <w:rPr>
          <w:rFonts w:ascii="Times New Roman" w:eastAsia="Times New Roman" w:hAnsi="Times New Roman" w:cs="Times New Roman"/>
          <w:kern w:val="0"/>
          <w:sz w:val="24"/>
          <w:szCs w:val="24"/>
          <w:lang w:eastAsia="en-GB"/>
          <w14:ligatures w14:val="none"/>
        </w:rPr>
        <w:t xml:space="preserve">, P., Lefebvre, A. and Pinay, G. (2019). Eutrophication: A new wine in an old bottle? </w:t>
      </w:r>
      <w:r w:rsidRPr="00BC56FA">
        <w:rPr>
          <w:rFonts w:ascii="Times New Roman" w:eastAsia="Times New Roman" w:hAnsi="Times New Roman" w:cs="Times New Roman"/>
          <w:i/>
          <w:iCs/>
          <w:kern w:val="0"/>
          <w:sz w:val="24"/>
          <w:szCs w:val="24"/>
          <w:lang w:eastAsia="en-GB"/>
          <w14:ligatures w14:val="none"/>
        </w:rPr>
        <w:t>Science of The Total Environment</w:t>
      </w:r>
      <w:r w:rsidRPr="00BC56FA">
        <w:rPr>
          <w:rFonts w:ascii="Times New Roman" w:eastAsia="Times New Roman" w:hAnsi="Times New Roman" w:cs="Times New Roman"/>
          <w:kern w:val="0"/>
          <w:sz w:val="24"/>
          <w:szCs w:val="24"/>
          <w:lang w:eastAsia="en-GB"/>
          <w14:ligatures w14:val="none"/>
        </w:rPr>
        <w:t xml:space="preserve">, [online] 651, pp.1–11.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://doi.org/10.1016/j.scitotenv.2018.09.139</w:t>
      </w:r>
      <w:proofErr w:type="gramEnd"/>
      <w:r w:rsidRPr="00BC56FA">
        <w:rPr>
          <w:rFonts w:ascii="Times New Roman" w:eastAsia="Times New Roman" w:hAnsi="Times New Roman" w:cs="Times New Roman"/>
          <w:kern w:val="0"/>
          <w:sz w:val="24"/>
          <w:szCs w:val="24"/>
          <w:lang w:eastAsia="en-GB"/>
          <w14:ligatures w14:val="none"/>
        </w:rPr>
        <w:t>.</w:t>
      </w:r>
    </w:p>
    <w:p w14:paraId="3FDCF9C0"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Lindenschmidt, K.-E. (2023). Surface Water Quality Modelling.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xml:space="preserve">, 15(4), p.828.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://doi.org/10.3390/w15040828</w:t>
      </w:r>
      <w:proofErr w:type="gramEnd"/>
      <w:r w:rsidRPr="00BC56FA">
        <w:rPr>
          <w:rFonts w:ascii="Times New Roman" w:eastAsia="Times New Roman" w:hAnsi="Times New Roman" w:cs="Times New Roman"/>
          <w:kern w:val="0"/>
          <w:sz w:val="24"/>
          <w:szCs w:val="24"/>
          <w:lang w:eastAsia="en-GB"/>
          <w14:ligatures w14:val="none"/>
        </w:rPr>
        <w:t>.</w:t>
      </w:r>
    </w:p>
    <w:p w14:paraId="1B6606B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MacKay, R.S., Johnson, S. and Sansom, B. (2020). How directed is a directed network? </w:t>
      </w:r>
      <w:r w:rsidRPr="00BC56FA">
        <w:rPr>
          <w:rFonts w:ascii="Times New Roman" w:eastAsia="Times New Roman" w:hAnsi="Times New Roman" w:cs="Times New Roman"/>
          <w:i/>
          <w:iCs/>
          <w:kern w:val="0"/>
          <w:sz w:val="24"/>
          <w:szCs w:val="24"/>
          <w:lang w:eastAsia="en-GB"/>
          <w14:ligatures w14:val="none"/>
        </w:rPr>
        <w:t>Royal Society Open Science</w:t>
      </w:r>
      <w:r w:rsidRPr="00BC56FA">
        <w:rPr>
          <w:rFonts w:ascii="Times New Roman" w:eastAsia="Times New Roman" w:hAnsi="Times New Roman" w:cs="Times New Roman"/>
          <w:kern w:val="0"/>
          <w:sz w:val="24"/>
          <w:szCs w:val="24"/>
          <w:lang w:eastAsia="en-GB"/>
          <w14:ligatures w14:val="none"/>
        </w:rPr>
        <w:t xml:space="preserve">, 7(9), p.201138.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://doi.org/10.1098/rsos.201138</w:t>
      </w:r>
      <w:proofErr w:type="gramEnd"/>
      <w:r w:rsidRPr="00BC56FA">
        <w:rPr>
          <w:rFonts w:ascii="Times New Roman" w:eastAsia="Times New Roman" w:hAnsi="Times New Roman" w:cs="Times New Roman"/>
          <w:kern w:val="0"/>
          <w:sz w:val="24"/>
          <w:szCs w:val="24"/>
          <w:lang w:eastAsia="en-GB"/>
          <w14:ligatures w14:val="none"/>
        </w:rPr>
        <w:t>.</w:t>
      </w:r>
    </w:p>
    <w:p w14:paraId="341CEE7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MacLeod, C., </w:t>
      </w:r>
      <w:proofErr w:type="spellStart"/>
      <w:r w:rsidRPr="00BC56FA">
        <w:rPr>
          <w:rFonts w:ascii="Times New Roman" w:eastAsia="Times New Roman" w:hAnsi="Times New Roman" w:cs="Times New Roman"/>
          <w:kern w:val="0"/>
          <w:sz w:val="24"/>
          <w:szCs w:val="24"/>
          <w:lang w:eastAsia="en-GB"/>
          <w14:ligatures w14:val="none"/>
        </w:rPr>
        <w:t>Peletz</w:t>
      </w:r>
      <w:proofErr w:type="spellEnd"/>
      <w:r w:rsidRPr="00BC56FA">
        <w:rPr>
          <w:rFonts w:ascii="Times New Roman" w:eastAsia="Times New Roman" w:hAnsi="Times New Roman" w:cs="Times New Roman"/>
          <w:kern w:val="0"/>
          <w:sz w:val="24"/>
          <w:szCs w:val="24"/>
          <w:lang w:eastAsia="en-GB"/>
          <w14:ligatures w14:val="none"/>
        </w:rPr>
        <w:t xml:space="preserve">, R., Kere, F., M’Baye, A., Onyango, M., Aw, S., El Hadj </w:t>
      </w:r>
      <w:proofErr w:type="spellStart"/>
      <w:r w:rsidRPr="00BC56FA">
        <w:rPr>
          <w:rFonts w:ascii="Times New Roman" w:eastAsia="Times New Roman" w:hAnsi="Times New Roman" w:cs="Times New Roman"/>
          <w:kern w:val="0"/>
          <w:sz w:val="24"/>
          <w:szCs w:val="24"/>
          <w:lang w:eastAsia="en-GB"/>
          <w14:ligatures w14:val="none"/>
        </w:rPr>
        <w:t>Issabre</w:t>
      </w:r>
      <w:proofErr w:type="spellEnd"/>
      <w:r w:rsidRPr="00BC56FA">
        <w:rPr>
          <w:rFonts w:ascii="Times New Roman" w:eastAsia="Times New Roman" w:hAnsi="Times New Roman" w:cs="Times New Roman"/>
          <w:kern w:val="0"/>
          <w:sz w:val="24"/>
          <w:szCs w:val="24"/>
          <w:lang w:eastAsia="en-GB"/>
          <w14:ligatures w14:val="none"/>
        </w:rPr>
        <w:t xml:space="preserve">, M., Tung, R. and Khush, R. (2019). Are Presence/Absence Microbial Tests Appropriate for Monitoring Large Urban Water Supplies in Sub-Saharan Africa?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xml:space="preserve">, 11(3), p.491.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://doi.org/10.3390/w11030491</w:t>
      </w:r>
      <w:proofErr w:type="gramEnd"/>
      <w:r w:rsidRPr="00BC56FA">
        <w:rPr>
          <w:rFonts w:ascii="Times New Roman" w:eastAsia="Times New Roman" w:hAnsi="Times New Roman" w:cs="Times New Roman"/>
          <w:kern w:val="0"/>
          <w:sz w:val="24"/>
          <w:szCs w:val="24"/>
          <w:lang w:eastAsia="en-GB"/>
          <w14:ligatures w14:val="none"/>
        </w:rPr>
        <w:t>.</w:t>
      </w:r>
    </w:p>
    <w:p w14:paraId="54F4ACA9"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Morel, A. and Berthon, J.-F. (1989). Surface pigments, algal biomass profiles, and potential production of the euphotic layer: Relationships reinvestigated in view of remote-sensing applications. </w:t>
      </w:r>
      <w:r w:rsidRPr="00BC56FA">
        <w:rPr>
          <w:rFonts w:ascii="Times New Roman" w:eastAsia="Times New Roman" w:hAnsi="Times New Roman" w:cs="Times New Roman"/>
          <w:i/>
          <w:iCs/>
          <w:kern w:val="0"/>
          <w:sz w:val="24"/>
          <w:szCs w:val="24"/>
          <w:lang w:eastAsia="en-GB"/>
          <w14:ligatures w14:val="none"/>
        </w:rPr>
        <w:t>Limnology and Oceanography</w:t>
      </w:r>
      <w:r w:rsidRPr="00BC56FA">
        <w:rPr>
          <w:rFonts w:ascii="Times New Roman" w:eastAsia="Times New Roman" w:hAnsi="Times New Roman" w:cs="Times New Roman"/>
          <w:kern w:val="0"/>
          <w:sz w:val="24"/>
          <w:szCs w:val="24"/>
          <w:lang w:eastAsia="en-GB"/>
          <w14:ligatures w14:val="none"/>
        </w:rPr>
        <w:t xml:space="preserve">, 34(8), pp.1545–1562.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://doi.org/10.4319/lo.1989.34.8.1545</w:t>
      </w:r>
      <w:proofErr w:type="gramEnd"/>
      <w:r w:rsidRPr="00BC56FA">
        <w:rPr>
          <w:rFonts w:ascii="Times New Roman" w:eastAsia="Times New Roman" w:hAnsi="Times New Roman" w:cs="Times New Roman"/>
          <w:kern w:val="0"/>
          <w:sz w:val="24"/>
          <w:szCs w:val="24"/>
          <w:lang w:eastAsia="en-GB"/>
          <w14:ligatures w14:val="none"/>
        </w:rPr>
        <w:t>.</w:t>
      </w:r>
    </w:p>
    <w:p w14:paraId="4990A50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lastRenderedPageBreak/>
        <w:t>Offem</w:t>
      </w:r>
      <w:proofErr w:type="spellEnd"/>
      <w:r w:rsidRPr="00BC56FA">
        <w:rPr>
          <w:rFonts w:ascii="Times New Roman" w:eastAsia="Times New Roman" w:hAnsi="Times New Roman" w:cs="Times New Roman"/>
          <w:kern w:val="0"/>
          <w:sz w:val="24"/>
          <w:szCs w:val="24"/>
          <w:lang w:eastAsia="en-GB"/>
          <w14:ligatures w14:val="none"/>
        </w:rPr>
        <w:t xml:space="preserve">, B.O., Ayotunde, E.O., </w:t>
      </w:r>
      <w:proofErr w:type="spellStart"/>
      <w:r w:rsidRPr="00BC56FA">
        <w:rPr>
          <w:rFonts w:ascii="Times New Roman" w:eastAsia="Times New Roman" w:hAnsi="Times New Roman" w:cs="Times New Roman"/>
          <w:kern w:val="0"/>
          <w:sz w:val="24"/>
          <w:szCs w:val="24"/>
          <w:lang w:eastAsia="en-GB"/>
          <w14:ligatures w14:val="none"/>
        </w:rPr>
        <w:t>Ikpi</w:t>
      </w:r>
      <w:proofErr w:type="spellEnd"/>
      <w:r w:rsidRPr="00BC56FA">
        <w:rPr>
          <w:rFonts w:ascii="Times New Roman" w:eastAsia="Times New Roman" w:hAnsi="Times New Roman" w:cs="Times New Roman"/>
          <w:kern w:val="0"/>
          <w:sz w:val="24"/>
          <w:szCs w:val="24"/>
          <w:lang w:eastAsia="en-GB"/>
          <w14:ligatures w14:val="none"/>
        </w:rPr>
        <w:t xml:space="preserve">, G.U., Ada, F.B. and </w:t>
      </w:r>
      <w:proofErr w:type="spellStart"/>
      <w:r w:rsidRPr="00BC56FA">
        <w:rPr>
          <w:rFonts w:ascii="Times New Roman" w:eastAsia="Times New Roman" w:hAnsi="Times New Roman" w:cs="Times New Roman"/>
          <w:kern w:val="0"/>
          <w:sz w:val="24"/>
          <w:szCs w:val="24"/>
          <w:lang w:eastAsia="en-GB"/>
          <w14:ligatures w14:val="none"/>
        </w:rPr>
        <w:t>Ochang</w:t>
      </w:r>
      <w:proofErr w:type="spellEnd"/>
      <w:r w:rsidRPr="00BC56FA">
        <w:rPr>
          <w:rFonts w:ascii="Times New Roman" w:eastAsia="Times New Roman" w:hAnsi="Times New Roman" w:cs="Times New Roman"/>
          <w:kern w:val="0"/>
          <w:sz w:val="24"/>
          <w:szCs w:val="24"/>
          <w:lang w:eastAsia="en-GB"/>
          <w14:ligatures w14:val="none"/>
        </w:rPr>
        <w:t xml:space="preserve">, S.N. (2011). Plankton- Based Assessment of the Trophic State of Three Tropical Lakes. </w:t>
      </w:r>
      <w:r w:rsidRPr="00BC56FA">
        <w:rPr>
          <w:rFonts w:ascii="Times New Roman" w:eastAsia="Times New Roman" w:hAnsi="Times New Roman" w:cs="Times New Roman"/>
          <w:i/>
          <w:iCs/>
          <w:kern w:val="0"/>
          <w:sz w:val="24"/>
          <w:szCs w:val="24"/>
          <w:lang w:eastAsia="en-GB"/>
          <w14:ligatures w14:val="none"/>
        </w:rPr>
        <w:t>Journal of Environmental Protection</w:t>
      </w:r>
      <w:r w:rsidRPr="00BC56FA">
        <w:rPr>
          <w:rFonts w:ascii="Times New Roman" w:eastAsia="Times New Roman" w:hAnsi="Times New Roman" w:cs="Times New Roman"/>
          <w:kern w:val="0"/>
          <w:sz w:val="24"/>
          <w:szCs w:val="24"/>
          <w:lang w:eastAsia="en-GB"/>
          <w14:ligatures w14:val="none"/>
        </w:rPr>
        <w:t xml:space="preserve">, [online] 02(03), pp.304–315.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://doi.org/10.4236/jep.2011.23034</w:t>
      </w:r>
      <w:proofErr w:type="gramEnd"/>
      <w:r w:rsidRPr="00BC56FA">
        <w:rPr>
          <w:rFonts w:ascii="Times New Roman" w:eastAsia="Times New Roman" w:hAnsi="Times New Roman" w:cs="Times New Roman"/>
          <w:kern w:val="0"/>
          <w:sz w:val="24"/>
          <w:szCs w:val="24"/>
          <w:lang w:eastAsia="en-GB"/>
          <w14:ligatures w14:val="none"/>
        </w:rPr>
        <w:t>.</w:t>
      </w:r>
    </w:p>
    <w:p w14:paraId="4D183BB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Ouedraogo, I., Girard, A., </w:t>
      </w:r>
      <w:proofErr w:type="spellStart"/>
      <w:r w:rsidRPr="00BC56FA">
        <w:rPr>
          <w:rFonts w:ascii="Times New Roman" w:eastAsia="Times New Roman" w:hAnsi="Times New Roman" w:cs="Times New Roman"/>
          <w:kern w:val="0"/>
          <w:sz w:val="24"/>
          <w:szCs w:val="24"/>
          <w:lang w:eastAsia="en-GB"/>
          <w14:ligatures w14:val="none"/>
        </w:rPr>
        <w:t>Vanclooster</w:t>
      </w:r>
      <w:proofErr w:type="spellEnd"/>
      <w:r w:rsidRPr="00BC56FA">
        <w:rPr>
          <w:rFonts w:ascii="Times New Roman" w:eastAsia="Times New Roman" w:hAnsi="Times New Roman" w:cs="Times New Roman"/>
          <w:kern w:val="0"/>
          <w:sz w:val="24"/>
          <w:szCs w:val="24"/>
          <w:lang w:eastAsia="en-GB"/>
          <w14:ligatures w14:val="none"/>
        </w:rPr>
        <w:t xml:space="preserve">, M. and </w:t>
      </w:r>
      <w:proofErr w:type="spellStart"/>
      <w:r w:rsidRPr="00BC56FA">
        <w:rPr>
          <w:rFonts w:ascii="Times New Roman" w:eastAsia="Times New Roman" w:hAnsi="Times New Roman" w:cs="Times New Roman"/>
          <w:kern w:val="0"/>
          <w:sz w:val="24"/>
          <w:szCs w:val="24"/>
          <w:lang w:eastAsia="en-GB"/>
          <w14:ligatures w14:val="none"/>
        </w:rPr>
        <w:t>Jonard</w:t>
      </w:r>
      <w:proofErr w:type="spellEnd"/>
      <w:r w:rsidRPr="00BC56FA">
        <w:rPr>
          <w:rFonts w:ascii="Times New Roman" w:eastAsia="Times New Roman" w:hAnsi="Times New Roman" w:cs="Times New Roman"/>
          <w:kern w:val="0"/>
          <w:sz w:val="24"/>
          <w:szCs w:val="24"/>
          <w:lang w:eastAsia="en-GB"/>
          <w14:ligatures w14:val="none"/>
        </w:rPr>
        <w:t xml:space="preserve">, F. (2020). Modelling the Temporal Dynamics of Groundwater Pollution Risks at the African Scale. </w:t>
      </w:r>
      <w:r w:rsidRPr="00BC56FA">
        <w:rPr>
          <w:rFonts w:ascii="Times New Roman" w:eastAsia="Times New Roman" w:hAnsi="Times New Roman" w:cs="Times New Roman"/>
          <w:i/>
          <w:iCs/>
          <w:kern w:val="0"/>
          <w:sz w:val="24"/>
          <w:szCs w:val="24"/>
          <w:lang w:eastAsia="en-GB"/>
          <w14:ligatures w14:val="none"/>
        </w:rPr>
        <w:t>Water</w:t>
      </w:r>
      <w:r w:rsidRPr="00BC56FA">
        <w:rPr>
          <w:rFonts w:ascii="Times New Roman" w:eastAsia="Times New Roman" w:hAnsi="Times New Roman" w:cs="Times New Roman"/>
          <w:kern w:val="0"/>
          <w:sz w:val="24"/>
          <w:szCs w:val="24"/>
          <w:lang w:eastAsia="en-GB"/>
          <w14:ligatures w14:val="none"/>
        </w:rPr>
        <w:t xml:space="preserve">, 12(5), p.1406.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://doi.org/10.3390/w12051406</w:t>
      </w:r>
      <w:proofErr w:type="gramEnd"/>
      <w:r w:rsidRPr="00BC56FA">
        <w:rPr>
          <w:rFonts w:ascii="Times New Roman" w:eastAsia="Times New Roman" w:hAnsi="Times New Roman" w:cs="Times New Roman"/>
          <w:kern w:val="0"/>
          <w:sz w:val="24"/>
          <w:szCs w:val="24"/>
          <w:lang w:eastAsia="en-GB"/>
          <w14:ligatures w14:val="none"/>
        </w:rPr>
        <w:t>.</w:t>
      </w:r>
    </w:p>
    <w:p w14:paraId="35B78F1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Paerl</w:t>
      </w:r>
      <w:proofErr w:type="spellEnd"/>
      <w:r w:rsidRPr="00BC56FA">
        <w:rPr>
          <w:rFonts w:ascii="Times New Roman" w:eastAsia="Times New Roman" w:hAnsi="Times New Roman" w:cs="Times New Roman"/>
          <w:kern w:val="0"/>
          <w:sz w:val="24"/>
          <w:szCs w:val="24"/>
          <w:lang w:eastAsia="en-GB"/>
          <w14:ligatures w14:val="none"/>
        </w:rPr>
        <w:t xml:space="preserve">, H.W. (2009). Controlling Eutrophication along the Freshwater–Marine Continuum: Dual Nutrient (N and P) Reductions are Essential. </w:t>
      </w:r>
      <w:r w:rsidRPr="00BC56FA">
        <w:rPr>
          <w:rFonts w:ascii="Times New Roman" w:eastAsia="Times New Roman" w:hAnsi="Times New Roman" w:cs="Times New Roman"/>
          <w:i/>
          <w:iCs/>
          <w:kern w:val="0"/>
          <w:sz w:val="24"/>
          <w:szCs w:val="24"/>
          <w:lang w:eastAsia="en-GB"/>
          <w14:ligatures w14:val="none"/>
        </w:rPr>
        <w:t>Estuaries and Coasts</w:t>
      </w:r>
      <w:r w:rsidRPr="00BC56FA">
        <w:rPr>
          <w:rFonts w:ascii="Times New Roman" w:eastAsia="Times New Roman" w:hAnsi="Times New Roman" w:cs="Times New Roman"/>
          <w:kern w:val="0"/>
          <w:sz w:val="24"/>
          <w:szCs w:val="24"/>
          <w:lang w:eastAsia="en-GB"/>
          <w14:ligatures w14:val="none"/>
        </w:rPr>
        <w:t xml:space="preserve">, 32(4), pp.593–601.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://doi.org/10.1007/s12237-009-9158-8</w:t>
      </w:r>
      <w:proofErr w:type="gramEnd"/>
      <w:r w:rsidRPr="00BC56FA">
        <w:rPr>
          <w:rFonts w:ascii="Times New Roman" w:eastAsia="Times New Roman" w:hAnsi="Times New Roman" w:cs="Times New Roman"/>
          <w:kern w:val="0"/>
          <w:sz w:val="24"/>
          <w:szCs w:val="24"/>
          <w:lang w:eastAsia="en-GB"/>
          <w14:ligatures w14:val="none"/>
        </w:rPr>
        <w:t>.</w:t>
      </w:r>
    </w:p>
    <w:p w14:paraId="5DF9DE6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Pedersen, M. and Borum, J. (1997). Nutrient control of estuarine </w:t>
      </w:r>
      <w:proofErr w:type="spellStart"/>
      <w:proofErr w:type="gramStart"/>
      <w:r w:rsidRPr="00BC56FA">
        <w:rPr>
          <w:rFonts w:ascii="Times New Roman" w:eastAsia="Times New Roman" w:hAnsi="Times New Roman" w:cs="Times New Roman"/>
          <w:kern w:val="0"/>
          <w:sz w:val="24"/>
          <w:szCs w:val="24"/>
          <w:lang w:eastAsia="en-GB"/>
          <w14:ligatures w14:val="none"/>
        </w:rPr>
        <w:t>macroalgae:growth</w:t>
      </w:r>
      <w:proofErr w:type="spellEnd"/>
      <w:proofErr w:type="gramEnd"/>
      <w:r w:rsidRPr="00BC56FA">
        <w:rPr>
          <w:rFonts w:ascii="Times New Roman" w:eastAsia="Times New Roman" w:hAnsi="Times New Roman" w:cs="Times New Roman"/>
          <w:kern w:val="0"/>
          <w:sz w:val="24"/>
          <w:szCs w:val="24"/>
          <w:lang w:eastAsia="en-GB"/>
          <w14:ligatures w14:val="none"/>
        </w:rPr>
        <w:t xml:space="preserve"> strategy and the balance between nitrogen requirements and uptake. </w:t>
      </w:r>
      <w:r w:rsidRPr="00BC56FA">
        <w:rPr>
          <w:rFonts w:ascii="Times New Roman" w:eastAsia="Times New Roman" w:hAnsi="Times New Roman" w:cs="Times New Roman"/>
          <w:i/>
          <w:iCs/>
          <w:kern w:val="0"/>
          <w:sz w:val="24"/>
          <w:szCs w:val="24"/>
          <w:lang w:eastAsia="en-GB"/>
          <w14:ligatures w14:val="none"/>
        </w:rPr>
        <w:t>Marine Ecology Progress Series</w:t>
      </w:r>
      <w:r w:rsidRPr="00BC56FA">
        <w:rPr>
          <w:rFonts w:ascii="Times New Roman" w:eastAsia="Times New Roman" w:hAnsi="Times New Roman" w:cs="Times New Roman"/>
          <w:kern w:val="0"/>
          <w:sz w:val="24"/>
          <w:szCs w:val="24"/>
          <w:lang w:eastAsia="en-GB"/>
          <w14:ligatures w14:val="none"/>
        </w:rPr>
        <w:t xml:space="preserve">, 161, pp.155–163.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://doi.org/10.3354/meps161155</w:t>
      </w:r>
      <w:proofErr w:type="gramEnd"/>
      <w:r w:rsidRPr="00BC56FA">
        <w:rPr>
          <w:rFonts w:ascii="Times New Roman" w:eastAsia="Times New Roman" w:hAnsi="Times New Roman" w:cs="Times New Roman"/>
          <w:kern w:val="0"/>
          <w:sz w:val="24"/>
          <w:szCs w:val="24"/>
          <w:lang w:eastAsia="en-GB"/>
          <w14:ligatures w14:val="none"/>
        </w:rPr>
        <w:t>.</w:t>
      </w:r>
    </w:p>
    <w:p w14:paraId="55D68004"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Rahman, M.A.T.M.T., Paul, M., Bhoumik, N., Hassan, M., Alam, </w:t>
      </w:r>
      <w:proofErr w:type="spellStart"/>
      <w:r w:rsidRPr="00BC56FA">
        <w:rPr>
          <w:rFonts w:ascii="Times New Roman" w:eastAsia="Times New Roman" w:hAnsi="Times New Roman" w:cs="Times New Roman"/>
          <w:kern w:val="0"/>
          <w:sz w:val="24"/>
          <w:szCs w:val="24"/>
          <w:lang w:eastAsia="en-GB"/>
          <w14:ligatures w14:val="none"/>
        </w:rPr>
        <w:t>Md.K</w:t>
      </w:r>
      <w:proofErr w:type="spellEnd"/>
      <w:r w:rsidRPr="00BC56FA">
        <w:rPr>
          <w:rFonts w:ascii="Times New Roman" w:eastAsia="Times New Roman" w:hAnsi="Times New Roman" w:cs="Times New Roman"/>
          <w:kern w:val="0"/>
          <w:sz w:val="24"/>
          <w:szCs w:val="24"/>
          <w:lang w:eastAsia="en-GB"/>
          <w14:ligatures w14:val="none"/>
        </w:rPr>
        <w:t xml:space="preserve">. and Aktar, Z. (2020). Heavy metal pollution assessment in the groundwater of the Meghna Ghat industrial area, Bangladesh, by using water pollution indices approach. </w:t>
      </w:r>
      <w:r w:rsidRPr="00BC56FA">
        <w:rPr>
          <w:rFonts w:ascii="Times New Roman" w:eastAsia="Times New Roman" w:hAnsi="Times New Roman" w:cs="Times New Roman"/>
          <w:i/>
          <w:iCs/>
          <w:kern w:val="0"/>
          <w:sz w:val="24"/>
          <w:szCs w:val="24"/>
          <w:lang w:eastAsia="en-GB"/>
          <w14:ligatures w14:val="none"/>
        </w:rPr>
        <w:t>Applied Water Science</w:t>
      </w:r>
      <w:r w:rsidRPr="00BC56FA">
        <w:rPr>
          <w:rFonts w:ascii="Times New Roman" w:eastAsia="Times New Roman" w:hAnsi="Times New Roman" w:cs="Times New Roman"/>
          <w:kern w:val="0"/>
          <w:sz w:val="24"/>
          <w:szCs w:val="24"/>
          <w:lang w:eastAsia="en-GB"/>
          <w14:ligatures w14:val="none"/>
        </w:rPr>
        <w:t xml:space="preserve">, 10(8).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://doi.org/10.1007/s13201-020-01266-4</w:t>
      </w:r>
      <w:proofErr w:type="gramEnd"/>
      <w:r w:rsidRPr="00BC56FA">
        <w:rPr>
          <w:rFonts w:ascii="Times New Roman" w:eastAsia="Times New Roman" w:hAnsi="Times New Roman" w:cs="Times New Roman"/>
          <w:kern w:val="0"/>
          <w:sz w:val="24"/>
          <w:szCs w:val="24"/>
          <w:lang w:eastAsia="en-GB"/>
          <w14:ligatures w14:val="none"/>
        </w:rPr>
        <w:t>.</w:t>
      </w:r>
    </w:p>
    <w:p w14:paraId="20FA0EC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Ramakrishnaiah</w:t>
      </w:r>
      <w:proofErr w:type="spellEnd"/>
      <w:r w:rsidRPr="00BC56FA">
        <w:rPr>
          <w:rFonts w:ascii="Times New Roman" w:eastAsia="Times New Roman" w:hAnsi="Times New Roman" w:cs="Times New Roman"/>
          <w:kern w:val="0"/>
          <w:sz w:val="24"/>
          <w:szCs w:val="24"/>
          <w:lang w:eastAsia="en-GB"/>
          <w14:ligatures w14:val="none"/>
        </w:rPr>
        <w:t xml:space="preserve">, C.R., </w:t>
      </w:r>
      <w:proofErr w:type="spellStart"/>
      <w:r w:rsidRPr="00BC56FA">
        <w:rPr>
          <w:rFonts w:ascii="Times New Roman" w:eastAsia="Times New Roman" w:hAnsi="Times New Roman" w:cs="Times New Roman"/>
          <w:kern w:val="0"/>
          <w:sz w:val="24"/>
          <w:szCs w:val="24"/>
          <w:lang w:eastAsia="en-GB"/>
          <w14:ligatures w14:val="none"/>
        </w:rPr>
        <w:t>Sadashivaiah</w:t>
      </w:r>
      <w:proofErr w:type="spellEnd"/>
      <w:r w:rsidRPr="00BC56FA">
        <w:rPr>
          <w:rFonts w:ascii="Times New Roman" w:eastAsia="Times New Roman" w:hAnsi="Times New Roman" w:cs="Times New Roman"/>
          <w:kern w:val="0"/>
          <w:sz w:val="24"/>
          <w:szCs w:val="24"/>
          <w:lang w:eastAsia="en-GB"/>
          <w14:ligatures w14:val="none"/>
        </w:rPr>
        <w:t xml:space="preserve">, C. and </w:t>
      </w:r>
      <w:proofErr w:type="spellStart"/>
      <w:r w:rsidRPr="00BC56FA">
        <w:rPr>
          <w:rFonts w:ascii="Times New Roman" w:eastAsia="Times New Roman" w:hAnsi="Times New Roman" w:cs="Times New Roman"/>
          <w:kern w:val="0"/>
          <w:sz w:val="24"/>
          <w:szCs w:val="24"/>
          <w:lang w:eastAsia="en-GB"/>
          <w14:ligatures w14:val="none"/>
        </w:rPr>
        <w:t>Ranganna</w:t>
      </w:r>
      <w:proofErr w:type="spellEnd"/>
      <w:r w:rsidRPr="00BC56FA">
        <w:rPr>
          <w:rFonts w:ascii="Times New Roman" w:eastAsia="Times New Roman" w:hAnsi="Times New Roman" w:cs="Times New Roman"/>
          <w:kern w:val="0"/>
          <w:sz w:val="24"/>
          <w:szCs w:val="24"/>
          <w:lang w:eastAsia="en-GB"/>
          <w14:ligatures w14:val="none"/>
        </w:rPr>
        <w:t xml:space="preserve">, G. (2009). Assessment of Water Quality Index for the Groundwater in Tumkur Taluk, Karnataka State, India. </w:t>
      </w:r>
      <w:r w:rsidRPr="00BC56FA">
        <w:rPr>
          <w:rFonts w:ascii="Times New Roman" w:eastAsia="Times New Roman" w:hAnsi="Times New Roman" w:cs="Times New Roman"/>
          <w:i/>
          <w:iCs/>
          <w:kern w:val="0"/>
          <w:sz w:val="24"/>
          <w:szCs w:val="24"/>
          <w:lang w:eastAsia="en-GB"/>
          <w14:ligatures w14:val="none"/>
        </w:rPr>
        <w:t>E-Journal of Chemistry</w:t>
      </w:r>
      <w:r w:rsidRPr="00BC56FA">
        <w:rPr>
          <w:rFonts w:ascii="Times New Roman" w:eastAsia="Times New Roman" w:hAnsi="Times New Roman" w:cs="Times New Roman"/>
          <w:kern w:val="0"/>
          <w:sz w:val="24"/>
          <w:szCs w:val="24"/>
          <w:lang w:eastAsia="en-GB"/>
          <w14:ligatures w14:val="none"/>
        </w:rPr>
        <w:t xml:space="preserve">, [online] 6(2), pp.523–530.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://doi.org/10.1155/2009/757424</w:t>
      </w:r>
      <w:proofErr w:type="gramEnd"/>
      <w:r w:rsidRPr="00BC56FA">
        <w:rPr>
          <w:rFonts w:ascii="Times New Roman" w:eastAsia="Times New Roman" w:hAnsi="Times New Roman" w:cs="Times New Roman"/>
          <w:kern w:val="0"/>
          <w:sz w:val="24"/>
          <w:szCs w:val="24"/>
          <w:lang w:eastAsia="en-GB"/>
          <w14:ligatures w14:val="none"/>
        </w:rPr>
        <w:t>.</w:t>
      </w:r>
    </w:p>
    <w:p w14:paraId="3416467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Rengasamy</w:t>
      </w:r>
      <w:proofErr w:type="spellEnd"/>
      <w:r w:rsidRPr="00BC56FA">
        <w:rPr>
          <w:rFonts w:ascii="Times New Roman" w:eastAsia="Times New Roman" w:hAnsi="Times New Roman" w:cs="Times New Roman"/>
          <w:kern w:val="0"/>
          <w:sz w:val="24"/>
          <w:szCs w:val="24"/>
          <w:lang w:eastAsia="en-GB"/>
          <w14:ligatures w14:val="none"/>
        </w:rPr>
        <w:t xml:space="preserve">, P. (2006). World salinization with emphasis on Australia. </w:t>
      </w:r>
      <w:r w:rsidRPr="00BC56FA">
        <w:rPr>
          <w:rFonts w:ascii="Times New Roman" w:eastAsia="Times New Roman" w:hAnsi="Times New Roman" w:cs="Times New Roman"/>
          <w:i/>
          <w:iCs/>
          <w:kern w:val="0"/>
          <w:sz w:val="24"/>
          <w:szCs w:val="24"/>
          <w:lang w:eastAsia="en-GB"/>
          <w14:ligatures w14:val="none"/>
        </w:rPr>
        <w:t>Journal of Experimental Botany</w:t>
      </w:r>
      <w:r w:rsidRPr="00BC56FA">
        <w:rPr>
          <w:rFonts w:ascii="Times New Roman" w:eastAsia="Times New Roman" w:hAnsi="Times New Roman" w:cs="Times New Roman"/>
          <w:kern w:val="0"/>
          <w:sz w:val="24"/>
          <w:szCs w:val="24"/>
          <w:lang w:eastAsia="en-GB"/>
          <w14:ligatures w14:val="none"/>
        </w:rPr>
        <w:t xml:space="preserve">, [online] 57(5), pp.1017–1023.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://doi.org/10.1093/</w:t>
      </w:r>
      <w:proofErr w:type="spellStart"/>
      <w:r w:rsidRPr="00BC56FA">
        <w:rPr>
          <w:rFonts w:ascii="Times New Roman" w:eastAsia="Times New Roman" w:hAnsi="Times New Roman" w:cs="Times New Roman"/>
          <w:kern w:val="0"/>
          <w:sz w:val="24"/>
          <w:szCs w:val="24"/>
          <w:lang w:eastAsia="en-GB"/>
          <w14:ligatures w14:val="none"/>
        </w:rPr>
        <w:t>jxb</w:t>
      </w:r>
      <w:proofErr w:type="spellEnd"/>
      <w:r w:rsidRPr="00BC56FA">
        <w:rPr>
          <w:rFonts w:ascii="Times New Roman" w:eastAsia="Times New Roman" w:hAnsi="Times New Roman" w:cs="Times New Roman"/>
          <w:kern w:val="0"/>
          <w:sz w:val="24"/>
          <w:szCs w:val="24"/>
          <w:lang w:eastAsia="en-GB"/>
          <w14:ligatures w14:val="none"/>
        </w:rPr>
        <w:t>/erj108</w:t>
      </w:r>
      <w:proofErr w:type="gramEnd"/>
      <w:r w:rsidRPr="00BC56FA">
        <w:rPr>
          <w:rFonts w:ascii="Times New Roman" w:eastAsia="Times New Roman" w:hAnsi="Times New Roman" w:cs="Times New Roman"/>
          <w:kern w:val="0"/>
          <w:sz w:val="24"/>
          <w:szCs w:val="24"/>
          <w:lang w:eastAsia="en-GB"/>
          <w14:ligatures w14:val="none"/>
        </w:rPr>
        <w:t>.</w:t>
      </w:r>
    </w:p>
    <w:p w14:paraId="5599BFA2"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Schneider, S. and Melzer, A. (2003). The Trophic Index of Macrophytes (TIM)– a New Tool for Indicating the Trophic State of Running Waters. </w:t>
      </w:r>
      <w:r w:rsidRPr="00BC56FA">
        <w:rPr>
          <w:rFonts w:ascii="Times New Roman" w:eastAsia="Times New Roman" w:hAnsi="Times New Roman" w:cs="Times New Roman"/>
          <w:i/>
          <w:iCs/>
          <w:kern w:val="0"/>
          <w:sz w:val="24"/>
          <w:szCs w:val="24"/>
          <w:lang w:eastAsia="en-GB"/>
          <w14:ligatures w14:val="none"/>
        </w:rPr>
        <w:t>International Review of Hydrobiology</w:t>
      </w:r>
      <w:r w:rsidRPr="00BC56FA">
        <w:rPr>
          <w:rFonts w:ascii="Times New Roman" w:eastAsia="Times New Roman" w:hAnsi="Times New Roman" w:cs="Times New Roman"/>
          <w:kern w:val="0"/>
          <w:sz w:val="24"/>
          <w:szCs w:val="24"/>
          <w:lang w:eastAsia="en-GB"/>
          <w14:ligatures w14:val="none"/>
        </w:rPr>
        <w:t xml:space="preserve">, 88(1), pp.49–67.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://doi.org/10.1002/iroh.200390005</w:t>
      </w:r>
      <w:proofErr w:type="gramEnd"/>
      <w:r w:rsidRPr="00BC56FA">
        <w:rPr>
          <w:rFonts w:ascii="Times New Roman" w:eastAsia="Times New Roman" w:hAnsi="Times New Roman" w:cs="Times New Roman"/>
          <w:kern w:val="0"/>
          <w:sz w:val="24"/>
          <w:szCs w:val="24"/>
          <w:lang w:eastAsia="en-GB"/>
          <w14:ligatures w14:val="none"/>
        </w:rPr>
        <w:t>.</w:t>
      </w:r>
    </w:p>
    <w:p w14:paraId="06598E7C"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Series, M.E. (1991). Determining the Mean Hydraulic Gradient of Ground Water Affected by Tidal Fluctuations. </w:t>
      </w:r>
      <w:r w:rsidRPr="00BC56FA">
        <w:rPr>
          <w:rFonts w:ascii="Times New Roman" w:eastAsia="Times New Roman" w:hAnsi="Times New Roman" w:cs="Times New Roman"/>
          <w:i/>
          <w:iCs/>
          <w:kern w:val="0"/>
          <w:sz w:val="24"/>
          <w:szCs w:val="24"/>
          <w:lang w:eastAsia="en-GB"/>
          <w14:ligatures w14:val="none"/>
        </w:rPr>
        <w:t>Ground Water</w:t>
      </w:r>
      <w:r w:rsidRPr="00BC56FA">
        <w:rPr>
          <w:rFonts w:ascii="Times New Roman" w:eastAsia="Times New Roman" w:hAnsi="Times New Roman" w:cs="Times New Roman"/>
          <w:kern w:val="0"/>
          <w:sz w:val="24"/>
          <w:szCs w:val="24"/>
          <w:lang w:eastAsia="en-GB"/>
          <w14:ligatures w14:val="none"/>
        </w:rPr>
        <w:t xml:space="preserve">, 29(4), pp.549–555.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://doi.org/10.1111/j.1745-6584.1991.tb00546.x</w:t>
      </w:r>
      <w:proofErr w:type="gramEnd"/>
      <w:r w:rsidRPr="00BC56FA">
        <w:rPr>
          <w:rFonts w:ascii="Times New Roman" w:eastAsia="Times New Roman" w:hAnsi="Times New Roman" w:cs="Times New Roman"/>
          <w:kern w:val="0"/>
          <w:sz w:val="24"/>
          <w:szCs w:val="24"/>
          <w:lang w:eastAsia="en-GB"/>
          <w14:ligatures w14:val="none"/>
        </w:rPr>
        <w:t>.</w:t>
      </w:r>
    </w:p>
    <w:p w14:paraId="34BBDC5A"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lastRenderedPageBreak/>
        <w:t xml:space="preserve">Smith, V.H., Tilman, G.D. and Nekola, J.C. (1999). Eutrophication: impacts of excess nutrient inputs on freshwater, marine, and terrestrial ecosystems. </w:t>
      </w:r>
      <w:r w:rsidRPr="00BC56FA">
        <w:rPr>
          <w:rFonts w:ascii="Times New Roman" w:eastAsia="Times New Roman" w:hAnsi="Times New Roman" w:cs="Times New Roman"/>
          <w:i/>
          <w:iCs/>
          <w:kern w:val="0"/>
          <w:sz w:val="24"/>
          <w:szCs w:val="24"/>
          <w:lang w:eastAsia="en-GB"/>
          <w14:ligatures w14:val="none"/>
        </w:rPr>
        <w:t>Environmental Pollution</w:t>
      </w:r>
      <w:r w:rsidRPr="00BC56FA">
        <w:rPr>
          <w:rFonts w:ascii="Times New Roman" w:eastAsia="Times New Roman" w:hAnsi="Times New Roman" w:cs="Times New Roman"/>
          <w:kern w:val="0"/>
          <w:sz w:val="24"/>
          <w:szCs w:val="24"/>
          <w:lang w:eastAsia="en-GB"/>
          <w14:ligatures w14:val="none"/>
        </w:rPr>
        <w:t xml:space="preserve">, 100(1-3), pp.179–196.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://doi.org/10.1016/s0269-7491(99)00091-3</w:t>
      </w:r>
      <w:proofErr w:type="gramEnd"/>
      <w:r w:rsidRPr="00BC56FA">
        <w:rPr>
          <w:rFonts w:ascii="Times New Roman" w:eastAsia="Times New Roman" w:hAnsi="Times New Roman" w:cs="Times New Roman"/>
          <w:kern w:val="0"/>
          <w:sz w:val="24"/>
          <w:szCs w:val="24"/>
          <w:lang w:eastAsia="en-GB"/>
          <w14:ligatures w14:val="none"/>
        </w:rPr>
        <w:t>.</w:t>
      </w:r>
    </w:p>
    <w:p w14:paraId="2601301B"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Strobl, R.O. and Robillard, P.D. (2008). Network design for water quality monitoring of surface freshwaters: A review. </w:t>
      </w:r>
      <w:r w:rsidRPr="00BC56FA">
        <w:rPr>
          <w:rFonts w:ascii="Times New Roman" w:eastAsia="Times New Roman" w:hAnsi="Times New Roman" w:cs="Times New Roman"/>
          <w:i/>
          <w:iCs/>
          <w:kern w:val="0"/>
          <w:sz w:val="24"/>
          <w:szCs w:val="24"/>
          <w:lang w:eastAsia="en-GB"/>
          <w14:ligatures w14:val="none"/>
        </w:rPr>
        <w:t>Journal of Environmental Management</w:t>
      </w:r>
      <w:r w:rsidRPr="00BC56FA">
        <w:rPr>
          <w:rFonts w:ascii="Times New Roman" w:eastAsia="Times New Roman" w:hAnsi="Times New Roman" w:cs="Times New Roman"/>
          <w:kern w:val="0"/>
          <w:sz w:val="24"/>
          <w:szCs w:val="24"/>
          <w:lang w:eastAsia="en-GB"/>
          <w14:ligatures w14:val="none"/>
        </w:rPr>
        <w:t xml:space="preserve">, 87(4), pp.639–648.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://doi.org/10.1016/j.jenvman.2007.03.001</w:t>
      </w:r>
      <w:proofErr w:type="gramEnd"/>
      <w:r w:rsidRPr="00BC56FA">
        <w:rPr>
          <w:rFonts w:ascii="Times New Roman" w:eastAsia="Times New Roman" w:hAnsi="Times New Roman" w:cs="Times New Roman"/>
          <w:kern w:val="0"/>
          <w:sz w:val="24"/>
          <w:szCs w:val="24"/>
          <w:lang w:eastAsia="en-GB"/>
          <w14:ligatures w14:val="none"/>
        </w:rPr>
        <w:t>.</w:t>
      </w:r>
    </w:p>
    <w:p w14:paraId="169F3342"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Takoukam</w:t>
      </w:r>
      <w:proofErr w:type="spellEnd"/>
      <w:r w:rsidRPr="00BC56FA">
        <w:rPr>
          <w:rFonts w:ascii="Times New Roman" w:eastAsia="Times New Roman" w:hAnsi="Times New Roman" w:cs="Times New Roman"/>
          <w:kern w:val="0"/>
          <w:sz w:val="24"/>
          <w:szCs w:val="24"/>
          <w:lang w:eastAsia="en-GB"/>
          <w14:ligatures w14:val="none"/>
        </w:rPr>
        <w:t>, A.K., Dylan, Hoyer, M.V., Keith‐Diagne, L.W., Bonde, R.K. and Francis‐Floyd, R. (2021). African manatee (</w:t>
      </w:r>
      <w:r w:rsidRPr="00BC56FA">
        <w:rPr>
          <w:rFonts w:ascii="Times New Roman" w:eastAsia="Times New Roman" w:hAnsi="Times New Roman" w:cs="Times New Roman"/>
          <w:i/>
          <w:iCs/>
          <w:kern w:val="0"/>
          <w:sz w:val="24"/>
          <w:szCs w:val="24"/>
          <w:lang w:eastAsia="en-GB"/>
          <w14:ligatures w14:val="none"/>
        </w:rPr>
        <w:t>Trichechus senegalensis</w:t>
      </w:r>
      <w:r w:rsidRPr="00BC56FA">
        <w:rPr>
          <w:rFonts w:ascii="Times New Roman" w:eastAsia="Times New Roman" w:hAnsi="Times New Roman" w:cs="Times New Roman"/>
          <w:kern w:val="0"/>
          <w:sz w:val="24"/>
          <w:szCs w:val="24"/>
          <w:lang w:eastAsia="en-GB"/>
          <w14:ligatures w14:val="none"/>
        </w:rPr>
        <w:t xml:space="preserve">) habitat suitability at Lake Ossa, Cameroon, using trophic state models and predictions of submerged aquatic vegetation. </w:t>
      </w:r>
      <w:r w:rsidRPr="00BC56FA">
        <w:rPr>
          <w:rFonts w:ascii="Times New Roman" w:eastAsia="Times New Roman" w:hAnsi="Times New Roman" w:cs="Times New Roman"/>
          <w:i/>
          <w:iCs/>
          <w:kern w:val="0"/>
          <w:sz w:val="24"/>
          <w:szCs w:val="24"/>
          <w:lang w:eastAsia="en-GB"/>
          <w14:ligatures w14:val="none"/>
        </w:rPr>
        <w:t>Ecology and Evolution</w:t>
      </w:r>
      <w:r w:rsidRPr="00BC56FA">
        <w:rPr>
          <w:rFonts w:ascii="Times New Roman" w:eastAsia="Times New Roman" w:hAnsi="Times New Roman" w:cs="Times New Roman"/>
          <w:kern w:val="0"/>
          <w:sz w:val="24"/>
          <w:szCs w:val="24"/>
          <w:lang w:eastAsia="en-GB"/>
          <w14:ligatures w14:val="none"/>
        </w:rPr>
        <w:t xml:space="preserve">, [online] 11(21), pp.15212–15224.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://doi.org/10.1002/ece3.8202</w:t>
      </w:r>
      <w:proofErr w:type="gramEnd"/>
      <w:r w:rsidRPr="00BC56FA">
        <w:rPr>
          <w:rFonts w:ascii="Times New Roman" w:eastAsia="Times New Roman" w:hAnsi="Times New Roman" w:cs="Times New Roman"/>
          <w:kern w:val="0"/>
          <w:sz w:val="24"/>
          <w:szCs w:val="24"/>
          <w:lang w:eastAsia="en-GB"/>
          <w14:ligatures w14:val="none"/>
        </w:rPr>
        <w:t>.</w:t>
      </w:r>
    </w:p>
    <w:p w14:paraId="747E2E56"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56FA">
        <w:rPr>
          <w:rFonts w:ascii="Times New Roman" w:eastAsia="Times New Roman" w:hAnsi="Times New Roman" w:cs="Times New Roman"/>
          <w:kern w:val="0"/>
          <w:sz w:val="24"/>
          <w:szCs w:val="24"/>
          <w:lang w:eastAsia="en-GB"/>
          <w14:ligatures w14:val="none"/>
        </w:rPr>
        <w:t>Uereyen</w:t>
      </w:r>
      <w:proofErr w:type="spellEnd"/>
      <w:r w:rsidRPr="00BC56FA">
        <w:rPr>
          <w:rFonts w:ascii="Times New Roman" w:eastAsia="Times New Roman" w:hAnsi="Times New Roman" w:cs="Times New Roman"/>
          <w:kern w:val="0"/>
          <w:sz w:val="24"/>
          <w:szCs w:val="24"/>
          <w:lang w:eastAsia="en-GB"/>
          <w14:ligatures w14:val="none"/>
        </w:rPr>
        <w:t xml:space="preserve">, S. and Kuenzer, C. (2019). A Review of Earth Observation-Based Analyses for Major River Basins. </w:t>
      </w:r>
      <w:r w:rsidRPr="00BC56FA">
        <w:rPr>
          <w:rFonts w:ascii="Times New Roman" w:eastAsia="Times New Roman" w:hAnsi="Times New Roman" w:cs="Times New Roman"/>
          <w:i/>
          <w:iCs/>
          <w:kern w:val="0"/>
          <w:sz w:val="24"/>
          <w:szCs w:val="24"/>
          <w:lang w:eastAsia="en-GB"/>
          <w14:ligatures w14:val="none"/>
        </w:rPr>
        <w:t>Remote Sensing</w:t>
      </w:r>
      <w:r w:rsidRPr="00BC56FA">
        <w:rPr>
          <w:rFonts w:ascii="Times New Roman" w:eastAsia="Times New Roman" w:hAnsi="Times New Roman" w:cs="Times New Roman"/>
          <w:kern w:val="0"/>
          <w:sz w:val="24"/>
          <w:szCs w:val="24"/>
          <w:lang w:eastAsia="en-GB"/>
          <w14:ligatures w14:val="none"/>
        </w:rPr>
        <w:t xml:space="preserve">, 11(24), p.2951.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://doi.org/10.3390/rs11242951</w:t>
      </w:r>
      <w:proofErr w:type="gramEnd"/>
      <w:r w:rsidRPr="00BC56FA">
        <w:rPr>
          <w:rFonts w:ascii="Times New Roman" w:eastAsia="Times New Roman" w:hAnsi="Times New Roman" w:cs="Times New Roman"/>
          <w:kern w:val="0"/>
          <w:sz w:val="24"/>
          <w:szCs w:val="24"/>
          <w:lang w:eastAsia="en-GB"/>
          <w14:ligatures w14:val="none"/>
        </w:rPr>
        <w:t>.</w:t>
      </w:r>
    </w:p>
    <w:p w14:paraId="781A83A5" w14:textId="2C3955DE"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Yu, H., Khan, F. and </w:t>
      </w:r>
      <w:proofErr w:type="spellStart"/>
      <w:r w:rsidRPr="00BC56FA">
        <w:rPr>
          <w:rFonts w:ascii="Times New Roman" w:eastAsia="Times New Roman" w:hAnsi="Times New Roman" w:cs="Times New Roman"/>
          <w:kern w:val="0"/>
          <w:sz w:val="24"/>
          <w:szCs w:val="24"/>
          <w:lang w:eastAsia="en-GB"/>
          <w14:ligatures w14:val="none"/>
        </w:rPr>
        <w:t>Hawboldt</w:t>
      </w:r>
      <w:proofErr w:type="spellEnd"/>
      <w:r w:rsidRPr="00BC56FA">
        <w:rPr>
          <w:rFonts w:ascii="Times New Roman" w:eastAsia="Times New Roman" w:hAnsi="Times New Roman" w:cs="Times New Roman"/>
          <w:kern w:val="0"/>
          <w:sz w:val="24"/>
          <w:szCs w:val="24"/>
          <w:lang w:eastAsia="en-GB"/>
          <w14:ligatures w14:val="none"/>
        </w:rPr>
        <w:t xml:space="preserve">, K. (2015). Modified Independent Component Analysis and Bayesian Network-Based Two-Stage Fault Diagnosis of Process Operations. </w:t>
      </w:r>
      <w:r w:rsidRPr="00BC56FA">
        <w:rPr>
          <w:rFonts w:ascii="Times New Roman" w:eastAsia="Times New Roman" w:hAnsi="Times New Roman" w:cs="Times New Roman"/>
          <w:i/>
          <w:iCs/>
          <w:kern w:val="0"/>
          <w:sz w:val="24"/>
          <w:szCs w:val="24"/>
          <w:lang w:eastAsia="en-GB"/>
          <w14:ligatures w14:val="none"/>
        </w:rPr>
        <w:t>Industrial &amp; Engineering Chemistry Research</w:t>
      </w:r>
      <w:r w:rsidRPr="00BC56FA">
        <w:rPr>
          <w:rFonts w:ascii="Times New Roman" w:eastAsia="Times New Roman" w:hAnsi="Times New Roman" w:cs="Times New Roman"/>
          <w:kern w:val="0"/>
          <w:sz w:val="24"/>
          <w:szCs w:val="24"/>
          <w:lang w:eastAsia="en-GB"/>
          <w14:ligatures w14:val="none"/>
        </w:rPr>
        <w:t xml:space="preserve">, 54(10), pp.2724–2742.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://doi.org/10.1021/ie503530v</w:t>
      </w:r>
      <w:proofErr w:type="gramEnd"/>
      <w:r w:rsidRPr="00BC56FA">
        <w:rPr>
          <w:rFonts w:ascii="Times New Roman" w:eastAsia="Times New Roman" w:hAnsi="Times New Roman" w:cs="Times New Roman"/>
          <w:kern w:val="0"/>
          <w:sz w:val="24"/>
          <w:szCs w:val="24"/>
          <w:lang w:eastAsia="en-GB"/>
          <w14:ligatures w14:val="none"/>
        </w:rPr>
        <w:t>.</w:t>
      </w:r>
    </w:p>
    <w:p w14:paraId="3831CAEC" w14:textId="77777777" w:rsid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r w:rsidRPr="00BC56FA">
        <w:rPr>
          <w:rFonts w:ascii="Times New Roman" w:eastAsia="Times New Roman" w:hAnsi="Times New Roman" w:cs="Times New Roman"/>
          <w:kern w:val="0"/>
          <w:sz w:val="24"/>
          <w:szCs w:val="24"/>
          <w:lang w:eastAsia="en-GB"/>
          <w14:ligatures w14:val="none"/>
        </w:rPr>
        <w:t xml:space="preserve">Zhou, F., Liu, Y. and Guo, H. (2006). Application of Multivariate Statistical Methods to Water Quality Assessment of the Watercourses in Northwestern New Territories, Hong Kong. </w:t>
      </w:r>
      <w:r w:rsidRPr="00BC56FA">
        <w:rPr>
          <w:rFonts w:ascii="Times New Roman" w:eastAsia="Times New Roman" w:hAnsi="Times New Roman" w:cs="Times New Roman"/>
          <w:i/>
          <w:iCs/>
          <w:kern w:val="0"/>
          <w:sz w:val="24"/>
          <w:szCs w:val="24"/>
          <w:lang w:eastAsia="en-GB"/>
          <w14:ligatures w14:val="none"/>
        </w:rPr>
        <w:t>Environmental Monitoring and Assessment</w:t>
      </w:r>
      <w:r w:rsidRPr="00BC56FA">
        <w:rPr>
          <w:rFonts w:ascii="Times New Roman" w:eastAsia="Times New Roman" w:hAnsi="Times New Roman" w:cs="Times New Roman"/>
          <w:kern w:val="0"/>
          <w:sz w:val="24"/>
          <w:szCs w:val="24"/>
          <w:lang w:eastAsia="en-GB"/>
          <w14:ligatures w14:val="none"/>
        </w:rPr>
        <w:t xml:space="preserve">, 132(1-3), pp.1–13. </w:t>
      </w:r>
      <w:proofErr w:type="spellStart"/>
      <w:proofErr w:type="gramStart"/>
      <w:r w:rsidRPr="00BC56FA">
        <w:rPr>
          <w:rFonts w:ascii="Times New Roman" w:eastAsia="Times New Roman" w:hAnsi="Times New Roman" w:cs="Times New Roman"/>
          <w:kern w:val="0"/>
          <w:sz w:val="24"/>
          <w:szCs w:val="24"/>
          <w:lang w:eastAsia="en-GB"/>
          <w14:ligatures w14:val="none"/>
        </w:rPr>
        <w:t>doi:https</w:t>
      </w:r>
      <w:proofErr w:type="spellEnd"/>
      <w:r w:rsidRPr="00BC56FA">
        <w:rPr>
          <w:rFonts w:ascii="Times New Roman" w:eastAsia="Times New Roman" w:hAnsi="Times New Roman" w:cs="Times New Roman"/>
          <w:kern w:val="0"/>
          <w:sz w:val="24"/>
          <w:szCs w:val="24"/>
          <w:lang w:eastAsia="en-GB"/>
          <w14:ligatures w14:val="none"/>
        </w:rPr>
        <w:t>://doi.org/10.1007/s10661-006-9497-x</w:t>
      </w:r>
      <w:proofErr w:type="gramEnd"/>
      <w:r w:rsidRPr="00BC56FA">
        <w:rPr>
          <w:rFonts w:ascii="Times New Roman" w:eastAsia="Times New Roman" w:hAnsi="Times New Roman" w:cs="Times New Roman"/>
          <w:kern w:val="0"/>
          <w:sz w:val="24"/>
          <w:szCs w:val="24"/>
          <w:lang w:eastAsia="en-GB"/>
          <w14:ligatures w14:val="none"/>
        </w:rPr>
        <w:t>.</w:t>
      </w:r>
    </w:p>
    <w:p w14:paraId="7172A245" w14:textId="77777777" w:rsidR="00BC56FA" w:rsidRPr="00BC56FA" w:rsidRDefault="00BC56FA" w:rsidP="00BC56FA">
      <w:pPr>
        <w:spacing w:after="240" w:line="360" w:lineRule="auto"/>
        <w:rPr>
          <w:rFonts w:ascii="Times New Roman" w:eastAsia="Times New Roman" w:hAnsi="Times New Roman" w:cs="Times New Roman"/>
          <w:kern w:val="0"/>
          <w:sz w:val="24"/>
          <w:szCs w:val="24"/>
          <w:lang w:eastAsia="en-GB"/>
          <w14:ligatures w14:val="none"/>
        </w:rPr>
      </w:pPr>
    </w:p>
    <w:p w14:paraId="4BFC7190" w14:textId="50588FA5" w:rsidR="007A4C68" w:rsidRPr="00497285" w:rsidRDefault="007A4C68" w:rsidP="00C0739B">
      <w:pPr>
        <w:rPr>
          <w:rFonts w:ascii="Amasis MT Pro Light" w:hAnsi="Amasis MT Pro Light"/>
        </w:rPr>
      </w:pPr>
    </w:p>
    <w:sectPr w:rsidR="007A4C68" w:rsidRPr="0049728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1A736" w14:textId="77777777" w:rsidR="00496EA3" w:rsidRDefault="00496EA3" w:rsidP="00181DA8">
      <w:pPr>
        <w:spacing w:after="0" w:line="240" w:lineRule="auto"/>
      </w:pPr>
      <w:r>
        <w:separator/>
      </w:r>
    </w:p>
  </w:endnote>
  <w:endnote w:type="continuationSeparator" w:id="0">
    <w:p w14:paraId="4D90DEDC" w14:textId="77777777" w:rsidR="00496EA3" w:rsidRDefault="00496EA3" w:rsidP="00181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masis MT Pro Light">
    <w:charset w:val="00"/>
    <w:family w:val="roman"/>
    <w:pitch w:val="variable"/>
    <w:sig w:usb0="A00000AF" w:usb1="4000205B"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00F1E" w14:textId="77777777" w:rsidR="00496EA3" w:rsidRDefault="00496EA3" w:rsidP="00181DA8">
      <w:pPr>
        <w:spacing w:after="0" w:line="240" w:lineRule="auto"/>
      </w:pPr>
      <w:r>
        <w:separator/>
      </w:r>
    </w:p>
  </w:footnote>
  <w:footnote w:type="continuationSeparator" w:id="0">
    <w:p w14:paraId="21E35DA5" w14:textId="77777777" w:rsidR="00496EA3" w:rsidRDefault="00496EA3" w:rsidP="00181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C5D66" w14:textId="21CEAA28" w:rsidR="00181DA8" w:rsidRPr="00181DA8" w:rsidRDefault="00181DA8" w:rsidP="00181DA8">
    <w:pPr>
      <w:pStyle w:val="Title"/>
      <w:rPr>
        <w:u w:val="single"/>
      </w:rPr>
    </w:pPr>
    <w:r w:rsidRPr="00181DA8">
      <w:rPr>
        <w:u w:val="single"/>
      </w:rPr>
      <w:t>Water resources and environmental monitoring</w:t>
    </w:r>
    <w:r>
      <w:rPr>
        <w:u w:val="single"/>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C286B"/>
    <w:multiLevelType w:val="hybridMultilevel"/>
    <w:tmpl w:val="93B0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706EB"/>
    <w:multiLevelType w:val="hybridMultilevel"/>
    <w:tmpl w:val="56DEEE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2862922">
    <w:abstractNumId w:val="0"/>
  </w:num>
  <w:num w:numId="2" w16cid:durableId="1959724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DA8"/>
    <w:rsid w:val="00004E7C"/>
    <w:rsid w:val="000074E9"/>
    <w:rsid w:val="000606DD"/>
    <w:rsid w:val="00093136"/>
    <w:rsid w:val="000A6EC7"/>
    <w:rsid w:val="000E0430"/>
    <w:rsid w:val="00127418"/>
    <w:rsid w:val="001618E1"/>
    <w:rsid w:val="00162B67"/>
    <w:rsid w:val="001640D3"/>
    <w:rsid w:val="00165EBC"/>
    <w:rsid w:val="00181DA8"/>
    <w:rsid w:val="00191216"/>
    <w:rsid w:val="001B081E"/>
    <w:rsid w:val="001B3CF7"/>
    <w:rsid w:val="001C3D46"/>
    <w:rsid w:val="001C4D2A"/>
    <w:rsid w:val="001D2414"/>
    <w:rsid w:val="001D427A"/>
    <w:rsid w:val="001E0F6B"/>
    <w:rsid w:val="0023125C"/>
    <w:rsid w:val="002734E2"/>
    <w:rsid w:val="00280FCF"/>
    <w:rsid w:val="00287958"/>
    <w:rsid w:val="00291311"/>
    <w:rsid w:val="002960E1"/>
    <w:rsid w:val="002A5099"/>
    <w:rsid w:val="002B30DF"/>
    <w:rsid w:val="002D2D19"/>
    <w:rsid w:val="002E199D"/>
    <w:rsid w:val="003355A3"/>
    <w:rsid w:val="003369F1"/>
    <w:rsid w:val="00387E73"/>
    <w:rsid w:val="003E5F94"/>
    <w:rsid w:val="003F73DD"/>
    <w:rsid w:val="004152CA"/>
    <w:rsid w:val="00453E5E"/>
    <w:rsid w:val="00471A3B"/>
    <w:rsid w:val="00496EA3"/>
    <w:rsid w:val="00497285"/>
    <w:rsid w:val="004D7EF7"/>
    <w:rsid w:val="00521016"/>
    <w:rsid w:val="00546059"/>
    <w:rsid w:val="00582A19"/>
    <w:rsid w:val="00583A29"/>
    <w:rsid w:val="005B7D5A"/>
    <w:rsid w:val="005D0E4D"/>
    <w:rsid w:val="005F492C"/>
    <w:rsid w:val="0060576E"/>
    <w:rsid w:val="0064271D"/>
    <w:rsid w:val="00653500"/>
    <w:rsid w:val="00670150"/>
    <w:rsid w:val="006C7611"/>
    <w:rsid w:val="006D52C9"/>
    <w:rsid w:val="00710DDD"/>
    <w:rsid w:val="00764952"/>
    <w:rsid w:val="007774B3"/>
    <w:rsid w:val="00777C01"/>
    <w:rsid w:val="007A46EC"/>
    <w:rsid w:val="007A4C68"/>
    <w:rsid w:val="007B4BF8"/>
    <w:rsid w:val="008239FE"/>
    <w:rsid w:val="00857476"/>
    <w:rsid w:val="00864A23"/>
    <w:rsid w:val="008A60D9"/>
    <w:rsid w:val="008C14EB"/>
    <w:rsid w:val="008E6F6C"/>
    <w:rsid w:val="00976A73"/>
    <w:rsid w:val="009860C6"/>
    <w:rsid w:val="00986EDD"/>
    <w:rsid w:val="009F487A"/>
    <w:rsid w:val="00A0402F"/>
    <w:rsid w:val="00A76FDE"/>
    <w:rsid w:val="00A96067"/>
    <w:rsid w:val="00AD1E2D"/>
    <w:rsid w:val="00AD66F2"/>
    <w:rsid w:val="00AE20F4"/>
    <w:rsid w:val="00AE3349"/>
    <w:rsid w:val="00AF60C4"/>
    <w:rsid w:val="00B3260E"/>
    <w:rsid w:val="00B417BB"/>
    <w:rsid w:val="00B5087A"/>
    <w:rsid w:val="00B56345"/>
    <w:rsid w:val="00BC56FA"/>
    <w:rsid w:val="00BC620A"/>
    <w:rsid w:val="00C0739B"/>
    <w:rsid w:val="00C24F8E"/>
    <w:rsid w:val="00C45CBF"/>
    <w:rsid w:val="00C6795D"/>
    <w:rsid w:val="00C74AE5"/>
    <w:rsid w:val="00C95AE7"/>
    <w:rsid w:val="00C963AB"/>
    <w:rsid w:val="00CE2F15"/>
    <w:rsid w:val="00D16C17"/>
    <w:rsid w:val="00D22ED6"/>
    <w:rsid w:val="00D235E3"/>
    <w:rsid w:val="00D657F0"/>
    <w:rsid w:val="00D97C53"/>
    <w:rsid w:val="00DB3D90"/>
    <w:rsid w:val="00DF01D2"/>
    <w:rsid w:val="00E00C5A"/>
    <w:rsid w:val="00E228A0"/>
    <w:rsid w:val="00E2581A"/>
    <w:rsid w:val="00E35B2B"/>
    <w:rsid w:val="00E7513F"/>
    <w:rsid w:val="00E75834"/>
    <w:rsid w:val="00EC218E"/>
    <w:rsid w:val="00F27D1D"/>
    <w:rsid w:val="00F772A1"/>
    <w:rsid w:val="00FA3BF2"/>
    <w:rsid w:val="00FC5538"/>
    <w:rsid w:val="00FF33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545B9"/>
  <w15:chartTrackingRefBased/>
  <w15:docId w15:val="{EA764407-962B-4950-BF1C-72A2A50C7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E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DA8"/>
  </w:style>
  <w:style w:type="paragraph" w:styleId="Footer">
    <w:name w:val="footer"/>
    <w:basedOn w:val="Normal"/>
    <w:link w:val="FooterChar"/>
    <w:uiPriority w:val="99"/>
    <w:unhideWhenUsed/>
    <w:rsid w:val="00181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DA8"/>
  </w:style>
  <w:style w:type="paragraph" w:styleId="Title">
    <w:name w:val="Title"/>
    <w:basedOn w:val="Normal"/>
    <w:next w:val="Normal"/>
    <w:link w:val="TitleChar"/>
    <w:uiPriority w:val="10"/>
    <w:qFormat/>
    <w:rsid w:val="00181D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DA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E0F6B"/>
    <w:pPr>
      <w:ind w:left="720"/>
      <w:contextualSpacing/>
    </w:pPr>
  </w:style>
  <w:style w:type="character" w:styleId="Hyperlink">
    <w:name w:val="Hyperlink"/>
    <w:basedOn w:val="DefaultParagraphFont"/>
    <w:uiPriority w:val="99"/>
    <w:unhideWhenUsed/>
    <w:rsid w:val="007A4C68"/>
    <w:rPr>
      <w:color w:val="0563C1" w:themeColor="hyperlink"/>
      <w:u w:val="single"/>
    </w:rPr>
  </w:style>
  <w:style w:type="character" w:styleId="UnresolvedMention">
    <w:name w:val="Unresolved Mention"/>
    <w:basedOn w:val="DefaultParagraphFont"/>
    <w:uiPriority w:val="99"/>
    <w:semiHidden/>
    <w:unhideWhenUsed/>
    <w:rsid w:val="007A46EC"/>
    <w:rPr>
      <w:color w:val="605E5C"/>
      <w:shd w:val="clear" w:color="auto" w:fill="E1DFDD"/>
    </w:rPr>
  </w:style>
  <w:style w:type="character" w:styleId="FollowedHyperlink">
    <w:name w:val="FollowedHyperlink"/>
    <w:basedOn w:val="DefaultParagraphFont"/>
    <w:uiPriority w:val="99"/>
    <w:semiHidden/>
    <w:unhideWhenUsed/>
    <w:rsid w:val="00FF33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00058">
      <w:bodyDiv w:val="1"/>
      <w:marLeft w:val="0"/>
      <w:marRight w:val="0"/>
      <w:marTop w:val="0"/>
      <w:marBottom w:val="0"/>
      <w:divBdr>
        <w:top w:val="none" w:sz="0" w:space="0" w:color="auto"/>
        <w:left w:val="none" w:sz="0" w:space="0" w:color="auto"/>
        <w:bottom w:val="none" w:sz="0" w:space="0" w:color="auto"/>
        <w:right w:val="none" w:sz="0" w:space="0" w:color="auto"/>
      </w:divBdr>
      <w:divsChild>
        <w:div w:id="570579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839D5-020C-4FF1-9645-FD8C37EBE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4197</Words>
  <Characters>23928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2023-12-06T16:07:00Z</dcterms:created>
  <dcterms:modified xsi:type="dcterms:W3CDTF">2023-12-06T16:07:00Z</dcterms:modified>
</cp:coreProperties>
</file>