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87347D7">
      <w:pPr>
        <w:rPr>
          <w:rFonts w:hint="eastAsia"/>
          <w:b/>
          <w:bCs/>
          <w:sz w:val="30"/>
          <w:szCs w:val="30"/>
        </w:rPr>
      </w:pPr>
      <w:r>
        <w:rPr>
          <w:rFonts w:hint="eastAsia"/>
          <w:b/>
          <w:bCs/>
          <w:sz w:val="30"/>
          <w:szCs w:val="30"/>
        </w:rPr>
        <w:t>Virtual Existentialism: A Study on Cognitive Reconstruction of Death Perception through Gothic VR Game Design</w:t>
      </w:r>
    </w:p>
    <w:p w14:paraId="10713C82">
      <w:pPr>
        <w:rPr>
          <w:rFonts w:hint="eastAsia"/>
        </w:rPr>
      </w:pPr>
    </w:p>
    <w:p w14:paraId="78E53BF3">
      <w:pPr>
        <w:numPr>
          <w:ilvl w:val="0"/>
          <w:numId w:val="1"/>
        </w:numPr>
        <w:rPr>
          <w:rFonts w:hint="eastAsia"/>
          <w:b/>
          <w:bCs/>
          <w:sz w:val="28"/>
          <w:szCs w:val="28"/>
          <w:lang w:val="en-US" w:eastAsia="zh-CN"/>
        </w:rPr>
      </w:pPr>
      <w:r>
        <w:rPr>
          <w:rFonts w:hint="eastAsia"/>
          <w:b/>
          <w:bCs/>
          <w:sz w:val="28"/>
          <w:szCs w:val="28"/>
          <w:lang w:val="en-US" w:eastAsia="zh-CN"/>
        </w:rPr>
        <w:t>Abstract</w:t>
      </w:r>
    </w:p>
    <w:p w14:paraId="1662EC8E">
      <w:pPr>
        <w:numPr>
          <w:ilvl w:val="0"/>
          <w:numId w:val="0"/>
        </w:numPr>
        <w:rPr>
          <w:rFonts w:hint="eastAsia"/>
          <w:lang w:val="en-US" w:eastAsia="zh-CN"/>
        </w:rPr>
      </w:pPr>
      <w:r>
        <w:rPr>
          <w:rFonts w:hint="eastAsia"/>
        </w:rPr>
        <w:t>Death is the oldest and unavoidable ultimate proposition of life. In real life, death is often an uncomfortable topic that people prefer to avoid discussing. From a biological perspective, death signifies the complete collapse of a life system, where cellular energy metabolism ceases, and modern medicine defines death as the irreversible loss of brain function. Different cultures and religions have varying interpretations of death. In Christianity, original sin serves as a framework for redemption, where death is a threshold to eternal life. Buddhism teaches that death is a node in the cycle of life and death, where karma dictates the transformation, and our ultimate meaning lies in breaking free from reincarnation (nirvana). Throughout human cognition, death remains shrouded in mystery. Thus, how should we view death? The existential philosopher Heidegger proposed the idea of "being-toward-death," revealing the possibility of humans gaining the authenticity of life when facing the anxiety of death</w:t>
      </w:r>
      <w:r>
        <w:rPr>
          <w:rFonts w:hint="eastAsia"/>
          <w:lang w:val="en-US" w:eastAsia="zh-CN"/>
        </w:rPr>
        <w:t>(Heidegger, M. (2010)</w:t>
      </w:r>
      <w:r>
        <w:rPr>
          <w:rFonts w:hint="eastAsia"/>
        </w:rPr>
        <w:t>. In studies on Near-Death Experiences (NDEs) and the experiences of death (YDEs), we conclude that experiencing death can alleviate people's anxiety about it</w:t>
      </w:r>
      <w:r>
        <w:rPr>
          <w:rFonts w:hint="default" w:cs="Arial" w:asciiTheme="minorAscii" w:hAnsiTheme="minorAscii"/>
          <w:sz w:val="21"/>
          <w:szCs w:val="21"/>
          <w:lang w:eastAsia="zh-CN"/>
        </w:rPr>
        <w:t>（</w:t>
      </w:r>
      <w:r>
        <w:rPr>
          <w:rFonts w:hint="default" w:eastAsia="Helvetica" w:cs="Arial" w:asciiTheme="minorAscii" w:hAnsiTheme="minorAscii"/>
          <w:i w:val="0"/>
          <w:iCs w:val="0"/>
          <w:caps w:val="0"/>
          <w:color w:val="3A3A3A"/>
          <w:spacing w:val="0"/>
          <w:sz w:val="21"/>
          <w:szCs w:val="21"/>
          <w:shd w:val="clear" w:fill="FFFFFF"/>
        </w:rPr>
        <w:t>Glowacki, D. R. (2024)</w:t>
      </w:r>
      <w:r>
        <w:rPr>
          <w:rFonts w:hint="eastAsia"/>
          <w:sz w:val="21"/>
          <w:szCs w:val="21"/>
        </w:rPr>
        <w:t>.</w:t>
      </w:r>
      <w:r>
        <w:rPr>
          <w:rFonts w:hint="eastAsia"/>
        </w:rPr>
        <w:t xml:space="preserve"> Terror Management Theory (TMT) informs us that awareness of the inevitability of death triggers existential anxiety, but through "controllable death" in virtual contexts, we can stimulate human psychological defense mechanisms to guard against death anxiety</w:t>
      </w:r>
      <w:r>
        <w:rPr>
          <w:rFonts w:hint="eastAsia"/>
          <w:lang w:eastAsia="zh-CN"/>
        </w:rPr>
        <w:t>（</w:t>
      </w:r>
      <w:r>
        <w:rPr>
          <w:rFonts w:hint="eastAsia"/>
          <w:lang w:val="en-US" w:eastAsia="zh-CN"/>
        </w:rPr>
        <w:t>urke, B. L., Martens, A., &amp; Faucher, E. H. 2010)</w:t>
      </w:r>
      <w:r>
        <w:rPr>
          <w:rFonts w:hint="eastAsia"/>
          <w:lang w:eastAsia="zh-CN"/>
        </w:rPr>
        <w:t>）</w:t>
      </w:r>
      <w:r>
        <w:rPr>
          <w:rFonts w:hint="eastAsia"/>
        </w:rPr>
        <w:t>. This paper aims to employ phenomenological hermeneutical deep mapping and immersive Gothic Virtual Reality (VR) to explore death and near-death experiences, creating a "virtual testing ground" for existentialism in the digital age. By extending the evolution of posthuman Gothic in the digital era, we seek to confront the pain and loss that death brings in the real world, reduce death-related anxiety</w:t>
      </w:r>
      <w:r>
        <w:rPr>
          <w:rFonts w:hint="eastAsia"/>
          <w:lang w:val="en-US" w:eastAsia="zh-CN"/>
        </w:rPr>
        <w:t>.</w:t>
      </w:r>
    </w:p>
    <w:p w14:paraId="512B867C">
      <w:pPr>
        <w:rPr>
          <w:rFonts w:hint="eastAsia"/>
          <w:lang w:val="en-US" w:eastAsia="zh-CN"/>
        </w:rPr>
      </w:pPr>
    </w:p>
    <w:p w14:paraId="31BB3D16">
      <w:pPr>
        <w:rPr>
          <w:rFonts w:hint="eastAsia"/>
          <w:b/>
          <w:bCs/>
          <w:sz w:val="28"/>
          <w:szCs w:val="28"/>
        </w:rPr>
      </w:pPr>
      <w:r>
        <w:rPr>
          <w:rFonts w:hint="eastAsia"/>
          <w:b/>
          <w:bCs/>
          <w:sz w:val="28"/>
          <w:szCs w:val="28"/>
          <w:lang w:val="en-US" w:eastAsia="zh-CN"/>
        </w:rPr>
        <w:t>2</w:t>
      </w:r>
      <w:r>
        <w:rPr>
          <w:rFonts w:hint="eastAsia"/>
          <w:b/>
          <w:bCs/>
          <w:sz w:val="28"/>
          <w:szCs w:val="28"/>
        </w:rPr>
        <w:t>. Introduction</w:t>
      </w:r>
    </w:p>
    <w:p w14:paraId="0908CDC3">
      <w:pPr>
        <w:rPr>
          <w:rFonts w:hint="eastAsia"/>
          <w:b/>
          <w:bCs/>
          <w:lang w:val="en-US" w:eastAsia="zh-CN"/>
        </w:rPr>
      </w:pPr>
    </w:p>
    <w:p w14:paraId="5196EA2D">
      <w:pPr>
        <w:numPr>
          <w:ilvl w:val="0"/>
          <w:numId w:val="0"/>
        </w:numPr>
        <w:ind w:leftChars="0"/>
        <w:rPr>
          <w:rFonts w:hint="eastAsia"/>
          <w:lang w:val="en-US" w:eastAsia="zh-CN"/>
        </w:rPr>
      </w:pPr>
      <w:r>
        <w:rPr>
          <w:rFonts w:hint="eastAsia"/>
          <w:lang w:val="en-US" w:eastAsia="zh-CN"/>
        </w:rPr>
        <w:t>Death is an obvious yet disturbing part of the human condition and the oldest ultimate proposition of life. However, the word "death" is the topic that is least wanted to be mentioned and often avoided in reality. Since the birth of humanity, death has accompanied humanity. In the long course of human history, war and epidemics have been the greatest media that trigger death. From the 300 warriors of the ancient Greek Hot Spring Pass to the tombs of the nameless heroes in modern times, from the famous Black Death (1347-1353) in Europe to the current COVID-19 pandemic, life is like an ant in the brilliant starry river that can be easily broken by a blow. Even if one lives an ordinary life, they only have a lifespan of about a hundred years. The significance of death in the long river of history seems as insignificant as a feather. However, the 300 Spartan warriors, led by Leonidas, held the Thermopylae Pass to the death. The core of their defense was not merely military defense, but rather the practice of the Greek "aretē" (excellence) ethics through selective death. The collective death of the warriors was actually the exchange of individual life values for the continuation of the city-state's vitality. Establish a trinity value system of life, honor and death in Western civilization; The Black Death claimed over 20 million lives in three years, and the tombstones were forced to be simplified to the collective inscription "1348". This depersonalization of death directly impacted the Christian interpretation system of "immortality of the soul" in the Middle Ages. Boccaccio's depiction of the doomsday scene of Florence in "The Decameron" also explained the fragility of the narrative of the religious system. Subsequently, the sharp decline in population led to a sharp increase in labor costs in Britain. This transformation recognized the economic value of the lower-class workers. It laid the groundwork for the Renaissance, which was later proposed by Petrarch that man is the measure of all things. At the same time, the "Nameless Medical Monument" established by various countries during the COVID-19 pandemic marked the shift of heroic narratives from war gods to angels in white. Essentially, it abstracted death as an object of "symbol exchange". These changes in the meaning of death are essentially civilization's questioning: What is a life worth living? What on earth can death bring? How should we seek the meaning of existence in such a short period of time?</w:t>
      </w:r>
    </w:p>
    <w:p w14:paraId="76176E77">
      <w:pPr>
        <w:numPr>
          <w:ilvl w:val="0"/>
          <w:numId w:val="0"/>
        </w:numPr>
        <w:ind w:leftChars="0"/>
        <w:rPr>
          <w:rFonts w:hint="eastAsia"/>
          <w:lang w:val="en-US" w:eastAsia="zh-CN"/>
        </w:rPr>
      </w:pPr>
    </w:p>
    <w:p w14:paraId="6D62C700">
      <w:pPr>
        <w:numPr>
          <w:ilvl w:val="0"/>
          <w:numId w:val="0"/>
        </w:numPr>
        <w:ind w:leftChars="0"/>
        <w:rPr>
          <w:rFonts w:hint="eastAsia"/>
          <w:lang w:val="en-US" w:eastAsia="zh-CN"/>
        </w:rPr>
      </w:pPr>
      <w:r>
        <w:rPr>
          <w:rFonts w:hint="eastAsia"/>
          <w:lang w:val="en-US" w:eastAsia="zh-CN"/>
        </w:rPr>
        <w:t>Death is not the end but the ultimate possibility of existence. Realizing the "authenticity" of death can enable people to break away from the mundane and confront the finiteness of life(Heidegger, M. (2010). This is the viewpoint of "living towards death" proposed by the existentialist phenomenologist Heidegger. This theory does not merely explore death itself, but rather reveals the fundamental characteristics of human existence through death, attempting to answer: How people face the finiteness of life and thus live a real and meaningful life coincides with my research direction. Most people in society live in an ordinary state and usually use cumbersome affairs to cover up their anxiety about death, such as study, work, socializing, etc., forming a collective escape. The most typical example is the mentality of onlookers when the media reports catastrophic news: Death is someone else's business. What does it have to do with me? But when people suddenly realize the inevitability of death, they will feel a kind of "fear" without a specific object.</w:t>
      </w:r>
    </w:p>
    <w:p w14:paraId="63F40D99">
      <w:pPr>
        <w:numPr>
          <w:ilvl w:val="0"/>
          <w:numId w:val="0"/>
        </w:numPr>
        <w:ind w:leftChars="0"/>
        <w:rPr>
          <w:rFonts w:hint="eastAsia"/>
          <w:lang w:val="en-US" w:eastAsia="zh-CN"/>
        </w:rPr>
      </w:pPr>
      <w:r>
        <w:rPr>
          <w:rFonts w:hint="eastAsia"/>
          <w:lang w:val="en-US" w:eastAsia="zh-CN"/>
        </w:rPr>
        <w:t>It is also a kind of "fear", which can break the numbness of our daily life and thus trigger inquiries about the origin of life: "Why do I live?" and "What is a life worth living?" Once we awaken to a certain cognition, we will no longer go with the flow. Instead, we will proactively plan for ourselves, choose to be true to ourselves rather than the expectations of society or others, and take responsibility for our limited lives. Especially in the modern popular culture of "lying flat" and "involution", we should clearly recognize that true freedom is not about avoiding death, but about living clearly in the understanding of finiteness. Just as Nietzsche said, "Live a little more dangerously!" Only when we stop evading the shadow of death can we truly stand under the sunlight.</w:t>
      </w:r>
    </w:p>
    <w:p w14:paraId="559722A8">
      <w:pPr>
        <w:numPr>
          <w:ilvl w:val="0"/>
          <w:numId w:val="2"/>
        </w:numPr>
        <w:ind w:leftChars="0"/>
        <w:rPr>
          <w:rFonts w:hint="eastAsia"/>
          <w:b/>
          <w:bCs/>
          <w:sz w:val="28"/>
          <w:szCs w:val="28"/>
          <w:lang w:val="en-US" w:eastAsia="zh-CN"/>
        </w:rPr>
      </w:pPr>
      <w:r>
        <w:rPr>
          <w:rFonts w:hint="eastAsia"/>
          <w:b/>
          <w:bCs/>
          <w:sz w:val="28"/>
          <w:szCs w:val="28"/>
          <w:lang w:val="en-US" w:eastAsia="zh-CN"/>
        </w:rPr>
        <w:t>Literature review</w:t>
      </w:r>
    </w:p>
    <w:p w14:paraId="1DD12074">
      <w:pPr>
        <w:rPr>
          <w:rFonts w:hint="eastAsia"/>
          <w:lang w:val="en-US" w:eastAsia="zh-CN"/>
        </w:rPr>
      </w:pPr>
    </w:p>
    <w:p w14:paraId="59B3CD37">
      <w:pPr>
        <w:rPr>
          <w:rFonts w:hint="eastAsia"/>
          <w:sz w:val="21"/>
          <w:szCs w:val="21"/>
          <w:lang w:val="en-US" w:eastAsia="zh-CN"/>
        </w:rPr>
      </w:pPr>
      <w:r>
        <w:rPr>
          <w:rFonts w:hint="eastAsia"/>
          <w:sz w:val="21"/>
          <w:szCs w:val="21"/>
          <w:lang w:val="en-US" w:eastAsia="zh-CN"/>
        </w:rPr>
        <w:t>Death is a topic that is often discussed in games. Players can experience this process through virtual characters. A typical example is Dark Souls 3 and Bloodborn. In such games, the setting of undead is widespread. The character controlled by the player receives a curse and cannot truly die, similar to the setting of vampires in Goths. “They become immortal and thus cannot be redeemed by death. At the same time, it corresponds to Heidegger's state of being "toward death" - only by accepting immortality and constantly fighting can the curse cycle be broken（</w:t>
      </w:r>
      <w:r>
        <w:rPr>
          <w:rFonts w:hint="default" w:ascii="Arial" w:hAnsi="Arial" w:eastAsia="Helvetica" w:cs="Arial"/>
          <w:i w:val="0"/>
          <w:iCs w:val="0"/>
          <w:caps w:val="0"/>
          <w:color w:val="3A3A3A"/>
          <w:spacing w:val="0"/>
          <w:sz w:val="21"/>
          <w:szCs w:val="21"/>
          <w:shd w:val="clear" w:fill="FFFFFF"/>
        </w:rPr>
        <w:t>Kirkland, E. (2012)</w:t>
      </w:r>
      <w:r>
        <w:rPr>
          <w:rFonts w:hint="eastAsia"/>
          <w:sz w:val="21"/>
          <w:szCs w:val="21"/>
          <w:lang w:val="en-US" w:eastAsia="zh-CN"/>
        </w:rPr>
        <w:t>. The influence of these events will affect players' thoughts for a long time, thereby guiding players to conduct "post-death tributes" in the game and to a certain extent, resonating with the pain and loss brought by death in the real world. Moreover, the extensive use of Gothic visual styles in Dark Souls (such as decaying churches, empty staircases, and the setting of undead monsters) also enhances the immersion and atmosphere of the virtual space. So my idea is to build a Gotty-flavored game world through VR virtual reality technology. Players will have an immersive experience through narrative stories. During this process, they will encounter various characters and events, and the "irreversible time mechanism" (such as the butterfly effect in Life Is Strange) will be added, thereby allowing players to experience the different consequences brought about by different choices. Once dead, one will start from zero, set out from the virtual and return to reality, and ponder the essence of existence. I want to reconstruct the theory of death cognition through Gothic game aesthetics, transforming Heidegger's philosophical propositions into actionable experiences. The continuous death and repetition in the game are essentially practicing the existence mode of "living towards death" in the digital domain. This proves that video games are not only entertainment media, but also the testing ground for modern people to explore the meaning of life（</w:t>
      </w:r>
      <w:r>
        <w:rPr>
          <w:rFonts w:hint="default" w:ascii="Arial" w:hAnsi="Arial" w:cs="Arial"/>
          <w:i w:val="0"/>
          <w:iCs w:val="0"/>
          <w:caps w:val="0"/>
          <w:color w:val="000000"/>
          <w:spacing w:val="0"/>
          <w:sz w:val="21"/>
          <w:szCs w:val="21"/>
          <w:shd w:val="clear" w:fill="FFFFFF"/>
          <w:vertAlign w:val="baseline"/>
        </w:rPr>
        <w:t>Song, Xuhong. 2023</w:t>
      </w:r>
      <w:r>
        <w:rPr>
          <w:rFonts w:hint="eastAsia"/>
          <w:sz w:val="21"/>
          <w:szCs w:val="21"/>
          <w:lang w:val="en-US" w:eastAsia="zh-CN"/>
        </w:rPr>
        <w:t>） - here, Death is not a hint of the end of the game, but an invitation to re-understand existence</w:t>
      </w:r>
    </w:p>
    <w:p w14:paraId="6C843AF0">
      <w:pPr>
        <w:rPr>
          <w:rFonts w:hint="eastAsia"/>
          <w:lang w:val="en-US" w:eastAsia="zh-CN"/>
        </w:rPr>
      </w:pPr>
    </w:p>
    <w:p w14:paraId="0EF5CE66">
      <w:pPr>
        <w:rPr>
          <w:rFonts w:hint="eastAsia"/>
          <w:sz w:val="21"/>
          <w:szCs w:val="21"/>
          <w:lang w:val="en-US" w:eastAsia="zh-CN"/>
        </w:rPr>
      </w:pPr>
      <w:r>
        <w:rPr>
          <w:rFonts w:hint="eastAsia"/>
          <w:sz w:val="21"/>
          <w:szCs w:val="21"/>
          <w:lang w:val="en-US" w:eastAsia="zh-CN"/>
        </w:rPr>
        <w:t xml:space="preserve">Literature, in layman's terms, is a way and means of expressing the objective world and subjective understanding through words or spoken language as a medium .When literature is endowed with thoughts and emotions, it acquires the beauty of art. The greatest core of literature lies in the ability to express the author's core ideas through the form of words. The artistry of language is the core of literature. Literary works often reflect reality through fictional techniques. It is both an imitation of the objective world and a creation of the subjective world, such as "Frankenstein" or, "The Modern Prometheus" is a Gothic novel created by Mary Shelley in 1818. Through the interweaving of virtuality and reality, it profoundly discusses eternal propositions such as science, ethics, and the essence of human nature. The work itself reflects the author's own attitude, and it reminds us: The true terror is not an alien monster, but the unrestrained arrogance and indifference in human nature. Youdaoplaceholder0 (Fred botting) provides a clear account of the origin and evolution of Gothic history, from Horus Vopole 's Fort Otrantoburg to Ann Rad Clifford' s analysis of the characteristics of early Gothic literature, with "fear" as the core and the beauty of fear as the core. “The past with which gothic writing engages and which it constructs is shaped by the changing times in which it is com  posed:  the defifinition of Enlightenment and reason, it seems,requires carefully constructed antitheses,  the obscurity of fifigures of feudal darkness and barbarism providing the negative against which it can assume positive  ( (Fred botting,2008) An important point in this passage is that the definition of goth has changed over time. In the past, Goth was often perceived as a visual symbol of fear, but over time, it has gradually shown positive values. This also played a guiding role in my subsequent research, and the content related to cyber Gothic was discussed in Chapter Five. This has triggered a reflection on me, proposing cutting-edge research on the interweaving phenomenon of traditional Gothic literature and contemporary digital technology. For instance, using vr technology to create a Gothic cyber space (in the cloud, on social platforms, or in the metaverse) with traditional Gothic styles (such as castles or ruins) to enhance people's immersive experience, allowing them to experience Heideborg's "living towards death", and using digital media to stimulate human inner emotions, I think it is a very interesting thing. Heidegger's "Being and Time" also mentions the meaning of "being" (Sein), and through the analysis of "Daussein" (that is, human being), he tells us about the essence of human time. Among them, two very important words are "Verfallen" and "Angst".(Heidegger, M. (2010)) In most daily lives, falling into the state of an ordinary person means being regulated by society and defined by others. The simplest example is to work step by step and avoid thinking about death. Only when people confront "nothingness" (emptiness) directly and break away from the abyss can they realize the weight of their own freedom. This is also a kind of "fear", which is essentially anxiety about death. From my point of view, the reason why people feel anxious about death is that death itself is also an illusory concept. Just like a newborn baby's fear of the entire real world, people know nothing about the world and state after death. Death is like the last major question on the test paper and also the ultimate proposition in human life. Only by resolving doubts can we better escape from the six realms of rebirth </w:t>
      </w:r>
      <w:r>
        <w:rPr>
          <w:rFonts w:hint="default" w:asciiTheme="minorAscii" w:hAnsiTheme="minorAscii"/>
          <w:sz w:val="21"/>
          <w:szCs w:val="21"/>
          <w:lang w:val="en-US" w:eastAsia="zh-CN"/>
        </w:rPr>
        <w:t>（</w:t>
      </w:r>
      <w:r>
        <w:rPr>
          <w:rFonts w:hint="default" w:eastAsia="Helvetica" w:cs="Arial" w:asciiTheme="minorAscii" w:hAnsiTheme="minorAscii"/>
          <w:i w:val="0"/>
          <w:iCs w:val="0"/>
          <w:caps w:val="0"/>
          <w:color w:val="3A3A3A"/>
          <w:spacing w:val="0"/>
          <w:sz w:val="21"/>
          <w:szCs w:val="21"/>
          <w:shd w:val="clear" w:fill="FFFFFF"/>
        </w:rPr>
        <w:t>Harvey, P. 2012)</w:t>
      </w:r>
      <w:r>
        <w:rPr>
          <w:rFonts w:hint="eastAsia"/>
          <w:sz w:val="21"/>
          <w:szCs w:val="21"/>
          <w:lang w:val="en-US" w:eastAsia="zh-CN"/>
        </w:rPr>
        <w:t>. Only by truly experiencing it can we feel the weight brought by nothingness.</w:t>
      </w:r>
    </w:p>
    <w:p w14:paraId="685B88E5">
      <w:pPr>
        <w:rPr>
          <w:rFonts w:hint="eastAsia"/>
          <w:lang w:val="en-US" w:eastAsia="zh-CN"/>
        </w:rPr>
      </w:pPr>
    </w:p>
    <w:p w14:paraId="0CA3EF8C">
      <w:pPr>
        <w:rPr>
          <w:rFonts w:hint="eastAsia"/>
          <w:sz w:val="21"/>
          <w:szCs w:val="21"/>
          <w:lang w:val="en-US" w:eastAsia="zh-CN"/>
        </w:rPr>
      </w:pPr>
      <w:r>
        <w:rPr>
          <w:rFonts w:hint="eastAsia"/>
          <w:sz w:val="21"/>
          <w:szCs w:val="21"/>
          <w:lang w:val="en-US" w:eastAsia="zh-CN"/>
        </w:rPr>
        <w:t>Regarding phenomena related to death, near-death experiences (NDEs) and hallucinogenic drug experiences (YDEs) can expose people to extraordinary sensations, perceptions and insights beyond daily phenomenology. In recent related studies, a large number of research results have shown that NDEs and YDEs demonstrate significant abilities to reduce people's anxiety about death（</w:t>
      </w:r>
      <w:r>
        <w:rPr>
          <w:rFonts w:hint="eastAsia" w:ascii="Helvetica" w:hAnsi="Helvetica" w:eastAsia="宋体" w:cs="Helvetica"/>
          <w:i w:val="0"/>
          <w:iCs w:val="0"/>
          <w:caps w:val="0"/>
          <w:color w:val="3A3A3A"/>
          <w:spacing w:val="0"/>
          <w:sz w:val="21"/>
          <w:szCs w:val="21"/>
          <w:shd w:val="clear" w:fill="FFFFFF"/>
          <w:lang w:val="en-US" w:eastAsia="zh-CN"/>
        </w:rPr>
        <w:t>.</w:t>
      </w:r>
      <w:r>
        <w:rPr>
          <w:rFonts w:ascii="Helvetica" w:hAnsi="Helvetica" w:eastAsia="Helvetica" w:cs="Helvetica"/>
          <w:i w:val="0"/>
          <w:iCs w:val="0"/>
          <w:caps w:val="0"/>
          <w:color w:val="3A3A3A"/>
          <w:spacing w:val="0"/>
          <w:sz w:val="21"/>
          <w:szCs w:val="21"/>
          <w:shd w:val="clear" w:fill="FFFFFF"/>
        </w:rPr>
        <w:t>Glowacki, D. R.(2024)</w:t>
      </w:r>
      <w:r>
        <w:rPr>
          <w:rFonts w:hint="eastAsia"/>
          <w:sz w:val="21"/>
          <w:szCs w:val="21"/>
          <w:lang w:val="en-US" w:eastAsia="zh-CN"/>
        </w:rPr>
        <w:t>）. However, in related studies such as OBE and NDE, they can only be conducted after the fact because we cannot obtain relevant data by designing an experimental group, that is, the relevant experience of rebirth after death. Therefore, a potential method is proposed here to use immersive virtual reality (VR) to study death and near-death experiences. Among them, the design of personal virtual reality experiences (VREs) in the "digital beauty" aesthetics can produce psychological measurement results comparable to those of YDEs. For instance, it is mentioned in the literature that vr virtual reality technology is used as an exposure therapy to treat phobias and PTSD, which enables people to re-examine the scenes they have suffered from fear and trauma and confront their inner fears directly. In addition to the reports of near-death experiences, a large number of studies have shown that human death awareness can affect human attitudes and behaviors. The core theoretical construct is the Terror Management Theory. The essence of this theory is to explore the deep anxiety brought about by the inevitability of human death. In order to alleviate the anxiety caused by death, Human beings have developed a dual psychological defense mechanism. One is to construct a meaning system through various religious beliefs, values and ideologies, etc., in order to endow life with meaning beyond death. The second is self-esteem. One gains a sense of value through physical achievements and other means, forming symbolic immortality. In T</w:t>
      </w:r>
      <w:r>
        <w:rPr>
          <w:rFonts w:hint="default" w:asciiTheme="minorAscii" w:hAnsiTheme="minorAscii"/>
          <w:sz w:val="21"/>
          <w:szCs w:val="21"/>
          <w:lang w:val="en-US" w:eastAsia="zh-CN"/>
        </w:rPr>
        <w:t>MT（</w:t>
      </w:r>
      <w:r>
        <w:rPr>
          <w:rFonts w:hint="default" w:eastAsia="宋体" w:cs="Helvetica" w:asciiTheme="minorAscii" w:hAnsiTheme="minorAscii"/>
          <w:i w:val="0"/>
          <w:iCs w:val="0"/>
          <w:caps w:val="0"/>
          <w:color w:val="3A3A3A"/>
          <w:spacing w:val="0"/>
          <w:sz w:val="21"/>
          <w:szCs w:val="21"/>
          <w:shd w:val="clear" w:fill="FFFFFF"/>
          <w:lang w:val="en-US" w:eastAsia="zh-CN"/>
        </w:rPr>
        <w:t>.</w:t>
      </w:r>
      <w:r>
        <w:rPr>
          <w:rFonts w:hint="default" w:eastAsia="Helvetica" w:cs="Helvetica" w:asciiTheme="minorAscii" w:hAnsiTheme="minorAscii"/>
          <w:i w:val="0"/>
          <w:iCs w:val="0"/>
          <w:caps w:val="0"/>
          <w:color w:val="3A3A3A"/>
          <w:spacing w:val="0"/>
          <w:sz w:val="21"/>
          <w:szCs w:val="21"/>
          <w:shd w:val="clear" w:fill="FFFFFF"/>
        </w:rPr>
        <w:t>Greenberg, J., Solomon, S., &amp; Pyszczynski, T. 1997</w:t>
      </w:r>
      <w:r>
        <w:rPr>
          <w:rFonts w:hint="default" w:asciiTheme="minorAscii" w:hAnsiTheme="minorAscii"/>
          <w:sz w:val="21"/>
          <w:szCs w:val="21"/>
          <w:lang w:val="en-US" w:eastAsia="zh-CN"/>
        </w:rPr>
        <w:t>）</w:t>
      </w:r>
      <w:r>
        <w:rPr>
          <w:rFonts w:hint="eastAsia"/>
          <w:sz w:val="21"/>
          <w:szCs w:val="21"/>
          <w:lang w:val="en-US" w:eastAsia="zh-CN"/>
        </w:rPr>
        <w:t>, it is mentioned that through an experimental paradigm, for example, by writing short sentences about death in the text and briefly activating the awareness of death with a photo of a cemetery, the consequence of the behavior is that after the death reminder, the individual will defend their own cultural values and self-esteem more strongly (such as purchasing many luxury goods). For this reason, we can draw a fundamental view that once humans have experienced death (i.e., deep anxiety), they may strengthen their own psychological defense mechanisms, thereby being able to better understand the meaning of their own existence and better find the value of their own existence in the real world. This is also in line with my research viewpoint. Meanwhile, the development of VR technology also provides us with such possibilities. Designing a Virtual Death VR Experience, the innovative virtual reality art installation "Through the Electric Storm" designed by Sean Gladwell, aims to evoke the human experience of death. “Recognizing the inevitability of death can sometimes lead to a greater appreciation for life, potentially fostering introspection, resilience, and motivation to make the most of our limited time"（</w:t>
      </w:r>
      <w:r>
        <w:rPr>
          <w:rFonts w:ascii="Helvetica" w:hAnsi="Helvetica" w:eastAsia="Helvetica" w:cs="Helvetica"/>
          <w:i w:val="0"/>
          <w:iCs w:val="0"/>
          <w:caps w:val="0"/>
          <w:color w:val="3A3A3A"/>
          <w:spacing w:val="0"/>
          <w:sz w:val="21"/>
          <w:szCs w:val="21"/>
          <w:shd w:val="clear" w:fill="FFFFFF"/>
        </w:rPr>
        <w:t>Galvao, V. F. (2020)</w:t>
      </w:r>
      <w:r>
        <w:rPr>
          <w:rFonts w:hint="eastAsia"/>
          <w:sz w:val="21"/>
          <w:szCs w:val="21"/>
          <w:lang w:val="en-US" w:eastAsia="zh-CN"/>
        </w:rPr>
        <w:t xml:space="preserve"> is the core conclusion of the experiment. This device combines VR, sensor technology and haptic feedback to create a visually stunning and emotionally immersive experience. Participants have truly experienced the speed of life and death from simulated cardiac arrest to brain death. The most important point is that people can safely come into contact with scenes related to death in virtual reality, which can simultaneously cultivate empathy and self-reflection. And by simulating the scene of the end of life to discuss the meaning of existence, one point that we are very interested in is that when people can truly experience death and survive in another way or state, this will open up an exciting and completely different research method. Gothic aesthetics, as an artistic style, can visually reflect people's portrait of death very well. Therefore, I mainly set the overall tone of the virtual space in the Gothic style, which can better mobilize people's deeper feelings in their hearts, namely death. Especially the Silent Hill game series, its aesthetic style is gloomy and full of a terrifying atmosphere. Many aspects related to the grotesque run through these games. "Animism, which holds that inanimate objects are endowed with characteristics similar to life, is one aspect of many Silent Hill monsters and the core of the Silent Hill game." How inanimate objects view our living objects, I think, is a very interesting point. If they are endowed with characteristics similar to life, can they have the same anxiety about death as us humans? Can the meaning of existence be found? Apart from experiencing death, we also want to view from multiple dimensions and perspectives how humans define the concept of "existence". Does life equal existence? If we bring in inanimate beings, can we get rid of the anxiety of death? Whether we can understand the fundamental characteristics of human existence from the opposite perspective is worth our thinking and exploration.</w:t>
      </w:r>
    </w:p>
    <w:p w14:paraId="161116FD">
      <w:pPr>
        <w:rPr>
          <w:rFonts w:hint="eastAsia"/>
          <w:lang w:val="en-US" w:eastAsia="zh-CN"/>
        </w:rPr>
      </w:pPr>
    </w:p>
    <w:p w14:paraId="231C8314">
      <w:pPr>
        <w:rPr>
          <w:rFonts w:hint="default"/>
          <w:b/>
          <w:bCs/>
          <w:sz w:val="28"/>
          <w:szCs w:val="28"/>
          <w:lang w:val="en-US" w:eastAsia="zh-CN"/>
        </w:rPr>
      </w:pPr>
      <w:r>
        <w:rPr>
          <w:rFonts w:hint="eastAsia"/>
          <w:lang w:val="en-US" w:eastAsia="zh-CN"/>
        </w:rPr>
        <w:t>四．</w:t>
      </w:r>
      <w:r>
        <w:rPr>
          <w:rFonts w:hint="eastAsia"/>
          <w:b/>
          <w:bCs/>
          <w:sz w:val="28"/>
          <w:szCs w:val="28"/>
          <w:lang w:val="en-US" w:eastAsia="zh-CN"/>
        </w:rPr>
        <w:t>Methodology</w:t>
      </w:r>
    </w:p>
    <w:p w14:paraId="3D7BD729">
      <w:pPr>
        <w:rPr>
          <w:rFonts w:hint="eastAsia"/>
          <w:sz w:val="21"/>
          <w:szCs w:val="21"/>
          <w:lang w:val="en-US" w:eastAsia="zh-CN"/>
        </w:rPr>
      </w:pPr>
      <w:r>
        <w:rPr>
          <w:rFonts w:hint="eastAsia"/>
          <w:sz w:val="21"/>
          <w:szCs w:val="21"/>
          <w:lang w:val="en-US" w:eastAsia="zh-CN"/>
        </w:rPr>
        <w:t>In the choice of methodology and research methods, I chose qualitative research. That is, phenomenological hermeneutic deep mapping. I believe this methodology is the most suitable for my research direction because my research focuses on the subjective meaning generation process of "death cognition reconstruction" in the core issue（Van Manen, M. 2016)）. From this perspective, that is, we need to deeply understand the essence of the player's experience in Gothic VR (phenomenology), by recording the complete process of the player's experience, To deeply explore the essence of phenomena and the cultural and technological interactions behind them (hermeneutics), through qualitative research methods, more complex and dynamic meaning networks can be captured. From the perspective of the theoretical framework, because virtualism has a certain degree of intersection with philosophy, media, and even criticism, the qualitative research approach allows for the generation of theories and iterative dialogue of empirical data rather than the verification of presupposition hypotheses. Compared with other research methods, such as purely quantitative research (such as the experimental method), Although the conclusions of the research can be directly reflected in the data, it is difficult to reveal the individualized and cultural paths of "cognitive reconstruction". Therefore, there may be deviations in the research conclusions. Thus, qualitative research is superior to quantitative research in terms of adaptability. I will collect and adopt data from two aspects. Data type 1 is focus interviews. In terms of content, we will focus on players' descriptions of Gothic vr game experiences and some more subtle expressions (such as a dream that won't wake up). The phenomenological methodology tells us to directly present life experiences in the real world. According to this statement, We believe that interviews are the most direct and effective method and means. As a seasoned gamer, I think there is another important data type that can be started from game logs and behavior logs. In terms of content selection, such as the number of deaths, resurrection choices, and exploration paths, such as whether there is an autonomous trigger death mechanism, etc. The basis is to compare the game log data of the player with the player's oral account. Let's verify its authenticity. For example, whether the player who claims "not afraid of death" frequently saves the game. Of course, apart from the game experience and player feedback, we can also conduct data research on physiological factors. For instance, in terms of players' heart rate and skin conductivity, we can observe and test the horror level of players. This can provide multimodal evidence from a physiological perspective, but this is only an optional item. First, the reasons for the increase in heart rate are diverse. It might be due to the novelty of electronic devices (VR) or the tension it brings, or it would increase the difficulty of the test, especially for some players who may have adverse reactions to heart rate devices. However, this proposal is still a very worthy method to adopt, so it is placed as an option. In terms of sampling methods, our idea is purposeful sampling and maximum difference sampling. Firstly, in purposeful sampling, a player who has completed at least one Gothic VR game (such as "Layers of Fear VR") needs to be selected. The purpose is that the player needs to have a deep experience of the death mechanism in order to obtain accurate data and the maximum difference target. The age range of the population is 18-45 years old, stratified by gender and cultural background (Chinese and Western), and the reconstruction of death cognition is captured from diversity and multiple aspects. The sample size follows the saturation principle of qualitative research, ranging from 15 to 20 people, until no new topics emerge. This ensures both the density of the data and the scalability of the test，Small samples limit external validity an</w:t>
      </w:r>
      <w:r>
        <w:rPr>
          <w:rFonts w:hint="eastAsia"/>
          <w:sz w:val="21"/>
          <w:szCs w:val="21"/>
          <w:lang w:val="en-US" w:eastAsia="zh-CN"/>
        </w:rPr>
        <w:t>d need to claim theoretical generation positioning (Flyvbjerg, 2006).</w:t>
      </w:r>
    </w:p>
    <w:p w14:paraId="605D8842">
      <w:pPr>
        <w:rPr>
          <w:rFonts w:hint="eastAsia"/>
          <w:sz w:val="21"/>
          <w:szCs w:val="21"/>
          <w:lang w:val="en-US" w:eastAsia="zh-CN"/>
        </w:rPr>
      </w:pPr>
    </w:p>
    <w:p w14:paraId="56A6F95E">
      <w:pPr>
        <w:rPr>
          <w:rFonts w:hint="eastAsia"/>
          <w:sz w:val="21"/>
          <w:szCs w:val="21"/>
          <w:lang w:val="en-US" w:eastAsia="zh-CN"/>
        </w:rPr>
      </w:pPr>
      <w:r>
        <w:rPr>
          <w:rFonts w:hint="eastAsia"/>
          <w:sz w:val="21"/>
          <w:szCs w:val="21"/>
          <w:lang w:val="en-US" w:eastAsia="zh-CN"/>
        </w:rPr>
        <w:t>Death is a heavy topic. In research, some ethical issues are often involved. From a visual perspective, Gothic aesthetics often carry a terrifying and dark atmosphere, which can cause psychological discomfort to the participants. Especially for those with some stress responses and mental illnesses, during the discussion of death, it may trigger anxiety or traumatic memories among the participants. This brings about physical and mental discomfort. To address such issues, we need to implement some targeted coping strategies. During the pre-research stage, individuals with a history of severe mental illness should be excluded. After the experience, interviews should be allowed to pause at any time, and a list of psychological counseling should be provided. These are coping measures for the psychological aspect. In the game, the behavioral data of the game often exposes the identity information of the participants and some sensitive data. Therefore, to address this issue, all participating users are first anonymized, such as using code names instead of real names. In terms of data storage, the data hard disk is encrypted, and partial destruction is carried out after research, especially when it comes to some sensitive information. At the same time, we will also safeguard the rights and interests of the participants. Before participating in the experience, participants will sign an informed consent form to ensure that they understand the research purpose and data usage. They will also sign a bilingual consent form, clearly stating that they can withdraw at any time without affecting their rights and interests. In terms of data analysis methods, in-depth analysis of phenomenology and hermeneutics is adopted. In terms of tool selection, NVivo 12 is used. Form an open code, cluster into themes such as the threshold value of participants' perception of terror, the embodiment of technology as a medium, etc., and ultimately extract the essence. Through the extracted phenomena, place them in Gothic aesthetics from the perspective of hermeneutics, and repeatedly deliberate and interpret them in VR virtual reality technology and existentialist theory to construct a complete network of meaning. As a student of design studies, my idea is to depict the scene through hand-drawn views and make it visually related, which can more vividly and directly reflect its essence. In addition to some of the methodologies I mentioned above, there are still many alternative methodologies at present, such as narrative research, which reveals human experience through the content, content and meaning of stories, especially playing a very important role in the cognitive reshaping of individuals. My research reconstructs the cognition of death through virtual death experiences. Essentially, it is also a process of meaning generation and self-identity transformation. Taking the player narrative of "Layers of Fear VR" as an example, "At first, every death suffocated me (a crisis)..." Later, I discovered that only by "dying" can one see the full picture (progress) of a painting... Now, I even take the initiative to die, as if completing an artistic ritual (solving). Through the player's active death in the narrative, it implies that death is the last piece of the puzzle in the painting. This behavior is used to practice Heidegger's "living towards death" from a digital perspective. The shortcoming lies in that to a certain extent, it relies on the narrative ability of the participants, and under the influence of Gothic cultural scripts, it will to a certain extent affect the judgment of the participants. Excessive subjective judgment will to a certain extent weaken the impact brought by technical means (vr). Ethnography also has adaptability in the construction of death culture, such as how to reconstruct the perception of death through cultural practices (such as some death rituals, symbols, etc.) in VR games. However, its drawbacks are also obvious. The research direction of ethnography is the study of group cu</w:t>
      </w:r>
      <w:r>
        <w:rPr>
          <w:rFonts w:hint="eastAsia"/>
          <w:sz w:val="21"/>
          <w:szCs w:val="21"/>
          <w:lang w:val="en-US" w:eastAsia="zh-CN"/>
        </w:rPr>
        <w:t>lture, and many details are often overlooked in individual experiences and feelings. Therefore, phenomenological hermeneutics is a method that can meet both the emphasis on individual experience and the critique of technological culture. Through this qualitative research, it perfectly fits the research question of "cognitive reconstruction of death".</w:t>
      </w:r>
    </w:p>
    <w:p w14:paraId="1D79FE1B">
      <w:pPr>
        <w:rPr>
          <w:rFonts w:hint="eastAsia"/>
          <w:sz w:val="21"/>
          <w:szCs w:val="21"/>
          <w:lang w:val="en-US" w:eastAsia="zh-CN"/>
        </w:rPr>
      </w:pPr>
    </w:p>
    <w:p w14:paraId="6405A3EC">
      <w:pPr>
        <w:rPr>
          <w:rFonts w:hint="eastAsia"/>
          <w:sz w:val="21"/>
          <w:szCs w:val="21"/>
          <w:lang w:val="en-US" w:eastAsia="zh-CN"/>
        </w:rPr>
      </w:pPr>
      <w:r>
        <w:rPr>
          <w:rFonts w:hint="eastAsia"/>
          <w:sz w:val="21"/>
          <w:szCs w:val="21"/>
          <w:lang w:val="en-US" w:eastAsia="zh-CN"/>
        </w:rPr>
        <w:t>Death is a heavy topic. In research, some ethical issues are often involved. From a visual perspective, Gothic aesthetics often carry a terrifying and dark atmosphere, which can cause psychological discomfort to the participants. Especially for those with some stress responses and mental illnesses, during the discussion of death, it may trigger anxiety or traumatic memories among the participants. This brings about physical and mental discomfort. To address such issues, we need to implement some targeted coping strategies. During the pre-research stage, individuals with a history of severe mental illness should be excluded. After the experience, interviews should be allowed to pause at any time, and a list of psychological counseling should be provided. These are coping measures for the psychological aspect. In the game, the behavioral data of the game often exposes the identity information of the participants and some sensitive data. Therefore, to address this issue, all participating users are first anonymized, such as using code names instead of real names. In terms of data storage, the data hard disk is encrypted, and partial destruction is carried out after research, especially when it comes to some sensitive information. At the same time, we will also safeguard the rights and interests of the participants. Before participating in the experience, participants will sign an informed consent form to ensure that they understand the research purpose and data usage. They will also sign a bilingual consent form, clearly stating that they can withdraw at any time without affecting their rights and interests. In terms of data analysis methods, in-depth analysis of phenomenology and hermeneutics is adopted. In terms of tool selection, NVivo 12 is used. Form an open code, cluster into themes such as the threshold value of participants' perception of terror, the embodiment of technology as a medium, etc., and ultimately extract the essence. Through the extracted phenomena, place them in Gothic aesthetics from the perspective of hermeneutics, and repeatedly deliberate and interpret them in VR virtual reality technology and existentialist theory to construct a complete network of meaning. As a student of design studies, my idea is to depict the scene through hand-drawn views and make it visually related, which can more vividly and directly reflect its essence. In addition to some of the methodologies I mentioned above, there are still many alternative methodologies at present, such as narrative research, which reveals human experience through the content, content and meaning of stories, especially playing a very important role in the cognitive reshaping of individuals. My research reconstructs the cognition of death through virtual death experiences. Essentially, it is also a process of meaning generation and self-identity transformation. Taking the player narrative of "Layers of Fear VR" as an example, "At first, every death suffocated me (a crisis)..." Later, I discovered that only by "dying" can one see the full picture (progress) of a painting... Now, I even take the initiative to die, as if completing an artistic ritual (solving). Through the player's active death in the narrative, it implies that death is the last piece of the puzzle in the painting. This behavior is used to practice Heidegger's "living towards death" from a digital perspective. The shortcoming lies in that to a certain extent, it relies on the narrative ability of the participants, and under the influence of Gothic cultural scripts, it will to a certain extent affect the judgment of the participants. Excessive subjective judgment will to a certain extent weaken the impact brought by technical means (vr). Ethnography also has adaptability in the construction of death culture, such as how to reconstruct the perception of death through cultural practices (such as some death rituals, symbols, etc.) in VR games. However, its drawbacks are also obvious. The research direction of ethnography is the study of group cu</w:t>
      </w:r>
      <w:r>
        <w:rPr>
          <w:rFonts w:hint="eastAsia"/>
          <w:sz w:val="21"/>
          <w:szCs w:val="21"/>
          <w:lang w:val="en-US" w:eastAsia="zh-CN"/>
        </w:rPr>
        <w:t>lture, and many details are often overlooked in individual experiences and feelings. Therefore, phenomenological hermeneutics is a method that can meet both the emphasis on individual experience and the critique of technological culture. Through this qualitative research, it perfectly fits the research question of "cognitive reconstruction of death".</w:t>
      </w:r>
    </w:p>
    <w:p w14:paraId="053196C2">
      <w:pPr>
        <w:rPr>
          <w:rFonts w:hint="eastAsia"/>
          <w:lang w:val="en-US" w:eastAsia="zh-CN"/>
        </w:rPr>
      </w:pPr>
    </w:p>
    <w:p w14:paraId="25150582">
      <w:pPr>
        <w:rPr>
          <w:b/>
          <w:bCs/>
          <w:sz w:val="28"/>
          <w:szCs w:val="28"/>
        </w:rPr>
      </w:pPr>
      <w:r>
        <w:rPr>
          <w:rFonts w:hint="eastAsia"/>
          <w:lang w:val="en-US" w:eastAsia="zh-CN"/>
        </w:rPr>
        <w:t>五．</w:t>
      </w:r>
      <w:r>
        <w:rPr>
          <w:rFonts w:hint="eastAsia"/>
          <w:b/>
          <w:bCs/>
          <w:sz w:val="28"/>
          <w:szCs w:val="28"/>
        </w:rPr>
        <w:t>Discussion and analysis</w:t>
      </w:r>
    </w:p>
    <w:p w14:paraId="131D8DC6">
      <w:pPr>
        <w:rPr>
          <w:rFonts w:hint="eastAsia"/>
          <w:lang w:val="en-US" w:eastAsia="zh-CN"/>
        </w:rPr>
      </w:pPr>
    </w:p>
    <w:p w14:paraId="53AECD47">
      <w:pPr>
        <w:rPr>
          <w:rFonts w:hint="eastAsia"/>
          <w:sz w:val="21"/>
          <w:szCs w:val="21"/>
          <w:lang w:val="en-US" w:eastAsia="zh-CN"/>
        </w:rPr>
      </w:pPr>
      <w:r>
        <w:rPr>
          <w:rFonts w:hint="eastAsia"/>
          <w:sz w:val="21"/>
          <w:szCs w:val="21"/>
          <w:lang w:val="en-US" w:eastAsia="zh-CN"/>
        </w:rPr>
        <w:t>My research has always revolved around "death experience and cognitive reconstruction". Within the framework of this core issue, other subset problems will also extend, such as what is the essence of the embodied experience of players in virtual death and what impact this attitude has on the attitude towards death in reality. Through deep mapping in phenomenological hermeneutics, Focus interviews and game behavior logs, etc. can answer such questions very well. Meanwhile, （Van Manen ，2016) pointed out in "Phenomenology of Practice" : The task of phenomenology is to reveal the essential structure of human existence through reflective descriptions of experiences in the lifeworld, which are often obscured by the daily practices mediated by technology. Therefore, technological means such as VR virtual reality technology are not neutral tools, but rather a kind of "existence" contained in daily life, a "ontological" force that reshaps the real world, which precisely corresponds to the viewpoint of "reshaping death cognition", and at the same time shares similarities with Heidegger's "fear" (Angst). Through VR technology, in terms of spatiality, Temporality and concreteness simulate the moment of "facing nothingness", exploring the "authenticity" of humanity. Regarding the issue of how Gothic aesthetics and technological means (VR) shape death, Fred Botting mentioned his views on post-human Gothic in "Gothic Romanced" : "Post-human Gothic is the evolution of traditional Gothic themes (terror, otherness, body alienation) in the technological era." Through the monsters, data ghosts and cyber space mediated by technology, reveal the collapse of the boundary between humans and non-humans and the ontological anxiety it triggers. The immersive experience of VR can greatly enhance this Gothic feature (such as terrifying castles, inanimate monsters, and immortal vampires), thereby triggering a kind of "fear" of death in people's hearts. The player's death experience, as a Gothic ritual in the digital age, through the collision of technology and existential anxiety, Human beings can constantly redraw the boundaries of their own meaning. Through this study, we expect to find that players may practice Heidegger's "living towards death" through repeated VR deaths to achieve "controlled practice", thereby reducing anxiety about death and verifying the anxiety relief hypothesis of TMT. In fact, in similar studies, we can also learn that "conforme a consciencia da inevitabilidade da morte, tanto no mundo real quanto virtual, e gradativamente evidente causa intenso terror psicologico nos jogadores. No entanto esta consciencia de sua propria mortalidade permite superacao do sentimento de perda associado a morte [43 (Galvao) V. F. (2020)) "NDE does have a therapeutic effect in dealing with issues such as death anxiety, which is a positive approach. Meanwhile, during the research process, we also discovered the problems it contains, namely the negative path. The feelings in virtual reality may affect the attitude towards life in reality, leading to the gamification of death cognition (that is, the constantly resurrected life). It is also a new technological translation of Gothic aesthetics, transforming traditional Gothic cultural symbols (castles, ruins, monsters, etc.) into interactive experiences in VR, expanding the meaning boundaries of Gothic culture and linking it with "death education". It is also a redefinition of the meaning of death: that is, death is not the opposite of life, but exists as a part of life forever. The greatest innovation point in the research lies in the continuous repetition and regeneration of players, constantly challenging Heidegger's linear view of time of "living towards death" in "death-rebirth", and it is also a new attempt to integrate existentialist philosophy with the criticism of post-human technology. The Terror Management Theory, the core proposition of TMT(</w:t>
      </w:r>
      <w:r>
        <w:rPr>
          <w:rFonts w:hint="default" w:ascii="Arial" w:hAnsi="Arial" w:cs="Arial"/>
          <w:sz w:val="21"/>
          <w:szCs w:val="21"/>
        </w:rPr>
        <w:t>Greenberg, J., Solomon, S., &amp; Pyszczynski, T. (1997)</w:t>
      </w:r>
      <w:r>
        <w:rPr>
          <w:rFonts w:hint="eastAsia"/>
          <w:sz w:val="21"/>
          <w:szCs w:val="21"/>
          <w:lang w:val="en-US" w:eastAsia="zh-CN"/>
        </w:rPr>
        <w:t>, was also integrated into the research. "Human awareness of the inevitability of death (mortality salience) triggers existential anxiety and thereby triggers psychological defense mechanisms."(</w:t>
      </w:r>
      <w:r>
        <w:rPr>
          <w:rFonts w:hint="default" w:ascii="Arial" w:hAnsi="Arial" w:cs="Arial"/>
          <w:sz w:val="21"/>
          <w:szCs w:val="21"/>
        </w:rPr>
        <w:t>Greenberg, J., Solomon, S., &amp; Pyszczynski, T. (1997)</w:t>
      </w:r>
      <w:r>
        <w:rPr>
          <w:rFonts w:hint="eastAsia"/>
          <w:sz w:val="21"/>
          <w:szCs w:val="21"/>
          <w:lang w:val="en-US" w:eastAsia="zh-CN"/>
        </w:rPr>
        <w:t xml:space="preserve"> On the positive side, People reduce existential anxiety through "controllable" death in VR, which is essentially an enhancement of a psychological defense mechanism. From this perspective, the TMT theory and existentialist theory have a certain degree of complementarity. The reminder of death awareness in TMT can be regarded as an empirical extension of "true existence". Constantly repeating life and death in VR may lead to the awakening of existentialism. At the same time, there is a new point of conflict between the theories of the two. On the one hand, existentialism warns us to face death directly and pursue authenticity. However, in TMT theory（Burke, B. L., Martens, A., &amp; Faucher, E. H. (2010)）, a psychological defense mechanism is needed to resist the anxiety brought by death. So, will virtual death enhance defense or promote acceptance (facing death directly)? This is also a proposition worth discussing. However, virtual death can also bring about some ethical issues in reality to a certain extent. The new problems that may arise are mainly some ethical disputes. For example, whether death in virtual reality will bring about a kind of "desensitization" to death in reality, thereby triggering some social problems. So how to balance the reconstruction of death cognition and the issue of real Ethics is also a problem that we need to think about. In "Ethics of Violent Video Games: In the article "A Schopenhauerian Perspective", Zucker, based on Schopenhauer's philosophy, proposed that the "consequentality" generated by players through technological intermediaries would dissolve the ethical weight brought by violence in real life, thereby leading to the passivation of players' real morality, causing desensitization of social morality and triggering social problems（</w:t>
      </w:r>
      <w:r>
        <w:rPr>
          <w:rFonts w:hint="eastAsia" w:ascii="Helvetica" w:hAnsi="Helvetica" w:eastAsia="Helvetica" w:cs="Helvetica"/>
          <w:i w:val="0"/>
          <w:iCs w:val="0"/>
          <w:caps w:val="0"/>
          <w:color w:val="3A3A3A"/>
          <w:spacing w:val="0"/>
          <w:sz w:val="21"/>
          <w:szCs w:val="21"/>
          <w:shd w:val="clear" w:fill="FFFFFF"/>
        </w:rPr>
        <w:t>Zucker, H. M. 020)</w:t>
      </w:r>
      <w:r>
        <w:rPr>
          <w:rFonts w:hint="eastAsia"/>
          <w:sz w:val="21"/>
          <w:szCs w:val="21"/>
          <w:lang w:val="en-US" w:eastAsia="zh-CN"/>
        </w:rPr>
        <w:t>. On a cultural level, the essence of Gothic culture is an essential manifestation of Western culture. The Gothic visual symbols and death narratives may not resonate with non-Western culture players, leading to cognitive conflicts. Moreover, Buddhism has also provided detailed interpretations of the issue of life and death. From the perspective of Buddhism, death is a part of the cycle of rebirth, driven by "karma". Death is not the end but the continuation of the causal chain, emphasizing the moral weight of actions. However, in games, the constraints brought by real ethics are often weakened. The "evil deeds" in games form an opposing relationship with "karma", creating an ethical paradox. Buddhism's（</w:t>
      </w:r>
      <w:r>
        <w:rPr>
          <w:rFonts w:hint="eastAsia" w:ascii="Helvetica" w:hAnsi="Helvetica" w:eastAsia="Helvetica" w:cs="Helvetica"/>
          <w:i w:val="0"/>
          <w:iCs w:val="0"/>
          <w:caps w:val="0"/>
          <w:color w:val="3A3A3A"/>
          <w:spacing w:val="0"/>
          <w:sz w:val="21"/>
          <w:szCs w:val="21"/>
          <w:shd w:val="clear" w:fill="FFFFFF"/>
        </w:rPr>
        <w:t>Harvey, P. 2012)</w:t>
      </w:r>
      <w:r>
        <w:rPr>
          <w:rFonts w:hint="eastAsia"/>
          <w:sz w:val="21"/>
          <w:szCs w:val="21"/>
          <w:lang w:val="en-US" w:eastAsia="zh-CN"/>
        </w:rPr>
        <w:t>） advocacy of "non-self" is also in conflict with existentialist "self (facing death)". Therefore, in the design of the game, the compatibility issue of different cultures also needs to be considered, especially in terms of symbolic elements. It is necessary to be vigilant against the misuse of symbols (such as using the Buddha's head as a terrifying element), and ensure the respect and educational nature of the use of symbols. From the perspective of technical means, VR, as a product with the characteristics of The Times, can play a fundamental role in reconstructing people's cognition. It provides a feasible "virtual test field" for the existentialist view of "living towards death"(Heidegger, M. (2010), which also indicates that the progress of technological intermediaries will to some extent change people's cognition. Therefore, a new question is raised here: Will the next generation of technological iterations, such as brain-computer interfaces (BCI) and other next-generation technologies, completely reconstruct the philosophical basis of death cognition? We have no idea.</w:t>
      </w:r>
    </w:p>
    <w:p w14:paraId="429B559E">
      <w:pPr>
        <w:rPr>
          <w:rFonts w:hint="eastAsia"/>
          <w:sz w:val="21"/>
          <w:szCs w:val="21"/>
          <w:lang w:val="en-US" w:eastAsia="zh-CN"/>
        </w:rPr>
      </w:pPr>
    </w:p>
    <w:p w14:paraId="094160BC">
      <w:pPr>
        <w:rPr>
          <w:rFonts w:hint="eastAsia"/>
          <w:lang w:val="en-US" w:eastAsia="zh-CN"/>
        </w:rPr>
      </w:pPr>
    </w:p>
    <w:p w14:paraId="6258C350">
      <w:pPr>
        <w:rPr>
          <w:rFonts w:hint="eastAsia"/>
          <w:lang w:val="en-US" w:eastAsia="zh-CN"/>
        </w:rPr>
      </w:pPr>
    </w:p>
    <w:p w14:paraId="08A6E9D0">
      <w:pPr>
        <w:numPr>
          <w:ilvl w:val="0"/>
          <w:numId w:val="3"/>
        </w:numPr>
        <w:rPr>
          <w:rFonts w:hint="eastAsia"/>
          <w:b/>
          <w:bCs/>
          <w:sz w:val="28"/>
          <w:szCs w:val="28"/>
          <w:lang w:val="en-US" w:eastAsia="zh-CN"/>
        </w:rPr>
      </w:pPr>
      <w:r>
        <w:rPr>
          <w:rFonts w:hint="eastAsia"/>
          <w:b/>
          <w:bCs/>
          <w:sz w:val="28"/>
          <w:szCs w:val="28"/>
          <w:lang w:val="en-US" w:eastAsia="zh-CN"/>
        </w:rPr>
        <w:t>Conclusion</w:t>
      </w:r>
    </w:p>
    <w:p w14:paraId="33F27EB9">
      <w:pPr>
        <w:rPr>
          <w:rFonts w:hint="eastAsia"/>
          <w:lang w:val="en-US" w:eastAsia="zh-CN"/>
        </w:rPr>
      </w:pPr>
    </w:p>
    <w:p w14:paraId="4BE27B67">
      <w:pPr>
        <w:rPr>
          <w:rFonts w:hint="eastAsia"/>
          <w:sz w:val="21"/>
          <w:szCs w:val="21"/>
          <w:lang w:val="en-US" w:eastAsia="zh-CN"/>
        </w:rPr>
      </w:pPr>
      <w:r>
        <w:rPr>
          <w:rFonts w:hint="eastAsia"/>
          <w:sz w:val="21"/>
          <w:szCs w:val="21"/>
          <w:lang w:val="en-US" w:eastAsia="zh-CN"/>
        </w:rPr>
        <w:t>This study aims to explore how Gothic virtual reality (VR) games reconstruct players' cognition of death through technology-mediated death experiences, and reveal the complex interaction among technology, culture and individual existence in this process. Through deep mapping of phenomenological hermeneutics and interdisciplinary theoretical dialogues, the core includes decoding the impact of the phenomenological nature of virtual death on attitudes towards real death. By creating an "existentialist laboratory" in the digital age through Gothic VR games, the "authenticity" of human existence is sought, and at the same time, the meaning boundary of post-human gothic in the digital age is broadened, extending Botting's theory(</w:t>
      </w:r>
      <w:r>
        <w:rPr>
          <w:rFonts w:hint="default" w:ascii="Arial" w:hAnsi="Arial" w:cs="Arial"/>
          <w:sz w:val="21"/>
          <w:szCs w:val="21"/>
        </w:rPr>
        <w:t>Botting, F. (2008)</w:t>
      </w:r>
      <w:r>
        <w:rPr>
          <w:rFonts w:hint="default" w:ascii="Arial" w:hAnsi="Arial" w:eastAsia="Helvetica" w:cs="Arial"/>
          <w:i w:val="0"/>
          <w:iCs w:val="0"/>
          <w:caps w:val="0"/>
          <w:color w:val="3A3A3A"/>
          <w:spacing w:val="0"/>
          <w:sz w:val="21"/>
          <w:szCs w:val="21"/>
          <w:shd w:val="clear" w:fill="FFFFFF"/>
        </w:rPr>
        <w:t>)</w:t>
      </w:r>
      <w:r>
        <w:rPr>
          <w:rFonts w:hint="eastAsia"/>
          <w:sz w:val="21"/>
          <w:szCs w:val="21"/>
          <w:lang w:val="en-US" w:eastAsia="zh-CN"/>
        </w:rPr>
        <w:t xml:space="preserve"> to interactive media. Proposing the concept of "Digital Dasein" links Heidegger's philosophy with the critique of post-human technology, providing a new experimental paradigm for digital media. This paper explores the differentiated paths before TMT theory (</w:t>
      </w:r>
      <w:r>
        <w:rPr>
          <w:rFonts w:hint="default" w:ascii="Arial" w:hAnsi="Arial" w:cs="Arial"/>
          <w:sz w:val="21"/>
          <w:szCs w:val="21"/>
        </w:rPr>
        <w:t>Greenberg, J., Solomon, S., &amp; Pyszczynski, T.1997)</w:t>
      </w:r>
      <w:r>
        <w:rPr>
          <w:rFonts w:hint="eastAsia"/>
          <w:sz w:val="21"/>
          <w:szCs w:val="21"/>
          <w:lang w:val="en-US" w:eastAsia="zh-CN"/>
        </w:rPr>
        <w:t>and existentialism, which is an empirical extension of TMT theory. At the same time, it also reflects on the ethical issues in real existence and virtual death (moral desensitization in reality). The research integrates viewpoints from the fields of philosophy, psychology and culture, and is a new interdisciplinary attempt. It is existentialism. The TMT theory and the innovative attempt of post-human Goth in the digital age field are not only a breakthrough research in the academic field of games, but also a philosophical inquiry into the essence of human survival in the digital age. Death is the ultimate proposition of humanity: When death becomes an editable code, in the process of conquering fear, do we lose the reverence for the weight bestowed by life? The answer may lie in each reflection of the player on "living- towards- death" - and this is precisely the ultimate revelation of virtual existentialism.</w:t>
      </w:r>
    </w:p>
    <w:p w14:paraId="5B43181D">
      <w:pPr>
        <w:rPr>
          <w:rFonts w:hint="eastAsia"/>
          <w:lang w:val="en-US" w:eastAsia="zh-CN"/>
        </w:rPr>
      </w:pPr>
    </w:p>
    <w:p w14:paraId="24C92673">
      <w:pPr>
        <w:rPr>
          <w:rFonts w:ascii="Arial" w:hAnsi="Arial" w:cs="Arial"/>
          <w:b/>
          <w:bCs/>
        </w:rPr>
      </w:pPr>
      <w:r>
        <w:rPr>
          <w:rFonts w:ascii="Arial" w:hAnsi="Arial" w:cs="Arial"/>
          <w:b/>
          <w:bCs/>
        </w:rPr>
        <w:t>Reference</w:t>
      </w:r>
    </w:p>
    <w:p w14:paraId="2479AB55">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270" w:lineRule="atLeast"/>
        <w:ind w:left="0" w:right="0" w:firstLine="0"/>
        <w:jc w:val="left"/>
        <w:textAlignment w:val="baseline"/>
        <w:rPr>
          <w:rFonts w:hint="default" w:ascii="Arial" w:hAnsi="Arial" w:cs="Arial"/>
          <w:i w:val="0"/>
          <w:iCs w:val="0"/>
          <w:caps w:val="0"/>
          <w:color w:val="000000"/>
          <w:spacing w:val="0"/>
          <w:sz w:val="18"/>
          <w:szCs w:val="18"/>
        </w:rPr>
      </w:pPr>
      <w:r>
        <w:rPr>
          <w:rFonts w:hint="default" w:ascii="Arial" w:hAnsi="Arial" w:cs="Arial"/>
          <w:i w:val="0"/>
          <w:iCs w:val="0"/>
          <w:caps w:val="0"/>
          <w:color w:val="000000"/>
          <w:spacing w:val="0"/>
          <w:sz w:val="18"/>
          <w:szCs w:val="18"/>
          <w:shd w:val="clear" w:fill="FFFFFF"/>
          <w:vertAlign w:val="baseline"/>
          <w:lang w:val="en-US" w:eastAsia="zh-CN"/>
        </w:rPr>
        <w:t>1.</w:t>
      </w:r>
      <w:r>
        <w:rPr>
          <w:rFonts w:hint="default" w:ascii="Arial" w:hAnsi="Arial" w:cs="Arial"/>
          <w:i w:val="0"/>
          <w:iCs w:val="0"/>
          <w:caps w:val="0"/>
          <w:color w:val="000000"/>
          <w:spacing w:val="0"/>
          <w:sz w:val="18"/>
          <w:szCs w:val="18"/>
          <w:shd w:val="clear" w:fill="FFFFFF"/>
          <w:vertAlign w:val="baseline"/>
        </w:rPr>
        <w:t>Song, Xuhong. 2023. "Virtual Reality and Metaversal Literature." </w:t>
      </w:r>
      <w:r>
        <w:rPr>
          <w:rStyle w:val="5"/>
          <w:rFonts w:hint="default" w:ascii="Arial" w:hAnsi="Arial" w:cs="Arial"/>
          <w:i/>
          <w:iCs/>
          <w:caps w:val="0"/>
          <w:color w:val="000000"/>
          <w:spacing w:val="0"/>
          <w:sz w:val="18"/>
          <w:szCs w:val="18"/>
          <w:shd w:val="clear" w:fill="FFFFFF"/>
          <w:vertAlign w:val="baseline"/>
        </w:rPr>
        <w:t>Theoretical Studies in Literature and Art</w:t>
      </w:r>
      <w:r>
        <w:rPr>
          <w:rFonts w:hint="default" w:ascii="Arial" w:hAnsi="Arial" w:cs="Arial"/>
          <w:i w:val="0"/>
          <w:iCs w:val="0"/>
          <w:caps w:val="0"/>
          <w:color w:val="000000"/>
          <w:spacing w:val="0"/>
          <w:sz w:val="18"/>
          <w:szCs w:val="18"/>
          <w:shd w:val="clear" w:fill="FFFFFF"/>
          <w:vertAlign w:val="baseline"/>
        </w:rPr>
        <w:t> 43, (1): pp.1-11. https://tsla.researchcommons.org/journal/vol43/iss1/2</w:t>
      </w:r>
    </w:p>
    <w:p w14:paraId="44AFF5C1">
      <w:pPr>
        <w:rPr>
          <w:rFonts w:hint="default" w:ascii="Arial" w:hAnsi="Arial" w:cs="Arial"/>
          <w:sz w:val="18"/>
          <w:szCs w:val="18"/>
        </w:rPr>
      </w:pPr>
    </w:p>
    <w:p w14:paraId="6782D47A">
      <w:pPr>
        <w:rPr>
          <w:rFonts w:hint="default" w:ascii="Arial" w:hAnsi="Arial" w:cs="Arial"/>
          <w:sz w:val="18"/>
          <w:szCs w:val="18"/>
        </w:rPr>
      </w:pPr>
      <w:r>
        <w:rPr>
          <w:rFonts w:hint="default" w:ascii="Arial" w:hAnsi="Arial" w:cs="Arial"/>
          <w:sz w:val="18"/>
          <w:szCs w:val="18"/>
          <w:lang w:val="en-US" w:eastAsia="zh-CN"/>
        </w:rPr>
        <w:t>2.</w:t>
      </w:r>
      <w:r>
        <w:rPr>
          <w:rFonts w:hint="default" w:ascii="Arial" w:hAnsi="Arial" w:cs="Arial"/>
          <w:sz w:val="18"/>
          <w:szCs w:val="18"/>
        </w:rPr>
        <w:t>Fraser, M. (2020). Death mechanics in open-world games. In J. Smith (Ed.), Digital thanatology (pp. 45-67). MIT Press.</w:t>
      </w:r>
    </w:p>
    <w:p w14:paraId="18C81B86">
      <w:pPr>
        <w:rPr>
          <w:rFonts w:hint="default" w:ascii="Arial" w:hAnsi="Arial" w:cs="Arial"/>
          <w:sz w:val="18"/>
          <w:szCs w:val="18"/>
        </w:rPr>
      </w:pPr>
    </w:p>
    <w:p w14:paraId="5ECAA161">
      <w:pPr>
        <w:rPr>
          <w:rFonts w:hint="default" w:ascii="Arial" w:hAnsi="Arial" w:cs="Arial"/>
          <w:sz w:val="18"/>
          <w:szCs w:val="18"/>
        </w:rPr>
      </w:pPr>
      <w:r>
        <w:rPr>
          <w:rFonts w:hint="default" w:ascii="Arial" w:hAnsi="Arial" w:cs="Arial"/>
          <w:sz w:val="18"/>
          <w:szCs w:val="18"/>
          <w:lang w:val="en-US" w:eastAsia="zh-CN"/>
        </w:rPr>
        <w:t>3.</w:t>
      </w:r>
      <w:r>
        <w:rPr>
          <w:rFonts w:hint="default" w:ascii="Arial" w:hAnsi="Arial" w:cs="Arial"/>
          <w:sz w:val="18"/>
          <w:szCs w:val="18"/>
        </w:rPr>
        <w:t xml:space="preserve">Greenberg, J., Solomon, S., &amp; Pyszczynski, T. (1997). Terror management theory of self-esteem and cultural worldviews: Empirical assessments and conceptual refinements. *Advances in Experimental Social Psychology, 29*, 61-139. </w:t>
      </w:r>
    </w:p>
    <w:p w14:paraId="1C5E4592">
      <w:pPr>
        <w:rPr>
          <w:rFonts w:hint="default" w:ascii="Arial" w:hAnsi="Arial" w:cs="Arial"/>
          <w:sz w:val="18"/>
          <w:szCs w:val="18"/>
        </w:rPr>
      </w:pPr>
    </w:p>
    <w:p w14:paraId="2F0523D6">
      <w:pPr>
        <w:rPr>
          <w:rFonts w:hint="default" w:ascii="Arial" w:hAnsi="Arial" w:cs="Arial"/>
          <w:sz w:val="18"/>
          <w:szCs w:val="18"/>
        </w:rPr>
      </w:pPr>
      <w:r>
        <w:rPr>
          <w:rFonts w:hint="default" w:ascii="Arial" w:hAnsi="Arial" w:cs="Arial"/>
          <w:sz w:val="18"/>
          <w:szCs w:val="18"/>
          <w:lang w:val="en-US" w:eastAsia="zh-CN"/>
        </w:rPr>
        <w:t>4.</w:t>
      </w:r>
      <w:r>
        <w:rPr>
          <w:rFonts w:hint="default" w:ascii="Arial" w:hAnsi="Arial" w:cs="Arial"/>
          <w:sz w:val="18"/>
          <w:szCs w:val="18"/>
        </w:rPr>
        <w:t xml:space="preserve">Van Manen, M. (2016). *Phenomenology of practice: Meaning-giving methods in phenomenological research and writing*. Routledge.  </w:t>
      </w:r>
    </w:p>
    <w:p w14:paraId="4685A8A1">
      <w:pPr>
        <w:rPr>
          <w:rFonts w:hint="default" w:ascii="Arial" w:hAnsi="Arial" w:cs="Arial"/>
          <w:sz w:val="18"/>
          <w:szCs w:val="18"/>
        </w:rPr>
      </w:pPr>
    </w:p>
    <w:p w14:paraId="74552A6A">
      <w:pPr>
        <w:rPr>
          <w:rFonts w:hint="default" w:ascii="Arial" w:hAnsi="Arial" w:cs="Arial"/>
          <w:sz w:val="18"/>
          <w:szCs w:val="18"/>
        </w:rPr>
      </w:pPr>
      <w:r>
        <w:rPr>
          <w:rFonts w:hint="default" w:ascii="Arial" w:hAnsi="Arial" w:cs="Arial"/>
          <w:sz w:val="18"/>
          <w:szCs w:val="18"/>
          <w:lang w:val="en-US" w:eastAsia="zh-CN"/>
        </w:rPr>
        <w:t>5.</w:t>
      </w:r>
      <w:r>
        <w:rPr>
          <w:rFonts w:hint="default" w:ascii="Arial" w:hAnsi="Arial" w:cs="Arial"/>
          <w:sz w:val="18"/>
          <w:szCs w:val="18"/>
        </w:rPr>
        <w:t xml:space="preserve">Botting, F. (2008). *Gothic Romanced: Consumption, Gender and Technology in Contemporary Fictions*. Routledge.  </w:t>
      </w:r>
    </w:p>
    <w:p w14:paraId="6226A888">
      <w:pPr>
        <w:rPr>
          <w:rFonts w:hint="default" w:ascii="Arial" w:hAnsi="Arial" w:eastAsia="Helvetica" w:cs="Arial"/>
          <w:i w:val="0"/>
          <w:iCs w:val="0"/>
          <w:caps w:val="0"/>
          <w:color w:val="3A3A3A"/>
          <w:spacing w:val="0"/>
          <w:sz w:val="18"/>
          <w:szCs w:val="18"/>
          <w:shd w:val="clear" w:fill="FFFFFF"/>
        </w:rPr>
      </w:pPr>
    </w:p>
    <w:p w14:paraId="2B49385E">
      <w:pPr>
        <w:rPr>
          <w:rFonts w:hint="default" w:ascii="Arial" w:hAnsi="Arial" w:eastAsia="Helvetica" w:cs="Arial"/>
          <w:i w:val="0"/>
          <w:iCs w:val="0"/>
          <w:caps w:val="0"/>
          <w:color w:val="3A3A3A"/>
          <w:spacing w:val="0"/>
          <w:sz w:val="18"/>
          <w:szCs w:val="18"/>
          <w:shd w:val="clear" w:fill="FFFFFF"/>
        </w:rPr>
      </w:pPr>
      <w:r>
        <w:rPr>
          <w:rFonts w:hint="default" w:ascii="Arial" w:hAnsi="Arial" w:eastAsia="宋体" w:cs="Arial"/>
          <w:i w:val="0"/>
          <w:iCs w:val="0"/>
          <w:caps w:val="0"/>
          <w:color w:val="3A3A3A"/>
          <w:spacing w:val="0"/>
          <w:sz w:val="18"/>
          <w:szCs w:val="18"/>
          <w:shd w:val="clear" w:fill="FFFFFF"/>
          <w:lang w:val="en-US" w:eastAsia="zh-CN"/>
        </w:rPr>
        <w:t>6.</w:t>
      </w:r>
      <w:r>
        <w:rPr>
          <w:rFonts w:hint="default" w:ascii="Arial" w:hAnsi="Arial" w:eastAsia="Helvetica" w:cs="Arial"/>
          <w:i w:val="0"/>
          <w:iCs w:val="0"/>
          <w:caps w:val="0"/>
          <w:color w:val="3A3A3A"/>
          <w:spacing w:val="0"/>
          <w:sz w:val="18"/>
          <w:szCs w:val="18"/>
          <w:shd w:val="clear" w:fill="FFFFFF"/>
        </w:rPr>
        <w:t>Glowacki, D. R. (2024). VR models of death and psychedelics: an aesthetic paradigm for design beyond day-to-day phenomenology. </w:t>
      </w:r>
      <w:r>
        <w:rPr>
          <w:rFonts w:hint="default" w:ascii="Arial" w:hAnsi="Arial" w:eastAsia="Helvetica" w:cs="Arial"/>
          <w:i/>
          <w:iCs/>
          <w:caps w:val="0"/>
          <w:color w:val="3A3A3A"/>
          <w:spacing w:val="0"/>
          <w:sz w:val="18"/>
          <w:szCs w:val="18"/>
          <w:shd w:val="clear" w:fill="FFFFFF"/>
        </w:rPr>
        <w:t>Frontiers in Virtual Reality</w:t>
      </w:r>
      <w:r>
        <w:rPr>
          <w:rFonts w:hint="default" w:ascii="Arial" w:hAnsi="Arial" w:eastAsia="Helvetica" w:cs="Arial"/>
          <w:i w:val="0"/>
          <w:iCs w:val="0"/>
          <w:caps w:val="0"/>
          <w:color w:val="3A3A3A"/>
          <w:spacing w:val="0"/>
          <w:sz w:val="18"/>
          <w:szCs w:val="18"/>
          <w:shd w:val="clear" w:fill="FFFFFF"/>
        </w:rPr>
        <w:t>, </w:t>
      </w:r>
      <w:r>
        <w:rPr>
          <w:rFonts w:hint="default" w:ascii="Arial" w:hAnsi="Arial" w:eastAsia="Helvetica" w:cs="Arial"/>
          <w:i/>
          <w:iCs/>
          <w:caps w:val="0"/>
          <w:color w:val="3A3A3A"/>
          <w:spacing w:val="0"/>
          <w:sz w:val="18"/>
          <w:szCs w:val="18"/>
          <w:shd w:val="clear" w:fill="FFFFFF"/>
        </w:rPr>
        <w:t>4</w:t>
      </w:r>
      <w:r>
        <w:rPr>
          <w:rFonts w:hint="default" w:ascii="Arial" w:hAnsi="Arial" w:eastAsia="Helvetica" w:cs="Arial"/>
          <w:i w:val="0"/>
          <w:iCs w:val="0"/>
          <w:caps w:val="0"/>
          <w:color w:val="3A3A3A"/>
          <w:spacing w:val="0"/>
          <w:sz w:val="18"/>
          <w:szCs w:val="18"/>
          <w:shd w:val="clear" w:fill="FFFFFF"/>
        </w:rPr>
        <w:t>.</w:t>
      </w:r>
    </w:p>
    <w:p w14:paraId="41AA4383">
      <w:pPr>
        <w:rPr>
          <w:rFonts w:hint="default" w:ascii="Arial" w:hAnsi="Arial" w:eastAsia="Helvetica" w:cs="Arial"/>
          <w:i w:val="0"/>
          <w:iCs w:val="0"/>
          <w:caps w:val="0"/>
          <w:color w:val="3A3A3A"/>
          <w:spacing w:val="0"/>
          <w:sz w:val="18"/>
          <w:szCs w:val="18"/>
          <w:shd w:val="clear" w:fill="FFFFFF"/>
        </w:rPr>
      </w:pPr>
    </w:p>
    <w:p w14:paraId="2B05BB5B">
      <w:pPr>
        <w:rPr>
          <w:rFonts w:hint="default" w:ascii="Arial" w:hAnsi="Arial" w:eastAsia="Helvetica" w:cs="Arial"/>
          <w:i w:val="0"/>
          <w:iCs w:val="0"/>
          <w:caps w:val="0"/>
          <w:color w:val="3A3A3A"/>
          <w:spacing w:val="0"/>
          <w:sz w:val="18"/>
          <w:szCs w:val="18"/>
          <w:shd w:val="clear" w:fill="FFFFFF"/>
        </w:rPr>
      </w:pPr>
      <w:r>
        <w:rPr>
          <w:rFonts w:hint="default" w:ascii="Arial" w:hAnsi="Arial" w:eastAsia="宋体" w:cs="Arial"/>
          <w:i w:val="0"/>
          <w:iCs w:val="0"/>
          <w:caps w:val="0"/>
          <w:color w:val="3A3A3A"/>
          <w:spacing w:val="0"/>
          <w:sz w:val="18"/>
          <w:szCs w:val="18"/>
          <w:shd w:val="clear" w:fill="FFFFFF"/>
          <w:lang w:val="en-US" w:eastAsia="zh-CN"/>
        </w:rPr>
        <w:t>7.</w:t>
      </w:r>
      <w:r>
        <w:rPr>
          <w:rFonts w:hint="default" w:ascii="Arial" w:hAnsi="Arial" w:eastAsia="Helvetica" w:cs="Arial"/>
          <w:i w:val="0"/>
          <w:iCs w:val="0"/>
          <w:caps w:val="0"/>
          <w:color w:val="3A3A3A"/>
          <w:spacing w:val="0"/>
          <w:sz w:val="18"/>
          <w:szCs w:val="18"/>
          <w:shd w:val="clear" w:fill="FFFFFF"/>
        </w:rPr>
        <w:t>Galvao, V. F. (2020). </w:t>
      </w:r>
      <w:r>
        <w:rPr>
          <w:rFonts w:hint="default" w:ascii="Arial" w:hAnsi="Arial" w:eastAsia="Helvetica" w:cs="Arial"/>
          <w:i/>
          <w:iCs/>
          <w:caps w:val="0"/>
          <w:color w:val="3A3A3A"/>
          <w:spacing w:val="0"/>
          <w:sz w:val="18"/>
          <w:szCs w:val="18"/>
          <w:shd w:val="clear" w:fill="FFFFFF"/>
        </w:rPr>
        <w:t>Game Over: death representations in Virtual Reality Environments</w:t>
      </w:r>
      <w:r>
        <w:rPr>
          <w:rFonts w:hint="default" w:ascii="Arial" w:hAnsi="Arial" w:eastAsia="Helvetica" w:cs="Arial"/>
          <w:i w:val="0"/>
          <w:iCs w:val="0"/>
          <w:caps w:val="0"/>
          <w:color w:val="3A3A3A"/>
          <w:spacing w:val="0"/>
          <w:sz w:val="18"/>
          <w:szCs w:val="18"/>
          <w:shd w:val="clear" w:fill="FFFFFF"/>
        </w:rPr>
        <w:t>. 296–305.</w:t>
      </w:r>
    </w:p>
    <w:p w14:paraId="75860E6B">
      <w:pPr>
        <w:rPr>
          <w:rFonts w:hint="default" w:ascii="Arial" w:hAnsi="Arial" w:eastAsia="Helvetica" w:cs="Arial"/>
          <w:i w:val="0"/>
          <w:iCs w:val="0"/>
          <w:caps w:val="0"/>
          <w:color w:val="3A3A3A"/>
          <w:spacing w:val="0"/>
          <w:sz w:val="18"/>
          <w:szCs w:val="18"/>
          <w:shd w:val="clear" w:fill="FFFFFF"/>
        </w:rPr>
      </w:pPr>
    </w:p>
    <w:p w14:paraId="301DCDAE">
      <w:pPr>
        <w:rPr>
          <w:rFonts w:hint="default" w:ascii="Arial" w:hAnsi="Arial" w:eastAsia="Helvetica" w:cs="Arial"/>
          <w:i w:val="0"/>
          <w:iCs w:val="0"/>
          <w:caps w:val="0"/>
          <w:color w:val="3A3A3A"/>
          <w:spacing w:val="0"/>
          <w:sz w:val="18"/>
          <w:szCs w:val="18"/>
          <w:shd w:val="clear" w:fill="FFFFFF"/>
        </w:rPr>
      </w:pPr>
      <w:r>
        <w:rPr>
          <w:rFonts w:hint="default" w:ascii="Arial" w:hAnsi="Arial" w:eastAsia="宋体" w:cs="Arial"/>
          <w:i w:val="0"/>
          <w:iCs w:val="0"/>
          <w:caps w:val="0"/>
          <w:color w:val="3A3A3A"/>
          <w:spacing w:val="0"/>
          <w:sz w:val="18"/>
          <w:szCs w:val="18"/>
          <w:shd w:val="clear" w:fill="FFFFFF"/>
          <w:lang w:val="en-US" w:eastAsia="zh-CN"/>
        </w:rPr>
        <w:t>8.</w:t>
      </w:r>
      <w:r>
        <w:rPr>
          <w:rFonts w:hint="default" w:ascii="Arial" w:hAnsi="Arial" w:eastAsia="Helvetica" w:cs="Arial"/>
          <w:i w:val="0"/>
          <w:iCs w:val="0"/>
          <w:caps w:val="0"/>
          <w:color w:val="3A3A3A"/>
          <w:spacing w:val="0"/>
          <w:sz w:val="18"/>
          <w:szCs w:val="18"/>
          <w:shd w:val="clear" w:fill="FFFFFF"/>
        </w:rPr>
        <w:t>Barberia, I. (2018). Virtual mortality and near-death experience after a prolonged exposure in a shared virtual reality may lead to positive life-attitude changes. </w:t>
      </w:r>
      <w:r>
        <w:rPr>
          <w:rFonts w:hint="default" w:ascii="Arial" w:hAnsi="Arial" w:eastAsia="Helvetica" w:cs="Arial"/>
          <w:i/>
          <w:iCs/>
          <w:caps w:val="0"/>
          <w:color w:val="3A3A3A"/>
          <w:spacing w:val="0"/>
          <w:sz w:val="18"/>
          <w:szCs w:val="18"/>
          <w:shd w:val="clear" w:fill="FFFFFF"/>
        </w:rPr>
        <w:t>PloS One.</w:t>
      </w:r>
      <w:r>
        <w:rPr>
          <w:rFonts w:hint="default" w:ascii="Arial" w:hAnsi="Arial" w:eastAsia="Helvetica" w:cs="Arial"/>
          <w:i w:val="0"/>
          <w:iCs w:val="0"/>
          <w:caps w:val="0"/>
          <w:color w:val="3A3A3A"/>
          <w:spacing w:val="0"/>
          <w:sz w:val="18"/>
          <w:szCs w:val="18"/>
          <w:shd w:val="clear" w:fill="FFFFFF"/>
        </w:rPr>
        <w:t>, </w:t>
      </w:r>
      <w:r>
        <w:rPr>
          <w:rFonts w:hint="default" w:ascii="Arial" w:hAnsi="Arial" w:eastAsia="Helvetica" w:cs="Arial"/>
          <w:i/>
          <w:iCs/>
          <w:caps w:val="0"/>
          <w:color w:val="3A3A3A"/>
          <w:spacing w:val="0"/>
          <w:sz w:val="18"/>
          <w:szCs w:val="18"/>
          <w:shd w:val="clear" w:fill="FFFFFF"/>
        </w:rPr>
        <w:t>13</w:t>
      </w:r>
      <w:r>
        <w:rPr>
          <w:rFonts w:hint="default" w:ascii="Arial" w:hAnsi="Arial" w:eastAsia="Helvetica" w:cs="Arial"/>
          <w:i w:val="0"/>
          <w:iCs w:val="0"/>
          <w:caps w:val="0"/>
          <w:color w:val="3A3A3A"/>
          <w:spacing w:val="0"/>
          <w:sz w:val="18"/>
          <w:szCs w:val="18"/>
          <w:shd w:val="clear" w:fill="FFFFFF"/>
        </w:rPr>
        <w:t>(11).</w:t>
      </w:r>
    </w:p>
    <w:p w14:paraId="34A466F3">
      <w:pPr>
        <w:rPr>
          <w:rFonts w:hint="default" w:ascii="Arial" w:hAnsi="Arial" w:eastAsia="Helvetica" w:cs="Arial"/>
          <w:i w:val="0"/>
          <w:iCs w:val="0"/>
          <w:caps w:val="0"/>
          <w:color w:val="3A3A3A"/>
          <w:spacing w:val="0"/>
          <w:sz w:val="18"/>
          <w:szCs w:val="18"/>
          <w:shd w:val="clear" w:fill="FFFFFF"/>
        </w:rPr>
      </w:pPr>
    </w:p>
    <w:p w14:paraId="3D1F65FB">
      <w:pPr>
        <w:rPr>
          <w:rFonts w:hint="default" w:ascii="Arial" w:hAnsi="Arial" w:eastAsia="Helvetica" w:cs="Arial"/>
          <w:i w:val="0"/>
          <w:iCs w:val="0"/>
          <w:caps w:val="0"/>
          <w:color w:val="3A3A3A"/>
          <w:spacing w:val="0"/>
          <w:sz w:val="18"/>
          <w:szCs w:val="18"/>
          <w:shd w:val="clear" w:fill="FFFFFF"/>
        </w:rPr>
      </w:pPr>
      <w:r>
        <w:rPr>
          <w:rFonts w:hint="default" w:ascii="Arial" w:hAnsi="Arial" w:eastAsia="宋体" w:cs="Arial"/>
          <w:i w:val="0"/>
          <w:iCs w:val="0"/>
          <w:caps w:val="0"/>
          <w:color w:val="3A3A3A"/>
          <w:spacing w:val="0"/>
          <w:sz w:val="18"/>
          <w:szCs w:val="18"/>
          <w:shd w:val="clear" w:fill="FFFFFF"/>
          <w:lang w:val="en-US" w:eastAsia="zh-CN"/>
        </w:rPr>
        <w:t>8.</w:t>
      </w:r>
      <w:r>
        <w:rPr>
          <w:rFonts w:hint="default" w:ascii="Arial" w:hAnsi="Arial" w:eastAsia="Helvetica" w:cs="Arial"/>
          <w:i w:val="0"/>
          <w:iCs w:val="0"/>
          <w:caps w:val="0"/>
          <w:color w:val="3A3A3A"/>
          <w:spacing w:val="0"/>
          <w:sz w:val="18"/>
          <w:szCs w:val="18"/>
          <w:shd w:val="clear" w:fill="FFFFFF"/>
        </w:rPr>
        <w:t>Kirkland, E. (2012). Gothic Videogames, Survival Horror, and the Silent Hill Series. </w:t>
      </w:r>
      <w:r>
        <w:rPr>
          <w:rFonts w:hint="default" w:ascii="Arial" w:hAnsi="Arial" w:eastAsia="Helvetica" w:cs="Arial"/>
          <w:i/>
          <w:iCs/>
          <w:caps w:val="0"/>
          <w:color w:val="3A3A3A"/>
          <w:spacing w:val="0"/>
          <w:sz w:val="18"/>
          <w:szCs w:val="18"/>
          <w:shd w:val="clear" w:fill="FFFFFF"/>
        </w:rPr>
        <w:t>Gothic Studies.</w:t>
      </w:r>
      <w:r>
        <w:rPr>
          <w:rFonts w:hint="default" w:ascii="Arial" w:hAnsi="Arial" w:eastAsia="Helvetica" w:cs="Arial"/>
          <w:i w:val="0"/>
          <w:iCs w:val="0"/>
          <w:caps w:val="0"/>
          <w:color w:val="3A3A3A"/>
          <w:spacing w:val="0"/>
          <w:sz w:val="18"/>
          <w:szCs w:val="18"/>
          <w:shd w:val="clear" w:fill="FFFFFF"/>
        </w:rPr>
        <w:t>, </w:t>
      </w:r>
      <w:r>
        <w:rPr>
          <w:rFonts w:hint="default" w:ascii="Arial" w:hAnsi="Arial" w:eastAsia="Helvetica" w:cs="Arial"/>
          <w:i/>
          <w:iCs/>
          <w:caps w:val="0"/>
          <w:color w:val="3A3A3A"/>
          <w:spacing w:val="0"/>
          <w:sz w:val="18"/>
          <w:szCs w:val="18"/>
          <w:shd w:val="clear" w:fill="FFFFFF"/>
        </w:rPr>
        <w:t>14</w:t>
      </w:r>
      <w:r>
        <w:rPr>
          <w:rFonts w:hint="default" w:ascii="Arial" w:hAnsi="Arial" w:eastAsia="Helvetica" w:cs="Arial"/>
          <w:i w:val="0"/>
          <w:iCs w:val="0"/>
          <w:caps w:val="0"/>
          <w:color w:val="3A3A3A"/>
          <w:spacing w:val="0"/>
          <w:sz w:val="18"/>
          <w:szCs w:val="18"/>
          <w:shd w:val="clear" w:fill="FFFFFF"/>
        </w:rPr>
        <w:t>(2).</w:t>
      </w:r>
    </w:p>
    <w:p w14:paraId="03789C27">
      <w:pPr>
        <w:rPr>
          <w:rFonts w:hint="default" w:ascii="Arial" w:hAnsi="Arial" w:eastAsia="Helvetica" w:cs="Arial"/>
          <w:i w:val="0"/>
          <w:iCs w:val="0"/>
          <w:caps w:val="0"/>
          <w:color w:val="3A3A3A"/>
          <w:spacing w:val="0"/>
          <w:sz w:val="18"/>
          <w:szCs w:val="18"/>
          <w:shd w:val="clear" w:fill="FFFFFF"/>
        </w:rPr>
      </w:pPr>
    </w:p>
    <w:p w14:paraId="38EFAA94">
      <w:pPr>
        <w:rPr>
          <w:rFonts w:hint="default" w:ascii="Arial" w:hAnsi="Arial" w:eastAsia="Helvetica" w:cs="Arial"/>
          <w:i w:val="0"/>
          <w:iCs w:val="0"/>
          <w:caps w:val="0"/>
          <w:color w:val="3A3A3A"/>
          <w:spacing w:val="0"/>
          <w:sz w:val="18"/>
          <w:szCs w:val="18"/>
          <w:shd w:val="clear" w:fill="FFFFFF"/>
        </w:rPr>
      </w:pPr>
      <w:r>
        <w:rPr>
          <w:rFonts w:hint="default" w:ascii="Arial" w:hAnsi="Arial" w:eastAsia="宋体" w:cs="Arial"/>
          <w:i w:val="0"/>
          <w:iCs w:val="0"/>
          <w:caps w:val="0"/>
          <w:color w:val="3A3A3A"/>
          <w:spacing w:val="0"/>
          <w:sz w:val="18"/>
          <w:szCs w:val="18"/>
          <w:shd w:val="clear" w:fill="FFFFFF"/>
          <w:lang w:val="en-US" w:eastAsia="zh-CN"/>
        </w:rPr>
        <w:t>10.</w:t>
      </w:r>
      <w:r>
        <w:rPr>
          <w:rFonts w:hint="default" w:ascii="Arial" w:hAnsi="Arial" w:eastAsia="Helvetica" w:cs="Arial"/>
          <w:i w:val="0"/>
          <w:iCs w:val="0"/>
          <w:caps w:val="0"/>
          <w:color w:val="3A3A3A"/>
          <w:spacing w:val="0"/>
          <w:sz w:val="18"/>
          <w:szCs w:val="18"/>
          <w:shd w:val="clear" w:fill="FFFFFF"/>
        </w:rPr>
        <w:t>Greuter, S. (2024). </w:t>
      </w:r>
      <w:r>
        <w:rPr>
          <w:rFonts w:hint="default" w:ascii="Arial" w:hAnsi="Arial" w:eastAsia="Helvetica" w:cs="Arial"/>
          <w:i/>
          <w:iCs/>
          <w:caps w:val="0"/>
          <w:color w:val="3A3A3A"/>
          <w:spacing w:val="0"/>
          <w:sz w:val="18"/>
          <w:szCs w:val="18"/>
          <w:shd w:val="clear" w:fill="FFFFFF"/>
        </w:rPr>
        <w:t>Designing a Virtual Death VR Experience</w:t>
      </w:r>
      <w:r>
        <w:rPr>
          <w:rFonts w:hint="default" w:ascii="Arial" w:hAnsi="Arial" w:eastAsia="Helvetica" w:cs="Arial"/>
          <w:i w:val="0"/>
          <w:iCs w:val="0"/>
          <w:caps w:val="0"/>
          <w:color w:val="3A3A3A"/>
          <w:spacing w:val="0"/>
          <w:sz w:val="18"/>
          <w:szCs w:val="18"/>
          <w:shd w:val="clear" w:fill="FFFFFF"/>
        </w:rPr>
        <w:t>. 328–332.</w:t>
      </w:r>
    </w:p>
    <w:p w14:paraId="63694F9B">
      <w:pPr>
        <w:rPr>
          <w:rFonts w:hint="default" w:ascii="Arial" w:hAnsi="Arial" w:eastAsia="Helvetica" w:cs="Arial"/>
          <w:i w:val="0"/>
          <w:iCs w:val="0"/>
          <w:caps w:val="0"/>
          <w:color w:val="3A3A3A"/>
          <w:spacing w:val="0"/>
          <w:sz w:val="18"/>
          <w:szCs w:val="18"/>
          <w:shd w:val="clear" w:fill="FFFFFF"/>
        </w:rPr>
      </w:pPr>
    </w:p>
    <w:p w14:paraId="358EA575">
      <w:pPr>
        <w:rPr>
          <w:rFonts w:hint="default" w:ascii="Arial" w:hAnsi="Arial" w:eastAsia="Helvetica" w:cs="Arial"/>
          <w:i w:val="0"/>
          <w:iCs w:val="0"/>
          <w:caps w:val="0"/>
          <w:color w:val="3A3A3A"/>
          <w:spacing w:val="0"/>
          <w:sz w:val="18"/>
          <w:szCs w:val="18"/>
          <w:shd w:val="clear" w:fill="FFFFFF"/>
        </w:rPr>
      </w:pPr>
      <w:r>
        <w:rPr>
          <w:rFonts w:hint="default" w:ascii="Arial" w:hAnsi="Arial" w:eastAsia="宋体" w:cs="Arial"/>
          <w:i w:val="0"/>
          <w:iCs w:val="0"/>
          <w:caps w:val="0"/>
          <w:color w:val="3A3A3A"/>
          <w:spacing w:val="0"/>
          <w:sz w:val="18"/>
          <w:szCs w:val="18"/>
          <w:shd w:val="clear" w:fill="FFFFFF"/>
          <w:lang w:val="en-US" w:eastAsia="zh-CN"/>
        </w:rPr>
        <w:t>11.</w:t>
      </w:r>
      <w:r>
        <w:rPr>
          <w:rFonts w:hint="default" w:ascii="Arial" w:hAnsi="Arial" w:eastAsia="Helvetica" w:cs="Arial"/>
          <w:i w:val="0"/>
          <w:iCs w:val="0"/>
          <w:caps w:val="0"/>
          <w:color w:val="3A3A3A"/>
          <w:spacing w:val="0"/>
          <w:sz w:val="18"/>
          <w:szCs w:val="18"/>
          <w:shd w:val="clear" w:fill="FFFFFF"/>
        </w:rPr>
        <w:t xml:space="preserve">Greenberg, J., Solomon, S., &amp; Pyszczynski, T. (1997). Terror management theory of self-esteem and cultural worldviews: Empirical assessments and conceptual refinements. *Advances in Experimental Social Psychology, 29*, 61-139. https://doi.org/10.1016/S0065-2601(08)60016-7 </w:t>
      </w:r>
    </w:p>
    <w:p w14:paraId="1591693D">
      <w:pPr>
        <w:rPr>
          <w:rFonts w:hint="default" w:ascii="Arial" w:hAnsi="Arial" w:eastAsia="Helvetica" w:cs="Arial"/>
          <w:i w:val="0"/>
          <w:iCs w:val="0"/>
          <w:caps w:val="0"/>
          <w:color w:val="3A3A3A"/>
          <w:spacing w:val="0"/>
          <w:sz w:val="18"/>
          <w:szCs w:val="18"/>
          <w:shd w:val="clear" w:fill="FFFFFF"/>
        </w:rPr>
      </w:pPr>
    </w:p>
    <w:p w14:paraId="7348A5A6">
      <w:pPr>
        <w:rPr>
          <w:rFonts w:hint="default" w:ascii="Arial" w:hAnsi="Arial" w:eastAsia="Helvetica" w:cs="Arial"/>
          <w:i w:val="0"/>
          <w:iCs w:val="0"/>
          <w:caps w:val="0"/>
          <w:color w:val="3A3A3A"/>
          <w:spacing w:val="0"/>
          <w:sz w:val="18"/>
          <w:szCs w:val="18"/>
          <w:shd w:val="clear" w:fill="FFFFFF"/>
        </w:rPr>
      </w:pPr>
      <w:r>
        <w:rPr>
          <w:rFonts w:hint="default" w:ascii="Arial" w:hAnsi="Arial" w:eastAsia="宋体" w:cs="Arial"/>
          <w:i w:val="0"/>
          <w:iCs w:val="0"/>
          <w:caps w:val="0"/>
          <w:color w:val="3A3A3A"/>
          <w:spacing w:val="0"/>
          <w:sz w:val="18"/>
          <w:szCs w:val="18"/>
          <w:shd w:val="clear" w:fill="FFFFFF"/>
          <w:lang w:val="en-US" w:eastAsia="zh-CN"/>
        </w:rPr>
        <w:t>12.</w:t>
      </w:r>
      <w:r>
        <w:rPr>
          <w:rFonts w:hint="default" w:ascii="Arial" w:hAnsi="Arial" w:eastAsia="Helvetica" w:cs="Arial"/>
          <w:i w:val="0"/>
          <w:iCs w:val="0"/>
          <w:caps w:val="0"/>
          <w:color w:val="3A3A3A"/>
          <w:spacing w:val="0"/>
          <w:sz w:val="18"/>
          <w:szCs w:val="18"/>
          <w:shd w:val="clear" w:fill="FFFFFF"/>
        </w:rPr>
        <w:t xml:space="preserve">Zucker, H. M. (2020). Ethics of violent video games: A Schopenhauerian perspective. *Ethics and Information Technology, 22*(4), 303–312. https://doi.org/10.1007/s10676-020-09538-y </w:t>
      </w:r>
    </w:p>
    <w:p w14:paraId="2C7BF51A">
      <w:pPr>
        <w:rPr>
          <w:rFonts w:hint="default" w:ascii="Arial" w:hAnsi="Arial" w:eastAsia="Helvetica" w:cs="Arial"/>
          <w:i w:val="0"/>
          <w:iCs w:val="0"/>
          <w:caps w:val="0"/>
          <w:color w:val="3A3A3A"/>
          <w:spacing w:val="0"/>
          <w:sz w:val="18"/>
          <w:szCs w:val="18"/>
          <w:shd w:val="clear" w:fill="FFFFFF"/>
        </w:rPr>
      </w:pPr>
    </w:p>
    <w:p w14:paraId="5C0F3CBC">
      <w:pPr>
        <w:rPr>
          <w:rFonts w:hint="default" w:ascii="Arial" w:hAnsi="Arial" w:eastAsia="Helvetica" w:cs="Arial"/>
          <w:i w:val="0"/>
          <w:iCs w:val="0"/>
          <w:caps w:val="0"/>
          <w:color w:val="3A3A3A"/>
          <w:spacing w:val="0"/>
          <w:sz w:val="18"/>
          <w:szCs w:val="18"/>
          <w:shd w:val="clear" w:fill="FFFFFF"/>
        </w:rPr>
      </w:pPr>
      <w:r>
        <w:rPr>
          <w:rFonts w:hint="default" w:ascii="Arial" w:hAnsi="Arial" w:eastAsia="宋体" w:cs="Arial"/>
          <w:i w:val="0"/>
          <w:iCs w:val="0"/>
          <w:caps w:val="0"/>
          <w:color w:val="3A3A3A"/>
          <w:spacing w:val="0"/>
          <w:sz w:val="18"/>
          <w:szCs w:val="18"/>
          <w:shd w:val="clear" w:fill="FFFFFF"/>
          <w:lang w:val="en-US" w:eastAsia="zh-CN"/>
        </w:rPr>
        <w:t>13.</w:t>
      </w:r>
      <w:r>
        <w:rPr>
          <w:rFonts w:hint="default" w:ascii="Arial" w:hAnsi="Arial" w:eastAsia="Helvetica" w:cs="Arial"/>
          <w:i w:val="0"/>
          <w:iCs w:val="0"/>
          <w:caps w:val="0"/>
          <w:color w:val="3A3A3A"/>
          <w:spacing w:val="0"/>
          <w:sz w:val="18"/>
          <w:szCs w:val="18"/>
          <w:shd w:val="clear" w:fill="FFFFFF"/>
        </w:rPr>
        <w:t xml:space="preserve">Harvey, P. (2012). *An introduction to Buddhism: Teachings, history and practices* (2nd ed.). Cambridge University Press.  </w:t>
      </w:r>
    </w:p>
    <w:p w14:paraId="3C791543">
      <w:pPr>
        <w:numPr>
          <w:ilvl w:val="0"/>
          <w:numId w:val="0"/>
        </w:numPr>
        <w:rPr>
          <w:rFonts w:hint="default" w:ascii="Arial" w:hAnsi="Arial" w:cs="Arial"/>
          <w:sz w:val="18"/>
          <w:szCs w:val="18"/>
          <w:lang w:val="en-US" w:eastAsia="zh-CN"/>
        </w:rPr>
      </w:pPr>
    </w:p>
    <w:p w14:paraId="2080FF66">
      <w:pPr>
        <w:numPr>
          <w:ilvl w:val="0"/>
          <w:numId w:val="4"/>
        </w:numPr>
        <w:rPr>
          <w:rFonts w:hint="default" w:ascii="Arial" w:hAnsi="Arial" w:eastAsia="等线 Light" w:cs="Arial"/>
          <w:sz w:val="18"/>
          <w:szCs w:val="18"/>
          <w:lang w:val="en-US" w:eastAsia="zh-CN"/>
        </w:rPr>
      </w:pPr>
      <w:r>
        <w:rPr>
          <w:rFonts w:hint="default" w:ascii="Arial" w:hAnsi="Arial" w:eastAsia="等线 Light" w:cs="Arial"/>
          <w:sz w:val="18"/>
          <w:szCs w:val="18"/>
          <w:lang w:val="en-US" w:eastAsia="zh-CN"/>
        </w:rPr>
        <w:t>Van Manen, M. (2016).  Phenomenology of Practice: Meaning-Giving Methods in Phenomenological Research and Writing.  Routledge.</w:t>
      </w:r>
    </w:p>
    <w:p w14:paraId="688F9A72">
      <w:pPr>
        <w:numPr>
          <w:ilvl w:val="0"/>
          <w:numId w:val="4"/>
        </w:numPr>
        <w:rPr>
          <w:rFonts w:hint="default" w:ascii="Arial" w:hAnsi="Arial" w:eastAsia="等线 Light" w:cs="Arial"/>
          <w:sz w:val="18"/>
          <w:szCs w:val="18"/>
          <w:lang w:val="en-US" w:eastAsia="zh-CN"/>
        </w:rPr>
      </w:pPr>
      <w:r>
        <w:rPr>
          <w:rFonts w:hint="default" w:ascii="Arial" w:hAnsi="Arial" w:eastAsia="等线 Light" w:cs="Arial"/>
          <w:sz w:val="18"/>
          <w:szCs w:val="18"/>
          <w:lang w:val="en-US" w:eastAsia="zh-CN"/>
        </w:rPr>
        <w:t>Flyvbjerg, B. (2006).  Five misunderstandings about case-study research.  Qualitative Inquiry, 12(2), 219–245.</w:t>
      </w:r>
    </w:p>
    <w:p w14:paraId="1748AED5">
      <w:pPr>
        <w:numPr>
          <w:ilvl w:val="0"/>
          <w:numId w:val="0"/>
        </w:numPr>
        <w:rPr>
          <w:rFonts w:hint="default" w:ascii="Arial" w:hAnsi="Arial" w:cs="Arial"/>
          <w:sz w:val="18"/>
          <w:szCs w:val="18"/>
          <w:lang w:val="en-US" w:eastAsia="zh-CN"/>
        </w:rPr>
      </w:pPr>
    </w:p>
    <w:p w14:paraId="46BD7F93">
      <w:pPr>
        <w:numPr>
          <w:ilvl w:val="0"/>
          <w:numId w:val="0"/>
        </w:numPr>
        <w:rPr>
          <w:rFonts w:hint="default" w:ascii="Arial" w:hAnsi="Arial" w:cs="Arial"/>
          <w:sz w:val="18"/>
          <w:szCs w:val="18"/>
          <w:lang w:val="en-US" w:eastAsia="zh-CN"/>
        </w:rPr>
      </w:pPr>
      <w:r>
        <w:rPr>
          <w:rFonts w:hint="default" w:ascii="Arial" w:hAnsi="Arial" w:cs="Arial"/>
          <w:sz w:val="18"/>
          <w:szCs w:val="18"/>
          <w:lang w:val="en-US" w:eastAsia="zh-CN"/>
        </w:rPr>
        <w:t xml:space="preserve">16.Burke, B. L., Martens, A., &amp; Faucher, E. H. (2010). Two decades of terror management theory: A meta-analysis of mortality salience research. *Personality and Social Psychology Review, 14*(2), 155–195. https://doi.org/10.1177/1088868309352321  </w:t>
      </w:r>
    </w:p>
    <w:p w14:paraId="0CD03B5D">
      <w:pPr>
        <w:rPr>
          <w:rFonts w:hint="default" w:ascii="Arial" w:hAnsi="Arial" w:cs="Arial"/>
          <w:sz w:val="18"/>
          <w:szCs w:val="18"/>
          <w:lang w:val="en-US" w:eastAsia="zh-CN"/>
        </w:rPr>
      </w:pPr>
    </w:p>
    <w:p w14:paraId="48AB2736">
      <w:pPr>
        <w:rPr>
          <w:rFonts w:hint="default" w:ascii="Arial" w:hAnsi="Arial" w:cs="Arial"/>
          <w:sz w:val="18"/>
          <w:szCs w:val="18"/>
          <w:lang w:val="en-US" w:eastAsia="zh-CN"/>
        </w:rPr>
      </w:pPr>
      <w:r>
        <w:rPr>
          <w:rFonts w:hint="default" w:ascii="Arial" w:hAnsi="Arial" w:cs="Arial"/>
          <w:sz w:val="18"/>
          <w:szCs w:val="18"/>
          <w:lang w:val="en-US" w:eastAsia="zh-CN"/>
        </w:rPr>
        <w:t xml:space="preserve">17.Heidegger, M. (2010). *Being and time* (J. Stambaugh, Trans.). State University of New York Press. (Original work published 1927) </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Calibri Light">
    <w:panose1 w:val="020F0302020204030204"/>
    <w:charset w:val="00"/>
    <w:family w:val="auto"/>
    <w:pitch w:val="default"/>
    <w:sig w:usb0="E4002EFF" w:usb1="C2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 w:name="方正粗黑宋简体">
    <w:panose1 w:val="02000000000000000000"/>
    <w:charset w:val="86"/>
    <w:family w:val="auto"/>
    <w:pitch w:val="default"/>
    <w:sig w:usb0="A00002BF" w:usb1="184F6CFA" w:usb2="00000012" w:usb3="00000000" w:csb0="00040001" w:csb1="00000000"/>
  </w:font>
  <w:font w:name="仓耳舒圆体 W01">
    <w:panose1 w:val="02020400000000000000"/>
    <w:charset w:val="86"/>
    <w:family w:val="auto"/>
    <w:pitch w:val="default"/>
    <w:sig w:usb0="80000003" w:usb1="08012000" w:usb2="00000012" w:usb3="00000000" w:csb0="00040001" w:csb1="00000000"/>
  </w:font>
  <w:font w:name="仓耳舒圆体 W02">
    <w:panose1 w:val="02020400000000000000"/>
    <w:charset w:val="86"/>
    <w:family w:val="auto"/>
    <w:pitch w:val="default"/>
    <w:sig w:usb0="80000003" w:usb1="08012000" w:usb2="00000012" w:usb3="00000000" w:csb0="00040001" w:csb1="00000000"/>
  </w:font>
  <w:font w:name="HONOR Sans">
    <w:panose1 w:val="00000200000000000000"/>
    <w:charset w:val="86"/>
    <w:family w:val="auto"/>
    <w:pitch w:val="default"/>
    <w:sig w:usb0="E10006FF" w:usb1="D005207B" w:usb2="00010008" w:usb3="00000000" w:csb0="6004019F" w:csb1="DFD70000"/>
  </w:font>
  <w:font w:name="Arial">
    <w:panose1 w:val="020B0604020202020204"/>
    <w:charset w:val="00"/>
    <w:family w:val="auto"/>
    <w:pitch w:val="default"/>
    <w:sig w:usb0="E0002EFF" w:usb1="C000785B" w:usb2="00000009" w:usb3="00000000" w:csb0="400001FF" w:csb1="FFFF0000"/>
  </w:font>
  <w:font w:name="更纱黑体 UI SC Xlight">
    <w:panose1 w:val="02000300000000000000"/>
    <w:charset w:val="86"/>
    <w:family w:val="auto"/>
    <w:pitch w:val="default"/>
    <w:sig w:usb0="F10002FF" w:usb1="6BDFFDFF" w:usb2="0000001F" w:usb3="00100000" w:csb0="2004019F" w:csb1="C4000000"/>
  </w:font>
  <w:font w:name="Courier New">
    <w:panose1 w:val="02070309020205020404"/>
    <w:charset w:val="00"/>
    <w:family w:val="auto"/>
    <w:pitch w:val="default"/>
    <w:sig w:usb0="E0002EFF" w:usb1="C0007843"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361EA55"/>
    <w:multiLevelType w:val="singleLevel"/>
    <w:tmpl w:val="A361EA55"/>
    <w:lvl w:ilvl="0" w:tentative="0">
      <w:start w:val="1"/>
      <w:numFmt w:val="decimal"/>
      <w:suff w:val="space"/>
      <w:lvlText w:val="%1."/>
      <w:lvlJc w:val="left"/>
    </w:lvl>
  </w:abstractNum>
  <w:abstractNum w:abstractNumId="1">
    <w:nsid w:val="DD603FE1"/>
    <w:multiLevelType w:val="singleLevel"/>
    <w:tmpl w:val="DD603FE1"/>
    <w:lvl w:ilvl="0" w:tentative="0">
      <w:start w:val="14"/>
      <w:numFmt w:val="decimal"/>
      <w:lvlText w:val="%1."/>
      <w:lvlJc w:val="left"/>
      <w:pPr>
        <w:tabs>
          <w:tab w:val="left" w:pos="312"/>
        </w:tabs>
      </w:pPr>
    </w:lvl>
  </w:abstractNum>
  <w:abstractNum w:abstractNumId="2">
    <w:nsid w:val="3B08D482"/>
    <w:multiLevelType w:val="singleLevel"/>
    <w:tmpl w:val="3B08D482"/>
    <w:lvl w:ilvl="0" w:tentative="0">
      <w:start w:val="6"/>
      <w:numFmt w:val="chineseCounting"/>
      <w:suff w:val="nothing"/>
      <w:lvlText w:val="%1．"/>
      <w:lvlJc w:val="left"/>
      <w:rPr>
        <w:rFonts w:hint="eastAsia"/>
      </w:rPr>
    </w:lvl>
  </w:abstractNum>
  <w:abstractNum w:abstractNumId="3">
    <w:nsid w:val="630BE1BC"/>
    <w:multiLevelType w:val="singleLevel"/>
    <w:tmpl w:val="630BE1BC"/>
    <w:lvl w:ilvl="0" w:tentative="0">
      <w:start w:val="3"/>
      <w:numFmt w:val="chineseCounting"/>
      <w:suff w:val="nothing"/>
      <w:lvlText w:val="%1．"/>
      <w:lvlJc w:val="left"/>
      <w:rPr>
        <w:rFonts w:hint="eastAsia"/>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E86389F"/>
    <w:rsid w:val="069A7154"/>
    <w:rsid w:val="0EF619A0"/>
    <w:rsid w:val="17B5112B"/>
    <w:rsid w:val="1C6654F6"/>
    <w:rsid w:val="1E86389F"/>
    <w:rsid w:val="2079244B"/>
    <w:rsid w:val="22B5574C"/>
    <w:rsid w:val="22E10EC8"/>
    <w:rsid w:val="260248BE"/>
    <w:rsid w:val="2CE72BBB"/>
    <w:rsid w:val="35780FBB"/>
    <w:rsid w:val="3A7A0959"/>
    <w:rsid w:val="407461B8"/>
    <w:rsid w:val="46000009"/>
    <w:rsid w:val="4F3A1E5F"/>
    <w:rsid w:val="58F54C3C"/>
    <w:rsid w:val="5A6A5472"/>
    <w:rsid w:val="5BB2047B"/>
    <w:rsid w:val="65997D67"/>
    <w:rsid w:val="67490F3A"/>
    <w:rsid w:val="6FA028AE"/>
    <w:rsid w:val="71B526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rPr>
      <w:sz w:val="24"/>
    </w:rPr>
  </w:style>
  <w:style w:type="character" w:styleId="5">
    <w:name w:val="Emphasis"/>
    <w:basedOn w:val="4"/>
    <w:qFormat/>
    <w:uiPriority w:val="0"/>
    <w:rPr>
      <w:i/>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12</Pages>
  <Words>4694</Words>
  <Characters>25133</Characters>
  <Lines>0</Lines>
  <Paragraphs>0</Paragraphs>
  <TotalTime>4</TotalTime>
  <ScaleCrop>false</ScaleCrop>
  <LinksUpToDate>false</LinksUpToDate>
  <CharactersWithSpaces>29811</CharactersWithSpaces>
  <Application>WPS Office_12.1.0.20305_F1E327BC-269C-435d-A152-05C5408002CA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2025-04-28T11:34:00Z</dcterms:created>
  <dc:creator>never be carry k</dc:creator>
  <cp:lastModifiedBy>never be carry k</cp:lastModifiedBy>
  <dcterms:modified xsi:type="dcterms:W3CDTF">2025-05-05T21:40:09Z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2052-12.1.0.20305</vt:lpwstr>
  </property>
  <property fmtid="{D5CDD505-2E9C-101B-9397-08002B2CF9AE}" pid="3" name="ICV">
    <vt:lpwstr>966080803F494A449138B5A23122BE7A_11</vt:lpwstr>
  </property>
  <property fmtid="{D5CDD505-2E9C-101B-9397-08002B2CF9AE}" pid="4" name="KSOTemplateDocerSaveRecord">
    <vt:lpwstr>eyJoZGlkIjoiMDliMDljYzM0NzM5Yzg0NWJmNTMyNjgwYWZhZWE5NDEiLCJ1c2VySWQiOiI0MzUxMDg1MDUifQ==</vt:lpwstr>
  </property>
</Properties>
</file>