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367538" w14:textId="77777777" w:rsidR="00CC3107" w:rsidRPr="00C212C6" w:rsidRDefault="00CC3107" w:rsidP="00CC3107">
      <w:pPr>
        <w:spacing w:line="480" w:lineRule="auto"/>
        <w:jc w:val="center"/>
        <w:rPr>
          <w:rFonts w:cstheme="minorHAnsi"/>
          <w:sz w:val="24"/>
          <w:szCs w:val="24"/>
        </w:rPr>
      </w:pPr>
      <w:r w:rsidRPr="00C212C6">
        <w:rPr>
          <w:rFonts w:cstheme="minorHAnsi"/>
          <w:sz w:val="24"/>
          <w:szCs w:val="24"/>
        </w:rPr>
        <w:t>The question raises issues related to the ingredients for the formation of a valid contract. These include an offer, acceptance, intention to create legal relations and consideration. Each claimant will be dealt with separately below.</w:t>
      </w:r>
    </w:p>
    <w:p w14:paraId="733BED56" w14:textId="77777777" w:rsidR="00CC3107" w:rsidRPr="00C212C6" w:rsidRDefault="00CC3107" w:rsidP="00CC3107">
      <w:pPr>
        <w:spacing w:line="480" w:lineRule="auto"/>
        <w:rPr>
          <w:rFonts w:cstheme="minorHAnsi"/>
          <w:b/>
          <w:sz w:val="24"/>
          <w:szCs w:val="24"/>
        </w:rPr>
      </w:pPr>
      <w:r w:rsidRPr="00C212C6">
        <w:rPr>
          <w:rFonts w:cstheme="minorHAnsi"/>
          <w:b/>
          <w:sz w:val="24"/>
          <w:szCs w:val="24"/>
        </w:rPr>
        <w:t>Kate:</w:t>
      </w:r>
    </w:p>
    <w:p w14:paraId="5D0CF028" w14:textId="77777777" w:rsidR="00CC3107" w:rsidRPr="00C212C6" w:rsidRDefault="00CC3107" w:rsidP="00CC3107">
      <w:pPr>
        <w:spacing w:line="480" w:lineRule="auto"/>
        <w:rPr>
          <w:rFonts w:cstheme="minorHAnsi"/>
          <w:sz w:val="24"/>
          <w:szCs w:val="24"/>
        </w:rPr>
      </w:pPr>
      <w:r w:rsidRPr="00C212C6">
        <w:rPr>
          <w:rFonts w:cstheme="minorHAnsi"/>
          <w:sz w:val="24"/>
          <w:szCs w:val="24"/>
        </w:rPr>
        <w:t>Firstly, it is essential to define what an offer is and how it is different from an invitation to treat. According to Furmston and Tolhurst, an offer is “</w:t>
      </w:r>
      <w:r w:rsidRPr="00C212C6">
        <w:rPr>
          <w:rFonts w:cstheme="minorHAnsi"/>
          <w:i/>
          <w:iCs/>
          <w:sz w:val="24"/>
          <w:szCs w:val="24"/>
        </w:rPr>
        <w:t>a clear expression of an unequivocal willingness to be bound upon the offeree’s acceptance</w:t>
      </w:r>
      <w:r w:rsidRPr="00C212C6">
        <w:rPr>
          <w:rFonts w:cstheme="minorHAnsi"/>
          <w:sz w:val="24"/>
          <w:szCs w:val="24"/>
        </w:rPr>
        <w:t xml:space="preserve">.” In order to understand offer thoroughly, the case of </w:t>
      </w:r>
      <w:r w:rsidRPr="00C212C6">
        <w:rPr>
          <w:rFonts w:cstheme="minorHAnsi"/>
          <w:i/>
          <w:iCs/>
          <w:sz w:val="24"/>
          <w:szCs w:val="24"/>
        </w:rPr>
        <w:t>Storer v MCC</w:t>
      </w:r>
      <w:r w:rsidRPr="00C212C6">
        <w:rPr>
          <w:rFonts w:cstheme="minorHAnsi"/>
          <w:sz w:val="24"/>
          <w:szCs w:val="24"/>
        </w:rPr>
        <w:t xml:space="preserve"> will be referred to. Here, the council sent letters to the tenants, offering them to buy the houses. The statement was clear, precise, specific and contained the price as well. The courts held it to be an offer. Contrasting </w:t>
      </w:r>
      <w:r w:rsidRPr="00C212C6">
        <w:rPr>
          <w:rFonts w:cstheme="minorHAnsi"/>
          <w:i/>
          <w:iCs/>
          <w:sz w:val="24"/>
          <w:szCs w:val="24"/>
        </w:rPr>
        <w:t>Storer</w:t>
      </w:r>
      <w:r w:rsidRPr="00C212C6">
        <w:rPr>
          <w:rFonts w:cstheme="minorHAnsi"/>
          <w:sz w:val="24"/>
          <w:szCs w:val="24"/>
        </w:rPr>
        <w:t xml:space="preserve"> to </w:t>
      </w:r>
      <w:r w:rsidRPr="00C212C6">
        <w:rPr>
          <w:rFonts w:cstheme="minorHAnsi"/>
          <w:i/>
          <w:iCs/>
          <w:sz w:val="24"/>
          <w:szCs w:val="24"/>
        </w:rPr>
        <w:t>Gibson v MCC</w:t>
      </w:r>
      <w:r w:rsidRPr="00C212C6">
        <w:rPr>
          <w:rFonts w:cstheme="minorHAnsi"/>
          <w:sz w:val="24"/>
          <w:szCs w:val="24"/>
        </w:rPr>
        <w:t xml:space="preserve">, where the statement was held to be an invitation to treat. An invitation to treat is an expression of willingness to enter into negotiations, which may or may not lead to a contract in the future. In </w:t>
      </w:r>
      <w:r w:rsidRPr="00C212C6">
        <w:rPr>
          <w:rFonts w:cstheme="minorHAnsi"/>
          <w:i/>
          <w:iCs/>
          <w:sz w:val="24"/>
          <w:szCs w:val="24"/>
        </w:rPr>
        <w:t>Gibson</w:t>
      </w:r>
      <w:r w:rsidRPr="00C212C6">
        <w:rPr>
          <w:rFonts w:cstheme="minorHAnsi"/>
          <w:sz w:val="24"/>
          <w:szCs w:val="24"/>
        </w:rPr>
        <w:t>, the statement consisted of the wordings ‘may be prepared to sell’ which are not specific but are, instead, quite vague.</w:t>
      </w:r>
    </w:p>
    <w:p w14:paraId="5466085F" w14:textId="77777777" w:rsidR="00CC3107" w:rsidRPr="00C212C6" w:rsidRDefault="00CC3107" w:rsidP="00CC3107">
      <w:pPr>
        <w:spacing w:line="480" w:lineRule="auto"/>
        <w:rPr>
          <w:rFonts w:cstheme="minorHAnsi"/>
          <w:sz w:val="24"/>
          <w:szCs w:val="24"/>
        </w:rPr>
      </w:pPr>
      <w:r w:rsidRPr="00C212C6">
        <w:rPr>
          <w:rFonts w:cstheme="minorHAnsi"/>
          <w:sz w:val="24"/>
          <w:szCs w:val="24"/>
        </w:rPr>
        <w:t xml:space="preserve">Moreover, the price was also not mentioned due to which it was considered an invitation to treat. The most prominent distinguishing factor between an offer and an invitation to treat is intention. This context intends to determine whether the offeree intended to be bound by acceptance without any further negotiations. If he did, it would be an offer, and if not, it will be an invitation to treat. </w:t>
      </w:r>
    </w:p>
    <w:p w14:paraId="695BF62E" w14:textId="77777777" w:rsidR="00CC3107" w:rsidRPr="00C212C6" w:rsidRDefault="00CC3107" w:rsidP="00CC3107">
      <w:pPr>
        <w:spacing w:line="480" w:lineRule="auto"/>
        <w:rPr>
          <w:rFonts w:cstheme="minorHAnsi"/>
          <w:sz w:val="24"/>
          <w:szCs w:val="24"/>
        </w:rPr>
      </w:pPr>
      <w:r w:rsidRPr="00C212C6">
        <w:rPr>
          <w:rFonts w:cstheme="minorHAnsi"/>
          <w:sz w:val="24"/>
          <w:szCs w:val="24"/>
        </w:rPr>
        <w:t xml:space="preserve">Considering the definitions mentioned above and discussion, it is likely that Jack’s statement is an invitation to treat. This is because his statement is vague and calls for further negotiations if </w:t>
      </w:r>
      <w:r w:rsidRPr="00C212C6">
        <w:rPr>
          <w:rFonts w:cstheme="minorHAnsi"/>
          <w:sz w:val="24"/>
          <w:szCs w:val="24"/>
        </w:rPr>
        <w:lastRenderedPageBreak/>
        <w:t xml:space="preserve">needed. Jack’s invitation to treat amounts to an advertisement because, as a general rule, advertisements that eventually lead to a bilateral contract (two-way promise) call for further negotiations and the advert’s viewer makes the offer. Such is true in the current case as Jack’s statement intimidates further negotiations and Kate makes the first offer. Prominent case law for such a situation is </w:t>
      </w:r>
      <w:r w:rsidRPr="00C212C6">
        <w:rPr>
          <w:rFonts w:cstheme="minorHAnsi"/>
          <w:i/>
          <w:iCs/>
          <w:sz w:val="24"/>
          <w:szCs w:val="24"/>
        </w:rPr>
        <w:t>Partridge v Crittenden</w:t>
      </w:r>
      <w:r w:rsidRPr="00C212C6">
        <w:rPr>
          <w:rFonts w:cstheme="minorHAnsi"/>
          <w:sz w:val="24"/>
          <w:szCs w:val="24"/>
        </w:rPr>
        <w:t xml:space="preserve"> (1968).</w:t>
      </w:r>
    </w:p>
    <w:p w14:paraId="08004278" w14:textId="77777777" w:rsidR="00CC3107" w:rsidRPr="00C212C6" w:rsidRDefault="00CC3107" w:rsidP="00CC3107">
      <w:pPr>
        <w:spacing w:line="480" w:lineRule="auto"/>
        <w:rPr>
          <w:rFonts w:cstheme="minorHAnsi"/>
          <w:sz w:val="24"/>
          <w:szCs w:val="24"/>
        </w:rPr>
      </w:pPr>
      <w:r w:rsidRPr="00C212C6">
        <w:rPr>
          <w:rFonts w:cstheme="minorHAnsi"/>
          <w:sz w:val="24"/>
          <w:szCs w:val="24"/>
        </w:rPr>
        <w:t xml:space="preserve">Contrary to the Protection of Birds Act 1954, the appellant had advertised wild birds for sale. The court held that this was not an offer but rather, an invitation to treat. Lord Parker CJ reasoned that if the court were to hold this as an offer, the seller would be bound to sell the birds to whoever sees the advertisement, and this would be unworkable. In the given situation, the advertisement will lead to a bilateral contract and for a bilateral contract. The general rule is that advertisements are an invitation to treat. </w:t>
      </w:r>
    </w:p>
    <w:p w14:paraId="0D029D76" w14:textId="77777777" w:rsidR="00CC3107" w:rsidRPr="00C212C6" w:rsidRDefault="00CC3107" w:rsidP="00CC3107">
      <w:pPr>
        <w:spacing w:line="480" w:lineRule="auto"/>
        <w:rPr>
          <w:rFonts w:cstheme="minorHAnsi"/>
          <w:sz w:val="24"/>
          <w:szCs w:val="24"/>
        </w:rPr>
      </w:pPr>
      <w:r w:rsidRPr="00C212C6">
        <w:rPr>
          <w:rFonts w:cstheme="minorHAnsi"/>
          <w:sz w:val="24"/>
          <w:szCs w:val="24"/>
        </w:rPr>
        <w:t xml:space="preserve">Hence, concluding the argument, Kate has made an offer when she replies to the offer, and it is then up to Jack whether or not to accept it. Therefore, Jack and Kate have no binding contract, and Jack owes no liability to Kate. An exception to this general rule is given in </w:t>
      </w:r>
      <w:r w:rsidRPr="00C212C6">
        <w:rPr>
          <w:rFonts w:cstheme="minorHAnsi"/>
          <w:i/>
          <w:iCs/>
          <w:sz w:val="24"/>
          <w:szCs w:val="24"/>
        </w:rPr>
        <w:t>Carbolic Smokeball v Carlil</w:t>
      </w:r>
      <w:r w:rsidRPr="00C212C6">
        <w:rPr>
          <w:rFonts w:cstheme="minorHAnsi"/>
          <w:sz w:val="24"/>
          <w:szCs w:val="24"/>
        </w:rPr>
        <w:t>. It was held that for a unilateral contract (one-way promise), advertisements are offers and acceptance occurs when the act has been performed. However, this is inapplicable in the current scenario since the contract is bilateral.</w:t>
      </w:r>
    </w:p>
    <w:p w14:paraId="385F5D42" w14:textId="77777777" w:rsidR="00CC3107" w:rsidRPr="00C212C6" w:rsidRDefault="00CC3107" w:rsidP="00CC3107">
      <w:pPr>
        <w:spacing w:line="480" w:lineRule="auto"/>
        <w:rPr>
          <w:rFonts w:cstheme="minorHAnsi"/>
          <w:b/>
          <w:sz w:val="24"/>
          <w:szCs w:val="24"/>
        </w:rPr>
      </w:pPr>
    </w:p>
    <w:p w14:paraId="3D8978F4" w14:textId="77777777" w:rsidR="00CC3107" w:rsidRPr="00C212C6" w:rsidRDefault="00CC3107" w:rsidP="00CC3107">
      <w:pPr>
        <w:spacing w:line="480" w:lineRule="auto"/>
        <w:rPr>
          <w:rFonts w:cstheme="minorHAnsi"/>
          <w:b/>
          <w:sz w:val="24"/>
          <w:szCs w:val="24"/>
        </w:rPr>
      </w:pPr>
      <w:r w:rsidRPr="00C212C6">
        <w:rPr>
          <w:rFonts w:cstheme="minorHAnsi"/>
          <w:b/>
          <w:sz w:val="24"/>
          <w:szCs w:val="24"/>
        </w:rPr>
        <w:t>Logan:</w:t>
      </w:r>
    </w:p>
    <w:p w14:paraId="5DF20985" w14:textId="77777777" w:rsidR="00CC3107" w:rsidRPr="00C212C6" w:rsidRDefault="00CC3107" w:rsidP="00CC3107">
      <w:pPr>
        <w:spacing w:line="480" w:lineRule="auto"/>
        <w:rPr>
          <w:rFonts w:cstheme="minorHAnsi"/>
          <w:sz w:val="24"/>
          <w:szCs w:val="24"/>
        </w:rPr>
      </w:pPr>
      <w:r w:rsidRPr="00C212C6">
        <w:rPr>
          <w:rFonts w:cstheme="minorHAnsi"/>
          <w:sz w:val="24"/>
          <w:szCs w:val="24"/>
        </w:rPr>
        <w:t xml:space="preserve">Here, Logan made an offer when he stated that he would be performing on the 23rd of May for 750 pounds. Jack accepted the offer on the 1st of May when he wrote back to Logan, agreeing </w:t>
      </w:r>
      <w:r w:rsidRPr="00C212C6">
        <w:rPr>
          <w:rFonts w:cstheme="minorHAnsi"/>
          <w:sz w:val="24"/>
          <w:szCs w:val="24"/>
        </w:rPr>
        <w:lastRenderedPageBreak/>
        <w:t xml:space="preserve">on the terms. Acceptance is defined as a </w:t>
      </w:r>
      <w:r w:rsidRPr="00C212C6">
        <w:rPr>
          <w:rFonts w:cstheme="minorHAnsi"/>
          <w:i/>
          <w:iCs/>
          <w:sz w:val="24"/>
          <w:szCs w:val="24"/>
        </w:rPr>
        <w:t>‘final and unqualified expression of assent to the terms of an offer’</w:t>
      </w:r>
      <w:r w:rsidRPr="00C212C6">
        <w:rPr>
          <w:rFonts w:cstheme="minorHAnsi"/>
          <w:sz w:val="24"/>
          <w:szCs w:val="24"/>
        </w:rPr>
        <w:t>. This means that acceptance should mirror the offer and be an unconditional agreement to terms of the offer. Moreover, as a general rule, acceptance must be communicated to the offeror (</w:t>
      </w:r>
      <w:r w:rsidRPr="00C212C6">
        <w:rPr>
          <w:rFonts w:cstheme="minorHAnsi"/>
          <w:i/>
          <w:iCs/>
          <w:sz w:val="24"/>
          <w:szCs w:val="24"/>
        </w:rPr>
        <w:t>Entores v Miles</w:t>
      </w:r>
      <w:r w:rsidRPr="00C212C6">
        <w:rPr>
          <w:rFonts w:cstheme="minorHAnsi"/>
          <w:sz w:val="24"/>
          <w:szCs w:val="24"/>
        </w:rPr>
        <w:t>). In the current case, the offer’s communication took place by post, which means that it is reasonable to use the post as a method of acceptance (</w:t>
      </w:r>
      <w:r w:rsidRPr="00C212C6">
        <w:rPr>
          <w:rFonts w:cstheme="minorHAnsi"/>
          <w:i/>
          <w:iCs/>
          <w:sz w:val="24"/>
          <w:szCs w:val="24"/>
        </w:rPr>
        <w:t>Henthorn v Fraser</w:t>
      </w:r>
      <w:r w:rsidRPr="00C212C6">
        <w:rPr>
          <w:rFonts w:cstheme="minorHAnsi"/>
          <w:sz w:val="24"/>
          <w:szCs w:val="24"/>
        </w:rPr>
        <w:t xml:space="preserve">). The facts are silent as to whether Jack used the post as a method of acceptance and assuming he did, then the rules of postal acceptance will apply. For this, </w:t>
      </w:r>
      <w:r w:rsidRPr="00C212C6">
        <w:rPr>
          <w:rFonts w:cstheme="minorHAnsi"/>
          <w:i/>
          <w:iCs/>
          <w:sz w:val="24"/>
          <w:szCs w:val="24"/>
        </w:rPr>
        <w:t>Adams v Lindsell</w:t>
      </w:r>
      <w:r w:rsidRPr="00C212C6">
        <w:rPr>
          <w:rFonts w:cstheme="minorHAnsi"/>
          <w:sz w:val="24"/>
          <w:szCs w:val="24"/>
        </w:rPr>
        <w:t xml:space="preserve"> will be applied. In this case, the offer was posted on the 2nd of September and acceptance was posted on the 5th. Acceptance was expected by the 7th of September; however, it reached on the 9th, and the offeree had already entered into another contract on the 8th of September. The court held that contract was formed on the 5th, the day the acceptance was posted, and hence the defendant was in breach of the contract. This indicates that acceptance through postal rule occurs when the letter is posted, not when it reaches the offeror. Therefore, acceptance in the current case took place when Jack posted the letter of acceptance on the 1st of May. Hence, a binding contract was formed on the 1st of May. The difference between Logan and Kate’s situation is that Kate accepted terms of an invitation to treat which means that no binding contract was formed while Logan posted his offer first, to which acceptance took place on the 1st of May. </w:t>
      </w:r>
    </w:p>
    <w:p w14:paraId="29642E33" w14:textId="77777777" w:rsidR="00CC3107" w:rsidRPr="00C212C6" w:rsidRDefault="00CC3107" w:rsidP="00CC3107">
      <w:pPr>
        <w:spacing w:line="480" w:lineRule="auto"/>
        <w:rPr>
          <w:rFonts w:cstheme="minorHAnsi"/>
          <w:sz w:val="24"/>
          <w:szCs w:val="24"/>
        </w:rPr>
      </w:pPr>
      <w:r w:rsidRPr="00C212C6">
        <w:rPr>
          <w:rFonts w:cstheme="minorHAnsi"/>
          <w:sz w:val="24"/>
          <w:szCs w:val="24"/>
        </w:rPr>
        <w:t xml:space="preserve">The next issue is a breach of contract and the money Logan could have potentially earned had performed that night. Treitel defines a breach as </w:t>
      </w:r>
      <w:r w:rsidRPr="00C212C6">
        <w:rPr>
          <w:rFonts w:cstheme="minorHAnsi"/>
          <w:i/>
          <w:iCs/>
          <w:sz w:val="24"/>
          <w:szCs w:val="24"/>
        </w:rPr>
        <w:t xml:space="preserve">“a breach of contract is committed when a party without lawful excuse fails or refuses to perform what is due from him under the </w:t>
      </w:r>
      <w:proofErr w:type="gramStart"/>
      <w:r w:rsidRPr="00C212C6">
        <w:rPr>
          <w:rFonts w:cstheme="minorHAnsi"/>
          <w:i/>
          <w:iCs/>
          <w:sz w:val="24"/>
          <w:szCs w:val="24"/>
        </w:rPr>
        <w:t>contract, or</w:t>
      </w:r>
      <w:proofErr w:type="gramEnd"/>
      <w:r w:rsidRPr="00C212C6">
        <w:rPr>
          <w:rFonts w:cstheme="minorHAnsi"/>
          <w:i/>
          <w:iCs/>
          <w:sz w:val="24"/>
          <w:szCs w:val="24"/>
        </w:rPr>
        <w:t xml:space="preserve"> performs defectively or incapacitates himself from performing.”</w:t>
      </w:r>
      <w:r w:rsidRPr="00C212C6">
        <w:rPr>
          <w:rFonts w:cstheme="minorHAnsi"/>
          <w:sz w:val="24"/>
          <w:szCs w:val="24"/>
        </w:rPr>
        <w:t xml:space="preserve"> By disallowing Logan to </w:t>
      </w:r>
      <w:r w:rsidRPr="00C212C6">
        <w:rPr>
          <w:rFonts w:cstheme="minorHAnsi"/>
          <w:sz w:val="24"/>
          <w:szCs w:val="24"/>
        </w:rPr>
        <w:lastRenderedPageBreak/>
        <w:t xml:space="preserve">perform on the 23rd, Jack is in breach of the contract. However, he compensates for the breach by paying him 750 pounds which is the amount Logan would have gotten had he performed on the 23rd of May. </w:t>
      </w:r>
    </w:p>
    <w:p w14:paraId="034D302D"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rPr>
        <w:t xml:space="preserve">The issue now is expectation loss: the money he could have earned if Logan had performed. English contract law protects expectation interest to the aggrieved party, and this is done by way of damages for the breach of contract. The purpose of protecting expectation interest to ensure that the aggrieved party gets the same benefit as they would have gotten if the contract had been performed. However, Logan can only claim his expectation loss if the loss suffered is not a remote consequence of the defendant’s contract breach. This principle has been put forward in </w:t>
      </w:r>
      <w:r w:rsidRPr="00C212C6">
        <w:rPr>
          <w:rFonts w:cstheme="minorHAnsi"/>
          <w:i/>
          <w:iCs/>
          <w:color w:val="000000" w:themeColor="text1"/>
          <w:sz w:val="24"/>
          <w:szCs w:val="24"/>
        </w:rPr>
        <w:t>Hadley v Baxendale</w:t>
      </w:r>
      <w:r w:rsidRPr="00C212C6">
        <w:rPr>
          <w:rFonts w:cstheme="minorHAnsi"/>
          <w:color w:val="000000" w:themeColor="text1"/>
          <w:sz w:val="24"/>
          <w:szCs w:val="24"/>
        </w:rPr>
        <w:t xml:space="preserve"> where it was held that damages would only be granted if it is fair and reasonable, and where the consequence of breach is not too remote. In the given case, the loss suffered is foreseeable and is not remote. This is because Logan could have quickly earned money on the performance night had he been given a chance. Moreover, this was also mentioned in the advertisement, which means that it was a substantial part of the performance. Due to this, the court is likely to award around 500 pounds of damages to Logan and hold Jack liable for breach of contract.</w:t>
      </w:r>
    </w:p>
    <w:p w14:paraId="433DD310" w14:textId="77777777" w:rsidR="00CC3107" w:rsidRPr="00C212C6" w:rsidRDefault="00CC3107" w:rsidP="00CC3107">
      <w:pPr>
        <w:spacing w:line="480" w:lineRule="auto"/>
        <w:rPr>
          <w:rFonts w:cstheme="minorHAnsi"/>
          <w:b/>
          <w:color w:val="000000" w:themeColor="text1"/>
          <w:sz w:val="24"/>
          <w:szCs w:val="24"/>
        </w:rPr>
      </w:pPr>
    </w:p>
    <w:p w14:paraId="35D6E6CE" w14:textId="77777777" w:rsidR="00CC3107" w:rsidRPr="00C212C6" w:rsidRDefault="00CC3107" w:rsidP="00CC3107">
      <w:pPr>
        <w:spacing w:line="480" w:lineRule="auto"/>
        <w:rPr>
          <w:rFonts w:cstheme="minorHAnsi"/>
          <w:b/>
          <w:color w:val="000000" w:themeColor="text1"/>
          <w:sz w:val="24"/>
          <w:szCs w:val="24"/>
        </w:rPr>
      </w:pPr>
      <w:r w:rsidRPr="00C212C6">
        <w:rPr>
          <w:rFonts w:cstheme="minorHAnsi"/>
          <w:b/>
          <w:color w:val="000000" w:themeColor="text1"/>
          <w:sz w:val="24"/>
          <w:szCs w:val="24"/>
        </w:rPr>
        <w:t>DJ Mason:</w:t>
      </w:r>
    </w:p>
    <w:p w14:paraId="10613D16"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rPr>
        <w:t xml:space="preserve">Here, the contract was formed on 12th of May, and as per the facts, Mason is in breach of the contract. This is since he has not performed his contractual obligations entirely. The relevant rule here is that of ‘entire obligation’ which originated from </w:t>
      </w:r>
      <w:r w:rsidRPr="00C212C6">
        <w:rPr>
          <w:rFonts w:cstheme="minorHAnsi"/>
          <w:i/>
          <w:iCs/>
          <w:color w:val="000000" w:themeColor="text1"/>
          <w:sz w:val="24"/>
          <w:szCs w:val="24"/>
        </w:rPr>
        <w:t>Cutter v Powel</w:t>
      </w:r>
      <w:r w:rsidRPr="00C212C6">
        <w:rPr>
          <w:rFonts w:cstheme="minorHAnsi"/>
          <w:color w:val="000000" w:themeColor="text1"/>
          <w:sz w:val="24"/>
          <w:szCs w:val="24"/>
        </w:rPr>
        <w:t xml:space="preserve"> where it was held </w:t>
      </w:r>
      <w:r w:rsidRPr="00C212C6">
        <w:rPr>
          <w:rFonts w:cstheme="minorHAnsi"/>
          <w:color w:val="000000" w:themeColor="text1"/>
          <w:sz w:val="24"/>
          <w:szCs w:val="24"/>
        </w:rPr>
        <w:lastRenderedPageBreak/>
        <w:t>that, ‘no completion, no pay.’ Applying this rule would mean that Mason is not entitled to any money. However, advice to Mason would be to seek the amount due by other means (mentioned below). While the ‘no completion no pay’ rule seems plausible, it gave rise to unjust enrichment of the non-breaching party. To mitigate this hardship, the court created exceptions to this general rule. An exception to this is that the rule will not apply where the breaching party has carried out a substantial part of its obligation (</w:t>
      </w:r>
      <w:r w:rsidRPr="00C212C6">
        <w:rPr>
          <w:rFonts w:cstheme="minorHAnsi"/>
          <w:i/>
          <w:iCs/>
          <w:color w:val="000000" w:themeColor="text1"/>
          <w:sz w:val="24"/>
          <w:szCs w:val="24"/>
        </w:rPr>
        <w:t>Hoenig v Isaacs, William v Roffey</w:t>
      </w:r>
      <w:r w:rsidRPr="00C212C6">
        <w:rPr>
          <w:rFonts w:cstheme="minorHAnsi"/>
          <w:color w:val="000000" w:themeColor="text1"/>
          <w:sz w:val="24"/>
          <w:szCs w:val="24"/>
        </w:rPr>
        <w:t xml:space="preserve">). While the breaching party has substantially carried out its obligation, the innocent (non-breaching party) is also required to carry out their significant part of the obligation; that is, payment. Hence, considering this argument, Mason has performed a substantial part of his obligation by performing for 2 out of 3 hours. This means that Jack will be obliged to carry out his part and pay Mason the amount. Trietel has criticised this rule as he stated, </w:t>
      </w:r>
      <w:r w:rsidRPr="00C212C6">
        <w:rPr>
          <w:rFonts w:cstheme="minorHAnsi"/>
          <w:i/>
          <w:iCs/>
          <w:color w:val="000000" w:themeColor="text1"/>
          <w:sz w:val="24"/>
          <w:szCs w:val="24"/>
        </w:rPr>
        <w:t>‘in relation to “entire” obligations, there is no scope for any doctrine of substantial performance.’</w:t>
      </w:r>
      <w:r w:rsidRPr="00C212C6">
        <w:rPr>
          <w:rFonts w:cstheme="minorHAnsi"/>
          <w:color w:val="000000" w:themeColor="text1"/>
          <w:sz w:val="24"/>
          <w:szCs w:val="24"/>
        </w:rPr>
        <w:t xml:space="preserve"> Nonetheless, the exception avoids unjust enrichment, which creates fairness; hence, the court is likely to apply the ‘substantial performance’ rule. </w:t>
      </w:r>
    </w:p>
    <w:p w14:paraId="7D713D12" w14:textId="77777777" w:rsidR="00CC3107" w:rsidRPr="00C212C6" w:rsidRDefault="00CC3107" w:rsidP="00CC3107">
      <w:pPr>
        <w:spacing w:line="480" w:lineRule="auto"/>
        <w:rPr>
          <w:rFonts w:cstheme="minorHAnsi"/>
          <w:b/>
          <w:color w:val="000000" w:themeColor="text1"/>
          <w:sz w:val="24"/>
          <w:szCs w:val="24"/>
        </w:rPr>
      </w:pPr>
      <w:r w:rsidRPr="00C212C6">
        <w:rPr>
          <w:rFonts w:cstheme="minorHAnsi"/>
          <w:b/>
          <w:color w:val="000000" w:themeColor="text1"/>
          <w:sz w:val="24"/>
          <w:szCs w:val="24"/>
        </w:rPr>
        <w:br w:type="page"/>
      </w:r>
    </w:p>
    <w:p w14:paraId="7C40D1B3" w14:textId="77777777" w:rsidR="00CC3107" w:rsidRPr="00C212C6" w:rsidRDefault="00CC3107" w:rsidP="00CC3107">
      <w:pPr>
        <w:spacing w:line="480" w:lineRule="auto"/>
        <w:rPr>
          <w:rFonts w:cstheme="minorHAnsi"/>
          <w:b/>
          <w:color w:val="000000" w:themeColor="text1"/>
          <w:sz w:val="24"/>
          <w:szCs w:val="24"/>
        </w:rPr>
      </w:pPr>
      <w:r w:rsidRPr="00C212C6">
        <w:rPr>
          <w:rFonts w:cstheme="minorHAnsi"/>
          <w:b/>
          <w:color w:val="000000" w:themeColor="text1"/>
          <w:sz w:val="24"/>
          <w:szCs w:val="24"/>
        </w:rPr>
        <w:lastRenderedPageBreak/>
        <w:t>Nell: Issue 1: Intention to create legal Relations</w:t>
      </w:r>
    </w:p>
    <w:p w14:paraId="5DB9AB19"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rPr>
        <w:t xml:space="preserve">The problem here is that although there has been an agreement, it does not mean that Nell and Jack are under a legally binding contract. This means that there has to be an intention to create legal relations to enforce the contract legally. The general rule for intention to create legal relations is that the courts do not presume the existence of such an intention in a domestic context16. This includes family and friends. The leading case for this is </w:t>
      </w:r>
      <w:r w:rsidRPr="00C212C6">
        <w:rPr>
          <w:rFonts w:cstheme="minorHAnsi"/>
          <w:i/>
          <w:iCs/>
          <w:color w:val="000000" w:themeColor="text1"/>
          <w:sz w:val="24"/>
          <w:szCs w:val="24"/>
        </w:rPr>
        <w:t>Balfour v Balfour</w:t>
      </w:r>
      <w:r w:rsidRPr="00C212C6">
        <w:rPr>
          <w:rFonts w:cstheme="minorHAnsi"/>
          <w:color w:val="000000" w:themeColor="text1"/>
          <w:sz w:val="24"/>
          <w:szCs w:val="24"/>
        </w:rPr>
        <w:t xml:space="preserve">, where the husband was not bound to give the wife a monthly allowance due to the presumption that there was no intention to create legal relations between them. However, this case for spouses indicates the presumption that the court applies for social/domestic context. A similar approach is followed for friends. An example of a social agreement case is </w:t>
      </w:r>
      <w:r w:rsidRPr="00C212C6">
        <w:rPr>
          <w:rFonts w:cstheme="minorHAnsi"/>
          <w:i/>
          <w:iCs/>
          <w:color w:val="000000" w:themeColor="text1"/>
          <w:sz w:val="24"/>
          <w:szCs w:val="24"/>
        </w:rPr>
        <w:t>Lens v Devonshire Social Club</w:t>
      </w:r>
      <w:r w:rsidRPr="00C212C6">
        <w:rPr>
          <w:rFonts w:cstheme="minorHAnsi"/>
          <w:color w:val="000000" w:themeColor="text1"/>
          <w:sz w:val="24"/>
          <w:szCs w:val="24"/>
        </w:rPr>
        <w:t xml:space="preserve"> where the courts presumed no intention to create legal relations in a competition in a golf club. This indicates where the relation is that of family or friends, and where there is a social/domestic context, the courts will not find the existence of an intention to create legal relations. An opposing view is taken for a commercial context where the intention is presumed unless proven otherwise (</w:t>
      </w:r>
      <w:r w:rsidRPr="00C212C6">
        <w:rPr>
          <w:rFonts w:cstheme="minorHAnsi"/>
          <w:i/>
          <w:iCs/>
          <w:color w:val="000000" w:themeColor="text1"/>
          <w:sz w:val="24"/>
          <w:szCs w:val="24"/>
        </w:rPr>
        <w:t>Esso v Customs</w:t>
      </w:r>
      <w:r w:rsidRPr="00C212C6">
        <w:rPr>
          <w:rFonts w:cstheme="minorHAnsi"/>
          <w:color w:val="000000" w:themeColor="text1"/>
          <w:sz w:val="24"/>
          <w:szCs w:val="24"/>
        </w:rPr>
        <w:t>). Applying the rule of social context to the current case, it can be said that there is no intention between Jack and Nell to bind themselves by a legally enforceable contract since they are friends. Next, Nell is advised to attempt to rebut the presumption to make the contract legally binding so that she is entitled to the 250 pounds. The presumption can be rebutted if the agreement is made in a business context if their reliance and lastly if the agreement is certain. In the given case, the agreement was not made in a business context but instead in a social context.</w:t>
      </w:r>
    </w:p>
    <w:p w14:paraId="36E5CDA7"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rPr>
        <w:lastRenderedPageBreak/>
        <w:t>Moreover, an influential factor for courts is a written agreement. However, this is absent in the current case, which means that the court may not be convinced that there was an intention to create legal relations (</w:t>
      </w:r>
      <w:r w:rsidRPr="00C212C6">
        <w:rPr>
          <w:rFonts w:cstheme="minorHAnsi"/>
          <w:i/>
          <w:iCs/>
          <w:color w:val="000000" w:themeColor="text1"/>
          <w:sz w:val="24"/>
          <w:szCs w:val="24"/>
        </w:rPr>
        <w:t>Merritt v Merritt, Soulsbury v Soulsbury</w:t>
      </w:r>
      <w:r w:rsidRPr="00C212C6">
        <w:rPr>
          <w:rFonts w:cstheme="minorHAnsi"/>
          <w:color w:val="000000" w:themeColor="text1"/>
          <w:sz w:val="24"/>
          <w:szCs w:val="24"/>
        </w:rPr>
        <w:t>). Furthermore, reliance also rebuts the presumption. However, as per the facts, Nell does not seem to be relying on the agreement to her detriment (</w:t>
      </w:r>
      <w:r w:rsidRPr="00C212C6">
        <w:rPr>
          <w:rFonts w:cstheme="minorHAnsi"/>
          <w:i/>
          <w:iCs/>
          <w:color w:val="000000" w:themeColor="text1"/>
          <w:sz w:val="24"/>
          <w:szCs w:val="24"/>
        </w:rPr>
        <w:t>Parker v Clark</w:t>
      </w:r>
      <w:r w:rsidRPr="00C212C6">
        <w:rPr>
          <w:rFonts w:cstheme="minorHAnsi"/>
          <w:color w:val="000000" w:themeColor="text1"/>
          <w:sz w:val="24"/>
          <w:szCs w:val="24"/>
        </w:rPr>
        <w:t>). The facts state that this was her ‘regular stand-up’ which indicates there has been no detrimental reliance on something which is a common act for her. Lastly, the agreement is not foolproof either since there is no mention of her performance-price (</w:t>
      </w:r>
      <w:r w:rsidRPr="00C212C6">
        <w:rPr>
          <w:rFonts w:cstheme="minorHAnsi"/>
          <w:i/>
          <w:iCs/>
          <w:color w:val="000000" w:themeColor="text1"/>
          <w:sz w:val="24"/>
          <w:szCs w:val="24"/>
        </w:rPr>
        <w:t>Vaughan v Vaughan</w:t>
      </w:r>
      <w:r w:rsidRPr="00C212C6">
        <w:rPr>
          <w:rFonts w:cstheme="minorHAnsi"/>
          <w:color w:val="000000" w:themeColor="text1"/>
          <w:sz w:val="24"/>
          <w:szCs w:val="24"/>
        </w:rPr>
        <w:t>). The price was quoted much after the performance took place. In conclusion, the court is likely to hold no intention to create legal relations between Nell and Jack and Jack is not liable to pay the amount.</w:t>
      </w:r>
    </w:p>
    <w:p w14:paraId="290F44E7" w14:textId="77777777" w:rsidR="00CC3107" w:rsidRPr="00C212C6" w:rsidRDefault="00CC3107" w:rsidP="00CC3107">
      <w:pPr>
        <w:spacing w:line="480" w:lineRule="auto"/>
        <w:rPr>
          <w:rFonts w:cstheme="minorHAnsi"/>
          <w:b/>
          <w:color w:val="000000" w:themeColor="text1"/>
          <w:sz w:val="24"/>
          <w:szCs w:val="24"/>
        </w:rPr>
      </w:pPr>
      <w:r w:rsidRPr="00C212C6">
        <w:rPr>
          <w:rFonts w:cstheme="minorHAnsi"/>
          <w:b/>
          <w:color w:val="000000" w:themeColor="text1"/>
          <w:sz w:val="24"/>
          <w:szCs w:val="24"/>
        </w:rPr>
        <w:t>Issue 2: Performance of Existing Duty under Consideration</w:t>
      </w:r>
    </w:p>
    <w:p w14:paraId="49D32576"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rPr>
        <w:t xml:space="preserve">The classic definition of consideration is given in Currie v Misa as </w:t>
      </w:r>
      <w:r w:rsidRPr="00C212C6">
        <w:rPr>
          <w:rFonts w:cstheme="minorHAnsi"/>
          <w:i/>
          <w:iCs/>
          <w:color w:val="000000" w:themeColor="text1"/>
          <w:sz w:val="24"/>
          <w:szCs w:val="24"/>
        </w:rPr>
        <w:t>“a valuable consideration, may consist either in some right, interest, profit or benefit accruing to one party, or some forbearance, detriment, loss or responsibility given, suffered or undertaken by other party.”</w:t>
      </w:r>
      <w:r w:rsidRPr="00C212C6">
        <w:rPr>
          <w:rFonts w:cstheme="minorHAnsi"/>
          <w:color w:val="000000" w:themeColor="text1"/>
          <w:sz w:val="24"/>
          <w:szCs w:val="24"/>
        </w:rPr>
        <w:t xml:space="preserve"> Put simply, consideration refers to the idea of ‘reciprocity’ which means that while the promisee is bearing some burden, the promisor is receiving some benefit and vice versa. Consideration operates on a specific set of rules. The applicable rule here is ‘past consideration’. If the parties have already carried out their obligations and a promise is made after the performance, the promise is not enforceable. This is because nothing ‘new or fresh’ is done in exchange for the ‘new promise’ given. The general rule for this is that past consideration is not fair consideration. The leading case is </w:t>
      </w:r>
      <w:r w:rsidRPr="00C212C6">
        <w:rPr>
          <w:rFonts w:cstheme="minorHAnsi"/>
          <w:i/>
          <w:iCs/>
          <w:color w:val="000000" w:themeColor="text1"/>
          <w:sz w:val="24"/>
          <w:szCs w:val="24"/>
        </w:rPr>
        <w:t>Re McArdle</w:t>
      </w:r>
      <w:r w:rsidRPr="00C212C6">
        <w:rPr>
          <w:rFonts w:cstheme="minorHAnsi"/>
          <w:color w:val="000000" w:themeColor="text1"/>
          <w:sz w:val="24"/>
          <w:szCs w:val="24"/>
        </w:rPr>
        <w:t xml:space="preserve">, where the wife carried out improvements in the house and was promised money after she had already made the improvements. The court held that </w:t>
      </w:r>
      <w:r w:rsidRPr="00C212C6">
        <w:rPr>
          <w:rFonts w:cstheme="minorHAnsi"/>
          <w:color w:val="000000" w:themeColor="text1"/>
          <w:sz w:val="24"/>
          <w:szCs w:val="24"/>
        </w:rPr>
        <w:lastRenderedPageBreak/>
        <w:t xml:space="preserve">consideration was past, and there was no fresh promise given by the wife and hence, applying the general rule was considered unenforceable. A similar approach is seen in </w:t>
      </w:r>
      <w:r w:rsidRPr="00C212C6">
        <w:rPr>
          <w:rFonts w:cstheme="minorHAnsi"/>
          <w:i/>
          <w:iCs/>
          <w:color w:val="000000" w:themeColor="text1"/>
          <w:sz w:val="24"/>
          <w:szCs w:val="24"/>
        </w:rPr>
        <w:t>Roscorla v Thomas</w:t>
      </w:r>
      <w:r w:rsidRPr="00C212C6">
        <w:rPr>
          <w:rFonts w:cstheme="minorHAnsi"/>
          <w:color w:val="000000" w:themeColor="text1"/>
          <w:sz w:val="24"/>
          <w:szCs w:val="24"/>
        </w:rPr>
        <w:t xml:space="preserve">. Applying the general rule to the facts, it is safe to say that Jack’s promise of paying 250 pounds will be held as unenforceable since past consideration is not adequate consideration. </w:t>
      </w:r>
    </w:p>
    <w:p w14:paraId="44510E03"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rPr>
        <w:t>However, Nell can argue exceptions to the general rule. The exception here is ‘implied assumpsit’, meaning that the promisee’s act was performed upon the promisor’s request (</w:t>
      </w:r>
      <w:r w:rsidRPr="00C212C6">
        <w:rPr>
          <w:rFonts w:cstheme="minorHAnsi"/>
          <w:i/>
          <w:iCs/>
          <w:color w:val="000000" w:themeColor="text1"/>
          <w:sz w:val="24"/>
          <w:szCs w:val="24"/>
        </w:rPr>
        <w:t>Lampleigh v Braithwait</w:t>
      </w:r>
      <w:r w:rsidRPr="00C212C6">
        <w:rPr>
          <w:rFonts w:cstheme="minorHAnsi"/>
          <w:color w:val="000000" w:themeColor="text1"/>
          <w:sz w:val="24"/>
          <w:szCs w:val="24"/>
        </w:rPr>
        <w:t xml:space="preserve">). Applying this, Nell did perform on the request of Jack since Mason’s performance had ended earlier than expected and because Nell performed without any prior promise of being paid. Nonetheless, this exception applies to strict limits. According to </w:t>
      </w:r>
      <w:r w:rsidRPr="00C212C6">
        <w:rPr>
          <w:rFonts w:cstheme="minorHAnsi"/>
          <w:i/>
          <w:iCs/>
          <w:color w:val="000000" w:themeColor="text1"/>
          <w:sz w:val="24"/>
          <w:szCs w:val="24"/>
        </w:rPr>
        <w:t xml:space="preserve">Pao </w:t>
      </w:r>
      <w:proofErr w:type="gramStart"/>
      <w:r w:rsidRPr="00C212C6">
        <w:rPr>
          <w:rFonts w:cstheme="minorHAnsi"/>
          <w:i/>
          <w:iCs/>
          <w:color w:val="000000" w:themeColor="text1"/>
          <w:sz w:val="24"/>
          <w:szCs w:val="24"/>
        </w:rPr>
        <w:t>On</w:t>
      </w:r>
      <w:proofErr w:type="gramEnd"/>
      <w:r w:rsidRPr="00C212C6">
        <w:rPr>
          <w:rFonts w:cstheme="minorHAnsi"/>
          <w:i/>
          <w:iCs/>
          <w:color w:val="000000" w:themeColor="text1"/>
          <w:sz w:val="24"/>
          <w:szCs w:val="24"/>
        </w:rPr>
        <w:t xml:space="preserve"> v Lau</w:t>
      </w:r>
      <w:r w:rsidRPr="00C212C6">
        <w:rPr>
          <w:rFonts w:cstheme="minorHAnsi"/>
          <w:color w:val="000000" w:themeColor="text1"/>
          <w:sz w:val="24"/>
          <w:szCs w:val="24"/>
        </w:rPr>
        <w:t xml:space="preserve">, three conditions must be met in order for the doctrine of implied assumpsit to be invoked. Firstly, that the promisee performed the act at the request of the promisor. This is true in the current case since Nell performed the stand-up upon Jack’s request. Secondly, it was mutually understood that once the act was done, the promisee will be rewarded. This is uncertain in the given case since the facts state that it was Nell’s ‘regular’ stand-up. It is unclear whether she was usually rewarded afterwards. However, because Jack offered to pay after the performance, Nell generally did not expect any reward because it would be a part of the agreement if she did. Lastly, the promise to pay was one that would be enforceable if it had been made prior. In the given case, as a general rule of understanding, Nell is supposed to be paid for her service, and if this promise had been made before her performance, it would most definitely have been enforceable. Therefore, this prong is met. </w:t>
      </w:r>
    </w:p>
    <w:p w14:paraId="74936360" w14:textId="77777777" w:rsidR="00CC3107" w:rsidRPr="00A0567B" w:rsidRDefault="00CC3107" w:rsidP="00CC3107">
      <w:pPr>
        <w:spacing w:line="480" w:lineRule="auto"/>
        <w:rPr>
          <w:rFonts w:cstheme="minorHAnsi"/>
          <w:color w:val="000000" w:themeColor="text1"/>
          <w:sz w:val="24"/>
          <w:szCs w:val="24"/>
          <w:shd w:val="clear" w:color="auto" w:fill="FFFFFF"/>
        </w:rPr>
      </w:pPr>
      <w:r w:rsidRPr="00C212C6">
        <w:rPr>
          <w:rFonts w:cstheme="minorHAnsi"/>
          <w:color w:val="000000" w:themeColor="text1"/>
          <w:sz w:val="24"/>
          <w:szCs w:val="24"/>
        </w:rPr>
        <w:t xml:space="preserve">In conclusion, the second prong of the exception is uncertain and provided that the courts apply this rule strictly, Nell may not be entitled to the money. </w:t>
      </w:r>
      <w:r w:rsidRPr="00C212C6">
        <w:rPr>
          <w:rFonts w:cstheme="minorHAnsi"/>
          <w:color w:val="000000" w:themeColor="text1"/>
          <w:sz w:val="24"/>
          <w:szCs w:val="24"/>
        </w:rPr>
        <w:br w:type="page"/>
      </w:r>
    </w:p>
    <w:p w14:paraId="5558555B" w14:textId="77777777" w:rsidR="00CC3107" w:rsidRPr="00C212C6" w:rsidRDefault="00CC3107" w:rsidP="00CC3107">
      <w:pPr>
        <w:pStyle w:val="ListParagraph"/>
        <w:spacing w:line="480" w:lineRule="auto"/>
        <w:ind w:left="0"/>
        <w:rPr>
          <w:rFonts w:cstheme="minorHAnsi"/>
          <w:color w:val="000000" w:themeColor="text1"/>
          <w:sz w:val="24"/>
          <w:szCs w:val="24"/>
        </w:rPr>
      </w:pPr>
      <w:r w:rsidRPr="00C212C6">
        <w:rPr>
          <w:rFonts w:cstheme="minorHAnsi"/>
          <w:color w:val="000000" w:themeColor="text1"/>
          <w:sz w:val="24"/>
          <w:szCs w:val="24"/>
        </w:rPr>
        <w:lastRenderedPageBreak/>
        <w:t>Bibliography:</w:t>
      </w:r>
    </w:p>
    <w:p w14:paraId="38CF6B16" w14:textId="77777777" w:rsidR="00CC3107" w:rsidRPr="00C212C6" w:rsidRDefault="00CC3107" w:rsidP="00CC3107">
      <w:pPr>
        <w:pStyle w:val="ListParagraph"/>
        <w:spacing w:line="480" w:lineRule="auto"/>
        <w:rPr>
          <w:rFonts w:cstheme="minorHAnsi"/>
          <w:color w:val="000000" w:themeColor="text1"/>
          <w:sz w:val="24"/>
          <w:szCs w:val="24"/>
        </w:rPr>
      </w:pPr>
    </w:p>
    <w:p w14:paraId="084BFB78" w14:textId="77777777" w:rsidR="00CC3107" w:rsidRPr="00C212C6" w:rsidRDefault="00CC3107" w:rsidP="00CC3107">
      <w:pPr>
        <w:spacing w:line="480" w:lineRule="auto"/>
        <w:rPr>
          <w:rFonts w:cstheme="minorHAnsi"/>
          <w:sz w:val="24"/>
          <w:szCs w:val="24"/>
        </w:rPr>
      </w:pPr>
      <w:r w:rsidRPr="00C212C6">
        <w:rPr>
          <w:rFonts w:cstheme="minorHAnsi"/>
          <w:sz w:val="24"/>
          <w:szCs w:val="24"/>
          <w:shd w:val="clear" w:color="auto" w:fill="FFFFFF"/>
        </w:rPr>
        <w:t>Adams v Lindsell 1 B &amp; Ald 681 EWHC KB J59</w:t>
      </w:r>
    </w:p>
    <w:p w14:paraId="65FAE137"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shd w:val="clear" w:color="auto" w:fill="FFFFFF"/>
        </w:rPr>
        <w:t>Balfour v Balfour [1919] 2 KB 571</w:t>
      </w:r>
    </w:p>
    <w:p w14:paraId="649EE4C7" w14:textId="77777777" w:rsidR="00CC3107" w:rsidRPr="00C212C6" w:rsidRDefault="00CC3107" w:rsidP="00CC3107">
      <w:pPr>
        <w:spacing w:line="480" w:lineRule="auto"/>
        <w:rPr>
          <w:rFonts w:cstheme="minorHAnsi"/>
          <w:color w:val="000000" w:themeColor="text1"/>
          <w:sz w:val="24"/>
          <w:szCs w:val="24"/>
        </w:rPr>
      </w:pPr>
      <w:r w:rsidRPr="00C212C6">
        <w:rPr>
          <w:rFonts w:cstheme="minorHAnsi"/>
          <w:sz w:val="24"/>
          <w:szCs w:val="24"/>
          <w:shd w:val="clear" w:color="auto" w:fill="FFFFFF"/>
        </w:rPr>
        <w:t>Carlill v Carbolic Smoke Ball Company [1892] 1 QB 256 EWCA Civ 1</w:t>
      </w:r>
    </w:p>
    <w:p w14:paraId="3EBB926A"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shd w:val="clear" w:color="auto" w:fill="FFFFFF"/>
        </w:rPr>
        <w:t>Currie v Misa LR 10 Ex 153, statement by Lush J</w:t>
      </w:r>
    </w:p>
    <w:p w14:paraId="3CECCA78" w14:textId="77777777" w:rsidR="00CC3107" w:rsidRPr="00C212C6" w:rsidRDefault="00CC3107" w:rsidP="00CC3107">
      <w:pPr>
        <w:spacing w:line="480" w:lineRule="auto"/>
        <w:rPr>
          <w:rFonts w:cstheme="minorHAnsi"/>
          <w:sz w:val="24"/>
          <w:szCs w:val="24"/>
        </w:rPr>
      </w:pPr>
      <w:r w:rsidRPr="00C212C6">
        <w:rPr>
          <w:rFonts w:cstheme="minorHAnsi"/>
          <w:sz w:val="24"/>
          <w:szCs w:val="24"/>
          <w:shd w:val="clear" w:color="auto" w:fill="FFFFFF"/>
        </w:rPr>
        <w:t>Cutter v Powell (1795) 101 ER 573 6 TR 320</w:t>
      </w:r>
    </w:p>
    <w:p w14:paraId="63202EE4" w14:textId="77777777" w:rsidR="00CC3107" w:rsidRPr="00C212C6" w:rsidRDefault="00CC3107" w:rsidP="00CC3107">
      <w:pPr>
        <w:spacing w:line="480" w:lineRule="auto"/>
        <w:rPr>
          <w:rFonts w:cstheme="minorHAnsi"/>
          <w:color w:val="000000" w:themeColor="text1"/>
          <w:sz w:val="24"/>
          <w:szCs w:val="24"/>
        </w:rPr>
      </w:pPr>
      <w:r w:rsidRPr="00C212C6">
        <w:rPr>
          <w:rFonts w:cstheme="minorHAnsi"/>
          <w:sz w:val="24"/>
          <w:szCs w:val="24"/>
          <w:shd w:val="clear" w:color="auto" w:fill="FFFFFF"/>
        </w:rPr>
        <w:t>Entores Ltd v Miles Far East Corporation [1955] 2 QB 327 EWCA Civ 3</w:t>
      </w:r>
    </w:p>
    <w:p w14:paraId="64B3BDBD"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shd w:val="clear" w:color="auto" w:fill="FFFFFF"/>
        </w:rPr>
        <w:t>Esso Petroleum Co Ltd v Commissioners of Customs and Excise [1975] UKHL 4 1 WLR</w:t>
      </w:r>
    </w:p>
    <w:p w14:paraId="5E82DE7D" w14:textId="77777777" w:rsidR="00CC3107" w:rsidRPr="00C212C6" w:rsidRDefault="00CC3107" w:rsidP="00CC3107">
      <w:pPr>
        <w:spacing w:line="480" w:lineRule="auto"/>
        <w:rPr>
          <w:rFonts w:cstheme="minorHAnsi"/>
          <w:sz w:val="24"/>
          <w:szCs w:val="24"/>
        </w:rPr>
      </w:pPr>
      <w:r w:rsidRPr="00C212C6">
        <w:rPr>
          <w:rFonts w:cstheme="minorHAnsi"/>
          <w:sz w:val="24"/>
          <w:szCs w:val="24"/>
        </w:rPr>
        <w:t>G.H. Treitel 2003, ‘The Law of Contract’ Sweet &amp; Maxwell, London.</w:t>
      </w:r>
    </w:p>
    <w:p w14:paraId="5D9E51A7"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shd w:val="clear" w:color="auto" w:fill="FFFFFF"/>
        </w:rPr>
        <w:t>Gibson v Manchester City Council [1979] UKHL 6 1 WLR 294</w:t>
      </w:r>
    </w:p>
    <w:p w14:paraId="1DAF5141" w14:textId="77777777" w:rsidR="00CC3107" w:rsidRPr="00C212C6" w:rsidRDefault="00CC3107" w:rsidP="00CC3107">
      <w:pPr>
        <w:spacing w:line="480" w:lineRule="auto"/>
        <w:rPr>
          <w:rFonts w:cstheme="minorHAnsi"/>
          <w:color w:val="000000" w:themeColor="text1"/>
          <w:sz w:val="24"/>
          <w:szCs w:val="24"/>
        </w:rPr>
      </w:pPr>
      <w:r w:rsidRPr="00C212C6">
        <w:rPr>
          <w:rFonts w:cstheme="minorHAnsi"/>
          <w:sz w:val="24"/>
          <w:szCs w:val="24"/>
          <w:shd w:val="clear" w:color="auto" w:fill="FFFFFF"/>
        </w:rPr>
        <w:t>Henthorn v Fraser [1892] 2 Ch 27</w:t>
      </w:r>
    </w:p>
    <w:p w14:paraId="69CCFF6E" w14:textId="77777777" w:rsidR="00CC3107" w:rsidRPr="00C212C6" w:rsidRDefault="00CC3107" w:rsidP="00CC3107">
      <w:pPr>
        <w:spacing w:line="480" w:lineRule="auto"/>
        <w:rPr>
          <w:rFonts w:cstheme="minorHAnsi"/>
          <w:sz w:val="24"/>
          <w:szCs w:val="24"/>
        </w:rPr>
      </w:pPr>
      <w:r w:rsidRPr="00C212C6">
        <w:rPr>
          <w:rStyle w:val="Emphasis"/>
          <w:rFonts w:cstheme="minorHAnsi"/>
          <w:bCs/>
          <w:i w:val="0"/>
          <w:iCs w:val="0"/>
          <w:sz w:val="24"/>
          <w:szCs w:val="24"/>
          <w:shd w:val="clear" w:color="auto" w:fill="FFFFFF"/>
        </w:rPr>
        <w:t>Hoenig v Isaacs</w:t>
      </w:r>
      <w:r w:rsidRPr="00C212C6">
        <w:rPr>
          <w:rFonts w:cstheme="minorHAnsi"/>
          <w:sz w:val="24"/>
          <w:szCs w:val="24"/>
          <w:shd w:val="clear" w:color="auto" w:fill="FFFFFF"/>
        </w:rPr>
        <w:t> [1952] 2 All ER 176</w:t>
      </w:r>
    </w:p>
    <w:p w14:paraId="78701079" w14:textId="77777777" w:rsidR="00CC3107" w:rsidRPr="00C212C6" w:rsidRDefault="00CC3107" w:rsidP="00CC3107">
      <w:pPr>
        <w:spacing w:line="480" w:lineRule="auto"/>
        <w:rPr>
          <w:rFonts w:cstheme="minorHAnsi"/>
          <w:color w:val="000000" w:themeColor="text1"/>
          <w:sz w:val="24"/>
          <w:szCs w:val="24"/>
        </w:rPr>
      </w:pPr>
      <w:r w:rsidRPr="00C212C6">
        <w:rPr>
          <w:rStyle w:val="Emphasis"/>
          <w:rFonts w:cstheme="minorHAnsi"/>
          <w:bCs/>
          <w:i w:val="0"/>
          <w:iCs w:val="0"/>
          <w:color w:val="000000" w:themeColor="text1"/>
          <w:sz w:val="24"/>
          <w:szCs w:val="24"/>
          <w:shd w:val="clear" w:color="auto" w:fill="FFFFFF"/>
        </w:rPr>
        <w:t>Lampleigh v Braithwaite</w:t>
      </w:r>
      <w:r w:rsidRPr="00C212C6">
        <w:rPr>
          <w:rFonts w:cstheme="minorHAnsi"/>
          <w:color w:val="000000" w:themeColor="text1"/>
          <w:sz w:val="24"/>
          <w:szCs w:val="24"/>
          <w:shd w:val="clear" w:color="auto" w:fill="FFFFFF"/>
        </w:rPr>
        <w:t> (1615) Hob 105</w:t>
      </w:r>
    </w:p>
    <w:p w14:paraId="7E34F946" w14:textId="77777777" w:rsidR="00CC3107" w:rsidRPr="00C212C6" w:rsidRDefault="00CC3107" w:rsidP="00CC3107">
      <w:pPr>
        <w:spacing w:line="480" w:lineRule="auto"/>
        <w:rPr>
          <w:rFonts w:cstheme="minorHAnsi"/>
          <w:color w:val="000000" w:themeColor="text1"/>
          <w:sz w:val="24"/>
          <w:szCs w:val="24"/>
        </w:rPr>
      </w:pPr>
      <w:r w:rsidRPr="00C212C6">
        <w:rPr>
          <w:rFonts w:eastAsia="LiberationSerif" w:cstheme="minorHAnsi"/>
          <w:color w:val="000000" w:themeColor="text1"/>
          <w:sz w:val="24"/>
          <w:szCs w:val="24"/>
        </w:rPr>
        <w:t>Lens v Devonshire Social Club, The Times, 4 December 1914</w:t>
      </w:r>
    </w:p>
    <w:p w14:paraId="514BF46E"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rPr>
        <w:t>M. Furmston and G. J. Tolhurst (2010), Contract Formation: Law and Practice 2</w:t>
      </w:r>
      <w:r w:rsidRPr="00C212C6">
        <w:rPr>
          <w:rFonts w:cstheme="minorHAnsi"/>
          <w:color w:val="000000" w:themeColor="text1"/>
          <w:sz w:val="24"/>
          <w:szCs w:val="24"/>
          <w:vertAlign w:val="superscript"/>
        </w:rPr>
        <w:t>nd</w:t>
      </w:r>
      <w:r w:rsidRPr="00C212C6">
        <w:rPr>
          <w:rFonts w:cstheme="minorHAnsi"/>
          <w:color w:val="000000" w:themeColor="text1"/>
          <w:sz w:val="24"/>
          <w:szCs w:val="24"/>
        </w:rPr>
        <w:t xml:space="preserve"> Edition, Oxford. </w:t>
      </w:r>
    </w:p>
    <w:p w14:paraId="69ECFF7E"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rPr>
        <w:t>McKendrick. E 2017, ‘Contract Law’ 12</w:t>
      </w:r>
      <w:r w:rsidRPr="00C212C6">
        <w:rPr>
          <w:rFonts w:cstheme="minorHAnsi"/>
          <w:color w:val="000000" w:themeColor="text1"/>
          <w:sz w:val="24"/>
          <w:szCs w:val="24"/>
          <w:vertAlign w:val="superscript"/>
        </w:rPr>
        <w:t>th</w:t>
      </w:r>
      <w:r w:rsidRPr="00C212C6">
        <w:rPr>
          <w:rFonts w:cstheme="minorHAnsi"/>
          <w:color w:val="000000" w:themeColor="text1"/>
          <w:sz w:val="24"/>
          <w:szCs w:val="24"/>
        </w:rPr>
        <w:t xml:space="preserve"> Edition, Palgrave.</w:t>
      </w:r>
    </w:p>
    <w:p w14:paraId="44127551"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shd w:val="clear" w:color="auto" w:fill="FFFFFF"/>
        </w:rPr>
        <w:lastRenderedPageBreak/>
        <w:t>Merritt v Merritt [1970] EWCA Civ 6</w:t>
      </w:r>
    </w:p>
    <w:p w14:paraId="132B7786" w14:textId="77777777" w:rsidR="00CC3107" w:rsidRPr="00C212C6" w:rsidRDefault="00CC3107" w:rsidP="00CC3107">
      <w:pPr>
        <w:spacing w:line="480" w:lineRule="auto"/>
        <w:rPr>
          <w:rFonts w:cstheme="minorHAnsi"/>
          <w:color w:val="000000" w:themeColor="text1"/>
          <w:sz w:val="24"/>
          <w:szCs w:val="24"/>
        </w:rPr>
      </w:pPr>
      <w:r w:rsidRPr="00C212C6">
        <w:rPr>
          <w:rStyle w:val="Emphasis"/>
          <w:rFonts w:cstheme="minorHAnsi"/>
          <w:bCs/>
          <w:i w:val="0"/>
          <w:iCs w:val="0"/>
          <w:color w:val="000000" w:themeColor="text1"/>
          <w:sz w:val="24"/>
          <w:szCs w:val="24"/>
          <w:shd w:val="clear" w:color="auto" w:fill="FFFFFF"/>
        </w:rPr>
        <w:t xml:space="preserve">Pao </w:t>
      </w:r>
      <w:proofErr w:type="gramStart"/>
      <w:r w:rsidRPr="00C212C6">
        <w:rPr>
          <w:rStyle w:val="Emphasis"/>
          <w:rFonts w:cstheme="minorHAnsi"/>
          <w:bCs/>
          <w:i w:val="0"/>
          <w:iCs w:val="0"/>
          <w:color w:val="000000" w:themeColor="text1"/>
          <w:sz w:val="24"/>
          <w:szCs w:val="24"/>
          <w:shd w:val="clear" w:color="auto" w:fill="FFFFFF"/>
        </w:rPr>
        <w:t>On</w:t>
      </w:r>
      <w:proofErr w:type="gramEnd"/>
      <w:r w:rsidRPr="00C212C6">
        <w:rPr>
          <w:rStyle w:val="Emphasis"/>
          <w:rFonts w:cstheme="minorHAnsi"/>
          <w:bCs/>
          <w:i w:val="0"/>
          <w:iCs w:val="0"/>
          <w:color w:val="000000" w:themeColor="text1"/>
          <w:sz w:val="24"/>
          <w:szCs w:val="24"/>
          <w:shd w:val="clear" w:color="auto" w:fill="FFFFFF"/>
        </w:rPr>
        <w:t xml:space="preserve"> v Lau Yiu Long</w:t>
      </w:r>
      <w:r w:rsidRPr="00C212C6">
        <w:rPr>
          <w:rFonts w:cstheme="minorHAnsi"/>
          <w:color w:val="000000" w:themeColor="text1"/>
          <w:sz w:val="24"/>
          <w:szCs w:val="24"/>
          <w:shd w:val="clear" w:color="auto" w:fill="FFFFFF"/>
        </w:rPr>
        <w:t> [</w:t>
      </w:r>
      <w:r w:rsidRPr="00C212C6">
        <w:rPr>
          <w:rStyle w:val="Emphasis"/>
          <w:rFonts w:cstheme="minorHAnsi"/>
          <w:bCs/>
          <w:i w:val="0"/>
          <w:iCs w:val="0"/>
          <w:color w:val="000000" w:themeColor="text1"/>
          <w:sz w:val="24"/>
          <w:szCs w:val="24"/>
          <w:shd w:val="clear" w:color="auto" w:fill="FFFFFF"/>
        </w:rPr>
        <w:t>1980</w:t>
      </w:r>
      <w:r w:rsidRPr="00C212C6">
        <w:rPr>
          <w:rFonts w:cstheme="minorHAnsi"/>
          <w:color w:val="000000" w:themeColor="text1"/>
          <w:sz w:val="24"/>
          <w:szCs w:val="24"/>
          <w:shd w:val="clear" w:color="auto" w:fill="FFFFFF"/>
        </w:rPr>
        <w:t xml:space="preserve">] AC 614 </w:t>
      </w:r>
    </w:p>
    <w:p w14:paraId="05951405"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shd w:val="clear" w:color="auto" w:fill="FFFFFF"/>
        </w:rPr>
        <w:t>Parker v Clark [1960] 1 WLR 286</w:t>
      </w:r>
    </w:p>
    <w:p w14:paraId="432DAA1B"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shd w:val="clear" w:color="auto" w:fill="FFFFFF"/>
        </w:rPr>
        <w:t>Partridge v Crittenden [1968] 1 WLR 1204</w:t>
      </w:r>
    </w:p>
    <w:p w14:paraId="49E3A0AE" w14:textId="77777777" w:rsidR="00CC3107" w:rsidRPr="00C212C6" w:rsidRDefault="00CC3107" w:rsidP="00CC3107">
      <w:pPr>
        <w:spacing w:line="480" w:lineRule="auto"/>
        <w:rPr>
          <w:rFonts w:cstheme="minorHAnsi"/>
          <w:color w:val="000000" w:themeColor="text1"/>
          <w:sz w:val="24"/>
          <w:szCs w:val="24"/>
        </w:rPr>
      </w:pPr>
      <w:r w:rsidRPr="00C212C6">
        <w:rPr>
          <w:rFonts w:cstheme="minorHAnsi"/>
          <w:color w:val="000000" w:themeColor="text1"/>
          <w:sz w:val="24"/>
          <w:szCs w:val="24"/>
        </w:rPr>
        <w:t>Protection of Birds Act 2954. Available at &lt;https://www.legislation.gov.uk/ukpga/1954/30/contents/enacted&gt;</w:t>
      </w:r>
    </w:p>
    <w:p w14:paraId="3C980901" w14:textId="77777777" w:rsidR="00CC3107" w:rsidRPr="00C212C6" w:rsidRDefault="00CC3107" w:rsidP="00CC3107">
      <w:pPr>
        <w:spacing w:line="480" w:lineRule="auto"/>
        <w:rPr>
          <w:rFonts w:cstheme="minorHAnsi"/>
          <w:color w:val="000000" w:themeColor="text1"/>
          <w:sz w:val="24"/>
          <w:szCs w:val="24"/>
        </w:rPr>
      </w:pPr>
      <w:r w:rsidRPr="00C212C6">
        <w:rPr>
          <w:rStyle w:val="Emphasis"/>
          <w:rFonts w:cstheme="minorHAnsi"/>
          <w:bCs/>
          <w:i w:val="0"/>
          <w:iCs w:val="0"/>
          <w:color w:val="000000" w:themeColor="text1"/>
          <w:sz w:val="24"/>
          <w:szCs w:val="24"/>
          <w:shd w:val="clear" w:color="auto" w:fill="FFFFFF"/>
        </w:rPr>
        <w:t>Re McArdle</w:t>
      </w:r>
      <w:r w:rsidRPr="00C212C6">
        <w:rPr>
          <w:rFonts w:cstheme="minorHAnsi"/>
          <w:color w:val="000000" w:themeColor="text1"/>
          <w:sz w:val="24"/>
          <w:szCs w:val="24"/>
          <w:shd w:val="clear" w:color="auto" w:fill="FFFFFF"/>
        </w:rPr>
        <w:t> [1951] Ch 669</w:t>
      </w:r>
    </w:p>
    <w:p w14:paraId="2F9E4461" w14:textId="77777777" w:rsidR="00CC3107" w:rsidRPr="00C212C6" w:rsidRDefault="00CC3107" w:rsidP="00CC3107">
      <w:pPr>
        <w:spacing w:line="480" w:lineRule="auto"/>
        <w:rPr>
          <w:rFonts w:cstheme="minorHAnsi"/>
          <w:color w:val="000000" w:themeColor="text1"/>
          <w:sz w:val="24"/>
          <w:szCs w:val="24"/>
        </w:rPr>
      </w:pPr>
      <w:r w:rsidRPr="00C212C6">
        <w:rPr>
          <w:rStyle w:val="Emphasis"/>
          <w:rFonts w:cstheme="minorHAnsi"/>
          <w:bCs/>
          <w:i w:val="0"/>
          <w:iCs w:val="0"/>
          <w:color w:val="000000" w:themeColor="text1"/>
          <w:sz w:val="24"/>
          <w:szCs w:val="24"/>
          <w:shd w:val="clear" w:color="auto" w:fill="FFFFFF"/>
        </w:rPr>
        <w:t>Roscorla v</w:t>
      </w:r>
      <w:r w:rsidRPr="00C212C6">
        <w:rPr>
          <w:rFonts w:cstheme="minorHAnsi"/>
          <w:color w:val="000000" w:themeColor="text1"/>
          <w:sz w:val="24"/>
          <w:szCs w:val="24"/>
          <w:shd w:val="clear" w:color="auto" w:fill="FFFFFF"/>
        </w:rPr>
        <w:t>. </w:t>
      </w:r>
      <w:r w:rsidRPr="00C212C6">
        <w:rPr>
          <w:rStyle w:val="Emphasis"/>
          <w:rFonts w:cstheme="minorHAnsi"/>
          <w:bCs/>
          <w:i w:val="0"/>
          <w:iCs w:val="0"/>
          <w:color w:val="000000" w:themeColor="text1"/>
          <w:sz w:val="24"/>
          <w:szCs w:val="24"/>
          <w:shd w:val="clear" w:color="auto" w:fill="FFFFFF"/>
        </w:rPr>
        <w:t>Thomas</w:t>
      </w:r>
      <w:r w:rsidRPr="00C212C6">
        <w:rPr>
          <w:rFonts w:cstheme="minorHAnsi"/>
          <w:color w:val="000000" w:themeColor="text1"/>
          <w:sz w:val="24"/>
          <w:szCs w:val="24"/>
          <w:shd w:val="clear" w:color="auto" w:fill="FFFFFF"/>
        </w:rPr>
        <w:t>, (1842) 3 QB 234</w:t>
      </w:r>
    </w:p>
    <w:p w14:paraId="65B20EFC" w14:textId="77777777" w:rsidR="00CC3107" w:rsidRPr="00C212C6" w:rsidRDefault="00CC3107" w:rsidP="00CC3107">
      <w:pPr>
        <w:spacing w:line="480" w:lineRule="auto"/>
        <w:rPr>
          <w:rFonts w:cstheme="minorHAnsi"/>
          <w:color w:val="000000" w:themeColor="text1"/>
          <w:sz w:val="24"/>
          <w:szCs w:val="24"/>
        </w:rPr>
      </w:pPr>
      <w:r w:rsidRPr="00C212C6">
        <w:rPr>
          <w:rStyle w:val="Emphasis"/>
          <w:rFonts w:cstheme="minorHAnsi"/>
          <w:bCs/>
          <w:i w:val="0"/>
          <w:iCs w:val="0"/>
          <w:color w:val="000000" w:themeColor="text1"/>
          <w:sz w:val="24"/>
          <w:szCs w:val="24"/>
          <w:shd w:val="clear" w:color="auto" w:fill="FFFFFF"/>
        </w:rPr>
        <w:t>Soulsbury v Soulsbury</w:t>
      </w:r>
      <w:r w:rsidRPr="00C212C6">
        <w:rPr>
          <w:rFonts w:cstheme="minorHAnsi"/>
          <w:color w:val="000000" w:themeColor="text1"/>
          <w:sz w:val="24"/>
          <w:szCs w:val="24"/>
          <w:shd w:val="clear" w:color="auto" w:fill="FFFFFF"/>
        </w:rPr>
        <w:t> [2007] EWCA Civ 969</w:t>
      </w:r>
    </w:p>
    <w:p w14:paraId="7AF5B9E7" w14:textId="77777777" w:rsidR="00CC3107" w:rsidRPr="00C212C6" w:rsidRDefault="00CC3107" w:rsidP="00CC3107">
      <w:pPr>
        <w:spacing w:line="480" w:lineRule="auto"/>
        <w:rPr>
          <w:rFonts w:cstheme="minorHAnsi"/>
          <w:color w:val="000000" w:themeColor="text1"/>
          <w:sz w:val="24"/>
          <w:szCs w:val="24"/>
        </w:rPr>
      </w:pPr>
      <w:r w:rsidRPr="00C212C6">
        <w:rPr>
          <w:rStyle w:val="Emphasis"/>
          <w:rFonts w:cstheme="minorHAnsi"/>
          <w:bCs/>
          <w:i w:val="0"/>
          <w:iCs w:val="0"/>
          <w:color w:val="000000" w:themeColor="text1"/>
          <w:sz w:val="24"/>
          <w:szCs w:val="24"/>
          <w:shd w:val="clear" w:color="auto" w:fill="FFFFFF"/>
        </w:rPr>
        <w:t>Storer v Manchester City Council</w:t>
      </w:r>
      <w:r w:rsidRPr="00C212C6">
        <w:rPr>
          <w:rFonts w:cstheme="minorHAnsi"/>
          <w:color w:val="000000" w:themeColor="text1"/>
          <w:sz w:val="24"/>
          <w:szCs w:val="24"/>
          <w:shd w:val="clear" w:color="auto" w:fill="FFFFFF"/>
        </w:rPr>
        <w:t> [1974] UKHL 6 1 WLR 1403</w:t>
      </w:r>
    </w:p>
    <w:p w14:paraId="3FE9C363" w14:textId="77777777" w:rsidR="00CC3107" w:rsidRPr="00C212C6" w:rsidRDefault="00CC3107" w:rsidP="00CC3107">
      <w:pPr>
        <w:spacing w:line="480" w:lineRule="auto"/>
        <w:rPr>
          <w:rFonts w:cstheme="minorHAnsi"/>
          <w:color w:val="000000" w:themeColor="text1"/>
          <w:sz w:val="24"/>
          <w:szCs w:val="24"/>
        </w:rPr>
      </w:pPr>
      <w:r w:rsidRPr="00C212C6">
        <w:rPr>
          <w:rStyle w:val="Emphasis"/>
          <w:rFonts w:cstheme="minorHAnsi"/>
          <w:bCs/>
          <w:i w:val="0"/>
          <w:iCs w:val="0"/>
          <w:color w:val="000000" w:themeColor="text1"/>
          <w:sz w:val="24"/>
          <w:szCs w:val="24"/>
          <w:shd w:val="clear" w:color="auto" w:fill="FFFFFF"/>
        </w:rPr>
        <w:t>Vaughan v Vaughan</w:t>
      </w:r>
      <w:r w:rsidRPr="00C212C6">
        <w:rPr>
          <w:rFonts w:cstheme="minorHAnsi"/>
          <w:color w:val="000000" w:themeColor="text1"/>
          <w:sz w:val="24"/>
          <w:szCs w:val="24"/>
          <w:shd w:val="clear" w:color="auto" w:fill="FFFFFF"/>
        </w:rPr>
        <w:t> [1953] 1 QB 762 </w:t>
      </w:r>
    </w:p>
    <w:p w14:paraId="05F9792C" w14:textId="77777777" w:rsidR="00CC3107" w:rsidRPr="00C212C6" w:rsidRDefault="00CC3107" w:rsidP="00CC3107">
      <w:pPr>
        <w:spacing w:line="480" w:lineRule="auto"/>
        <w:rPr>
          <w:rFonts w:cstheme="minorHAnsi"/>
          <w:color w:val="000000" w:themeColor="text1"/>
          <w:sz w:val="24"/>
          <w:szCs w:val="24"/>
        </w:rPr>
      </w:pPr>
      <w:r w:rsidRPr="00C212C6">
        <w:rPr>
          <w:rStyle w:val="Emphasis"/>
          <w:rFonts w:cstheme="minorHAnsi"/>
          <w:bCs/>
          <w:i w:val="0"/>
          <w:iCs w:val="0"/>
          <w:sz w:val="24"/>
          <w:szCs w:val="24"/>
          <w:shd w:val="clear" w:color="auto" w:fill="FFFFFF"/>
        </w:rPr>
        <w:t>Williams v Roffey</w:t>
      </w:r>
      <w:r w:rsidRPr="00C212C6">
        <w:rPr>
          <w:rFonts w:cstheme="minorHAnsi"/>
          <w:sz w:val="24"/>
          <w:szCs w:val="24"/>
          <w:shd w:val="clear" w:color="auto" w:fill="FFFFFF"/>
        </w:rPr>
        <w:t> Bros &amp; Nicholls (Contractors) Ltd [1989] 1 QB 1 EWCA Civ 5</w:t>
      </w:r>
    </w:p>
    <w:p w14:paraId="4EAA360B" w14:textId="77777777" w:rsidR="00CC3107" w:rsidRPr="004821E3" w:rsidRDefault="00CC3107" w:rsidP="00CC3107">
      <w:pPr>
        <w:rPr>
          <w:rFonts w:ascii="Times New Roman" w:hAnsi="Times New Roman" w:cs="Times New Roman"/>
          <w:color w:val="000000" w:themeColor="text1"/>
          <w:sz w:val="20"/>
          <w:szCs w:val="20"/>
        </w:rPr>
      </w:pPr>
    </w:p>
    <w:p w14:paraId="1C725B1D" w14:textId="77777777" w:rsidR="000B31C4" w:rsidRDefault="000B31C4"/>
    <w:sectPr w:rsidR="000B31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Serif">
    <w:altName w:val="Arial Unicode MS"/>
    <w:panose1 w:val="020B0604020202020204"/>
    <w:charset w:val="81"/>
    <w:family w:val="auto"/>
    <w:notTrueType/>
    <w:pitch w:val="default"/>
    <w:sig w:usb0="00000003" w:usb1="09060000" w:usb2="00000010"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107"/>
    <w:rsid w:val="000B31C4"/>
    <w:rsid w:val="007A5E7E"/>
    <w:rsid w:val="00CC3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7D6290"/>
  <w15:chartTrackingRefBased/>
  <w15:docId w15:val="{039CF370-9529-5248-88C7-B57287C0F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07"/>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107"/>
    <w:pPr>
      <w:ind w:left="720"/>
      <w:contextualSpacing/>
    </w:pPr>
  </w:style>
  <w:style w:type="character" w:styleId="Emphasis">
    <w:name w:val="Emphasis"/>
    <w:basedOn w:val="DefaultParagraphFont"/>
    <w:uiPriority w:val="20"/>
    <w:qFormat/>
    <w:rsid w:val="00CC31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2321</Words>
  <Characters>13230</Characters>
  <Application>Microsoft Office Word</Application>
  <DocSecurity>0</DocSecurity>
  <Lines>110</Lines>
  <Paragraphs>31</Paragraphs>
  <ScaleCrop>false</ScaleCrop>
  <Company/>
  <LinksUpToDate>false</LinksUpToDate>
  <CharactersWithSpaces>15520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Naima Kadir</dc:creator>
  <cp:keywords/>
  <dc:description/>
  <cp:lastModifiedBy>Naima Kadir</cp:lastModifiedBy>
  <cp:revision>1</cp:revision>
  <dcterms:created xsi:type="dcterms:W3CDTF">2021-02-17T16:16:00Z</dcterms:created>
  <dcterms:modified xsi:type="dcterms:W3CDTF">2021-02-17T16:16:00Z</dcterms:modified>
</cp:coreProperties>
</file>