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0210FAC" w14:paraId="604A2FA6" wp14:textId="1EBABCA9">
      <w:pPr>
        <w:pStyle w:val="Normal"/>
        <w:rPr>
          <w:rFonts w:ascii="Times New Roman" w:hAnsi="Times New Roman" w:eastAsia="Times New Roman" w:cs="Times New Roman"/>
          <w:b w:val="1"/>
          <w:bCs w:val="1"/>
          <w:noProof w:val="0"/>
          <w:sz w:val="24"/>
          <w:szCs w:val="24"/>
          <w:u w:val="single"/>
          <w:lang w:val="en-GB"/>
        </w:rPr>
      </w:pPr>
      <w:r w:rsidRPr="30210FAC" w:rsidR="30210FAC">
        <w:rPr>
          <w:rFonts w:ascii="Times New Roman" w:hAnsi="Times New Roman" w:eastAsia="Times New Roman" w:cs="Times New Roman"/>
          <w:b w:val="0"/>
          <w:bCs w:val="0"/>
          <w:noProof w:val="0"/>
          <w:sz w:val="24"/>
          <w:szCs w:val="24"/>
          <w:u w:val="none"/>
          <w:lang w:val="en-GB"/>
        </w:rPr>
        <w:t>Sian Weston 2114875              ECEY002                       1218 Words</w:t>
      </w:r>
    </w:p>
    <w:p xmlns:wp14="http://schemas.microsoft.com/office/word/2010/wordml" w:rsidP="30210FAC" w14:paraId="248A9367" wp14:textId="5F1DD596">
      <w:pPr>
        <w:pStyle w:val="Normal"/>
        <w:bidi w:val="0"/>
        <w:spacing w:before="0" w:beforeAutospacing="off" w:after="240" w:afterAutospacing="off" w:line="336" w:lineRule="auto"/>
        <w:ind w:left="0" w:right="0"/>
        <w:jc w:val="both"/>
        <w:rPr>
          <w:rFonts w:ascii="Amasis MT Pro Light" w:hAnsi="Times New Roman" w:eastAsia="Times New Roman" w:cs="Times New Roman"/>
          <w:b w:val="0"/>
          <w:bCs w:val="0"/>
          <w:i w:val="0"/>
          <w:iCs w:val="0"/>
          <w:noProof w:val="0"/>
          <w:color w:val="000000" w:themeColor="text1" w:themeTint="FF" w:themeShade="FF"/>
          <w:sz w:val="20"/>
          <w:szCs w:val="20"/>
          <w:u w:val="none"/>
          <w:lang w:val="en-GB"/>
        </w:rPr>
      </w:pPr>
      <w:r w:rsidRPr="30210FAC" w:rsidR="30210FAC">
        <w:rPr>
          <w:rFonts w:ascii="Amasis MT Pro Light" w:hAnsi="Times New Roman" w:eastAsia="Times New Roman" w:cs="Times New Roman"/>
          <w:b w:val="0"/>
          <w:bCs w:val="0"/>
          <w:i w:val="0"/>
          <w:iCs w:val="0"/>
          <w:noProof w:val="0"/>
          <w:color w:val="000000" w:themeColor="text1" w:themeTint="FF" w:themeShade="FF"/>
          <w:sz w:val="20"/>
          <w:szCs w:val="20"/>
          <w:u w:val="none"/>
          <w:lang w:val="en-GB"/>
        </w:rPr>
        <w:t xml:space="preserve">                                            </w:t>
      </w:r>
      <w:r w:rsidRPr="30210FAC" w:rsidR="30210FAC">
        <w:rPr>
          <w:rFonts w:ascii="Times New Roman" w:hAnsi="Times New Roman" w:eastAsia="Times New Roman" w:cs="Times New Roman"/>
          <w:b w:val="1"/>
          <w:bCs w:val="1"/>
          <w:i w:val="0"/>
          <w:iCs w:val="0"/>
          <w:noProof w:val="0"/>
          <w:color w:val="000000" w:themeColor="text1" w:themeTint="FF" w:themeShade="FF"/>
          <w:sz w:val="36"/>
          <w:szCs w:val="36"/>
          <w:u w:val="single"/>
          <w:lang w:val="en-GB"/>
        </w:rPr>
        <w:t>Reflective Practice Briefing Paper</w:t>
      </w:r>
    </w:p>
    <w:p xmlns:wp14="http://schemas.microsoft.com/office/word/2010/wordml" w:rsidP="30210FAC" w14:paraId="3FDE0E58" wp14:textId="04E4A395">
      <w:pPr>
        <w:pStyle w:val="Normal"/>
        <w:rPr>
          <w:rFonts w:ascii="Times New Roman" w:hAnsi="Times New Roman" w:eastAsia="Times New Roman" w:cs="Times New Roman"/>
          <w:b w:val="1"/>
          <w:bCs w:val="1"/>
          <w:i w:val="0"/>
          <w:iCs w:val="0"/>
          <w:noProof w:val="0"/>
          <w:color w:val="262626" w:themeColor="text1" w:themeTint="D9" w:themeShade="FF"/>
          <w:sz w:val="24"/>
          <w:szCs w:val="24"/>
          <w:u w:val="single"/>
          <w:lang w:val="en-GB"/>
        </w:rPr>
      </w:pPr>
      <w:r w:rsidRPr="30210FAC" w:rsidR="30210FAC">
        <w:rPr>
          <w:rFonts w:ascii="Times New Roman" w:hAnsi="Times New Roman" w:eastAsia="Times New Roman" w:cs="Times New Roman"/>
          <w:b w:val="1"/>
          <w:bCs w:val="1"/>
          <w:noProof w:val="0"/>
          <w:sz w:val="24"/>
          <w:szCs w:val="24"/>
          <w:u w:val="single"/>
          <w:lang w:val="en-GB"/>
        </w:rPr>
        <w:t>What is reflective practice and why do we do it?</w:t>
      </w:r>
    </w:p>
    <w:p xmlns:wp14="http://schemas.microsoft.com/office/word/2010/wordml" w:rsidP="30210FAC" w14:paraId="2F955868" wp14:textId="1D80D1C2">
      <w:pPr>
        <w:pStyle w:val="Normal"/>
        <w:rPr>
          <w:rFonts w:ascii="Times New Roman" w:hAnsi="Times New Roman" w:eastAsia="Times New Roman" w:cs="Times New Roman"/>
          <w:b w:val="0"/>
          <w:bCs w:val="0"/>
          <w:i w:val="0"/>
          <w:iCs w:val="0"/>
          <w:noProof w:val="0"/>
          <w:color w:val="262626" w:themeColor="text1" w:themeTint="D9" w:themeShade="FF"/>
          <w:sz w:val="24"/>
          <w:szCs w:val="24"/>
          <w:u w:val="none"/>
          <w:lang w:val="en-GB"/>
        </w:rPr>
      </w:pPr>
      <w:r w:rsidRPr="30210FAC" w:rsidR="30210FAC">
        <w:rPr>
          <w:rFonts w:ascii="Times New Roman" w:hAnsi="Times New Roman" w:eastAsia="Times New Roman" w:cs="Times New Roman"/>
          <w:noProof w:val="0"/>
          <w:sz w:val="24"/>
          <w:szCs w:val="24"/>
          <w:lang w:val="en-GB"/>
        </w:rPr>
        <w:t xml:space="preserve">Reflective practice is a critical skill which allows practitioners to repeatedly examine and improve their practice skills. Moon (2004) </w:t>
      </w:r>
      <w:r w:rsidRPr="30210FAC" w:rsidR="30210FAC">
        <w:rPr>
          <w:rFonts w:ascii="Times New Roman" w:hAnsi="Times New Roman" w:eastAsia="Times New Roman" w:cs="Times New Roman"/>
          <w:noProof w:val="0"/>
          <w:sz w:val="24"/>
          <w:szCs w:val="24"/>
          <w:lang w:val="en-GB"/>
        </w:rPr>
        <w:t>stated</w:t>
      </w:r>
      <w:r w:rsidRPr="30210FAC" w:rsidR="30210FAC">
        <w:rPr>
          <w:rFonts w:ascii="Times New Roman" w:hAnsi="Times New Roman" w:eastAsia="Times New Roman" w:cs="Times New Roman"/>
          <w:noProof w:val="0"/>
          <w:sz w:val="24"/>
          <w:szCs w:val="24"/>
          <w:lang w:val="en-GB"/>
        </w:rPr>
        <w:t xml:space="preserve"> that "in order to learn we reflect, or we learn as a result of reflecting". Something that Schon agreed with. However, Schön first developed the theory of reflective practice in 1983. He believed that reflecting back is important "in order to discover how our knowing-in-action may have </w:t>
      </w:r>
      <w:r w:rsidRPr="30210FAC" w:rsidR="30210FAC">
        <w:rPr>
          <w:rFonts w:ascii="Times New Roman" w:hAnsi="Times New Roman" w:eastAsia="Times New Roman" w:cs="Times New Roman"/>
          <w:noProof w:val="0"/>
          <w:sz w:val="24"/>
          <w:szCs w:val="24"/>
          <w:lang w:val="en-GB"/>
        </w:rPr>
        <w:t>contr</w:t>
      </w:r>
      <w:r w:rsidRPr="30210FAC" w:rsidR="30210FAC">
        <w:rPr>
          <w:rFonts w:ascii="Times New Roman" w:hAnsi="Times New Roman" w:eastAsia="Times New Roman" w:cs="Times New Roman"/>
          <w:noProof w:val="0"/>
          <w:sz w:val="24"/>
          <w:szCs w:val="24"/>
          <w:lang w:val="en-GB"/>
        </w:rPr>
        <w:t>ibuted</w:t>
      </w:r>
      <w:r w:rsidRPr="30210FAC" w:rsidR="30210FAC">
        <w:rPr>
          <w:rFonts w:ascii="Times New Roman" w:hAnsi="Times New Roman" w:eastAsia="Times New Roman" w:cs="Times New Roman"/>
          <w:noProof w:val="0"/>
          <w:sz w:val="24"/>
          <w:szCs w:val="24"/>
          <w:lang w:val="en-GB"/>
        </w:rPr>
        <w:t xml:space="preserve"> to an unexpected outcome" (Schon, 1983). Brock (2014) builds on this and believes the importance of reflective practice not only contributes to the children's learning, but it also furthers a practitioner's professional development and meets the standard for Ofsted.</w:t>
      </w:r>
    </w:p>
    <w:p xmlns:wp14="http://schemas.microsoft.com/office/word/2010/wordml" w:rsidP="30210FAC" w14:paraId="2E5885B0" wp14:textId="7A63EF4F">
      <w:pPr>
        <w:pStyle w:val="Normal"/>
        <w:rPr>
          <w:rFonts w:ascii="Times New Roman" w:hAnsi="Times New Roman" w:eastAsia="Times New Roman" w:cs="Times New Roman"/>
          <w:b w:val="0"/>
          <w:bCs w:val="0"/>
          <w:i w:val="0"/>
          <w:iCs w:val="0"/>
          <w:noProof w:val="0"/>
          <w:color w:val="262626" w:themeColor="text1" w:themeTint="D9" w:themeShade="FF"/>
          <w:sz w:val="24"/>
          <w:szCs w:val="24"/>
          <w:u w:val="none"/>
          <w:lang w:val="en-GB"/>
        </w:rPr>
      </w:pPr>
      <w:r w:rsidRPr="30210FAC" w:rsidR="30210FAC">
        <w:rPr>
          <w:rFonts w:ascii="Times New Roman" w:hAnsi="Times New Roman" w:eastAsia="Times New Roman" w:cs="Times New Roman"/>
          <w:noProof w:val="0"/>
          <w:sz w:val="24"/>
          <w:szCs w:val="24"/>
          <w:lang w:val="en-GB"/>
        </w:rPr>
        <w:t xml:space="preserve">Within an early year setting reflective practice should be an ongoing cycle of reflection and development, to focus on challenging, </w:t>
      </w:r>
      <w:r w:rsidRPr="30210FAC" w:rsidR="30210FAC">
        <w:rPr>
          <w:rFonts w:ascii="Times New Roman" w:hAnsi="Times New Roman" w:eastAsia="Times New Roman" w:cs="Times New Roman"/>
          <w:noProof w:val="0"/>
          <w:sz w:val="24"/>
          <w:szCs w:val="24"/>
          <w:lang w:val="en-GB"/>
        </w:rPr>
        <w:t>modifying</w:t>
      </w:r>
      <w:r w:rsidRPr="30210FAC" w:rsidR="30210FAC">
        <w:rPr>
          <w:rFonts w:ascii="Times New Roman" w:hAnsi="Times New Roman" w:eastAsia="Times New Roman" w:cs="Times New Roman"/>
          <w:noProof w:val="0"/>
          <w:sz w:val="24"/>
          <w:szCs w:val="24"/>
          <w:lang w:val="en-GB"/>
        </w:rPr>
        <w:t xml:space="preserve">, developing, and improving how a </w:t>
      </w:r>
      <w:r w:rsidRPr="30210FAC" w:rsidR="30210FAC">
        <w:rPr>
          <w:rFonts w:ascii="Times New Roman" w:hAnsi="Times New Roman" w:eastAsia="Times New Roman" w:cs="Times New Roman"/>
          <w:noProof w:val="0"/>
          <w:sz w:val="24"/>
          <w:szCs w:val="24"/>
          <w:lang w:val="en-GB"/>
        </w:rPr>
        <w:t>professional practice</w:t>
      </w:r>
      <w:r w:rsidRPr="30210FAC" w:rsidR="30210FAC">
        <w:rPr>
          <w:rFonts w:ascii="Times New Roman" w:hAnsi="Times New Roman" w:eastAsia="Times New Roman" w:cs="Times New Roman"/>
          <w:noProof w:val="0"/>
          <w:sz w:val="24"/>
          <w:szCs w:val="24"/>
          <w:lang w:val="en-GB"/>
        </w:rPr>
        <w:t xml:space="preserve"> in their setting (Pacey, 2016).</w:t>
      </w:r>
    </w:p>
    <w:p xmlns:wp14="http://schemas.microsoft.com/office/word/2010/wordml" w:rsidP="30210FAC" w14:paraId="3E0BF8C3" wp14:textId="12C154C9">
      <w:pPr>
        <w:pStyle w:val="Normal"/>
        <w:rPr>
          <w:rFonts w:ascii="Times New Roman" w:hAnsi="Times New Roman" w:eastAsia="Times New Roman" w:cs="Times New Roman"/>
          <w:b w:val="0"/>
          <w:bCs w:val="0"/>
          <w:i w:val="0"/>
          <w:iCs w:val="0"/>
          <w:noProof w:val="0"/>
          <w:color w:val="262626" w:themeColor="text1" w:themeTint="D9" w:themeShade="FF"/>
          <w:sz w:val="24"/>
          <w:szCs w:val="24"/>
          <w:u w:val="none"/>
          <w:lang w:val="en-GB"/>
        </w:rPr>
      </w:pPr>
      <w:r w:rsidRPr="30210FAC" w:rsidR="30210FAC">
        <w:rPr>
          <w:rFonts w:ascii="Times New Roman" w:hAnsi="Times New Roman" w:eastAsia="Times New Roman" w:cs="Times New Roman"/>
          <w:noProof w:val="0"/>
          <w:sz w:val="24"/>
          <w:szCs w:val="24"/>
          <w:lang w:val="en-GB"/>
        </w:rPr>
        <w:t>Reflective practice allows practitioners to better their self-awareness and develop creative thinking skills. It also allows them to be attentive to the aims and outcomes of their actions. In an early year setting it allows practitioners to improve provisions giving the child the best possible care, putting the needs of the child first.</w:t>
      </w:r>
    </w:p>
    <w:p xmlns:wp14="http://schemas.microsoft.com/office/word/2010/wordml" w:rsidP="30210FAC" w14:paraId="606EB63A" wp14:textId="08536248">
      <w:pPr>
        <w:pStyle w:val="Heading1"/>
        <w:rPr>
          <w:rFonts w:ascii="Times New Roman" w:hAnsi="Times New Roman" w:eastAsia="Times New Roman" w:cs="Times New Roman"/>
          <w:b w:val="1"/>
          <w:bCs w:val="1"/>
          <w:i w:val="0"/>
          <w:iCs w:val="0"/>
          <w:noProof w:val="0"/>
          <w:color w:val="auto"/>
          <w:sz w:val="24"/>
          <w:szCs w:val="24"/>
          <w:u w:val="single"/>
          <w:lang w:val="en-GB"/>
        </w:rPr>
      </w:pPr>
      <w:r w:rsidRPr="30210FAC" w:rsidR="30210FAC">
        <w:rPr>
          <w:rFonts w:ascii="Times New Roman" w:hAnsi="Times New Roman" w:eastAsia="Times New Roman" w:cs="Times New Roman"/>
          <w:b w:val="1"/>
          <w:bCs w:val="1"/>
          <w:noProof w:val="0"/>
          <w:color w:val="auto"/>
          <w:sz w:val="24"/>
          <w:szCs w:val="24"/>
          <w:u w:val="single"/>
          <w:lang w:val="en-GB"/>
        </w:rPr>
        <w:t>Theoretical ideas</w:t>
      </w:r>
    </w:p>
    <w:p xmlns:wp14="http://schemas.microsoft.com/office/word/2010/wordml" w:rsidP="30210FAC" w14:paraId="006B0958" wp14:textId="0E6C1846">
      <w:pPr>
        <w:pStyle w:val="Normal"/>
        <w:rPr>
          <w:rFonts w:ascii="Times New Roman" w:hAnsi="Times New Roman" w:eastAsia="Times New Roman" w:cs="Times New Roman"/>
          <w:b w:val="0"/>
          <w:bCs w:val="0"/>
          <w:i w:val="0"/>
          <w:iCs w:val="0"/>
          <w:noProof w:val="0"/>
          <w:color w:val="262626" w:themeColor="text1" w:themeTint="D9" w:themeShade="FF"/>
          <w:sz w:val="24"/>
          <w:szCs w:val="24"/>
          <w:u w:val="none"/>
          <w:lang w:val="en-GB"/>
        </w:rPr>
      </w:pPr>
      <w:r w:rsidRPr="30210FAC" w:rsidR="30210FAC">
        <w:rPr>
          <w:rFonts w:ascii="Times New Roman" w:hAnsi="Times New Roman" w:eastAsia="Times New Roman" w:cs="Times New Roman"/>
          <w:noProof w:val="0"/>
          <w:sz w:val="24"/>
          <w:szCs w:val="24"/>
          <w:lang w:val="en-GB"/>
        </w:rPr>
        <w:t xml:space="preserve">Dewey </w:t>
      </w:r>
      <w:proofErr w:type="gramStart"/>
      <w:r w:rsidRPr="30210FAC" w:rsidR="30210FAC">
        <w:rPr>
          <w:rFonts w:ascii="Times New Roman" w:hAnsi="Times New Roman" w:eastAsia="Times New Roman" w:cs="Times New Roman"/>
          <w:noProof w:val="0"/>
          <w:sz w:val="24"/>
          <w:szCs w:val="24"/>
          <w:lang w:val="en-GB"/>
        </w:rPr>
        <w:t>is considered to be</w:t>
      </w:r>
      <w:proofErr w:type="gramEnd"/>
      <w:r w:rsidRPr="30210FAC" w:rsidR="30210FAC">
        <w:rPr>
          <w:rFonts w:ascii="Times New Roman" w:hAnsi="Times New Roman" w:eastAsia="Times New Roman" w:cs="Times New Roman"/>
          <w:noProof w:val="0"/>
          <w:sz w:val="24"/>
          <w:szCs w:val="24"/>
          <w:lang w:val="en-GB"/>
        </w:rPr>
        <w:t xml:space="preserve"> the founder of reflection. He believed that reflection is an intentional and diligent process. He </w:t>
      </w:r>
      <w:r w:rsidRPr="30210FAC" w:rsidR="30210FAC">
        <w:rPr>
          <w:rFonts w:ascii="Times New Roman" w:hAnsi="Times New Roman" w:eastAsia="Times New Roman" w:cs="Times New Roman"/>
          <w:noProof w:val="0"/>
          <w:sz w:val="24"/>
          <w:szCs w:val="24"/>
          <w:lang w:val="en-GB"/>
        </w:rPr>
        <w:t>stated</w:t>
      </w:r>
      <w:r w:rsidRPr="30210FAC" w:rsidR="30210FAC">
        <w:rPr>
          <w:rFonts w:ascii="Times New Roman" w:hAnsi="Times New Roman" w:eastAsia="Times New Roman" w:cs="Times New Roman"/>
          <w:noProof w:val="0"/>
          <w:sz w:val="24"/>
          <w:szCs w:val="24"/>
          <w:lang w:val="en-GB"/>
        </w:rPr>
        <w:t xml:space="preserve"> " active, </w:t>
      </w:r>
      <w:r w:rsidRPr="30210FAC" w:rsidR="30210FAC">
        <w:rPr>
          <w:rFonts w:ascii="Times New Roman" w:hAnsi="Times New Roman" w:eastAsia="Times New Roman" w:cs="Times New Roman"/>
          <w:noProof w:val="0"/>
          <w:sz w:val="24"/>
          <w:szCs w:val="24"/>
          <w:lang w:val="en-GB"/>
        </w:rPr>
        <w:t>persistent,</w:t>
      </w:r>
      <w:r w:rsidRPr="30210FAC" w:rsidR="30210FAC">
        <w:rPr>
          <w:rFonts w:ascii="Times New Roman" w:hAnsi="Times New Roman" w:eastAsia="Times New Roman" w:cs="Times New Roman"/>
          <w:noProof w:val="0"/>
          <w:sz w:val="24"/>
          <w:szCs w:val="24"/>
          <w:lang w:val="en-GB"/>
        </w:rPr>
        <w:t xml:space="preserve"> and careful consideration of any belief or supposed form of knowledge in the light of the grounds that support it, and further conclusions to which it leads" (Dewey, 1933).</w:t>
      </w:r>
    </w:p>
    <w:p xmlns:wp14="http://schemas.microsoft.com/office/word/2010/wordml" w:rsidP="30210FAC" w14:paraId="2252DC12" wp14:textId="366CD75A">
      <w:pPr>
        <w:pStyle w:val="Normal"/>
        <w:rPr>
          <w:rFonts w:ascii="Times New Roman" w:hAnsi="Times New Roman" w:eastAsia="Times New Roman" w:cs="Times New Roman"/>
          <w:b w:val="0"/>
          <w:bCs w:val="0"/>
          <w:i w:val="0"/>
          <w:iCs w:val="0"/>
          <w:noProof w:val="0"/>
          <w:color w:val="262626" w:themeColor="text1" w:themeTint="D9" w:themeShade="FF"/>
          <w:sz w:val="24"/>
          <w:szCs w:val="24"/>
          <w:u w:val="none"/>
          <w:lang w:val="en-GB"/>
        </w:rPr>
      </w:pPr>
      <w:r w:rsidRPr="30210FAC" w:rsidR="30210FAC">
        <w:rPr>
          <w:rFonts w:ascii="Times New Roman" w:hAnsi="Times New Roman" w:eastAsia="Times New Roman" w:cs="Times New Roman"/>
          <w:noProof w:val="0"/>
          <w:sz w:val="24"/>
          <w:szCs w:val="24"/>
          <w:lang w:val="en-GB"/>
        </w:rPr>
        <w:t xml:space="preserve">As </w:t>
      </w:r>
      <w:r w:rsidRPr="30210FAC" w:rsidR="30210FAC">
        <w:rPr>
          <w:rFonts w:ascii="Times New Roman" w:hAnsi="Times New Roman" w:eastAsia="Times New Roman" w:cs="Times New Roman"/>
          <w:noProof w:val="0"/>
          <w:sz w:val="24"/>
          <w:szCs w:val="24"/>
          <w:lang w:val="en-GB"/>
        </w:rPr>
        <w:t>stated</w:t>
      </w:r>
      <w:r w:rsidRPr="30210FAC" w:rsidR="30210FAC">
        <w:rPr>
          <w:rFonts w:ascii="Times New Roman" w:hAnsi="Times New Roman" w:eastAsia="Times New Roman" w:cs="Times New Roman"/>
          <w:noProof w:val="0"/>
          <w:sz w:val="24"/>
          <w:szCs w:val="24"/>
          <w:lang w:val="en-GB"/>
        </w:rPr>
        <w:t xml:space="preserve"> before, Schon first developed the theory Reflective practice. His working model Reflection in action/ Reflection on action allows practitioners to make a differentiation between reflection during an action and reflection after the action. However, Wilson (2008) criticises Schon and states that " he appears to have given less consideration to how humans reflect and contemplate on how things might be in the future and how these possibilities might be achieved". </w:t>
      </w:r>
    </w:p>
    <w:p xmlns:wp14="http://schemas.microsoft.com/office/word/2010/wordml" w:rsidP="30210FAC" w14:paraId="1D327B69" wp14:textId="67DE8EB9">
      <w:pPr>
        <w:pStyle w:val="Normal"/>
        <w:rPr>
          <w:rFonts w:ascii="Times New Roman" w:hAnsi="Times New Roman" w:eastAsia="Times New Roman" w:cs="Times New Roman"/>
          <w:b w:val="0"/>
          <w:bCs w:val="0"/>
          <w:i w:val="0"/>
          <w:iCs w:val="0"/>
          <w:noProof w:val="0"/>
          <w:color w:val="262626" w:themeColor="text1" w:themeTint="D9" w:themeShade="FF"/>
          <w:sz w:val="24"/>
          <w:szCs w:val="24"/>
          <w:u w:val="none"/>
          <w:lang w:val="en-GB"/>
        </w:rPr>
      </w:pPr>
      <w:r w:rsidRPr="30210FAC" w:rsidR="30210FAC">
        <w:rPr>
          <w:rFonts w:ascii="Times New Roman" w:hAnsi="Times New Roman" w:eastAsia="Times New Roman" w:cs="Times New Roman"/>
          <w:noProof w:val="0"/>
          <w:sz w:val="24"/>
          <w:szCs w:val="24"/>
          <w:lang w:val="en-GB"/>
        </w:rPr>
        <w:t xml:space="preserve">On the other hand, Kolb's (1984) Experiential learning cycle </w:t>
      </w:r>
      <w:r w:rsidRPr="30210FAC" w:rsidR="30210FAC">
        <w:rPr>
          <w:rFonts w:ascii="Times New Roman" w:hAnsi="Times New Roman" w:eastAsia="Times New Roman" w:cs="Times New Roman"/>
          <w:noProof w:val="0"/>
          <w:sz w:val="24"/>
          <w:szCs w:val="24"/>
          <w:lang w:val="en-GB"/>
        </w:rPr>
        <w:t>comprises</w:t>
      </w:r>
      <w:r w:rsidRPr="30210FAC" w:rsidR="30210FAC">
        <w:rPr>
          <w:rFonts w:ascii="Times New Roman" w:hAnsi="Times New Roman" w:eastAsia="Times New Roman" w:cs="Times New Roman"/>
          <w:noProof w:val="0"/>
          <w:sz w:val="24"/>
          <w:szCs w:val="24"/>
          <w:lang w:val="en-GB"/>
        </w:rPr>
        <w:t xml:space="preserve"> of 4 stages. The first stage being concrete experience, second stage is reflection, third stage is </w:t>
      </w:r>
      <w:r w:rsidRPr="30210FAC" w:rsidR="30210FAC">
        <w:rPr>
          <w:rFonts w:ascii="Times New Roman" w:hAnsi="Times New Roman" w:eastAsia="Times New Roman" w:cs="Times New Roman"/>
          <w:noProof w:val="0"/>
          <w:sz w:val="24"/>
          <w:szCs w:val="24"/>
          <w:lang w:val="en-GB"/>
        </w:rPr>
        <w:t>conceptualisation,</w:t>
      </w:r>
      <w:r w:rsidRPr="30210FAC" w:rsidR="30210FAC">
        <w:rPr>
          <w:rFonts w:ascii="Times New Roman" w:hAnsi="Times New Roman" w:eastAsia="Times New Roman" w:cs="Times New Roman"/>
          <w:noProof w:val="0"/>
          <w:sz w:val="24"/>
          <w:szCs w:val="24"/>
          <w:lang w:val="en-GB"/>
        </w:rPr>
        <w:t xml:space="preserve"> and the fourth stage is active experimentation. These stages illustrate that learning is a direct result of our experiences and reflections. Warwick University (2011) agree with this and give three key points to this cycle, they are: repeating the </w:t>
      </w:r>
      <w:r w:rsidRPr="30210FAC" w:rsidR="30210FAC">
        <w:rPr>
          <w:rFonts w:ascii="Times New Roman" w:hAnsi="Times New Roman" w:eastAsia="Times New Roman" w:cs="Times New Roman"/>
          <w:noProof w:val="0"/>
          <w:sz w:val="24"/>
          <w:szCs w:val="24"/>
          <w:lang w:val="en-GB"/>
        </w:rPr>
        <w:t>cycle</w:t>
      </w:r>
      <w:r w:rsidRPr="30210FAC" w:rsidR="30210FAC">
        <w:rPr>
          <w:rFonts w:ascii="Times New Roman" w:hAnsi="Times New Roman" w:eastAsia="Times New Roman" w:cs="Times New Roman"/>
          <w:noProof w:val="0"/>
          <w:sz w:val="24"/>
          <w:szCs w:val="24"/>
          <w:lang w:val="en-GB"/>
        </w:rPr>
        <w:t xml:space="preserve"> reinforces learning, a practitioner can start at any point of the cycle and that for learning to be effective the cycle must be completed.</w:t>
      </w:r>
    </w:p>
    <w:p xmlns:wp14="http://schemas.microsoft.com/office/word/2010/wordml" w:rsidP="30210FAC" w14:paraId="26221086" wp14:textId="04CEACE7">
      <w:pPr>
        <w:pStyle w:val="Normal"/>
        <w:rPr>
          <w:rFonts w:ascii="Times New Roman" w:hAnsi="Times New Roman" w:eastAsia="Times New Roman" w:cs="Times New Roman"/>
          <w:b w:val="0"/>
          <w:bCs w:val="0"/>
          <w:i w:val="0"/>
          <w:iCs w:val="0"/>
          <w:noProof w:val="0"/>
          <w:color w:val="262626" w:themeColor="text1" w:themeTint="D9" w:themeShade="FF"/>
          <w:sz w:val="24"/>
          <w:szCs w:val="24"/>
          <w:u w:val="none"/>
          <w:lang w:val="en-GB"/>
        </w:rPr>
      </w:pPr>
      <w:r w:rsidRPr="30210FAC" w:rsidR="30210FAC">
        <w:rPr>
          <w:rFonts w:ascii="Times New Roman" w:hAnsi="Times New Roman" w:eastAsia="Times New Roman" w:cs="Times New Roman"/>
          <w:noProof w:val="0"/>
          <w:sz w:val="24"/>
          <w:szCs w:val="24"/>
          <w:lang w:val="en-GB"/>
        </w:rPr>
        <w:t xml:space="preserve">In comparison to Kolb's cycle, Gibb (1988) developed the reflective </w:t>
      </w:r>
      <w:r w:rsidRPr="30210FAC" w:rsidR="30210FAC">
        <w:rPr>
          <w:rFonts w:ascii="Times New Roman" w:hAnsi="Times New Roman" w:eastAsia="Times New Roman" w:cs="Times New Roman"/>
          <w:noProof w:val="0"/>
          <w:sz w:val="24"/>
          <w:szCs w:val="24"/>
          <w:lang w:val="en-GB"/>
        </w:rPr>
        <w:t>cycle</w:t>
      </w:r>
      <w:r w:rsidRPr="30210FAC" w:rsidR="30210FAC">
        <w:rPr>
          <w:rFonts w:ascii="Times New Roman" w:hAnsi="Times New Roman" w:eastAsia="Times New Roman" w:cs="Times New Roman"/>
          <w:noProof w:val="0"/>
          <w:sz w:val="24"/>
          <w:szCs w:val="24"/>
          <w:lang w:val="en-GB"/>
        </w:rPr>
        <w:t xml:space="preserve">. This model </w:t>
      </w:r>
      <w:r w:rsidRPr="30210FAC" w:rsidR="30210FAC">
        <w:rPr>
          <w:rFonts w:ascii="Times New Roman" w:hAnsi="Times New Roman" w:eastAsia="Times New Roman" w:cs="Times New Roman"/>
          <w:noProof w:val="0"/>
          <w:sz w:val="24"/>
          <w:szCs w:val="24"/>
          <w:lang w:val="en-GB"/>
        </w:rPr>
        <w:t>contains</w:t>
      </w:r>
      <w:r w:rsidRPr="30210FAC" w:rsidR="30210FAC">
        <w:rPr>
          <w:rFonts w:ascii="Times New Roman" w:hAnsi="Times New Roman" w:eastAsia="Times New Roman" w:cs="Times New Roman"/>
          <w:noProof w:val="0"/>
          <w:sz w:val="24"/>
          <w:szCs w:val="24"/>
          <w:lang w:val="en-GB"/>
        </w:rPr>
        <w:t xml:space="preserve"> six stages, making it more complex than the others. It </w:t>
      </w:r>
      <w:r w:rsidRPr="30210FAC" w:rsidR="30210FAC">
        <w:rPr>
          <w:rFonts w:ascii="Times New Roman" w:hAnsi="Times New Roman" w:eastAsia="Times New Roman" w:cs="Times New Roman"/>
          <w:noProof w:val="0"/>
          <w:sz w:val="24"/>
          <w:szCs w:val="24"/>
          <w:lang w:val="en-GB"/>
        </w:rPr>
        <w:t>contains</w:t>
      </w:r>
      <w:r w:rsidRPr="30210FAC" w:rsidR="30210FAC">
        <w:rPr>
          <w:rFonts w:ascii="Times New Roman" w:hAnsi="Times New Roman" w:eastAsia="Times New Roman" w:cs="Times New Roman"/>
          <w:noProof w:val="0"/>
          <w:sz w:val="24"/>
          <w:szCs w:val="24"/>
          <w:lang w:val="en-GB"/>
        </w:rPr>
        <w:t xml:space="preserve">: Description, feelings, evaluation, analysis, </w:t>
      </w:r>
      <w:r w:rsidRPr="30210FAC" w:rsidR="30210FAC">
        <w:rPr>
          <w:rFonts w:ascii="Times New Roman" w:hAnsi="Times New Roman" w:eastAsia="Times New Roman" w:cs="Times New Roman"/>
          <w:noProof w:val="0"/>
          <w:sz w:val="24"/>
          <w:szCs w:val="24"/>
          <w:lang w:val="en-GB"/>
        </w:rPr>
        <w:t>conclusion,</w:t>
      </w:r>
      <w:r w:rsidRPr="30210FAC" w:rsidR="30210FAC">
        <w:rPr>
          <w:rFonts w:ascii="Times New Roman" w:hAnsi="Times New Roman" w:eastAsia="Times New Roman" w:cs="Times New Roman"/>
          <w:noProof w:val="0"/>
          <w:sz w:val="24"/>
          <w:szCs w:val="24"/>
          <w:lang w:val="en-GB"/>
        </w:rPr>
        <w:t xml:space="preserve"> and action plan. However, having more stages to guide a practitioner could be reassuring to some. It also differs as it allows a practitioner to factor in feelings of their own or another.</w:t>
      </w:r>
    </w:p>
    <w:p xmlns:wp14="http://schemas.microsoft.com/office/word/2010/wordml" w:rsidP="30210FAC" w14:paraId="7429CFCE" wp14:textId="1BE8D1CD">
      <w:pPr>
        <w:pStyle w:val="Normal"/>
        <w:rPr>
          <w:rFonts w:ascii="Times New Roman" w:hAnsi="Times New Roman" w:eastAsia="Times New Roman" w:cs="Times New Roman"/>
          <w:b w:val="0"/>
          <w:bCs w:val="0"/>
          <w:i w:val="0"/>
          <w:iCs w:val="0"/>
          <w:noProof w:val="0"/>
          <w:color w:val="262626" w:themeColor="text1" w:themeTint="D9" w:themeShade="FF"/>
          <w:sz w:val="24"/>
          <w:szCs w:val="24"/>
          <w:u w:val="none"/>
          <w:lang w:val="en-GB"/>
        </w:rPr>
      </w:pPr>
      <w:r w:rsidRPr="30210FAC" w:rsidR="30210FAC">
        <w:rPr>
          <w:rFonts w:ascii="Times New Roman" w:hAnsi="Times New Roman" w:eastAsia="Times New Roman" w:cs="Times New Roman"/>
          <w:noProof w:val="0"/>
          <w:sz w:val="24"/>
          <w:szCs w:val="24"/>
          <w:lang w:val="en-GB"/>
        </w:rPr>
        <w:t xml:space="preserve">The University of Cambridge (NDA) believe that there are pros and cons to all reflective practice models. One of these pros is that they give a good starting point for those uncertain where to start. One con given is that a practitioner may not start at the beginning in the real world. They follow on this by </w:t>
      </w:r>
      <w:r w:rsidRPr="30210FAC" w:rsidR="30210FAC">
        <w:rPr>
          <w:rFonts w:ascii="Times New Roman" w:hAnsi="Times New Roman" w:eastAsia="Times New Roman" w:cs="Times New Roman"/>
          <w:noProof w:val="0"/>
          <w:sz w:val="24"/>
          <w:szCs w:val="24"/>
          <w:lang w:val="en-GB"/>
        </w:rPr>
        <w:t>stating</w:t>
      </w:r>
      <w:r w:rsidRPr="30210FAC" w:rsidR="30210FAC">
        <w:rPr>
          <w:rFonts w:ascii="Times New Roman" w:hAnsi="Times New Roman" w:eastAsia="Times New Roman" w:cs="Times New Roman"/>
          <w:noProof w:val="0"/>
          <w:sz w:val="24"/>
          <w:szCs w:val="24"/>
          <w:lang w:val="en-GB"/>
        </w:rPr>
        <w:t xml:space="preserve"> that reflection is a personal process that </w:t>
      </w:r>
      <w:r w:rsidRPr="30210FAC" w:rsidR="30210FAC">
        <w:rPr>
          <w:rFonts w:ascii="Times New Roman" w:hAnsi="Times New Roman" w:eastAsia="Times New Roman" w:cs="Times New Roman"/>
          <w:noProof w:val="0"/>
          <w:sz w:val="24"/>
          <w:szCs w:val="24"/>
          <w:lang w:val="en-GB"/>
        </w:rPr>
        <w:t>everyone</w:t>
      </w:r>
      <w:r w:rsidRPr="30210FAC" w:rsidR="30210FAC">
        <w:rPr>
          <w:rFonts w:ascii="Times New Roman" w:hAnsi="Times New Roman" w:eastAsia="Times New Roman" w:cs="Times New Roman"/>
          <w:noProof w:val="0"/>
          <w:sz w:val="24"/>
          <w:szCs w:val="24"/>
          <w:lang w:val="en-GB"/>
        </w:rPr>
        <w:t xml:space="preserve"> works towards in </w:t>
      </w:r>
      <w:r w:rsidRPr="30210FAC" w:rsidR="30210FAC">
        <w:rPr>
          <w:rFonts w:ascii="Times New Roman" w:hAnsi="Times New Roman" w:eastAsia="Times New Roman" w:cs="Times New Roman"/>
          <w:noProof w:val="0"/>
          <w:sz w:val="24"/>
          <w:szCs w:val="24"/>
          <w:lang w:val="en-GB"/>
        </w:rPr>
        <w:t>a unique way</w:t>
      </w:r>
      <w:r w:rsidRPr="30210FAC" w:rsidR="30210FAC">
        <w:rPr>
          <w:rFonts w:ascii="Times New Roman" w:hAnsi="Times New Roman" w:eastAsia="Times New Roman" w:cs="Times New Roman"/>
          <w:noProof w:val="0"/>
          <w:sz w:val="24"/>
          <w:szCs w:val="24"/>
          <w:lang w:val="en-GB"/>
        </w:rPr>
        <w:t xml:space="preserve"> - there is no one correct way.</w:t>
      </w:r>
    </w:p>
    <w:p xmlns:wp14="http://schemas.microsoft.com/office/word/2010/wordml" w:rsidP="30210FAC" w14:paraId="7D08547D" wp14:textId="23F80BD4">
      <w:pPr>
        <w:pStyle w:val="Normal"/>
        <w:rPr>
          <w:rFonts w:ascii="Times New Roman" w:hAnsi="Times New Roman" w:eastAsia="Times New Roman" w:cs="Times New Roman"/>
          <w:b w:val="0"/>
          <w:bCs w:val="0"/>
          <w:i w:val="0"/>
          <w:iCs w:val="0"/>
          <w:noProof w:val="0"/>
          <w:color w:val="262626" w:themeColor="text1" w:themeTint="D9" w:themeShade="FF"/>
          <w:sz w:val="24"/>
          <w:szCs w:val="24"/>
          <w:u w:val="none"/>
          <w:lang w:val="en-GB"/>
        </w:rPr>
      </w:pPr>
    </w:p>
    <w:p xmlns:wp14="http://schemas.microsoft.com/office/word/2010/wordml" w:rsidP="30210FAC" w14:paraId="7CEAC4F8" wp14:textId="53871EC9">
      <w:pPr>
        <w:pStyle w:val="Normal"/>
        <w:rPr>
          <w:rFonts w:ascii="Times New Roman" w:hAnsi="Times New Roman" w:eastAsia="Times New Roman" w:cs="Times New Roman"/>
          <w:b w:val="0"/>
          <w:bCs w:val="0"/>
          <w:i w:val="0"/>
          <w:iCs w:val="0"/>
          <w:color w:val="262626" w:themeColor="text1" w:themeTint="D9" w:themeShade="FF"/>
          <w:sz w:val="24"/>
          <w:szCs w:val="24"/>
          <w:u w:val="none"/>
        </w:rPr>
      </w:pPr>
      <w:r w:rsidR="30210FAC">
        <w:drawing>
          <wp:inline xmlns:wp14="http://schemas.microsoft.com/office/word/2010/wordprocessingDrawing" wp14:editId="1E4C61C8" wp14:anchorId="4C3B25B6">
            <wp:extent cx="3109859" cy="1729859"/>
            <wp:effectExtent l="0" t="0" r="0" b="0"/>
            <wp:docPr id="522631684" name="" title=""/>
            <wp:cNvGraphicFramePr>
              <a:graphicFrameLocks noChangeAspect="1"/>
            </wp:cNvGraphicFramePr>
            <a:graphic>
              <a:graphicData uri="http://schemas.openxmlformats.org/drawingml/2006/picture">
                <pic:pic>
                  <pic:nvPicPr>
                    <pic:cNvPr id="0" name=""/>
                    <pic:cNvPicPr/>
                  </pic:nvPicPr>
                  <pic:blipFill>
                    <a:blip r:embed="R70d9625b68394533">
                      <a:extLst>
                        <a:ext xmlns:a="http://schemas.openxmlformats.org/drawingml/2006/main" uri="{28A0092B-C50C-407E-A947-70E740481C1C}">
                          <a14:useLocalDpi val="0"/>
                        </a:ext>
                      </a:extLst>
                    </a:blip>
                    <a:stretch>
                      <a:fillRect/>
                    </a:stretch>
                  </pic:blipFill>
                  <pic:spPr>
                    <a:xfrm>
                      <a:off x="0" y="0"/>
                      <a:ext cx="3109859" cy="1729859"/>
                    </a:xfrm>
                    <a:prstGeom prst="rect">
                      <a:avLst/>
                    </a:prstGeom>
                  </pic:spPr>
                </pic:pic>
              </a:graphicData>
            </a:graphic>
          </wp:inline>
        </w:drawing>
      </w:r>
      <w:r w:rsidRPr="30210FAC" w:rsidR="30210FAC">
        <w:rPr>
          <w:rFonts w:ascii="Times New Roman" w:hAnsi="Times New Roman" w:eastAsia="Times New Roman" w:cs="Times New Roman"/>
          <w:sz w:val="24"/>
          <w:szCs w:val="24"/>
        </w:rPr>
        <w:t>Source: ResearchGate (2016)</w:t>
      </w:r>
    </w:p>
    <w:p xmlns:wp14="http://schemas.microsoft.com/office/word/2010/wordml" w:rsidP="30210FAC" w14:paraId="3205FAAB" wp14:textId="7DC73FE4">
      <w:pPr>
        <w:pStyle w:val="Normal"/>
        <w:rPr>
          <w:rFonts w:ascii="Times New Roman" w:hAnsi="Times New Roman" w:eastAsia="Times New Roman" w:cs="Times New Roman"/>
          <w:b w:val="0"/>
          <w:bCs w:val="0"/>
          <w:i w:val="0"/>
          <w:iCs w:val="0"/>
          <w:color w:val="262626" w:themeColor="text1" w:themeTint="D9" w:themeShade="FF"/>
          <w:sz w:val="24"/>
          <w:szCs w:val="24"/>
          <w:u w:val="none"/>
        </w:rPr>
      </w:pPr>
    </w:p>
    <w:p xmlns:wp14="http://schemas.microsoft.com/office/word/2010/wordml" w:rsidP="30210FAC" w14:paraId="11E5C577" wp14:textId="43FBC612">
      <w:pPr>
        <w:pStyle w:val="Normal"/>
        <w:rPr>
          <w:rFonts w:ascii="Times New Roman" w:hAnsi="Times New Roman" w:eastAsia="Times New Roman" w:cs="Times New Roman"/>
          <w:b w:val="0"/>
          <w:bCs w:val="0"/>
          <w:i w:val="0"/>
          <w:iCs w:val="0"/>
          <w:color w:val="262626" w:themeColor="text1" w:themeTint="D9" w:themeShade="FF"/>
          <w:sz w:val="24"/>
          <w:szCs w:val="24"/>
          <w:u w:val="none"/>
        </w:rPr>
      </w:pPr>
    </w:p>
    <w:p xmlns:wp14="http://schemas.microsoft.com/office/word/2010/wordml" w:rsidP="30210FAC" w14:paraId="04E9DE3D" wp14:textId="792FA699">
      <w:pPr>
        <w:pStyle w:val="Normal"/>
        <w:rPr>
          <w:rFonts w:ascii="Times New Roman" w:hAnsi="Times New Roman" w:eastAsia="Times New Roman" w:cs="Times New Roman"/>
          <w:sz w:val="24"/>
          <w:szCs w:val="24"/>
        </w:rPr>
      </w:pPr>
      <w:r w:rsidR="30210FAC">
        <w:drawing>
          <wp:inline xmlns:wp14="http://schemas.microsoft.com/office/word/2010/wordprocessingDrawing" wp14:editId="353F5818" wp14:anchorId="6676F917">
            <wp:extent cx="2790462" cy="2491174"/>
            <wp:effectExtent l="0" t="0" r="0" b="0"/>
            <wp:docPr id="432274990" name="" title=""/>
            <wp:cNvGraphicFramePr>
              <a:graphicFrameLocks noChangeAspect="1"/>
            </wp:cNvGraphicFramePr>
            <a:graphic>
              <a:graphicData uri="http://schemas.openxmlformats.org/drawingml/2006/picture">
                <pic:pic>
                  <pic:nvPicPr>
                    <pic:cNvPr id="0" name=""/>
                    <pic:cNvPicPr/>
                  </pic:nvPicPr>
                  <pic:blipFill>
                    <a:blip r:embed="R094ab23e917a4358">
                      <a:extLst>
                        <a:ext xmlns:a="http://schemas.openxmlformats.org/drawingml/2006/main" uri="{28A0092B-C50C-407E-A947-70E740481C1C}">
                          <a14:useLocalDpi val="0"/>
                        </a:ext>
                      </a:extLst>
                    </a:blip>
                    <a:stretch>
                      <a:fillRect/>
                    </a:stretch>
                  </pic:blipFill>
                  <pic:spPr>
                    <a:xfrm>
                      <a:off x="0" y="0"/>
                      <a:ext cx="2790462" cy="2491174"/>
                    </a:xfrm>
                    <a:prstGeom prst="rect">
                      <a:avLst/>
                    </a:prstGeom>
                  </pic:spPr>
                </pic:pic>
              </a:graphicData>
            </a:graphic>
          </wp:inline>
        </w:drawing>
      </w:r>
      <w:r w:rsidRPr="30210FAC" w:rsidR="30210FAC">
        <w:rPr>
          <w:rFonts w:ascii="Times New Roman" w:hAnsi="Times New Roman" w:eastAsia="Times New Roman" w:cs="Times New Roman"/>
          <w:sz w:val="24"/>
          <w:szCs w:val="24"/>
        </w:rPr>
        <w:t xml:space="preserve">Source: Crowe Associates Ltd (NDA) </w:t>
      </w:r>
    </w:p>
    <w:p xmlns:wp14="http://schemas.microsoft.com/office/word/2010/wordml" w:rsidP="30210FAC" w14:paraId="4E34BC4C" wp14:textId="67B5E601">
      <w:pPr>
        <w:pStyle w:val="Normal"/>
        <w:rPr>
          <w:rFonts w:ascii="Times New Roman" w:hAnsi="Times New Roman" w:eastAsia="Times New Roman" w:cs="Times New Roman"/>
          <w:b w:val="0"/>
          <w:bCs w:val="0"/>
          <w:i w:val="0"/>
          <w:iCs w:val="0"/>
          <w:color w:val="262626" w:themeColor="text1" w:themeTint="D9" w:themeShade="FF"/>
          <w:sz w:val="24"/>
          <w:szCs w:val="24"/>
          <w:u w:val="none"/>
        </w:rPr>
      </w:pPr>
    </w:p>
    <w:p xmlns:wp14="http://schemas.microsoft.com/office/word/2010/wordml" w:rsidP="30210FAC" w14:paraId="481AA4BA" wp14:textId="21482F24">
      <w:pPr>
        <w:pStyle w:val="Normal"/>
        <w:rPr>
          <w:rFonts w:ascii="Times New Roman" w:hAnsi="Times New Roman" w:eastAsia="Times New Roman" w:cs="Times New Roman"/>
          <w:b w:val="1"/>
          <w:bCs w:val="1"/>
          <w:i w:val="0"/>
          <w:iCs w:val="0"/>
          <w:noProof w:val="0"/>
          <w:color w:val="262626" w:themeColor="text1" w:themeTint="D9" w:themeShade="FF"/>
          <w:sz w:val="24"/>
          <w:szCs w:val="24"/>
          <w:u w:val="single"/>
          <w:lang w:val="en-GB"/>
        </w:rPr>
      </w:pPr>
      <w:r w:rsidRPr="30210FAC" w:rsidR="30210FAC">
        <w:rPr>
          <w:rFonts w:ascii="Times New Roman" w:hAnsi="Times New Roman" w:eastAsia="Times New Roman" w:cs="Times New Roman"/>
          <w:b w:val="1"/>
          <w:bCs w:val="1"/>
          <w:noProof w:val="0"/>
          <w:sz w:val="24"/>
          <w:szCs w:val="24"/>
          <w:u w:val="single"/>
          <w:lang w:val="en-GB"/>
        </w:rPr>
        <w:t>Using reflective practice in early years</w:t>
      </w:r>
    </w:p>
    <w:p xmlns:wp14="http://schemas.microsoft.com/office/word/2010/wordml" w:rsidP="30210FAC" w14:paraId="73787B54" wp14:textId="66A28BA9">
      <w:pPr>
        <w:pStyle w:val="Normal"/>
        <w:rPr>
          <w:rFonts w:ascii="Times New Roman" w:hAnsi="Times New Roman" w:eastAsia="Times New Roman" w:cs="Times New Roman"/>
          <w:b w:val="0"/>
          <w:bCs w:val="0"/>
          <w:i w:val="0"/>
          <w:iCs w:val="0"/>
          <w:noProof w:val="0"/>
          <w:color w:val="262626" w:themeColor="text1" w:themeTint="D9" w:themeShade="FF"/>
          <w:sz w:val="24"/>
          <w:szCs w:val="24"/>
          <w:u w:val="none"/>
          <w:lang w:val="en-GB"/>
        </w:rPr>
      </w:pPr>
      <w:r w:rsidRPr="30210FAC" w:rsidR="30210FAC">
        <w:rPr>
          <w:rFonts w:ascii="Times New Roman" w:hAnsi="Times New Roman" w:eastAsia="Times New Roman" w:cs="Times New Roman"/>
          <w:noProof w:val="0"/>
          <w:sz w:val="24"/>
          <w:szCs w:val="24"/>
          <w:lang w:val="en-GB"/>
        </w:rPr>
        <w:t xml:space="preserve">There are many ways in which reflective practice can be applied, it may be putting pen to paper, typing it up or even talking to others. </w:t>
      </w:r>
    </w:p>
    <w:p xmlns:wp14="http://schemas.microsoft.com/office/word/2010/wordml" w:rsidP="30210FAC" w14:paraId="4678C24C" wp14:textId="7F8F34C9">
      <w:pPr>
        <w:pStyle w:val="Normal"/>
        <w:rPr>
          <w:rFonts w:ascii="Times New Roman" w:hAnsi="Times New Roman" w:eastAsia="Times New Roman" w:cs="Times New Roman"/>
          <w:b w:val="0"/>
          <w:bCs w:val="0"/>
          <w:i w:val="0"/>
          <w:iCs w:val="0"/>
          <w:noProof w:val="0"/>
          <w:color w:val="262626" w:themeColor="text1" w:themeTint="D9" w:themeShade="FF"/>
          <w:sz w:val="24"/>
          <w:szCs w:val="24"/>
          <w:u w:val="none"/>
          <w:lang w:val="en-GB"/>
        </w:rPr>
      </w:pPr>
      <w:r w:rsidRPr="30210FAC" w:rsidR="30210FAC">
        <w:rPr>
          <w:rFonts w:ascii="Times New Roman" w:hAnsi="Times New Roman" w:eastAsia="Times New Roman" w:cs="Times New Roman"/>
          <w:noProof w:val="0"/>
          <w:sz w:val="24"/>
          <w:szCs w:val="24"/>
          <w:lang w:val="en-GB"/>
        </w:rPr>
        <w:t xml:space="preserve">Ofsted (2013) published a report about strong leadership and how they develop and support high-quality provision. They found strong leaders were communicating effectively, but when conducting self-evaluations, they were not done in isolation. They also stressed the importance of self-reflection to their staff, and were regularly </w:t>
      </w:r>
      <w:r w:rsidRPr="30210FAC" w:rsidR="30210FAC">
        <w:rPr>
          <w:rFonts w:ascii="Times New Roman" w:hAnsi="Times New Roman" w:eastAsia="Times New Roman" w:cs="Times New Roman"/>
          <w:noProof w:val="0"/>
          <w:sz w:val="24"/>
          <w:szCs w:val="24"/>
          <w:lang w:val="en-GB"/>
        </w:rPr>
        <w:t>required</w:t>
      </w:r>
      <w:r w:rsidRPr="30210FAC" w:rsidR="30210FAC">
        <w:rPr>
          <w:rFonts w:ascii="Times New Roman" w:hAnsi="Times New Roman" w:eastAsia="Times New Roman" w:cs="Times New Roman"/>
          <w:noProof w:val="0"/>
          <w:sz w:val="24"/>
          <w:szCs w:val="24"/>
          <w:lang w:val="en-GB"/>
        </w:rPr>
        <w:t xml:space="preserve"> to ask themselves; what is it like for the child? what difference are we making? And how do we know? This could be seen as the setting factoring in Gibb’s reflective cycle.</w:t>
      </w:r>
    </w:p>
    <w:p xmlns:wp14="http://schemas.microsoft.com/office/word/2010/wordml" w:rsidP="30210FAC" w14:paraId="17676EE9" wp14:textId="31034255">
      <w:pPr>
        <w:pStyle w:val="Normal"/>
        <w:rPr>
          <w:rFonts w:ascii="Times New Roman" w:hAnsi="Times New Roman" w:eastAsia="Times New Roman" w:cs="Times New Roman"/>
          <w:b w:val="0"/>
          <w:bCs w:val="0"/>
          <w:i w:val="0"/>
          <w:iCs w:val="0"/>
          <w:noProof w:val="0"/>
          <w:color w:val="262626" w:themeColor="text1" w:themeTint="D9" w:themeShade="FF"/>
          <w:sz w:val="24"/>
          <w:szCs w:val="24"/>
          <w:u w:val="none"/>
          <w:lang w:val="en-GB"/>
        </w:rPr>
      </w:pPr>
      <w:r w:rsidRPr="30210FAC" w:rsidR="30210FAC">
        <w:rPr>
          <w:rFonts w:ascii="Times New Roman" w:hAnsi="Times New Roman" w:eastAsia="Times New Roman" w:cs="Times New Roman"/>
          <w:noProof w:val="0"/>
          <w:sz w:val="24"/>
          <w:szCs w:val="24"/>
          <w:lang w:val="en-GB"/>
        </w:rPr>
        <w:t xml:space="preserve">Reflective practice can also be applied to a child or a particular provision. Gathering evidence and materials allows practitioners to </w:t>
      </w:r>
      <w:r w:rsidRPr="30210FAC" w:rsidR="30210FAC">
        <w:rPr>
          <w:rFonts w:ascii="Times New Roman" w:hAnsi="Times New Roman" w:eastAsia="Times New Roman" w:cs="Times New Roman"/>
          <w:noProof w:val="0"/>
          <w:sz w:val="24"/>
          <w:szCs w:val="24"/>
          <w:lang w:val="en-GB"/>
        </w:rPr>
        <w:t>identify</w:t>
      </w:r>
      <w:r w:rsidRPr="30210FAC" w:rsidR="30210FAC">
        <w:rPr>
          <w:rFonts w:ascii="Times New Roman" w:hAnsi="Times New Roman" w:eastAsia="Times New Roman" w:cs="Times New Roman"/>
          <w:noProof w:val="0"/>
          <w:sz w:val="24"/>
          <w:szCs w:val="24"/>
          <w:lang w:val="en-GB"/>
        </w:rPr>
        <w:t xml:space="preserve"> issues. Further evidence will allow a deeper understanding of any issues. Said evidence can come from observations, interviews, or questionnaires. However, the General Data Protection Regulation (GDPR) must be always followed. Once the key issues have been </w:t>
      </w:r>
      <w:r w:rsidRPr="30210FAC" w:rsidR="30210FAC">
        <w:rPr>
          <w:rFonts w:ascii="Times New Roman" w:hAnsi="Times New Roman" w:eastAsia="Times New Roman" w:cs="Times New Roman"/>
          <w:noProof w:val="0"/>
          <w:sz w:val="24"/>
          <w:szCs w:val="24"/>
          <w:lang w:val="en-GB"/>
        </w:rPr>
        <w:t>identified</w:t>
      </w:r>
      <w:r w:rsidRPr="30210FAC" w:rsidR="30210FAC">
        <w:rPr>
          <w:rFonts w:ascii="Times New Roman" w:hAnsi="Times New Roman" w:eastAsia="Times New Roman" w:cs="Times New Roman"/>
          <w:noProof w:val="0"/>
          <w:sz w:val="24"/>
          <w:szCs w:val="24"/>
          <w:lang w:val="en-GB"/>
        </w:rPr>
        <w:t xml:space="preserve">, an evaluation can be conducted and once again allowing a reflection of the process. The Early Years Foundation Stage (EYFS) (2019) forum concur, they believe that reflective practitioners always seek new knowledge and new points of view about their practice or experience. </w:t>
      </w:r>
    </w:p>
    <w:p xmlns:wp14="http://schemas.microsoft.com/office/word/2010/wordml" w:rsidP="30210FAC" w14:paraId="1A8D9E1D" wp14:textId="4578BE75">
      <w:pPr>
        <w:pStyle w:val="Normal"/>
        <w:rPr>
          <w:rFonts w:ascii="Times New Roman" w:hAnsi="Times New Roman" w:eastAsia="Times New Roman" w:cs="Times New Roman"/>
          <w:b w:val="1"/>
          <w:bCs w:val="1"/>
          <w:i w:val="0"/>
          <w:iCs w:val="0"/>
          <w:noProof w:val="0"/>
          <w:color w:val="000000" w:themeColor="text1" w:themeTint="FF" w:themeShade="FF"/>
          <w:sz w:val="24"/>
          <w:szCs w:val="24"/>
          <w:u w:val="single"/>
          <w:lang w:val="en-GB"/>
        </w:rPr>
      </w:pPr>
      <w:r w:rsidRPr="30210FAC" w:rsidR="30210FAC">
        <w:rPr>
          <w:rFonts w:ascii="Times New Roman" w:hAnsi="Times New Roman" w:eastAsia="Times New Roman" w:cs="Times New Roman"/>
          <w:b w:val="1"/>
          <w:bCs w:val="1"/>
          <w:i w:val="0"/>
          <w:iCs w:val="0"/>
          <w:noProof w:val="0"/>
          <w:color w:val="000000" w:themeColor="text1" w:themeTint="FF" w:themeShade="FF"/>
          <w:sz w:val="24"/>
          <w:szCs w:val="24"/>
          <w:u w:val="single"/>
          <w:lang w:val="en-GB"/>
        </w:rPr>
        <w:t>Sustained shared thinking</w:t>
      </w:r>
    </w:p>
    <w:p xmlns:wp14="http://schemas.microsoft.com/office/word/2010/wordml" w:rsidP="30210FAC" w14:paraId="6EF288BD" wp14:textId="3F4164CA">
      <w:pPr>
        <w:pStyle w:val="Normal"/>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r w:rsidRPr="30210FAC" w:rsidR="30210FAC">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Sustained shared thinking can be defined as when two or more people work together (adults or children) to think about a problem and </w:t>
      </w:r>
      <w:r w:rsidRPr="30210FAC" w:rsidR="30210FAC">
        <w:rPr>
          <w:rFonts w:ascii="Times New Roman" w:hAnsi="Times New Roman" w:eastAsia="Times New Roman" w:cs="Times New Roman"/>
          <w:b w:val="0"/>
          <w:bCs w:val="0"/>
          <w:i w:val="0"/>
          <w:iCs w:val="0"/>
          <w:noProof w:val="0"/>
          <w:color w:val="000000" w:themeColor="text1" w:themeTint="FF" w:themeShade="FF"/>
          <w:sz w:val="24"/>
          <w:szCs w:val="24"/>
          <w:u w:val="none"/>
          <w:lang w:val="en-GB"/>
        </w:rPr>
        <w:t>identify</w:t>
      </w:r>
      <w:r w:rsidRPr="30210FAC" w:rsidR="30210FAC">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any ideas.</w:t>
      </w:r>
    </w:p>
    <w:p xmlns:wp14="http://schemas.microsoft.com/office/word/2010/wordml" w:rsidP="30210FAC" w14:paraId="2D68DC12" wp14:textId="7BD50855">
      <w:pPr>
        <w:pStyle w:val="Normal"/>
        <w:rPr>
          <w:rFonts w:ascii="Amasis MT Pro Light" w:hAnsi="Times New Roman" w:eastAsia="Times New Roman" w:cs="Times New Roman"/>
          <w:b w:val="0"/>
          <w:bCs w:val="0"/>
          <w:i w:val="0"/>
          <w:iCs w:val="0"/>
          <w:noProof w:val="0"/>
          <w:color w:val="000000" w:themeColor="text1" w:themeTint="FF" w:themeShade="FF"/>
          <w:sz w:val="20"/>
          <w:szCs w:val="20"/>
          <w:u w:val="none"/>
          <w:lang w:val="en-GB"/>
        </w:rPr>
      </w:pPr>
      <w:r w:rsidRPr="30210FAC" w:rsidR="30210FAC">
        <w:rPr>
          <w:rFonts w:ascii="Times New Roman" w:hAnsi="Times New Roman" w:eastAsia="Times New Roman" w:cs="Times New Roman"/>
          <w:b w:val="0"/>
          <w:bCs w:val="0"/>
          <w:i w:val="0"/>
          <w:iCs w:val="0"/>
          <w:noProof w:val="0"/>
          <w:color w:val="000000" w:themeColor="text1" w:themeTint="FF" w:themeShade="FF"/>
          <w:sz w:val="24"/>
          <w:szCs w:val="24"/>
          <w:u w:val="none"/>
          <w:lang w:val="en-GB"/>
        </w:rPr>
        <w:t>Within early years, it allows the child to use their thinking and problem skills, allowing them to use their critical skills. One way of supporting this practice in a setting is asking open-ended questions. It allows children to have say in their care but also opens the doors to communication and builds on the relationship through trust. Vygotsky’s Zone of Proximal Development (ZPD) allows children to explore their abilities with guided scaffolding from a knowledgeable other.</w:t>
      </w:r>
    </w:p>
    <w:p xmlns:wp14="http://schemas.microsoft.com/office/word/2010/wordml" w:rsidP="30210FAC" w14:paraId="136AE032" wp14:textId="79FF3796">
      <w:pPr>
        <w:pStyle w:val="Heading1"/>
        <w:rPr>
          <w:rFonts w:ascii="Times New Roman" w:hAnsi="Times New Roman" w:eastAsia="Times New Roman" w:cs="Times New Roman"/>
          <w:b w:val="1"/>
          <w:bCs w:val="1"/>
          <w:i w:val="0"/>
          <w:iCs w:val="0"/>
          <w:noProof w:val="0"/>
          <w:color w:val="auto"/>
          <w:sz w:val="24"/>
          <w:szCs w:val="24"/>
          <w:u w:val="single"/>
          <w:lang w:val="en-GB"/>
        </w:rPr>
      </w:pPr>
      <w:r w:rsidRPr="30210FAC" w:rsidR="30210FAC">
        <w:rPr>
          <w:rFonts w:ascii="Times New Roman" w:hAnsi="Times New Roman" w:eastAsia="Times New Roman" w:cs="Times New Roman"/>
          <w:b w:val="1"/>
          <w:bCs w:val="1"/>
          <w:noProof w:val="0"/>
          <w:color w:val="auto"/>
          <w:sz w:val="24"/>
          <w:szCs w:val="24"/>
          <w:u w:val="single"/>
          <w:lang w:val="en-GB"/>
        </w:rPr>
        <w:t>Barriers to reflective practice</w:t>
      </w:r>
    </w:p>
    <w:p xmlns:wp14="http://schemas.microsoft.com/office/word/2010/wordml" w:rsidP="30210FAC" w14:paraId="3928DBF0" wp14:textId="7D7A9B46">
      <w:pPr>
        <w:pStyle w:val="Normal"/>
        <w:rPr>
          <w:rFonts w:ascii="Times New Roman" w:hAnsi="Times New Roman" w:eastAsia="Times New Roman" w:cs="Times New Roman"/>
          <w:b w:val="0"/>
          <w:bCs w:val="0"/>
          <w:i w:val="0"/>
          <w:iCs w:val="0"/>
          <w:noProof w:val="0"/>
          <w:color w:val="262626" w:themeColor="text1" w:themeTint="D9" w:themeShade="FF"/>
          <w:sz w:val="24"/>
          <w:szCs w:val="24"/>
          <w:u w:val="none"/>
          <w:lang w:val="en-GB"/>
        </w:rPr>
      </w:pPr>
      <w:r w:rsidRPr="30210FAC" w:rsidR="30210FAC">
        <w:rPr>
          <w:rFonts w:ascii="Times New Roman" w:hAnsi="Times New Roman" w:eastAsia="Times New Roman" w:cs="Times New Roman"/>
          <w:noProof w:val="0"/>
          <w:sz w:val="24"/>
          <w:szCs w:val="24"/>
          <w:lang w:val="en-GB"/>
        </w:rPr>
        <w:t xml:space="preserve">The Technological University Dublin (2021) give several circumstances as to why reflective practice may fail. These could be motivation, whether it be personal or the organisation. Time, comprehension of the process, interest of examining our characteristics </w:t>
      </w:r>
      <w:proofErr w:type="gramStart"/>
      <w:r w:rsidRPr="30210FAC" w:rsidR="30210FAC">
        <w:rPr>
          <w:rFonts w:ascii="Times New Roman" w:hAnsi="Times New Roman" w:eastAsia="Times New Roman" w:cs="Times New Roman"/>
          <w:noProof w:val="0"/>
          <w:sz w:val="24"/>
          <w:szCs w:val="24"/>
          <w:lang w:val="en-GB"/>
        </w:rPr>
        <w:t>and also</w:t>
      </w:r>
      <w:proofErr w:type="gramEnd"/>
      <w:r w:rsidRPr="30210FAC" w:rsidR="30210FAC">
        <w:rPr>
          <w:rFonts w:ascii="Times New Roman" w:hAnsi="Times New Roman" w:eastAsia="Times New Roman" w:cs="Times New Roman"/>
          <w:noProof w:val="0"/>
          <w:sz w:val="24"/>
          <w:szCs w:val="24"/>
          <w:lang w:val="en-GB"/>
        </w:rPr>
        <w:t xml:space="preserve"> confidence. Nonetheless, the Technological University of the Shannon: Midwest (2022) give some constructive advice to overcoming barriers. These include setting aside frequent time to reflect, minimising distractions, finding the right environment to conduct evaluations, and remembering why reflection is important. </w:t>
      </w:r>
      <w:r w:rsidRPr="30210FAC" w:rsidR="30210FAC">
        <w:rPr>
          <w:rFonts w:ascii="Times New Roman" w:hAnsi="Times New Roman" w:eastAsia="Times New Roman" w:cs="Times New Roman"/>
          <w:noProof w:val="0"/>
          <w:sz w:val="24"/>
          <w:szCs w:val="24"/>
          <w:lang w:val="en-GB"/>
        </w:rPr>
        <w:t>Hopefully,</w:t>
      </w:r>
      <w:r w:rsidRPr="30210FAC" w:rsidR="30210FAC">
        <w:rPr>
          <w:rFonts w:ascii="Times New Roman" w:hAnsi="Times New Roman" w:eastAsia="Times New Roman" w:cs="Times New Roman"/>
          <w:noProof w:val="0"/>
          <w:sz w:val="24"/>
          <w:szCs w:val="24"/>
          <w:lang w:val="en-GB"/>
        </w:rPr>
        <w:t xml:space="preserve"> </w:t>
      </w:r>
      <w:bookmarkStart w:name="_Int_De2I3hiK" w:id="1931277123"/>
      <w:r w:rsidRPr="30210FAC" w:rsidR="30210FAC">
        <w:rPr>
          <w:rFonts w:ascii="Times New Roman" w:hAnsi="Times New Roman" w:eastAsia="Times New Roman" w:cs="Times New Roman"/>
          <w:noProof w:val="0"/>
          <w:sz w:val="24"/>
          <w:szCs w:val="24"/>
          <w:lang w:val="en-GB"/>
        </w:rPr>
        <w:t>these sort of points</w:t>
      </w:r>
      <w:bookmarkEnd w:id="1931277123"/>
      <w:r w:rsidRPr="30210FAC" w:rsidR="30210FAC">
        <w:rPr>
          <w:rFonts w:ascii="Times New Roman" w:hAnsi="Times New Roman" w:eastAsia="Times New Roman" w:cs="Times New Roman"/>
          <w:noProof w:val="0"/>
          <w:sz w:val="24"/>
          <w:szCs w:val="24"/>
          <w:lang w:val="en-GB"/>
        </w:rPr>
        <w:t xml:space="preserve"> allows practitioners to overcome such barriers.</w:t>
      </w:r>
    </w:p>
    <w:p xmlns:wp14="http://schemas.microsoft.com/office/word/2010/wordml" w:rsidP="30210FAC" w14:paraId="5E5787A5" wp14:textId="3B5D1CDB">
      <w:pPr>
        <w:pStyle w:val="Normal"/>
        <w:rPr>
          <w:rFonts w:ascii="Times New Roman" w:hAnsi="Times New Roman" w:eastAsia="Times New Roman" w:cs="Times New Roman"/>
          <w:b w:val="0"/>
          <w:bCs w:val="0"/>
          <w:i w:val="0"/>
          <w:iCs w:val="0"/>
          <w:color w:val="262626" w:themeColor="text1" w:themeTint="D9" w:themeShade="FF"/>
          <w:sz w:val="24"/>
          <w:szCs w:val="24"/>
          <w:u w:val="none"/>
        </w:rPr>
      </w:pPr>
    </w:p>
    <w:p w:rsidR="30210FAC" w:rsidP="30210FAC" w:rsidRDefault="30210FAC" w14:paraId="3CA49BC2" w14:textId="0D8F934F">
      <w:pPr>
        <w:pStyle w:val="Normal"/>
        <w:rPr>
          <w:rFonts w:ascii="Amasis MT Pro Light" w:hAnsi="Times New Roman" w:eastAsia="Times New Roman" w:cs="Times New Roman"/>
          <w:b w:val="0"/>
          <w:bCs w:val="0"/>
          <w:i w:val="0"/>
          <w:iCs w:val="0"/>
          <w:color w:val="000000" w:themeColor="text1" w:themeTint="FF" w:themeShade="FF"/>
          <w:sz w:val="20"/>
          <w:szCs w:val="20"/>
          <w:u w:val="none"/>
        </w:rPr>
      </w:pPr>
    </w:p>
    <w:p w:rsidR="30210FAC" w:rsidP="30210FAC" w:rsidRDefault="30210FAC" w14:paraId="1CF0334F" w14:textId="42677E9D">
      <w:pPr>
        <w:pStyle w:val="Normal"/>
        <w:rPr>
          <w:rFonts w:ascii="Amasis MT Pro Light" w:hAnsi="Times New Roman" w:eastAsia="Times New Roman" w:cs="Times New Roman"/>
          <w:b w:val="0"/>
          <w:bCs w:val="0"/>
          <w:i w:val="0"/>
          <w:iCs w:val="0"/>
          <w:color w:val="000000" w:themeColor="text1" w:themeTint="FF" w:themeShade="FF"/>
          <w:sz w:val="20"/>
          <w:szCs w:val="20"/>
          <w:u w:val="none"/>
        </w:rPr>
      </w:pPr>
    </w:p>
    <w:p w:rsidR="30210FAC" w:rsidP="30210FAC" w:rsidRDefault="30210FAC" w14:paraId="472A3805" w14:textId="24DB7939">
      <w:pPr>
        <w:pStyle w:val="Normal"/>
        <w:rPr>
          <w:rFonts w:ascii="Amasis MT Pro Light" w:hAnsi="Times New Roman" w:eastAsia="Times New Roman" w:cs="Times New Roman"/>
          <w:b w:val="0"/>
          <w:bCs w:val="0"/>
          <w:i w:val="0"/>
          <w:iCs w:val="0"/>
          <w:color w:val="000000" w:themeColor="text1" w:themeTint="FF" w:themeShade="FF"/>
          <w:sz w:val="20"/>
          <w:szCs w:val="20"/>
          <w:u w:val="none"/>
        </w:rPr>
      </w:pPr>
    </w:p>
    <w:p w:rsidR="30210FAC" w:rsidP="30210FAC" w:rsidRDefault="30210FAC" w14:paraId="3C573E15" w14:textId="44FC738C">
      <w:pPr>
        <w:pStyle w:val="Normal"/>
        <w:rPr>
          <w:rFonts w:ascii="Amasis MT Pro Light" w:hAnsi="Times New Roman" w:eastAsia="Times New Roman" w:cs="Times New Roman"/>
          <w:b w:val="0"/>
          <w:bCs w:val="0"/>
          <w:i w:val="0"/>
          <w:iCs w:val="0"/>
          <w:color w:val="000000" w:themeColor="text1" w:themeTint="FF" w:themeShade="FF"/>
          <w:sz w:val="20"/>
          <w:szCs w:val="20"/>
          <w:u w:val="none"/>
        </w:rPr>
      </w:pPr>
    </w:p>
    <w:p w:rsidR="30210FAC" w:rsidP="30210FAC" w:rsidRDefault="30210FAC" w14:paraId="26F15DFA" w14:textId="69AA1C28">
      <w:pPr>
        <w:pStyle w:val="Normal"/>
        <w:rPr>
          <w:rFonts w:ascii="Amasis MT Pro Light" w:hAnsi="Times New Roman" w:eastAsia="Times New Roman" w:cs="Times New Roman"/>
          <w:b w:val="0"/>
          <w:bCs w:val="0"/>
          <w:i w:val="0"/>
          <w:iCs w:val="0"/>
          <w:color w:val="000000" w:themeColor="text1" w:themeTint="FF" w:themeShade="FF"/>
          <w:sz w:val="20"/>
          <w:szCs w:val="20"/>
          <w:u w:val="none"/>
        </w:rPr>
      </w:pPr>
    </w:p>
    <w:p w:rsidR="30210FAC" w:rsidP="30210FAC" w:rsidRDefault="30210FAC" w14:paraId="26B0FCF8" w14:textId="1A42746B">
      <w:pPr>
        <w:pStyle w:val="Normal"/>
        <w:rPr>
          <w:rFonts w:ascii="Amasis MT Pro Light" w:hAnsi="Times New Roman" w:eastAsia="Times New Roman" w:cs="Times New Roman"/>
          <w:b w:val="0"/>
          <w:bCs w:val="0"/>
          <w:i w:val="0"/>
          <w:iCs w:val="0"/>
          <w:color w:val="000000" w:themeColor="text1" w:themeTint="FF" w:themeShade="FF"/>
          <w:sz w:val="20"/>
          <w:szCs w:val="20"/>
          <w:u w:val="none"/>
        </w:rPr>
      </w:pPr>
    </w:p>
    <w:p w:rsidR="30210FAC" w:rsidP="30210FAC" w:rsidRDefault="30210FAC" w14:paraId="06E53816" w14:textId="2D108C8F">
      <w:pPr>
        <w:pStyle w:val="Normal"/>
        <w:rPr>
          <w:rFonts w:ascii="Amasis MT Pro Light" w:hAnsi="Times New Roman" w:eastAsia="Times New Roman" w:cs="Times New Roman"/>
          <w:b w:val="0"/>
          <w:bCs w:val="0"/>
          <w:i w:val="0"/>
          <w:iCs w:val="0"/>
          <w:color w:val="000000" w:themeColor="text1" w:themeTint="FF" w:themeShade="FF"/>
          <w:sz w:val="20"/>
          <w:szCs w:val="20"/>
          <w:u w:val="none"/>
        </w:rPr>
      </w:pPr>
    </w:p>
    <w:p w:rsidR="30210FAC" w:rsidP="30210FAC" w:rsidRDefault="30210FAC" w14:paraId="5CFFE367" w14:textId="22766768">
      <w:pPr>
        <w:pStyle w:val="Normal"/>
        <w:rPr>
          <w:rFonts w:ascii="Amasis MT Pro Light" w:hAnsi="Times New Roman" w:eastAsia="Times New Roman" w:cs="Times New Roman"/>
          <w:b w:val="0"/>
          <w:bCs w:val="0"/>
          <w:i w:val="0"/>
          <w:iCs w:val="0"/>
          <w:color w:val="000000" w:themeColor="text1" w:themeTint="FF" w:themeShade="FF"/>
          <w:sz w:val="20"/>
          <w:szCs w:val="20"/>
          <w:u w:val="none"/>
        </w:rPr>
      </w:pPr>
    </w:p>
    <w:p w:rsidR="30210FAC" w:rsidP="30210FAC" w:rsidRDefault="30210FAC" w14:paraId="000931F9" w14:textId="05008C37">
      <w:pPr>
        <w:pStyle w:val="Normal"/>
        <w:rPr>
          <w:rFonts w:ascii="Amasis MT Pro Light" w:hAnsi="Times New Roman" w:eastAsia="Times New Roman" w:cs="Times New Roman"/>
          <w:b w:val="0"/>
          <w:bCs w:val="0"/>
          <w:i w:val="0"/>
          <w:iCs w:val="0"/>
          <w:color w:val="000000" w:themeColor="text1" w:themeTint="FF" w:themeShade="FF"/>
          <w:sz w:val="20"/>
          <w:szCs w:val="20"/>
          <w:u w:val="none"/>
        </w:rPr>
      </w:pPr>
    </w:p>
    <w:p w:rsidR="30210FAC" w:rsidP="30210FAC" w:rsidRDefault="30210FAC" w14:paraId="2428CF77" w14:textId="5BC28363">
      <w:pPr>
        <w:pStyle w:val="Normal"/>
        <w:rPr>
          <w:rFonts w:ascii="Amasis MT Pro Light" w:hAnsi="Times New Roman" w:eastAsia="Times New Roman" w:cs="Times New Roman"/>
          <w:b w:val="0"/>
          <w:bCs w:val="0"/>
          <w:i w:val="0"/>
          <w:iCs w:val="0"/>
          <w:color w:val="000000" w:themeColor="text1" w:themeTint="FF" w:themeShade="FF"/>
          <w:sz w:val="20"/>
          <w:szCs w:val="20"/>
          <w:u w:val="none"/>
        </w:rPr>
      </w:pPr>
    </w:p>
    <w:p w:rsidR="30210FAC" w:rsidP="30210FAC" w:rsidRDefault="30210FAC" w14:paraId="4A58D60D" w14:textId="76CDB7FC">
      <w:pPr>
        <w:pStyle w:val="Normal"/>
        <w:rPr>
          <w:rFonts w:ascii="Amasis MT Pro Light" w:hAnsi="Times New Roman" w:eastAsia="Times New Roman" w:cs="Times New Roman"/>
          <w:b w:val="0"/>
          <w:bCs w:val="0"/>
          <w:i w:val="0"/>
          <w:iCs w:val="0"/>
          <w:color w:val="000000" w:themeColor="text1" w:themeTint="FF" w:themeShade="FF"/>
          <w:sz w:val="20"/>
          <w:szCs w:val="20"/>
          <w:u w:val="none"/>
        </w:rPr>
      </w:pPr>
    </w:p>
    <w:p w:rsidR="30210FAC" w:rsidP="30210FAC" w:rsidRDefault="30210FAC" w14:paraId="1A7769F5" w14:textId="4125F13C">
      <w:pPr>
        <w:pStyle w:val="Normal"/>
        <w:rPr>
          <w:rFonts w:ascii="Times New Roman" w:hAnsi="Times New Roman" w:eastAsia="Times New Roman" w:cs="Times New Roman"/>
          <w:b w:val="1"/>
          <w:bCs w:val="1"/>
          <w:i w:val="0"/>
          <w:iCs w:val="0"/>
          <w:color w:val="262626" w:themeColor="text1" w:themeTint="D9" w:themeShade="FF"/>
          <w:sz w:val="24"/>
          <w:szCs w:val="24"/>
          <w:u w:val="single"/>
        </w:rPr>
      </w:pPr>
      <w:r w:rsidRPr="30210FAC" w:rsidR="30210FAC">
        <w:rPr>
          <w:rFonts w:ascii="Times New Roman" w:hAnsi="Times New Roman" w:eastAsia="Times New Roman" w:cs="Times New Roman"/>
          <w:b w:val="0"/>
          <w:bCs w:val="0"/>
          <w:i w:val="0"/>
          <w:iCs w:val="0"/>
          <w:color w:val="262626" w:themeColor="text1" w:themeTint="D9" w:themeShade="FF"/>
          <w:sz w:val="24"/>
          <w:szCs w:val="24"/>
          <w:u w:val="none"/>
        </w:rPr>
        <w:t xml:space="preserve">                          </w:t>
      </w:r>
      <w:r w:rsidRPr="30210FAC" w:rsidR="30210FAC">
        <w:rPr>
          <w:rFonts w:ascii="Times New Roman" w:hAnsi="Times New Roman" w:eastAsia="Times New Roman" w:cs="Times New Roman"/>
          <w:b w:val="1"/>
          <w:bCs w:val="1"/>
          <w:i w:val="0"/>
          <w:iCs w:val="0"/>
          <w:color w:val="262626" w:themeColor="text1" w:themeTint="D9" w:themeShade="FF"/>
          <w:sz w:val="24"/>
          <w:szCs w:val="24"/>
          <w:u w:val="none"/>
        </w:rPr>
        <w:t xml:space="preserve">   </w:t>
      </w:r>
      <w:r w:rsidRPr="30210FAC" w:rsidR="30210FAC">
        <w:rPr>
          <w:rFonts w:ascii="Times New Roman" w:hAnsi="Times New Roman" w:eastAsia="Times New Roman" w:cs="Times New Roman"/>
          <w:b w:val="1"/>
          <w:bCs w:val="1"/>
          <w:i w:val="0"/>
          <w:iCs w:val="0"/>
          <w:color w:val="262626" w:themeColor="text1" w:themeTint="D9" w:themeShade="FF"/>
          <w:sz w:val="24"/>
          <w:szCs w:val="24"/>
          <w:u w:val="single"/>
        </w:rPr>
        <w:t>Reference list</w:t>
      </w:r>
    </w:p>
    <w:p w:rsidR="30210FAC" w:rsidP="79D1307F" w:rsidRDefault="30210FAC" w14:paraId="751B0FC0" w14:textId="0DB81274">
      <w:pPr>
        <w:pStyle w:val="Normal"/>
        <w:rPr>
          <w:rFonts w:ascii="Times New Roman" w:hAnsi="Times New Roman" w:eastAsia="Times New Roman" w:cs="Times New Roman"/>
          <w:b w:val="0"/>
          <w:bCs w:val="0"/>
          <w:i w:val="0"/>
          <w:iCs w:val="0"/>
          <w:color w:val="000000" w:themeColor="text1" w:themeTint="FF" w:themeShade="FF"/>
          <w:sz w:val="24"/>
          <w:szCs w:val="24"/>
          <w:u w:val="none"/>
        </w:rPr>
      </w:pP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Brock, A. (2015)</w:t>
      </w:r>
      <w:r w:rsidRPr="79D1307F" w:rsidR="30210FAC">
        <w:rPr>
          <w:rFonts w:ascii="Times New Roman" w:hAnsi="Times New Roman" w:eastAsia="Times New Roman" w:cs="Times New Roman"/>
          <w:b w:val="0"/>
          <w:bCs w:val="0"/>
          <w:i w:val="1"/>
          <w:iCs w:val="1"/>
          <w:color w:val="000000" w:themeColor="text1" w:themeTint="FF" w:themeShade="FF"/>
          <w:sz w:val="24"/>
          <w:szCs w:val="24"/>
          <w:u w:val="none"/>
        </w:rPr>
        <w:t xml:space="preserve"> The Early Years Reflective Practice Handbook</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Abington: Routledge.</w:t>
      </w:r>
    </w:p>
    <w:p w:rsidR="30210FAC" w:rsidP="79D1307F" w:rsidRDefault="30210FAC" w14:paraId="2BCDDC62" w14:textId="425417FC">
      <w:pPr>
        <w:pStyle w:val="Normal"/>
        <w:rPr>
          <w:rFonts w:ascii="Amasis MT Pro Light" w:hAnsi="Times New Roman" w:eastAsia="Times New Roman" w:cs="Times New Roman"/>
          <w:b w:val="0"/>
          <w:bCs w:val="0"/>
          <w:i w:val="0"/>
          <w:iCs w:val="0"/>
          <w:color w:val="000000" w:themeColor="text1" w:themeTint="FF" w:themeShade="FF"/>
          <w:sz w:val="20"/>
          <w:szCs w:val="20"/>
          <w:u w:val="none"/>
        </w:rPr>
      </w:pP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Crowe Associates Ltd. (NDA) </w:t>
      </w:r>
      <w:r w:rsidRPr="79D1307F" w:rsidR="30210FAC">
        <w:rPr>
          <w:rFonts w:ascii="Times New Roman" w:hAnsi="Times New Roman" w:eastAsia="Times New Roman" w:cs="Times New Roman"/>
          <w:b w:val="0"/>
          <w:bCs w:val="0"/>
          <w:i w:val="1"/>
          <w:iCs w:val="1"/>
          <w:color w:val="000000" w:themeColor="text1" w:themeTint="FF" w:themeShade="FF"/>
          <w:sz w:val="24"/>
          <w:szCs w:val="24"/>
          <w:u w:val="none"/>
        </w:rPr>
        <w:t>Gibbs Reflective Cycle</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Available at: </w:t>
      </w:r>
      <w:hyperlink r:id="Ra4b04a0667844f25">
        <w:r w:rsidRPr="79D1307F" w:rsidR="30210FAC">
          <w:rPr>
            <w:rStyle w:val="Hyperlink"/>
            <w:rFonts w:ascii="Times New Roman" w:hAnsi="Times New Roman" w:eastAsia="Times New Roman" w:cs="Times New Roman"/>
            <w:b w:val="0"/>
            <w:bCs w:val="0"/>
            <w:i w:val="0"/>
            <w:iCs w:val="0"/>
            <w:sz w:val="24"/>
            <w:szCs w:val="24"/>
          </w:rPr>
          <w:t>https://www.crowe-associates.co.uk/coaching-tools/gibbs-reflective-cycle/</w:t>
        </w:r>
      </w:hyperlink>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Accessed: 13</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vertAlign w:val="superscript"/>
        </w:rPr>
        <w:t>th</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May 2022.</w:t>
      </w:r>
    </w:p>
    <w:p w:rsidR="30210FAC" w:rsidP="79D1307F" w:rsidRDefault="30210FAC" w14:paraId="08ED49E9" w14:textId="28E0C854">
      <w:pPr>
        <w:pStyle w:val="Normal"/>
        <w:rPr>
          <w:rFonts w:ascii="Amasis MT Pro Light" w:hAnsi="Times New Roman" w:eastAsia="Times New Roman" w:cs="Times New Roman"/>
          <w:b w:val="0"/>
          <w:bCs w:val="0"/>
          <w:i w:val="0"/>
          <w:iCs w:val="0"/>
          <w:color w:val="000000" w:themeColor="text1" w:themeTint="FF" w:themeShade="FF"/>
          <w:sz w:val="20"/>
          <w:szCs w:val="20"/>
          <w:u w:val="none"/>
        </w:rPr>
      </w:pP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Dewey, J. (1933) </w:t>
      </w:r>
      <w:r w:rsidRPr="79D1307F" w:rsidR="30210FAC">
        <w:rPr>
          <w:rFonts w:ascii="Times New Roman" w:hAnsi="Times New Roman" w:eastAsia="Times New Roman" w:cs="Times New Roman"/>
          <w:b w:val="0"/>
          <w:bCs w:val="0"/>
          <w:i w:val="1"/>
          <w:iCs w:val="1"/>
          <w:color w:val="000000" w:themeColor="text1" w:themeTint="FF" w:themeShade="FF"/>
          <w:sz w:val="24"/>
          <w:szCs w:val="24"/>
          <w:u w:val="none"/>
        </w:rPr>
        <w:t xml:space="preserve">How we think: a restatement of the relation of reflective thinking to the educative process. </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Boston, MA D.C.: Health &amp; Co Publishers.</w:t>
      </w:r>
    </w:p>
    <w:p w:rsidR="30210FAC" w:rsidP="79D1307F" w:rsidRDefault="30210FAC" w14:paraId="16D42EFA" w14:textId="1DC1A5D8">
      <w:pPr>
        <w:pStyle w:val="Normal"/>
        <w:rPr>
          <w:rFonts w:ascii="Times New Roman" w:hAnsi="Times New Roman" w:eastAsia="Times New Roman" w:cs="Times New Roman"/>
          <w:b w:val="0"/>
          <w:bCs w:val="0"/>
          <w:i w:val="0"/>
          <w:iCs w:val="0"/>
          <w:color w:val="000000" w:themeColor="text1" w:themeTint="FF" w:themeShade="FF"/>
          <w:sz w:val="24"/>
          <w:szCs w:val="24"/>
          <w:u w:val="none"/>
        </w:rPr>
      </w:pP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Early Years Foundation Stage forum. (EYFS) (2019)</w:t>
      </w:r>
      <w:r w:rsidRPr="79D1307F" w:rsidR="30210FAC">
        <w:rPr>
          <w:rFonts w:ascii="Times New Roman" w:hAnsi="Times New Roman" w:eastAsia="Times New Roman" w:cs="Times New Roman"/>
          <w:b w:val="0"/>
          <w:bCs w:val="0"/>
          <w:i w:val="1"/>
          <w:iCs w:val="1"/>
          <w:color w:val="000000" w:themeColor="text1" w:themeTint="FF" w:themeShade="FF"/>
          <w:sz w:val="24"/>
          <w:szCs w:val="24"/>
          <w:u w:val="none"/>
        </w:rPr>
        <w:t xml:space="preserve"> The Process of Reflective Practice</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Available at: </w:t>
      </w:r>
      <w:hyperlink r:id="Rdbdcad4c8c11427e">
        <w:r w:rsidRPr="79D1307F" w:rsidR="30210FAC">
          <w:rPr>
            <w:rStyle w:val="Hyperlink"/>
            <w:rFonts w:ascii="Times New Roman" w:hAnsi="Times New Roman" w:eastAsia="Times New Roman" w:cs="Times New Roman"/>
            <w:b w:val="0"/>
            <w:bCs w:val="0"/>
            <w:i w:val="0"/>
            <w:iCs w:val="0"/>
            <w:sz w:val="24"/>
            <w:szCs w:val="24"/>
          </w:rPr>
          <w:t>https://eyfs.info/articles.html/teaching-and-learning/the-process-of-reflective-practice-r262/</w:t>
        </w:r>
      </w:hyperlink>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Accessed: 13</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vertAlign w:val="superscript"/>
        </w:rPr>
        <w:t>th</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May 2022.</w:t>
      </w:r>
    </w:p>
    <w:p w:rsidR="30210FAC" w:rsidP="79D1307F" w:rsidRDefault="30210FAC" w14:paraId="0C607F0C" w14:textId="04113F1D">
      <w:pPr>
        <w:pStyle w:val="Normal"/>
        <w:rPr>
          <w:rFonts w:ascii="Amasis MT Pro Light" w:hAnsi="Times New Roman" w:eastAsia="Times New Roman" w:cs="Times New Roman"/>
          <w:b w:val="0"/>
          <w:bCs w:val="0"/>
          <w:i w:val="0"/>
          <w:iCs w:val="0"/>
          <w:color w:val="000000" w:themeColor="text1" w:themeTint="FF" w:themeShade="FF"/>
          <w:sz w:val="20"/>
          <w:szCs w:val="20"/>
          <w:u w:val="none"/>
        </w:rPr>
      </w:pP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Gibbs, G. (1988) </w:t>
      </w:r>
      <w:r w:rsidRPr="79D1307F" w:rsidR="30210FAC">
        <w:rPr>
          <w:rFonts w:ascii="Times New Roman" w:hAnsi="Times New Roman" w:eastAsia="Times New Roman" w:cs="Times New Roman"/>
          <w:b w:val="0"/>
          <w:bCs w:val="0"/>
          <w:i w:val="1"/>
          <w:iCs w:val="1"/>
          <w:color w:val="000000" w:themeColor="text1" w:themeTint="FF" w:themeShade="FF"/>
          <w:sz w:val="24"/>
          <w:szCs w:val="24"/>
          <w:u w:val="none"/>
        </w:rPr>
        <w:t>Learning by doing</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Oxford: Oxford Brookes University.</w:t>
      </w:r>
    </w:p>
    <w:p w:rsidR="30210FAC" w:rsidP="79D1307F" w:rsidRDefault="30210FAC" w14:paraId="484B05D7" w14:textId="6DEAF31B">
      <w:pPr>
        <w:pStyle w:val="Normal"/>
        <w:rPr>
          <w:rFonts w:ascii="Amasis MT Pro Light" w:hAnsi="Times New Roman" w:eastAsia="Times New Roman" w:cs="Times New Roman"/>
          <w:b w:val="0"/>
          <w:bCs w:val="0"/>
          <w:i w:val="0"/>
          <w:iCs w:val="0"/>
          <w:color w:val="000000" w:themeColor="text1" w:themeTint="FF" w:themeShade="FF"/>
          <w:sz w:val="20"/>
          <w:szCs w:val="20"/>
          <w:u w:val="none"/>
        </w:rPr>
      </w:pP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Kolb, D. (1984) </w:t>
      </w:r>
      <w:r w:rsidRPr="79D1307F" w:rsidR="30210FAC">
        <w:rPr>
          <w:rFonts w:ascii="Times New Roman" w:hAnsi="Times New Roman" w:eastAsia="Times New Roman" w:cs="Times New Roman"/>
          <w:b w:val="0"/>
          <w:bCs w:val="0"/>
          <w:i w:val="1"/>
          <w:iCs w:val="1"/>
          <w:color w:val="000000" w:themeColor="text1" w:themeTint="FF" w:themeShade="FF"/>
          <w:sz w:val="24"/>
          <w:szCs w:val="24"/>
          <w:u w:val="none"/>
        </w:rPr>
        <w:t>Experiential Learning: Experience as the source of learning and development (vol. 1.).</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Englewood Cliffs, </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NJ:</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Prentice- Hall. </w:t>
      </w:r>
    </w:p>
    <w:p w:rsidR="30210FAC" w:rsidP="79D1307F" w:rsidRDefault="30210FAC" w14:paraId="518EA139" w14:textId="4FF93195">
      <w:pPr>
        <w:pStyle w:val="Normal"/>
        <w:rPr>
          <w:rFonts w:ascii="Amasis MT Pro Light" w:hAnsi="Times New Roman" w:eastAsia="Times New Roman" w:cs="Times New Roman"/>
          <w:b w:val="0"/>
          <w:bCs w:val="0"/>
          <w:i w:val="0"/>
          <w:iCs w:val="0"/>
          <w:color w:val="000000" w:themeColor="text1" w:themeTint="FF" w:themeShade="FF"/>
          <w:sz w:val="20"/>
          <w:szCs w:val="20"/>
          <w:u w:val="none"/>
        </w:rPr>
      </w:pP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Ofsted. (2016) </w:t>
      </w:r>
      <w:r w:rsidRPr="79D1307F" w:rsidR="30210FAC">
        <w:rPr>
          <w:rFonts w:ascii="Times New Roman" w:hAnsi="Times New Roman" w:eastAsia="Times New Roman" w:cs="Times New Roman"/>
          <w:b w:val="0"/>
          <w:bCs w:val="0"/>
          <w:i w:val="1"/>
          <w:iCs w:val="1"/>
          <w:color w:val="000000" w:themeColor="text1" w:themeTint="FF" w:themeShade="FF"/>
          <w:sz w:val="24"/>
          <w:szCs w:val="24"/>
          <w:u w:val="none"/>
        </w:rPr>
        <w:t>Getting it right the first time.</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Available at: </w:t>
      </w:r>
      <w:hyperlink r:id="R0be38309f9b24e3a">
        <w:r w:rsidRPr="79D1307F" w:rsidR="30210FAC">
          <w:rPr>
            <w:rStyle w:val="Hyperlink"/>
            <w:rFonts w:ascii="Times New Roman" w:hAnsi="Times New Roman" w:eastAsia="Times New Roman" w:cs="Times New Roman"/>
            <w:b w:val="0"/>
            <w:bCs w:val="0"/>
            <w:i w:val="0"/>
            <w:iCs w:val="0"/>
            <w:sz w:val="24"/>
            <w:szCs w:val="24"/>
          </w:rPr>
          <w:t>https://www.ofsted.gov.uk/resources/130117</w:t>
        </w:r>
      </w:hyperlink>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Accessed: 13</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vertAlign w:val="superscript"/>
        </w:rPr>
        <w:t>th</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May 2022.</w:t>
      </w:r>
    </w:p>
    <w:p w:rsidR="30210FAC" w:rsidP="79D1307F" w:rsidRDefault="30210FAC" w14:paraId="7D4538B9" w14:textId="4159765A">
      <w:pPr>
        <w:pStyle w:val="Normal"/>
        <w:rPr>
          <w:rFonts w:ascii="Times New Roman" w:hAnsi="Times New Roman" w:eastAsia="Times New Roman" w:cs="Times New Roman"/>
          <w:b w:val="0"/>
          <w:bCs w:val="0"/>
          <w:i w:val="0"/>
          <w:iCs w:val="0"/>
          <w:color w:val="000000" w:themeColor="text1" w:themeTint="FF" w:themeShade="FF"/>
          <w:sz w:val="24"/>
          <w:szCs w:val="24"/>
          <w:u w:val="none"/>
        </w:rPr>
      </w:pP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Pacey. (2016) </w:t>
      </w:r>
      <w:r w:rsidRPr="79D1307F" w:rsidR="30210FAC">
        <w:rPr>
          <w:rFonts w:ascii="Times New Roman" w:hAnsi="Times New Roman" w:eastAsia="Times New Roman" w:cs="Times New Roman"/>
          <w:b w:val="0"/>
          <w:bCs w:val="0"/>
          <w:i w:val="1"/>
          <w:iCs w:val="1"/>
          <w:color w:val="000000" w:themeColor="text1" w:themeTint="FF" w:themeShade="FF"/>
          <w:sz w:val="24"/>
          <w:szCs w:val="24"/>
          <w:u w:val="none"/>
        </w:rPr>
        <w:t xml:space="preserve">Developing self-reflective practice: Supporting members to </w:t>
      </w:r>
      <w:r w:rsidRPr="79D1307F" w:rsidR="30210FAC">
        <w:rPr>
          <w:rFonts w:ascii="Times New Roman" w:hAnsi="Times New Roman" w:eastAsia="Times New Roman" w:cs="Times New Roman"/>
          <w:b w:val="0"/>
          <w:bCs w:val="0"/>
          <w:i w:val="1"/>
          <w:iCs w:val="1"/>
          <w:color w:val="000000" w:themeColor="text1" w:themeTint="FF" w:themeShade="FF"/>
          <w:sz w:val="24"/>
          <w:szCs w:val="24"/>
          <w:u w:val="none"/>
        </w:rPr>
        <w:t>provide</w:t>
      </w:r>
      <w:r w:rsidRPr="79D1307F" w:rsidR="30210FAC">
        <w:rPr>
          <w:rFonts w:ascii="Times New Roman" w:hAnsi="Times New Roman" w:eastAsia="Times New Roman" w:cs="Times New Roman"/>
          <w:b w:val="0"/>
          <w:bCs w:val="0"/>
          <w:i w:val="1"/>
          <w:iCs w:val="1"/>
          <w:color w:val="000000" w:themeColor="text1" w:themeTint="FF" w:themeShade="FF"/>
          <w:sz w:val="24"/>
          <w:szCs w:val="24"/>
          <w:u w:val="none"/>
        </w:rPr>
        <w:t xml:space="preserve"> the highest standards of care and learning for children.</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Available at: </w:t>
      </w:r>
      <w:hyperlink r:id="Re06e13ac6fa24391">
        <w:r w:rsidRPr="79D1307F" w:rsidR="30210FAC">
          <w:rPr>
            <w:rStyle w:val="Hyperlink"/>
            <w:rFonts w:ascii="Times New Roman" w:hAnsi="Times New Roman" w:eastAsia="Times New Roman" w:cs="Times New Roman"/>
            <w:b w:val="0"/>
            <w:bCs w:val="0"/>
            <w:i w:val="0"/>
            <w:iCs w:val="0"/>
            <w:sz w:val="24"/>
            <w:szCs w:val="24"/>
          </w:rPr>
          <w:t>https://www.pacey.org.uk/Pacey/media/Website-files/PACEY%20member%20practice%20guides%20(PDFs)/PG04-self-reflective-practice.pdf</w:t>
        </w:r>
      </w:hyperlink>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Accessed: 13</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vertAlign w:val="superscript"/>
        </w:rPr>
        <w:t>th</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May 2022.</w:t>
      </w:r>
    </w:p>
    <w:p w:rsidR="30210FAC" w:rsidP="79D1307F" w:rsidRDefault="30210FAC" w14:paraId="68E3B5F2" w14:textId="45EB0A54">
      <w:pPr>
        <w:pStyle w:val="Normal"/>
        <w:rPr>
          <w:rFonts w:ascii="Amasis MT Pro Light" w:hAnsi="Times New Roman" w:eastAsia="Times New Roman" w:cs="Times New Roman"/>
          <w:b w:val="0"/>
          <w:bCs w:val="0"/>
          <w:i w:val="0"/>
          <w:iCs w:val="0"/>
          <w:color w:val="000000" w:themeColor="text1" w:themeTint="FF" w:themeShade="FF"/>
          <w:sz w:val="20"/>
          <w:szCs w:val="20"/>
          <w:u w:val="none"/>
        </w:rPr>
      </w:pP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ResearchGate. (2016) </w:t>
      </w:r>
      <w:r w:rsidRPr="79D1307F" w:rsidR="30210FAC">
        <w:rPr>
          <w:rFonts w:ascii="Times New Roman" w:hAnsi="Times New Roman" w:eastAsia="Times New Roman" w:cs="Times New Roman"/>
          <w:b w:val="0"/>
          <w:bCs w:val="0"/>
          <w:i w:val="1"/>
          <w:iCs w:val="1"/>
          <w:color w:val="000000" w:themeColor="text1" w:themeTint="FF" w:themeShade="FF"/>
          <w:sz w:val="24"/>
          <w:szCs w:val="24"/>
          <w:u w:val="none"/>
        </w:rPr>
        <w:t>Schon model.</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Available at: </w:t>
      </w:r>
      <w:hyperlink r:id="R2cef4ae56f65432d">
        <w:r w:rsidRPr="79D1307F" w:rsidR="30210FAC">
          <w:rPr>
            <w:rStyle w:val="Hyperlink"/>
            <w:rFonts w:ascii="Times New Roman" w:hAnsi="Times New Roman" w:eastAsia="Times New Roman" w:cs="Times New Roman"/>
            <w:b w:val="0"/>
            <w:bCs w:val="0"/>
            <w:i w:val="0"/>
            <w:iCs w:val="0"/>
            <w:sz w:val="24"/>
            <w:szCs w:val="24"/>
          </w:rPr>
          <w:t>https://www.researchgate.net/figure/Schons-reflection-in-action-and-reflection-on-action_fig1_299506089</w:t>
        </w:r>
      </w:hyperlink>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Accessed: 13</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vertAlign w:val="superscript"/>
        </w:rPr>
        <w:t>th</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May 2022.</w:t>
      </w:r>
    </w:p>
    <w:p w:rsidR="30210FAC" w:rsidP="79D1307F" w:rsidRDefault="30210FAC" w14:paraId="6A84A550" w14:textId="45173E11">
      <w:pPr>
        <w:pStyle w:val="Normal"/>
        <w:rPr>
          <w:rFonts w:ascii="Times New Roman" w:hAnsi="Times New Roman" w:eastAsia="Times New Roman" w:cs="Times New Roman"/>
          <w:b w:val="0"/>
          <w:bCs w:val="0"/>
          <w:i w:val="0"/>
          <w:iCs w:val="0"/>
          <w:color w:val="000000" w:themeColor="text1" w:themeTint="FF" w:themeShade="FF"/>
          <w:sz w:val="24"/>
          <w:szCs w:val="24"/>
          <w:u w:val="none"/>
        </w:rPr>
      </w:pP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Schon, S.D. (1983)</w:t>
      </w:r>
      <w:r w:rsidRPr="79D1307F" w:rsidR="30210FAC">
        <w:rPr>
          <w:rFonts w:ascii="Times New Roman" w:hAnsi="Times New Roman" w:eastAsia="Times New Roman" w:cs="Times New Roman"/>
          <w:b w:val="0"/>
          <w:bCs w:val="0"/>
          <w:i w:val="1"/>
          <w:iCs w:val="1"/>
          <w:color w:val="000000" w:themeColor="text1" w:themeTint="FF" w:themeShade="FF"/>
          <w:sz w:val="24"/>
          <w:szCs w:val="24"/>
          <w:u w:val="none"/>
        </w:rPr>
        <w:t xml:space="preserve"> The Reflective Practitioner: How Professionals Think in Action</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New York: Basic Book.</w:t>
      </w:r>
    </w:p>
    <w:p w:rsidR="30210FAC" w:rsidP="79D1307F" w:rsidRDefault="30210FAC" w14:paraId="53856B1E" w14:textId="7FA2FAE2">
      <w:pPr>
        <w:pStyle w:val="Normal"/>
        <w:rPr>
          <w:rFonts w:ascii="Times New Roman" w:hAnsi="Times New Roman" w:eastAsia="Times New Roman" w:cs="Times New Roman"/>
          <w:b w:val="0"/>
          <w:bCs w:val="0"/>
          <w:i w:val="0"/>
          <w:iCs w:val="0"/>
          <w:color w:val="000000" w:themeColor="text1" w:themeTint="FF" w:themeShade="FF"/>
          <w:sz w:val="24"/>
          <w:szCs w:val="24"/>
          <w:u w:val="none"/>
        </w:rPr>
      </w:pP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Technological University Dublin. (2021) </w:t>
      </w:r>
      <w:r w:rsidRPr="79D1307F" w:rsidR="30210FAC">
        <w:rPr>
          <w:rFonts w:ascii="Times New Roman" w:hAnsi="Times New Roman" w:eastAsia="Times New Roman" w:cs="Times New Roman"/>
          <w:b w:val="0"/>
          <w:bCs w:val="0"/>
          <w:i w:val="1"/>
          <w:iCs w:val="1"/>
          <w:color w:val="000000" w:themeColor="text1" w:themeTint="FF" w:themeShade="FF"/>
          <w:sz w:val="24"/>
          <w:szCs w:val="24"/>
          <w:u w:val="none"/>
        </w:rPr>
        <w:t>Reflective Practice.</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Available at: </w:t>
      </w:r>
      <w:hyperlink r:id="R5fe9c695cee6418d">
        <w:r w:rsidRPr="79D1307F" w:rsidR="30210FAC">
          <w:rPr>
            <w:rStyle w:val="Hyperlink"/>
            <w:rFonts w:ascii="Times New Roman" w:hAnsi="Times New Roman" w:eastAsia="Times New Roman" w:cs="Times New Roman"/>
            <w:b w:val="0"/>
            <w:bCs w:val="0"/>
            <w:i w:val="0"/>
            <w:iCs w:val="0"/>
            <w:sz w:val="24"/>
            <w:szCs w:val="24"/>
          </w:rPr>
          <w:t>https://tudublin.libguides.com/c.php?g=684780&amp;p=4891168</w:t>
        </w:r>
      </w:hyperlink>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Accessed: 13</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vertAlign w:val="superscript"/>
        </w:rPr>
        <w:t>th</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May 2022.</w:t>
      </w:r>
    </w:p>
    <w:p w:rsidR="30210FAC" w:rsidP="79D1307F" w:rsidRDefault="30210FAC" w14:paraId="28592BED" w14:textId="4AD2A949">
      <w:pPr>
        <w:pStyle w:val="Normal"/>
        <w:rPr>
          <w:rFonts w:ascii="Amasis MT Pro Light" w:hAnsi="Times New Roman" w:eastAsia="Times New Roman" w:cs="Times New Roman"/>
          <w:b w:val="0"/>
          <w:bCs w:val="0"/>
          <w:i w:val="0"/>
          <w:iCs w:val="0"/>
          <w:color w:val="000000" w:themeColor="text1" w:themeTint="FF" w:themeShade="FF"/>
          <w:sz w:val="20"/>
          <w:szCs w:val="20"/>
          <w:u w:val="none"/>
        </w:rPr>
      </w:pP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Technological University of the Shannon; Midwest. (2022) </w:t>
      </w:r>
      <w:r w:rsidRPr="79D1307F" w:rsidR="30210FAC">
        <w:rPr>
          <w:rFonts w:ascii="Times New Roman" w:hAnsi="Times New Roman" w:eastAsia="Times New Roman" w:cs="Times New Roman"/>
          <w:b w:val="0"/>
          <w:bCs w:val="0"/>
          <w:i w:val="1"/>
          <w:iCs w:val="1"/>
          <w:color w:val="000000" w:themeColor="text1" w:themeTint="FF" w:themeShade="FF"/>
          <w:sz w:val="24"/>
          <w:szCs w:val="24"/>
          <w:u w:val="none"/>
        </w:rPr>
        <w:t>Reflective Practice – tips and resources.</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Available at: </w:t>
      </w:r>
      <w:hyperlink r:id="R4df5a26776a54d28">
        <w:r w:rsidRPr="79D1307F" w:rsidR="30210FAC">
          <w:rPr>
            <w:rStyle w:val="Hyperlink"/>
            <w:rFonts w:ascii="Times New Roman" w:hAnsi="Times New Roman" w:eastAsia="Times New Roman" w:cs="Times New Roman"/>
            <w:b w:val="0"/>
            <w:bCs w:val="0"/>
            <w:i w:val="0"/>
            <w:iCs w:val="0"/>
            <w:sz w:val="24"/>
            <w:szCs w:val="24"/>
          </w:rPr>
          <w:t>https://lit.libguides.com/reflective-practice-tips/barriers</w:t>
        </w:r>
      </w:hyperlink>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Accessed: 13</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vertAlign w:val="superscript"/>
        </w:rPr>
        <w:t>th</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May 2022.</w:t>
      </w:r>
    </w:p>
    <w:p w:rsidR="30210FAC" w:rsidP="79D1307F" w:rsidRDefault="30210FAC" w14:paraId="2D729B68" w14:textId="3D4FAAF7">
      <w:pPr>
        <w:pStyle w:val="Normal"/>
        <w:rPr>
          <w:rFonts w:ascii="Amasis MT Pro Light" w:hAnsi="Times New Roman" w:eastAsia="Times New Roman" w:cs="Times New Roman"/>
          <w:b w:val="0"/>
          <w:bCs w:val="0"/>
          <w:i w:val="0"/>
          <w:iCs w:val="0"/>
          <w:color w:val="000000" w:themeColor="text1" w:themeTint="FF" w:themeShade="FF"/>
          <w:sz w:val="20"/>
          <w:szCs w:val="20"/>
          <w:u w:val="none"/>
        </w:rPr>
      </w:pP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University of Cambridge. (NDA) </w:t>
      </w:r>
      <w:r w:rsidRPr="79D1307F" w:rsidR="30210FAC">
        <w:rPr>
          <w:rFonts w:ascii="Times New Roman" w:hAnsi="Times New Roman" w:eastAsia="Times New Roman" w:cs="Times New Roman"/>
          <w:b w:val="0"/>
          <w:bCs w:val="0"/>
          <w:i w:val="1"/>
          <w:iCs w:val="1"/>
          <w:color w:val="000000" w:themeColor="text1" w:themeTint="FF" w:themeShade="FF"/>
          <w:sz w:val="24"/>
          <w:szCs w:val="24"/>
          <w:u w:val="none"/>
        </w:rPr>
        <w:t>Reflective Practice Toolkit</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Available at: </w:t>
      </w:r>
      <w:hyperlink r:id="R4a32bbc8c002438f">
        <w:r w:rsidRPr="79D1307F" w:rsidR="30210FAC">
          <w:rPr>
            <w:rStyle w:val="Hyperlink"/>
            <w:rFonts w:ascii="Times New Roman" w:hAnsi="Times New Roman" w:eastAsia="Times New Roman" w:cs="Times New Roman"/>
            <w:b w:val="0"/>
            <w:bCs w:val="0"/>
            <w:i w:val="0"/>
            <w:iCs w:val="0"/>
            <w:sz w:val="24"/>
            <w:szCs w:val="24"/>
          </w:rPr>
          <w:t>https://libguides.cam.ac.uk/reflectivepracticetoolkit/models</w:t>
        </w:r>
      </w:hyperlink>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Accessed:13</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vertAlign w:val="superscript"/>
        </w:rPr>
        <w:t>th</w:t>
      </w:r>
      <w:r w:rsidRPr="79D1307F"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May 2022</w:t>
      </w:r>
    </w:p>
    <w:p w:rsidR="30210FAC" w:rsidP="349636D5" w:rsidRDefault="30210FAC" w14:paraId="4E9C65B1" w14:textId="6D491214">
      <w:pPr>
        <w:pStyle w:val="Normal"/>
        <w:rPr>
          <w:rFonts w:ascii="Amasis MT Pro Light" w:hAnsi="Times New Roman" w:eastAsia="Times New Roman" w:cs="Times New Roman"/>
          <w:b w:val="0"/>
          <w:bCs w:val="0"/>
          <w:i w:val="0"/>
          <w:iCs w:val="0"/>
          <w:color w:val="000000" w:themeColor="text1" w:themeTint="FF" w:themeShade="FF"/>
          <w:sz w:val="20"/>
          <w:szCs w:val="20"/>
          <w:u w:val="none"/>
        </w:rPr>
      </w:pPr>
      <w:r w:rsidRPr="349636D5" w:rsidR="30210FAC">
        <w:rPr>
          <w:rFonts w:ascii="Times New Roman" w:hAnsi="Times New Roman" w:eastAsia="Times New Roman" w:cs="Times New Roman"/>
          <w:b w:val="0"/>
          <w:bCs w:val="0"/>
          <w:i w:val="0"/>
          <w:iCs w:val="0"/>
          <w:color w:val="000000" w:themeColor="text1" w:themeTint="FF" w:themeShade="FF"/>
          <w:sz w:val="24"/>
          <w:szCs w:val="24"/>
          <w:u w:val="none"/>
        </w:rPr>
        <w:t xml:space="preserve">Warwick University. (2011) </w:t>
      </w:r>
      <w:r w:rsidRPr="349636D5" w:rsidR="30210FAC">
        <w:rPr>
          <w:rFonts w:ascii="Times New Roman" w:hAnsi="Times New Roman" w:eastAsia="Times New Roman" w:cs="Times New Roman"/>
          <w:b w:val="0"/>
          <w:bCs w:val="0"/>
          <w:i w:val="1"/>
          <w:iCs w:val="1"/>
          <w:color w:val="000000" w:themeColor="text1" w:themeTint="FF" w:themeShade="FF"/>
          <w:sz w:val="24"/>
          <w:szCs w:val="24"/>
          <w:u w:val="none"/>
        </w:rPr>
        <w:t>Exploring Kolb’s Experiential Learning Cycle</w:t>
      </w:r>
      <w:r w:rsidRPr="349636D5"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Available at: </w:t>
      </w:r>
      <w:hyperlink r:id="R0d8fed93f7be425a">
        <w:r w:rsidRPr="349636D5" w:rsidR="30210FAC">
          <w:rPr>
            <w:rStyle w:val="Hyperlink"/>
            <w:rFonts w:ascii="Times New Roman" w:hAnsi="Times New Roman" w:eastAsia="Times New Roman" w:cs="Times New Roman"/>
            <w:b w:val="0"/>
            <w:bCs w:val="0"/>
            <w:i w:val="0"/>
            <w:iCs w:val="0"/>
            <w:sz w:val="24"/>
            <w:szCs w:val="24"/>
          </w:rPr>
          <w:t>https://warwick.ac.uk/fac/cross_fac/academic-development/resource-copy/Idcstaff/examplars/kolb/cycle/</w:t>
        </w:r>
      </w:hyperlink>
      <w:r w:rsidRPr="349636D5"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Accessed: 13</w:t>
      </w:r>
      <w:r w:rsidRPr="349636D5" w:rsidR="30210FAC">
        <w:rPr>
          <w:rFonts w:ascii="Times New Roman" w:hAnsi="Times New Roman" w:eastAsia="Times New Roman" w:cs="Times New Roman"/>
          <w:b w:val="0"/>
          <w:bCs w:val="0"/>
          <w:i w:val="0"/>
          <w:iCs w:val="0"/>
          <w:color w:val="000000" w:themeColor="text1" w:themeTint="FF" w:themeShade="FF"/>
          <w:sz w:val="24"/>
          <w:szCs w:val="24"/>
          <w:u w:val="none"/>
          <w:vertAlign w:val="superscript"/>
        </w:rPr>
        <w:t>th</w:t>
      </w:r>
      <w:r w:rsidRPr="349636D5" w:rsidR="30210FAC">
        <w:rPr>
          <w:rFonts w:ascii="Times New Roman" w:hAnsi="Times New Roman" w:eastAsia="Times New Roman" w:cs="Times New Roman"/>
          <w:b w:val="0"/>
          <w:bCs w:val="0"/>
          <w:i w:val="0"/>
          <w:iCs w:val="0"/>
          <w:color w:val="000000" w:themeColor="text1" w:themeTint="FF" w:themeShade="FF"/>
          <w:sz w:val="24"/>
          <w:szCs w:val="24"/>
          <w:u w:val="none"/>
        </w:rPr>
        <w:t xml:space="preserve"> May 2022.</w:t>
      </w:r>
    </w:p>
    <w:p w:rsidR="349636D5" w:rsidP="349636D5" w:rsidRDefault="349636D5" w14:paraId="5310498E" w14:textId="1DFC96B5">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72AC3641" w14:textId="156C00C3">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20D38C89" w14:textId="0CBF09F1">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142A2F53" w14:textId="52BF54FB">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74B2ABBB" w14:textId="5698291F">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71049B5E" w14:textId="6EDA2B96">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44638F2A" w14:textId="20BC4045">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78121E86" w14:textId="750EFEFF">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6B8F3D5E" w14:textId="2BC33D3F">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303C791E" w14:textId="03B66760">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1440167F" w14:textId="775C75D7">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11212C48" w14:textId="6E5D4293">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65EBDE5C" w14:textId="50E427CB">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1A2FBD5B" w14:textId="15308AC5">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5E21CC36" w14:textId="229BCD7E">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52648373" w14:textId="38D38334">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37D0ADA6" w14:textId="67FF2118">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1925FCBC" w14:textId="4004A831">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1EFD0D2C" w14:textId="6ED73438">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7B912239" w14:textId="56C44E95">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68A2D88E" w14:textId="464A5ACF">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40489EC8" w14:textId="2225D8ED">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7FE8286C" w14:textId="031ACC65">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1855B818" w14:textId="608257F2">
      <w:pPr>
        <w:pStyle w:val="Normal"/>
        <w:rPr>
          <w:rFonts w:ascii="Amasis MT Pro Light" w:hAnsi="Calibri" w:eastAsia="Calibri" w:cs=""/>
          <w:b w:val="0"/>
          <w:bCs w:val="0"/>
          <w:i w:val="0"/>
          <w:iCs w:val="0"/>
          <w:color w:val="000000" w:themeColor="text1" w:themeTint="FF" w:themeShade="FF"/>
          <w:sz w:val="20"/>
          <w:szCs w:val="20"/>
          <w:u w:val="none"/>
        </w:rPr>
      </w:pPr>
    </w:p>
    <w:p w:rsidR="349636D5" w:rsidP="349636D5" w:rsidRDefault="349636D5" w14:paraId="04E6A3D3" w14:textId="235B256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Sian Weston 2114875                    ECEY002 </w:t>
      </w:r>
    </w:p>
    <w:p w:rsidR="349636D5" w:rsidP="349636D5" w:rsidRDefault="349636D5" w14:paraId="651FD7FA" w14:textId="60E3453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REFERENCE LIST - PRESENTATION</w:t>
      </w:r>
    </w:p>
    <w:p w:rsidR="349636D5" w:rsidP="349636D5" w:rsidRDefault="349636D5" w14:paraId="3F591DB5" w14:textId="2ED3C91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Bronfenbrenner, U., and Evans, G.W. (2000)</w:t>
      </w:r>
      <w:r w:rsidRPr="349636D5" w:rsidR="349636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Developmental science in the 21</w:t>
      </w:r>
      <w:r w:rsidRPr="349636D5" w:rsidR="349636D5">
        <w:rPr>
          <w:rFonts w:ascii="Times New Roman" w:hAnsi="Times New Roman" w:eastAsia="Times New Roman" w:cs="Times New Roman"/>
          <w:b w:val="0"/>
          <w:bCs w:val="0"/>
          <w:i w:val="1"/>
          <w:iCs w:val="1"/>
          <w:caps w:val="0"/>
          <w:smallCaps w:val="0"/>
          <w:noProof w:val="0"/>
          <w:color w:val="000000" w:themeColor="text1" w:themeTint="FF" w:themeShade="FF"/>
          <w:sz w:val="24"/>
          <w:szCs w:val="24"/>
          <w:vertAlign w:val="superscript"/>
          <w:lang w:val="en-GB"/>
        </w:rPr>
        <w:t>st</w:t>
      </w:r>
      <w:r w:rsidRPr="349636D5" w:rsidR="349636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century: Emerging questions, theoretical models, research designs and empirical findings. Social development</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9 (1), 115-125.</w:t>
      </w:r>
    </w:p>
    <w:p w:rsidR="349636D5" w:rsidP="349636D5" w:rsidRDefault="349636D5" w14:paraId="0F8F6F32" w14:textId="0B535BB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City and Guilds. (2019)</w:t>
      </w:r>
      <w:r w:rsidRPr="349636D5" w:rsidR="349636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Evaluating knowledge</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e2dbcb3a446a4643">
        <w:r w:rsidRPr="349636D5" w:rsidR="349636D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https://resource.download.wjec.co.uk.s3-eu-west-I-amazonaws.com/utc/2018-19/hsc18-19_3-3/_multi-lang/unit06/04-evaluating-own-knowledge.html</w:t>
        </w:r>
      </w:hyperlink>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5</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May 2022.</w:t>
      </w:r>
    </w:p>
    <w:p w:rsidR="349636D5" w:rsidP="349636D5" w:rsidRDefault="349636D5" w14:paraId="2BE9F0EE" w14:textId="126F0C5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Early Education. (2011) </w:t>
      </w:r>
      <w:r w:rsidRPr="349636D5" w:rsidR="349636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Code of ethics</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e832f60882f941d6">
        <w:r w:rsidRPr="349636D5" w:rsidR="349636D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https://early-education.org.uk/wp-content/uploads/2021/12/Code-of-Ethics.pdf</w:t>
        </w:r>
      </w:hyperlink>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8</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May 2022.</w:t>
      </w:r>
    </w:p>
    <w:p w:rsidR="349636D5" w:rsidP="349636D5" w:rsidRDefault="349636D5" w14:paraId="65E44E82" w14:textId="1961F1C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European Commision. (2001)</w:t>
      </w:r>
      <w:r w:rsidRPr="349636D5" w:rsidR="349636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Informed consent.</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89804756c87241c7">
        <w:r w:rsidRPr="349636D5" w:rsidR="349636D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https://ec.europa.eu/research/participant/data/ref/tp7/89807/informed-consent_en.pdf</w:t>
        </w:r>
      </w:hyperlink>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May 2022.</w:t>
      </w:r>
    </w:p>
    <w:p w:rsidR="349636D5" w:rsidP="349636D5" w:rsidRDefault="349636D5" w14:paraId="46356541" w14:textId="4C8C20FE">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Keith, L. (2018) </w:t>
      </w:r>
      <w:r w:rsidRPr="349636D5" w:rsidR="349636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Developing Young Children’s Mathematical Learning Outdoors: Linking Pedagogy and Practice</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Abingdon: Routledge.</w:t>
      </w:r>
    </w:p>
    <w:p w:rsidR="349636D5" w:rsidP="349636D5" w:rsidRDefault="349636D5" w14:paraId="090DD547" w14:textId="4D58B15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Pacey. (2016) </w:t>
      </w:r>
      <w:r w:rsidRPr="349636D5" w:rsidR="349636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Child observations</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w:r w:rsidRPr="349636D5" w:rsidR="349636D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https://www,pacey.org.uk/Pacey/media/Website-files?PACEY%20member%20practice%20guides%20(PDFs)/PG05-Child-observations-learning-journeys.pdf?msclkid=a2b327ldcee411ec88754f92015ceb2d</w:t>
        </w:r>
      </w:hyperlink>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8</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May 2022.</w:t>
      </w:r>
    </w:p>
    <w:p w:rsidR="349636D5" w:rsidP="349636D5" w:rsidRDefault="349636D5" w14:paraId="645E2353" w14:textId="3A014AE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Government (2018) </w:t>
      </w:r>
      <w:r w:rsidRPr="349636D5" w:rsidR="349636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Data protection</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50c36b4e83d84511">
        <w:r w:rsidRPr="349636D5" w:rsidR="349636D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https://www.gov.uk/data-protection</w:t>
        </w:r>
      </w:hyperlink>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May 2022.</w:t>
      </w:r>
    </w:p>
    <w:p w:rsidR="349636D5" w:rsidP="349636D5" w:rsidRDefault="349636D5" w14:paraId="4C9601B5" w14:textId="6698074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Walker, J, And Horner, N. (2020) </w:t>
      </w:r>
      <w:r w:rsidRPr="349636D5" w:rsidR="349636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Social Work and Human Development (6</w:t>
      </w:r>
      <w:r w:rsidRPr="349636D5" w:rsidR="349636D5">
        <w:rPr>
          <w:rFonts w:ascii="Times New Roman" w:hAnsi="Times New Roman" w:eastAsia="Times New Roman" w:cs="Times New Roman"/>
          <w:b w:val="0"/>
          <w:bCs w:val="0"/>
          <w:i w:val="1"/>
          <w:iCs w:val="1"/>
          <w:caps w:val="0"/>
          <w:smallCaps w:val="0"/>
          <w:noProof w:val="0"/>
          <w:color w:val="000000" w:themeColor="text1" w:themeTint="FF" w:themeShade="FF"/>
          <w:sz w:val="24"/>
          <w:szCs w:val="24"/>
          <w:vertAlign w:val="superscript"/>
          <w:lang w:val="en-GB"/>
        </w:rPr>
        <w:t>th</w:t>
      </w:r>
      <w:r w:rsidRPr="349636D5" w:rsidR="349636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ed)</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London: Sage Publications.</w:t>
      </w:r>
    </w:p>
    <w:p w:rsidR="349636D5" w:rsidP="349636D5" w:rsidRDefault="349636D5" w14:paraId="2AC8E013" w14:textId="2C2E65C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Walker, J, and Horner, N. (2020) </w:t>
      </w:r>
      <w:r w:rsidRPr="349636D5" w:rsidR="349636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Social Work and Human Development (6</w:t>
      </w:r>
      <w:r w:rsidRPr="349636D5" w:rsidR="349636D5">
        <w:rPr>
          <w:rFonts w:ascii="Times New Roman" w:hAnsi="Times New Roman" w:eastAsia="Times New Roman" w:cs="Times New Roman"/>
          <w:b w:val="0"/>
          <w:bCs w:val="0"/>
          <w:i w:val="1"/>
          <w:iCs w:val="1"/>
          <w:caps w:val="0"/>
          <w:smallCaps w:val="0"/>
          <w:noProof w:val="0"/>
          <w:color w:val="000000" w:themeColor="text1" w:themeTint="FF" w:themeShade="FF"/>
          <w:sz w:val="24"/>
          <w:szCs w:val="24"/>
          <w:vertAlign w:val="superscript"/>
          <w:lang w:val="en-GB"/>
        </w:rPr>
        <w:t>th</w:t>
      </w:r>
      <w:r w:rsidRPr="349636D5" w:rsidR="349636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ed)</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(Pg. 70). London: Sage Publications.</w:t>
      </w:r>
    </w:p>
    <w:p w:rsidR="349636D5" w:rsidP="349636D5" w:rsidRDefault="349636D5" w14:paraId="07824C75" w14:textId="49608E8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Welsh Government (2019)</w:t>
      </w:r>
      <w:r w:rsidRPr="349636D5" w:rsidR="349636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Social Services and well-being (Wales) Act 2014: Working together to safeguard people. Information sharing to safeguard children. Non-statutory guide for practitioners</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9737c46640334236">
        <w:r w:rsidRPr="349636D5" w:rsidR="349636D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https://gov.wales/sites/default/files/publication/2019-07/Working-together-to-Safeguard-people-information-sharing-to-safeguard-children.pdf</w:t>
        </w:r>
      </w:hyperlink>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9</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49636D5" w:rsidR="3496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May 2022.</w:t>
      </w:r>
    </w:p>
    <w:p w:rsidR="349636D5" w:rsidP="349636D5" w:rsidRDefault="349636D5" w14:paraId="634B7A7D" w14:textId="5F17F83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49636D5" w:rsidP="349636D5" w:rsidRDefault="349636D5" w14:paraId="585DE4C3" w14:textId="46DC373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49636D5" w:rsidP="349636D5" w:rsidRDefault="349636D5" w14:paraId="6446CB90" w14:textId="4E6AEAD3">
      <w:pPr>
        <w:pStyle w:val="Normal"/>
        <w:rPr>
          <w:rFonts w:ascii="Amasis MT Pro Light" w:hAnsi="Calibri" w:eastAsia="Calibri" w:cs=""/>
          <w:b w:val="0"/>
          <w:bCs w:val="0"/>
          <w:i w:val="0"/>
          <w:iCs w:val="0"/>
          <w:color w:val="000000" w:themeColor="text1" w:themeTint="FF" w:themeShade="FF"/>
          <w:sz w:val="20"/>
          <w:szCs w:val="20"/>
          <w:u w:val="none"/>
        </w:rPr>
      </w:pPr>
    </w:p>
    <w:p w:rsidR="30210FAC" w:rsidP="30210FAC" w:rsidRDefault="30210FAC" w14:paraId="7848CA22" w14:textId="31B56ED8">
      <w:pPr>
        <w:pStyle w:val="Normal"/>
        <w:rPr>
          <w:rFonts w:ascii="Amasis MT Pro Light" w:hAnsi="Times New Roman" w:eastAsia="Times New Roman" w:cs="Times New Roman"/>
          <w:b w:val="0"/>
          <w:bCs w:val="0"/>
          <w:i w:val="0"/>
          <w:iCs w:val="0"/>
          <w:color w:val="000000" w:themeColor="text1" w:themeTint="FF" w:themeShade="FF"/>
          <w:sz w:val="20"/>
          <w:szCs w:val="20"/>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oDKeFME1Nby2NZ" int2:id="MYqIdU84">
      <int2:state int2:type="AugLoop_Text_Critique" int2:value="Rejected"/>
    </int2:textHash>
    <int2:textHash int2:hashCode="GmQUmLCujJfs5S" int2:id="SJXx2JsA">
      <int2:state int2:type="AugLoop_Text_Critique" int2:value="Rejected"/>
    </int2:textHash>
    <int2:bookmark int2:bookmarkName="_Int_De2I3hiK" int2:invalidationBookmarkName="" int2:hashCode="neWRSo49uPjBkm" int2:id="5uVm10uX">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DE6E37"/>
    <w:rsid w:val="002F5106"/>
    <w:rsid w:val="00487963"/>
    <w:rsid w:val="0076D7AB"/>
    <w:rsid w:val="011C4450"/>
    <w:rsid w:val="011C4450"/>
    <w:rsid w:val="022BC9EE"/>
    <w:rsid w:val="02B814B1"/>
    <w:rsid w:val="0366F1C8"/>
    <w:rsid w:val="040C97B9"/>
    <w:rsid w:val="040C97B9"/>
    <w:rsid w:val="051F59B5"/>
    <w:rsid w:val="054A48CE"/>
    <w:rsid w:val="054A48CE"/>
    <w:rsid w:val="06BB2A16"/>
    <w:rsid w:val="07792D20"/>
    <w:rsid w:val="07792D20"/>
    <w:rsid w:val="0982913C"/>
    <w:rsid w:val="09F2CAD8"/>
    <w:rsid w:val="09F2CAD8"/>
    <w:rsid w:val="0A01F0CB"/>
    <w:rsid w:val="0AD851E9"/>
    <w:rsid w:val="0B79F133"/>
    <w:rsid w:val="0D15C194"/>
    <w:rsid w:val="0D5D4839"/>
    <w:rsid w:val="0D5D4839"/>
    <w:rsid w:val="0DDF2153"/>
    <w:rsid w:val="0DDF5EBC"/>
    <w:rsid w:val="0E2FF549"/>
    <w:rsid w:val="0F34F313"/>
    <w:rsid w:val="0F7AF1B4"/>
    <w:rsid w:val="0F7AF1B4"/>
    <w:rsid w:val="0FCBC5AA"/>
    <w:rsid w:val="10FDD721"/>
    <w:rsid w:val="10FDD721"/>
    <w:rsid w:val="1299A782"/>
    <w:rsid w:val="15EA3338"/>
    <w:rsid w:val="15EA3338"/>
    <w:rsid w:val="16BCA3DA"/>
    <w:rsid w:val="16BCA3DA"/>
    <w:rsid w:val="17042A7F"/>
    <w:rsid w:val="1921D3FA"/>
    <w:rsid w:val="1A5936B3"/>
    <w:rsid w:val="1A5936B3"/>
    <w:rsid w:val="1B9014FD"/>
    <w:rsid w:val="1C8E7F8C"/>
    <w:rsid w:val="1CC36A94"/>
    <w:rsid w:val="1E16D6A9"/>
    <w:rsid w:val="1E2E03FB"/>
    <w:rsid w:val="1E2E03FB"/>
    <w:rsid w:val="1FE1E974"/>
    <w:rsid w:val="20761B42"/>
    <w:rsid w:val="20761B42"/>
    <w:rsid w:val="213E20B6"/>
    <w:rsid w:val="214C7C60"/>
    <w:rsid w:val="217DB35A"/>
    <w:rsid w:val="21ABB471"/>
    <w:rsid w:val="22C0C8BA"/>
    <w:rsid w:val="245C991B"/>
    <w:rsid w:val="2472BB0D"/>
    <w:rsid w:val="253F5EA0"/>
    <w:rsid w:val="253F5EA0"/>
    <w:rsid w:val="26005702"/>
    <w:rsid w:val="2608C031"/>
    <w:rsid w:val="260E8B6E"/>
    <w:rsid w:val="261FED83"/>
    <w:rsid w:val="26EC2C6F"/>
    <w:rsid w:val="27BBBDE4"/>
    <w:rsid w:val="27C20C40"/>
    <w:rsid w:val="2937F7C4"/>
    <w:rsid w:val="2937F7C4"/>
    <w:rsid w:val="2949329B"/>
    <w:rsid w:val="2949329B"/>
    <w:rsid w:val="2A12925A"/>
    <w:rsid w:val="2ACBDA9F"/>
    <w:rsid w:val="2AD3C825"/>
    <w:rsid w:val="2AE502FC"/>
    <w:rsid w:val="2B2C89A1"/>
    <w:rsid w:val="2B3D7501"/>
    <w:rsid w:val="2E2AFF68"/>
    <w:rsid w:val="30210FAC"/>
    <w:rsid w:val="30A4498C"/>
    <w:rsid w:val="319BCB25"/>
    <w:rsid w:val="349636D5"/>
    <w:rsid w:val="354DE45B"/>
    <w:rsid w:val="36444D2F"/>
    <w:rsid w:val="37D9CF34"/>
    <w:rsid w:val="37D9CF34"/>
    <w:rsid w:val="380B0CA9"/>
    <w:rsid w:val="39AEC995"/>
    <w:rsid w:val="3AFB26C6"/>
    <w:rsid w:val="3B041B03"/>
    <w:rsid w:val="3B041B03"/>
    <w:rsid w:val="3BD2BAF1"/>
    <w:rsid w:val="3C9FEB64"/>
    <w:rsid w:val="3DDF2578"/>
    <w:rsid w:val="3E3BBBC5"/>
    <w:rsid w:val="40A9327F"/>
    <w:rsid w:val="41B19F78"/>
    <w:rsid w:val="421A9FAC"/>
    <w:rsid w:val="4222CA9B"/>
    <w:rsid w:val="43BE9AFC"/>
    <w:rsid w:val="44D49634"/>
    <w:rsid w:val="45C42A47"/>
    <w:rsid w:val="45C42A47"/>
    <w:rsid w:val="46506E8F"/>
    <w:rsid w:val="46506E8F"/>
    <w:rsid w:val="48920C1F"/>
    <w:rsid w:val="4A3ED9EE"/>
    <w:rsid w:val="4CB544E5"/>
    <w:rsid w:val="4CBFB013"/>
    <w:rsid w:val="4CBFB013"/>
    <w:rsid w:val="4D1CA06F"/>
    <w:rsid w:val="4D9DFEB7"/>
    <w:rsid w:val="4DCF35B1"/>
    <w:rsid w:val="4E5B8074"/>
    <w:rsid w:val="4F2385E8"/>
    <w:rsid w:val="4F2385E8"/>
    <w:rsid w:val="50DE6E37"/>
    <w:rsid w:val="510EC979"/>
    <w:rsid w:val="51D44354"/>
    <w:rsid w:val="5207849A"/>
    <w:rsid w:val="52716FDA"/>
    <w:rsid w:val="52A2A6D4"/>
    <w:rsid w:val="52A2A6D4"/>
    <w:rsid w:val="5336DF1D"/>
    <w:rsid w:val="53E5BC34"/>
    <w:rsid w:val="54D2AF7E"/>
    <w:rsid w:val="54D2AF7E"/>
    <w:rsid w:val="5596369B"/>
    <w:rsid w:val="5596369B"/>
    <w:rsid w:val="57BB1561"/>
    <w:rsid w:val="5993C7ED"/>
    <w:rsid w:val="59A620A1"/>
    <w:rsid w:val="5A78CDB1"/>
    <w:rsid w:val="5B3785D4"/>
    <w:rsid w:val="5C44ECCD"/>
    <w:rsid w:val="5E7873E7"/>
    <w:rsid w:val="5E7991C4"/>
    <w:rsid w:val="60156225"/>
    <w:rsid w:val="619ED9D2"/>
    <w:rsid w:val="619ED9D2"/>
    <w:rsid w:val="64647B8B"/>
    <w:rsid w:val="64647B8B"/>
    <w:rsid w:val="64C53FBD"/>
    <w:rsid w:val="64D67A94"/>
    <w:rsid w:val="64E7B56B"/>
    <w:rsid w:val="680E1B56"/>
    <w:rsid w:val="680E1B56"/>
    <w:rsid w:val="684EC7BA"/>
    <w:rsid w:val="68FB0EA0"/>
    <w:rsid w:val="6998B0E0"/>
    <w:rsid w:val="6A30A7CF"/>
    <w:rsid w:val="6A30A7CF"/>
    <w:rsid w:val="6A84864D"/>
    <w:rsid w:val="6B4DA99E"/>
    <w:rsid w:val="6C2056AE"/>
    <w:rsid w:val="6E6C2203"/>
    <w:rsid w:val="6E6C2203"/>
    <w:rsid w:val="6E8E97B1"/>
    <w:rsid w:val="6E8E97B1"/>
    <w:rsid w:val="7079DC3D"/>
    <w:rsid w:val="71B1F731"/>
    <w:rsid w:val="734DC792"/>
    <w:rsid w:val="734DC792"/>
    <w:rsid w:val="7358BB83"/>
    <w:rsid w:val="743A6DC3"/>
    <w:rsid w:val="744490F0"/>
    <w:rsid w:val="74DB6387"/>
    <w:rsid w:val="74DB6387"/>
    <w:rsid w:val="74EC9E5E"/>
    <w:rsid w:val="74EC9E5E"/>
    <w:rsid w:val="75D991A8"/>
    <w:rsid w:val="792CAC19"/>
    <w:rsid w:val="79D1307F"/>
    <w:rsid w:val="7A079626"/>
    <w:rsid w:val="7AE1A4D7"/>
    <w:rsid w:val="7D1B2A33"/>
    <w:rsid w:val="7DE4A38D"/>
    <w:rsid w:val="7EB01830"/>
    <w:rsid w:val="7EF42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BC0EF"/>
  <w15:chartTrackingRefBased/>
  <w15:docId w15:val="{B21A73F4-79DC-4DEE-90B7-7C01A284B7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0210FAC"/>
    <w:rPr>
      <w:rFonts w:ascii="Amasis MT Pro Light"/>
      <w:b w:val="0"/>
      <w:bCs w:val="0"/>
      <w:i w:val="0"/>
      <w:iCs w:val="0"/>
      <w:color w:val="000000" w:themeColor="text1" w:themeTint="FF" w:themeShade="FF"/>
      <w:sz w:val="20"/>
      <w:szCs w:val="20"/>
      <w:u w:val="none"/>
    </w:rPr>
    <w:pPr>
      <w:spacing w:before="0" w:after="240"/>
      <w:ind w:firstLine="0"/>
      <w:jc w:val="both"/>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0210FAC"/>
    <w:rPr>
      <w:rFonts w:ascii="The Hand" w:hAnsi="" w:eastAsia="" w:cs=""/>
      <w:b w:val="1"/>
      <w:bCs w:val="1"/>
      <w:color w:val="548235"/>
      <w:sz w:val="48"/>
      <w:szCs w:val="48"/>
    </w:rPr>
    <w:pPr>
      <w:keepNext w:val="1"/>
      <w:spacing w:before="480" w:after="80"/>
      <w:jc w:val="left"/>
      <w:outlineLvl w:val="0"/>
    </w:pPr>
  </w:style>
  <w:style w:type="paragraph" w:styleId="Heading2">
    <w:uiPriority w:val="9"/>
    <w:name w:val="heading 2"/>
    <w:basedOn w:val="Normal"/>
    <w:next w:val="Normal"/>
    <w:unhideWhenUsed/>
    <w:link w:val="Heading2Char"/>
    <w:qFormat/>
    <w:rsid w:val="30210FAC"/>
    <w:rPr>
      <w:rFonts w:ascii="The Hand" w:hAnsi="" w:eastAsia="" w:cs=""/>
      <w:b w:val="1"/>
      <w:bCs w:val="1"/>
      <w:color w:val="548235"/>
      <w:sz w:val="36"/>
      <w:szCs w:val="36"/>
    </w:rPr>
    <w:pPr>
      <w:keepNext w:val="1"/>
      <w:spacing w:before="240" w:after="80"/>
      <w:jc w:val="left"/>
      <w:outlineLvl w:val="1"/>
    </w:pPr>
  </w:style>
  <w:style w:type="paragraph" w:styleId="Heading3">
    <w:uiPriority w:val="9"/>
    <w:name w:val="heading 3"/>
    <w:basedOn w:val="Normal"/>
    <w:next w:val="Normal"/>
    <w:unhideWhenUsed/>
    <w:link w:val="Heading3Char"/>
    <w:qFormat/>
    <w:rsid w:val="30210FAC"/>
    <w:rPr>
      <w:rFonts w:ascii="The Hand" w:hAnsi="" w:eastAsia="" w:cs=""/>
      <w:b w:val="1"/>
      <w:bCs w:val="1"/>
      <w:color w:val="548235"/>
      <w:sz w:val="32"/>
      <w:szCs w:val="32"/>
    </w:rPr>
    <w:pPr>
      <w:keepNext w:val="1"/>
      <w:spacing w:before="240" w:after="80"/>
      <w:jc w:val="left"/>
      <w:outlineLvl w:val="2"/>
    </w:pPr>
  </w:style>
  <w:style w:type="paragraph" w:styleId="Heading4">
    <w:uiPriority w:val="9"/>
    <w:name w:val="heading 4"/>
    <w:basedOn w:val="Normal"/>
    <w:next w:val="Normal"/>
    <w:unhideWhenUsed/>
    <w:link w:val="Heading4Char"/>
    <w:qFormat/>
    <w:rsid w:val="30210FAC"/>
    <w:rPr>
      <w:rFonts w:ascii="The Hand" w:hAnsi="" w:eastAsia="" w:cs=""/>
      <w:b w:val="1"/>
      <w:bCs w:val="1"/>
      <w:color w:val="548235"/>
      <w:sz w:val="30"/>
      <w:szCs w:val="30"/>
    </w:rPr>
    <w:pPr>
      <w:keepNext w:val="1"/>
      <w:spacing w:before="240" w:after="80"/>
      <w:jc w:val="left"/>
      <w:outlineLvl w:val="3"/>
    </w:pPr>
  </w:style>
  <w:style w:type="paragraph" w:styleId="Heading5">
    <w:uiPriority w:val="9"/>
    <w:name w:val="heading 5"/>
    <w:basedOn w:val="Normal"/>
    <w:next w:val="Normal"/>
    <w:unhideWhenUsed/>
    <w:link w:val="Heading5Char"/>
    <w:qFormat/>
    <w:rsid w:val="30210FAC"/>
    <w:rPr>
      <w:rFonts w:ascii="The Hand" w:hAnsi="" w:eastAsia="" w:cs=""/>
      <w:b w:val="1"/>
      <w:bCs w:val="1"/>
      <w:color w:val="548235"/>
      <w:sz w:val="28"/>
      <w:szCs w:val="28"/>
    </w:rPr>
    <w:pPr>
      <w:keepNext w:val="1"/>
      <w:spacing w:before="240" w:after="80"/>
      <w:jc w:val="left"/>
      <w:outlineLvl w:val="4"/>
    </w:pPr>
  </w:style>
  <w:style w:type="paragraph" w:styleId="Heading6">
    <w:uiPriority w:val="9"/>
    <w:name w:val="heading 6"/>
    <w:basedOn w:val="Normal"/>
    <w:next w:val="Normal"/>
    <w:unhideWhenUsed/>
    <w:link w:val="Heading6Char"/>
    <w:qFormat/>
    <w:rsid w:val="30210FAC"/>
    <w:rPr>
      <w:rFonts w:ascii="The Hand" w:hAnsi="" w:eastAsia="" w:cs=""/>
      <w:b w:val="1"/>
      <w:bCs w:val="1"/>
      <w:color w:val="548235"/>
      <w:sz w:val="26"/>
      <w:szCs w:val="26"/>
    </w:rPr>
    <w:pPr>
      <w:keepNext w:val="1"/>
      <w:spacing w:before="240" w:after="80"/>
      <w:jc w:val="left"/>
      <w:outlineLvl w:val="5"/>
    </w:pPr>
  </w:style>
  <w:style w:type="paragraph" w:styleId="Heading7">
    <w:uiPriority w:val="9"/>
    <w:name w:val="heading 7"/>
    <w:basedOn w:val="Normal"/>
    <w:next w:val="Normal"/>
    <w:unhideWhenUsed/>
    <w:link w:val="Heading7Char"/>
    <w:qFormat/>
    <w:rsid w:val="30210FAC"/>
    <w:rPr>
      <w:rFonts w:ascii="The Hand" w:hAnsi="" w:eastAsia="" w:cs=""/>
      <w:b w:val="1"/>
      <w:bCs w:val="1"/>
      <w:color w:val="548235"/>
      <w:sz w:val="24"/>
      <w:szCs w:val="24"/>
    </w:rPr>
    <w:pPr>
      <w:keepNext w:val="1"/>
      <w:spacing w:before="240" w:after="80"/>
      <w:jc w:val="left"/>
      <w:outlineLvl w:val="6"/>
    </w:pPr>
  </w:style>
  <w:style w:type="paragraph" w:styleId="Heading8">
    <w:uiPriority w:val="9"/>
    <w:name w:val="heading 8"/>
    <w:basedOn w:val="Normal"/>
    <w:next w:val="Normal"/>
    <w:unhideWhenUsed/>
    <w:link w:val="Heading8Char"/>
    <w:qFormat/>
    <w:rsid w:val="30210FAC"/>
    <w:rPr>
      <w:rFonts w:ascii="The Hand" w:hAnsi="" w:eastAsia="" w:cs=""/>
      <w:b w:val="1"/>
      <w:bCs w:val="1"/>
      <w:color w:val="548235"/>
      <w:sz w:val="22"/>
      <w:szCs w:val="22"/>
    </w:rPr>
    <w:pPr>
      <w:keepNext w:val="1"/>
      <w:spacing w:before="240" w:after="80"/>
      <w:jc w:val="left"/>
      <w:outlineLvl w:val="7"/>
    </w:pPr>
  </w:style>
  <w:style w:type="paragraph" w:styleId="Heading9">
    <w:uiPriority w:val="9"/>
    <w:name w:val="heading 9"/>
    <w:basedOn w:val="Normal"/>
    <w:next w:val="Normal"/>
    <w:unhideWhenUsed/>
    <w:link w:val="Heading9Char"/>
    <w:qFormat/>
    <w:rsid w:val="30210FAC"/>
    <w:rPr>
      <w:rFonts w:ascii="The Hand" w:hAnsi="" w:eastAsia="" w:cs=""/>
      <w:b w:val="1"/>
      <w:bCs w:val="1"/>
      <w:color w:val="548235"/>
    </w:rPr>
    <w:pPr>
      <w:keepNext w:val="1"/>
      <w:spacing w:before="240" w:after="80"/>
      <w:jc w:val="left"/>
      <w:outlineLvl w:val="8"/>
    </w:pPr>
  </w:style>
  <w:style w:type="paragraph" w:styleId="Title">
    <w:uiPriority w:val="10"/>
    <w:name w:val="Title"/>
    <w:basedOn w:val="Normal"/>
    <w:next w:val="Normal"/>
    <w:link w:val="TitleChar"/>
    <w:qFormat/>
    <w:rsid w:val="30210FAC"/>
    <w:rPr>
      <w:rFonts w:ascii="The Serif Hand Black" w:hAnsi="" w:eastAsia="" w:cs=""/>
      <w:b w:val="1"/>
      <w:bCs w:val="1"/>
      <w:color w:val="262626" w:themeColor="text1" w:themeTint="D9" w:themeShade="FF"/>
      <w:sz w:val="76"/>
      <w:szCs w:val="76"/>
    </w:rPr>
    <w:pPr>
      <w:spacing w:after="160"/>
      <w:jc w:val="left"/>
    </w:pPr>
  </w:style>
  <w:style w:type="paragraph" w:styleId="Subtitle">
    <w:uiPriority w:val="11"/>
    <w:name w:val="Subtitle"/>
    <w:basedOn w:val="Normal"/>
    <w:next w:val="Normal"/>
    <w:link w:val="SubtitleChar"/>
    <w:qFormat/>
    <w:rsid w:val="30210FAC"/>
    <w:rPr>
      <w:rFonts w:ascii="The Hand" w:hAnsi="" w:eastAsia="" w:cs=""/>
      <w:color w:val="548235"/>
      <w:sz w:val="52"/>
      <w:szCs w:val="52"/>
    </w:rPr>
    <w:pPr>
      <w:spacing w:after="480"/>
      <w:jc w:val="left"/>
    </w:pPr>
  </w:style>
  <w:style w:type="paragraph" w:styleId="Quote">
    <w:uiPriority w:val="29"/>
    <w:name w:val="Quote"/>
    <w:basedOn w:val="Normal"/>
    <w:next w:val="Normal"/>
    <w:link w:val="QuoteChar"/>
    <w:qFormat/>
    <w:rsid w:val="30210FAC"/>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0210FAC"/>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0210FAC"/>
    <w:pPr>
      <w:spacing/>
      <w:ind w:left="0" w:hanging="360"/>
      <w:contextualSpacing/>
    </w:pPr>
  </w:style>
  <w:style w:type="character" w:styleId="Heading1Char" w:customStyle="true">
    <w:uiPriority w:val="9"/>
    <w:name w:val="Heading 1 Char"/>
    <w:basedOn w:val="DefaultParagraphFont"/>
    <w:link w:val="Heading1"/>
    <w:rsid w:val="30210FAC"/>
    <w:rPr>
      <w:rFonts w:ascii="The Hand" w:hAnsi="" w:eastAsia="" w:cs=""/>
      <w:b w:val="1"/>
      <w:bCs w:val="1"/>
      <w:i w:val="0"/>
      <w:iCs w:val="0"/>
      <w:color w:val="548235"/>
      <w:sz w:val="48"/>
      <w:szCs w:val="48"/>
      <w:u w:val="none"/>
    </w:rPr>
  </w:style>
  <w:style w:type="character" w:styleId="Heading2Char" w:customStyle="true">
    <w:uiPriority w:val="9"/>
    <w:name w:val="Heading 2 Char"/>
    <w:basedOn w:val="DefaultParagraphFont"/>
    <w:link w:val="Heading2"/>
    <w:rsid w:val="30210FAC"/>
    <w:rPr>
      <w:rFonts w:ascii="The Hand" w:hAnsi="" w:eastAsia="" w:cs=""/>
      <w:b w:val="1"/>
      <w:bCs w:val="1"/>
      <w:i w:val="0"/>
      <w:iCs w:val="0"/>
      <w:color w:val="548235"/>
      <w:sz w:val="36"/>
      <w:szCs w:val="36"/>
      <w:u w:val="none"/>
    </w:rPr>
  </w:style>
  <w:style w:type="character" w:styleId="Heading3Char" w:customStyle="true">
    <w:uiPriority w:val="9"/>
    <w:name w:val="Heading 3 Char"/>
    <w:basedOn w:val="DefaultParagraphFont"/>
    <w:link w:val="Heading3"/>
    <w:rsid w:val="30210FAC"/>
    <w:rPr>
      <w:rFonts w:ascii="The Hand" w:hAnsi="" w:eastAsia="" w:cs=""/>
      <w:b w:val="1"/>
      <w:bCs w:val="1"/>
      <w:i w:val="0"/>
      <w:iCs w:val="0"/>
      <w:color w:val="548235"/>
      <w:sz w:val="32"/>
      <w:szCs w:val="32"/>
      <w:u w:val="none"/>
    </w:rPr>
  </w:style>
  <w:style w:type="character" w:styleId="Heading4Char" w:customStyle="true">
    <w:uiPriority w:val="9"/>
    <w:name w:val="Heading 4 Char"/>
    <w:basedOn w:val="DefaultParagraphFont"/>
    <w:link w:val="Heading4"/>
    <w:rsid w:val="30210FAC"/>
    <w:rPr>
      <w:rFonts w:ascii="The Hand" w:hAnsi="" w:eastAsia="" w:cs=""/>
      <w:b w:val="1"/>
      <w:bCs w:val="1"/>
      <w:i w:val="0"/>
      <w:iCs w:val="0"/>
      <w:color w:val="548235"/>
      <w:sz w:val="30"/>
      <w:szCs w:val="30"/>
      <w:u w:val="none"/>
    </w:rPr>
  </w:style>
  <w:style w:type="character" w:styleId="Heading5Char" w:customStyle="true">
    <w:uiPriority w:val="9"/>
    <w:name w:val="Heading 5 Char"/>
    <w:basedOn w:val="DefaultParagraphFont"/>
    <w:link w:val="Heading5"/>
    <w:rsid w:val="30210FAC"/>
    <w:rPr>
      <w:rFonts w:ascii="The Hand" w:hAnsi="" w:eastAsia="" w:cs=""/>
      <w:b w:val="1"/>
      <w:bCs w:val="1"/>
      <w:i w:val="0"/>
      <w:iCs w:val="0"/>
      <w:color w:val="548235"/>
      <w:sz w:val="28"/>
      <w:szCs w:val="28"/>
      <w:u w:val="none"/>
    </w:rPr>
  </w:style>
  <w:style w:type="character" w:styleId="Heading6Char" w:customStyle="true">
    <w:uiPriority w:val="9"/>
    <w:name w:val="Heading 6 Char"/>
    <w:basedOn w:val="DefaultParagraphFont"/>
    <w:link w:val="Heading6"/>
    <w:rsid w:val="30210FAC"/>
    <w:rPr>
      <w:rFonts w:ascii="The Hand" w:hAnsi="" w:eastAsia="" w:cs=""/>
      <w:b w:val="1"/>
      <w:bCs w:val="1"/>
      <w:i w:val="0"/>
      <w:iCs w:val="0"/>
      <w:color w:val="548235"/>
      <w:sz w:val="26"/>
      <w:szCs w:val="26"/>
      <w:u w:val="none"/>
    </w:rPr>
  </w:style>
  <w:style w:type="character" w:styleId="Heading7Char" w:customStyle="true">
    <w:uiPriority w:val="9"/>
    <w:name w:val="Heading 7 Char"/>
    <w:basedOn w:val="DefaultParagraphFont"/>
    <w:link w:val="Heading7"/>
    <w:rsid w:val="30210FAC"/>
    <w:rPr>
      <w:rFonts w:ascii="The Hand" w:hAnsi="" w:eastAsia="" w:cs=""/>
      <w:b w:val="1"/>
      <w:bCs w:val="1"/>
      <w:i w:val="0"/>
      <w:iCs w:val="0"/>
      <w:color w:val="548235"/>
      <w:sz w:val="24"/>
      <w:szCs w:val="24"/>
      <w:u w:val="none"/>
    </w:rPr>
  </w:style>
  <w:style w:type="character" w:styleId="Heading8Char" w:customStyle="true">
    <w:uiPriority w:val="9"/>
    <w:name w:val="Heading 8 Char"/>
    <w:basedOn w:val="DefaultParagraphFont"/>
    <w:link w:val="Heading8"/>
    <w:rsid w:val="30210FAC"/>
    <w:rPr>
      <w:rFonts w:ascii="The Hand" w:hAnsi="" w:eastAsia="" w:cs=""/>
      <w:b w:val="1"/>
      <w:bCs w:val="1"/>
      <w:i w:val="0"/>
      <w:iCs w:val="0"/>
      <w:color w:val="548235"/>
      <w:sz w:val="22"/>
      <w:szCs w:val="22"/>
      <w:u w:val="none"/>
    </w:rPr>
  </w:style>
  <w:style w:type="character" w:styleId="Heading9Char" w:customStyle="true">
    <w:uiPriority w:val="9"/>
    <w:name w:val="Heading 9 Char"/>
    <w:basedOn w:val="DefaultParagraphFont"/>
    <w:link w:val="Heading9"/>
    <w:rsid w:val="30210FAC"/>
    <w:rPr>
      <w:rFonts w:ascii="The Hand" w:hAnsi="" w:eastAsia="" w:cs=""/>
      <w:b w:val="1"/>
      <w:bCs w:val="1"/>
      <w:i w:val="0"/>
      <w:iCs w:val="0"/>
      <w:color w:val="548235"/>
      <w:sz w:val="20"/>
      <w:szCs w:val="20"/>
      <w:u w:val="none"/>
    </w:rPr>
  </w:style>
  <w:style w:type="character" w:styleId="TitleChar" w:customStyle="true">
    <w:uiPriority w:val="10"/>
    <w:name w:val="Title Char"/>
    <w:basedOn w:val="DefaultParagraphFont"/>
    <w:link w:val="Title"/>
    <w:rsid w:val="30210FAC"/>
    <w:rPr>
      <w:rFonts w:ascii="The Serif Hand Black" w:hAnsi="" w:eastAsia="" w:cs=""/>
      <w:b w:val="1"/>
      <w:bCs w:val="1"/>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30210FAC"/>
    <w:rPr>
      <w:rFonts w:ascii="The Hand" w:hAnsi="" w:eastAsia="" w:cs=""/>
      <w:b w:val="0"/>
      <w:bCs w:val="0"/>
      <w:i w:val="0"/>
      <w:iCs w:val="0"/>
      <w:color w:val="548235"/>
      <w:sz w:val="52"/>
      <w:szCs w:val="52"/>
      <w:u w:val="none"/>
    </w:rPr>
  </w:style>
  <w:style w:type="character" w:styleId="QuoteChar" w:customStyle="true">
    <w:uiPriority w:val="29"/>
    <w:name w:val="Quote Char"/>
    <w:basedOn w:val="DefaultParagraphFont"/>
    <w:link w:val="Quote"/>
    <w:rsid w:val="30210FAC"/>
    <w:rPr>
      <w:rFonts w:ascii="Amasis MT Pro Light"/>
      <w:b w:val="0"/>
      <w:bCs w:val="0"/>
      <w:i w:val="1"/>
      <w:iCs w:val="1"/>
      <w:color w:val="404040" w:themeColor="text1" w:themeTint="BF" w:themeShade="FF"/>
      <w:sz w:val="20"/>
      <w:szCs w:val="20"/>
      <w:u w:val="none"/>
    </w:rPr>
  </w:style>
  <w:style w:type="character" w:styleId="IntenseQuoteChar" w:customStyle="true">
    <w:uiPriority w:val="30"/>
    <w:name w:val="Intense Quote Char"/>
    <w:basedOn w:val="DefaultParagraphFont"/>
    <w:link w:val="IntenseQuote"/>
    <w:rsid w:val="30210FAC"/>
    <w:rPr>
      <w:rFonts w:ascii="Amasis MT Pro Light"/>
      <w:b w:val="0"/>
      <w:bCs w:val="0"/>
      <w:i w:val="1"/>
      <w:iCs w:val="1"/>
      <w:color w:val="4472C4" w:themeColor="accent1" w:themeTint="FF" w:themeShade="FF"/>
      <w:sz w:val="20"/>
      <w:szCs w:val="20"/>
      <w:u w:val="none"/>
    </w:rPr>
  </w:style>
  <w:style w:type="paragraph" w:styleId="TOC1">
    <w:uiPriority w:val="39"/>
    <w:name w:val="toc 1"/>
    <w:basedOn w:val="Normal"/>
    <w:next w:val="Normal"/>
    <w:unhideWhenUsed/>
    <w:rsid w:val="30210FAC"/>
    <w:pPr>
      <w:spacing w:after="100"/>
    </w:pPr>
  </w:style>
  <w:style w:type="paragraph" w:styleId="TOC2">
    <w:uiPriority w:val="39"/>
    <w:name w:val="toc 2"/>
    <w:basedOn w:val="Normal"/>
    <w:next w:val="Normal"/>
    <w:unhideWhenUsed/>
    <w:rsid w:val="30210FAC"/>
    <w:pPr>
      <w:spacing w:after="100"/>
      <w:ind w:left="220"/>
    </w:pPr>
  </w:style>
  <w:style w:type="paragraph" w:styleId="TOC3">
    <w:uiPriority w:val="39"/>
    <w:name w:val="toc 3"/>
    <w:basedOn w:val="Normal"/>
    <w:next w:val="Normal"/>
    <w:unhideWhenUsed/>
    <w:rsid w:val="30210FAC"/>
    <w:pPr>
      <w:spacing w:after="100"/>
      <w:ind w:left="440"/>
    </w:pPr>
  </w:style>
  <w:style w:type="paragraph" w:styleId="TOC4">
    <w:uiPriority w:val="39"/>
    <w:name w:val="toc 4"/>
    <w:basedOn w:val="Normal"/>
    <w:next w:val="Normal"/>
    <w:unhideWhenUsed/>
    <w:rsid w:val="30210FAC"/>
    <w:pPr>
      <w:spacing w:after="100"/>
      <w:ind w:left="660"/>
    </w:pPr>
  </w:style>
  <w:style w:type="paragraph" w:styleId="TOC5">
    <w:uiPriority w:val="39"/>
    <w:name w:val="toc 5"/>
    <w:basedOn w:val="Normal"/>
    <w:next w:val="Normal"/>
    <w:unhideWhenUsed/>
    <w:rsid w:val="30210FAC"/>
    <w:pPr>
      <w:spacing w:after="100"/>
      <w:ind w:left="880"/>
    </w:pPr>
  </w:style>
  <w:style w:type="paragraph" w:styleId="TOC6">
    <w:uiPriority w:val="39"/>
    <w:name w:val="toc 6"/>
    <w:basedOn w:val="Normal"/>
    <w:next w:val="Normal"/>
    <w:unhideWhenUsed/>
    <w:rsid w:val="30210FAC"/>
    <w:pPr>
      <w:spacing w:after="100"/>
      <w:ind w:left="1100"/>
    </w:pPr>
  </w:style>
  <w:style w:type="paragraph" w:styleId="TOC7">
    <w:uiPriority w:val="39"/>
    <w:name w:val="toc 7"/>
    <w:basedOn w:val="Normal"/>
    <w:next w:val="Normal"/>
    <w:unhideWhenUsed/>
    <w:rsid w:val="30210FAC"/>
    <w:pPr>
      <w:spacing w:after="100"/>
      <w:ind w:left="1320"/>
    </w:pPr>
  </w:style>
  <w:style w:type="paragraph" w:styleId="TOC8">
    <w:uiPriority w:val="39"/>
    <w:name w:val="toc 8"/>
    <w:basedOn w:val="Normal"/>
    <w:next w:val="Normal"/>
    <w:unhideWhenUsed/>
    <w:rsid w:val="30210FAC"/>
    <w:pPr>
      <w:spacing w:after="100"/>
      <w:ind w:left="1540"/>
    </w:pPr>
  </w:style>
  <w:style w:type="paragraph" w:styleId="TOC9">
    <w:uiPriority w:val="39"/>
    <w:name w:val="toc 9"/>
    <w:basedOn w:val="Normal"/>
    <w:next w:val="Normal"/>
    <w:unhideWhenUsed/>
    <w:rsid w:val="30210FAC"/>
    <w:pPr>
      <w:spacing w:after="100"/>
      <w:ind w:left="1760"/>
    </w:pPr>
  </w:style>
  <w:style w:type="paragraph" w:styleId="EndnoteText">
    <w:uiPriority w:val="99"/>
    <w:name w:val="endnote text"/>
    <w:basedOn w:val="Normal"/>
    <w:semiHidden/>
    <w:unhideWhenUsed/>
    <w:link w:val="EndnoteTextChar"/>
    <w:rsid w:val="30210FAC"/>
  </w:style>
  <w:style w:type="character" w:styleId="EndnoteTextChar" w:customStyle="true">
    <w:uiPriority w:val="99"/>
    <w:name w:val="Endnote Text Char"/>
    <w:basedOn w:val="DefaultParagraphFont"/>
    <w:semiHidden/>
    <w:link w:val="EndnoteText"/>
    <w:rsid w:val="30210FAC"/>
    <w:rPr>
      <w:rFonts w:ascii="Amasis MT Pro Light"/>
      <w:b w:val="0"/>
      <w:bCs w:val="0"/>
      <w:i w:val="0"/>
      <w:iCs w:val="0"/>
      <w:color w:val="000000" w:themeColor="text1" w:themeTint="FF" w:themeShade="FF"/>
      <w:sz w:val="20"/>
      <w:szCs w:val="20"/>
      <w:u w:val="none"/>
    </w:rPr>
  </w:style>
  <w:style w:type="paragraph" w:styleId="Footer">
    <w:uiPriority w:val="99"/>
    <w:name w:val="footer"/>
    <w:basedOn w:val="Normal"/>
    <w:unhideWhenUsed/>
    <w:link w:val="FooterChar"/>
    <w:rsid w:val="30210FAC"/>
    <w:pPr>
      <w:tabs>
        <w:tab w:val="center" w:leader="none" w:pos="4680"/>
        <w:tab w:val="right" w:leader="none" w:pos="9360"/>
      </w:tabs>
    </w:pPr>
  </w:style>
  <w:style w:type="character" w:styleId="FooterChar" w:customStyle="true">
    <w:uiPriority w:val="99"/>
    <w:name w:val="Footer Char"/>
    <w:basedOn w:val="DefaultParagraphFont"/>
    <w:link w:val="Footer"/>
    <w:rsid w:val="30210FAC"/>
    <w:rPr>
      <w:rFonts w:ascii="Amasis MT Pro Light"/>
      <w:b w:val="0"/>
      <w:bCs w:val="0"/>
      <w:i w:val="0"/>
      <w:iCs w:val="0"/>
      <w:color w:val="000000" w:themeColor="text1" w:themeTint="FF" w:themeShade="FF"/>
      <w:sz w:val="20"/>
      <w:szCs w:val="20"/>
      <w:u w:val="none"/>
    </w:rPr>
  </w:style>
  <w:style w:type="paragraph" w:styleId="FootnoteText">
    <w:uiPriority w:val="99"/>
    <w:name w:val="footnote text"/>
    <w:basedOn w:val="Normal"/>
    <w:semiHidden/>
    <w:unhideWhenUsed/>
    <w:link w:val="FootnoteTextChar"/>
    <w:rsid w:val="30210FAC"/>
  </w:style>
  <w:style w:type="character" w:styleId="FootnoteTextChar" w:customStyle="true">
    <w:uiPriority w:val="99"/>
    <w:name w:val="Footnote Text Char"/>
    <w:basedOn w:val="DefaultParagraphFont"/>
    <w:semiHidden/>
    <w:link w:val="FootnoteText"/>
    <w:rsid w:val="30210FAC"/>
    <w:rPr>
      <w:rFonts w:ascii="Amasis MT Pro Light"/>
      <w:b w:val="0"/>
      <w:bCs w:val="0"/>
      <w:i w:val="0"/>
      <w:iCs w:val="0"/>
      <w:color w:val="000000" w:themeColor="text1" w:themeTint="FF" w:themeShade="FF"/>
      <w:sz w:val="20"/>
      <w:szCs w:val="20"/>
      <w:u w:val="none"/>
    </w:rPr>
  </w:style>
  <w:style w:type="paragraph" w:styleId="Header">
    <w:uiPriority w:val="99"/>
    <w:name w:val="header"/>
    <w:basedOn w:val="Normal"/>
    <w:unhideWhenUsed/>
    <w:link w:val="HeaderChar"/>
    <w:rsid w:val="30210FAC"/>
    <w:pPr>
      <w:tabs>
        <w:tab w:val="center" w:leader="none" w:pos="4680"/>
        <w:tab w:val="right" w:leader="none" w:pos="9360"/>
      </w:tabs>
    </w:pPr>
  </w:style>
  <w:style w:type="character" w:styleId="HeaderChar" w:customStyle="true">
    <w:uiPriority w:val="99"/>
    <w:name w:val="Header Char"/>
    <w:basedOn w:val="DefaultParagraphFont"/>
    <w:link w:val="Header"/>
    <w:rsid w:val="30210FAC"/>
    <w:rPr>
      <w:rFonts w:ascii="Amasis MT Pro Light"/>
      <w:b w:val="0"/>
      <w:bCs w:val="0"/>
      <w:i w:val="0"/>
      <w:iCs w:val="0"/>
      <w:color w:val="000000" w:themeColor="text1" w:themeTint="FF" w:themeShade="FF"/>
      <w:sz w:val="20"/>
      <w:szCs w:val="20"/>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0d9625b68394533" /><Relationship Type="http://schemas.openxmlformats.org/officeDocument/2006/relationships/image" Target="/media/image2.png" Id="R094ab23e917a4358" /><Relationship Type="http://schemas.microsoft.com/office/2020/10/relationships/intelligence" Target="/word/intelligence2.xml" Id="Rf365644feb204dac" /><Relationship Type="http://schemas.openxmlformats.org/officeDocument/2006/relationships/hyperlink" Target="https://www.crowe-associates.co.uk/coaching-tools/gibbs-reflective-cycle/" TargetMode="External" Id="Ra4b04a0667844f25" /><Relationship Type="http://schemas.openxmlformats.org/officeDocument/2006/relationships/hyperlink" Target="https://eyfs.info/articles.html/teaching-and-learning/the-process-of-reflective-practice-r262/" TargetMode="External" Id="Rdbdcad4c8c11427e" /><Relationship Type="http://schemas.openxmlformats.org/officeDocument/2006/relationships/hyperlink" Target="https://www.ofsted.gov.uk/resources/130117" TargetMode="External" Id="R0be38309f9b24e3a" /><Relationship Type="http://schemas.openxmlformats.org/officeDocument/2006/relationships/hyperlink" Target="https://www.pacey.org.uk/Pacey/media/Website-files/PACEY%20member%20practice%20guides%20(PDFs)/PG04-self-reflective-practice.pdf" TargetMode="External" Id="Re06e13ac6fa24391" /><Relationship Type="http://schemas.openxmlformats.org/officeDocument/2006/relationships/hyperlink" Target="https://www.researchgate.net/figure/Schons-reflection-in-action-and-reflection-on-action_fig1_299506089" TargetMode="External" Id="R2cef4ae56f65432d" /><Relationship Type="http://schemas.openxmlformats.org/officeDocument/2006/relationships/hyperlink" Target="https://tudublin.libguides.com/c.php?g=684780&amp;p=4891168" TargetMode="External" Id="R5fe9c695cee6418d" /><Relationship Type="http://schemas.openxmlformats.org/officeDocument/2006/relationships/hyperlink" Target="https://lit.libguides.com/reflective-practice-tips/barriers" TargetMode="External" Id="R4df5a26776a54d28" /><Relationship Type="http://schemas.openxmlformats.org/officeDocument/2006/relationships/hyperlink" Target="https://libguides.cam.ac.uk/reflectivepracticetoolkit/models" TargetMode="External" Id="R4a32bbc8c002438f" /><Relationship Type="http://schemas.openxmlformats.org/officeDocument/2006/relationships/hyperlink" Target="https://warwick.ac.uk/fac/cross_fac/academic-development/resource-copy/Idcstaff/examplars/kolb/cycle/" TargetMode="External" Id="R0d8fed93f7be425a" /><Relationship Type="http://schemas.openxmlformats.org/officeDocument/2006/relationships/hyperlink" Target="https://resource.download.wjec.co.uk.s3-eu-west-i-amazonaws.com/utc/2018-19/hsc18-19_3-3/_multi-lang/unit06/04-evaluating-own-knowledge.html" TargetMode="External" Id="Re2dbcb3a446a4643" /><Relationship Type="http://schemas.openxmlformats.org/officeDocument/2006/relationships/hyperlink" Target="https://early-education.org.uk/wp-content/uploads/2021/12/Code-of-Ethics.pdf" TargetMode="External" Id="Re832f60882f941d6" /><Relationship Type="http://schemas.openxmlformats.org/officeDocument/2006/relationships/hyperlink" Target="https://ec.europa.eu/research/participant/data/ref/tp7/89807/informed-consent_en.pdf" TargetMode="External" Id="R89804756c87241c7" /><Relationship Type="http://schemas.openxmlformats.org/officeDocument/2006/relationships/hyperlink" Target="https://www.gov.uk/data-protection" TargetMode="External" Id="R50c36b4e83d84511" /><Relationship Type="http://schemas.openxmlformats.org/officeDocument/2006/relationships/hyperlink" Target="https://gov.wales/sites/default/files/publication/2019-07/Working-together-to-Safeguard-people-information-sharing-to-safeguard-children.pdf" TargetMode="External" Id="R9737c4664033423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Sian Weston (2114875)</dc:creator>
  <keywords/>
  <dc:description/>
  <lastModifiedBy>Sian Weston (2114875)</lastModifiedBy>
  <revision>4</revision>
  <dcterms:created xsi:type="dcterms:W3CDTF">2022-05-13T21:06:32.6801932Z</dcterms:created>
  <dcterms:modified xsi:type="dcterms:W3CDTF">2022-05-14T09:44:50.3146636Z</dcterms:modified>
</coreProperties>
</file>