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85C24" w14:textId="3B61CA02" w:rsidR="00FF0F6F" w:rsidRDefault="0023713C" w:rsidP="00FF0F6F">
      <w:pPr>
        <w:jc w:val="center"/>
      </w:pPr>
      <w:r>
        <w:rPr>
          <w:noProof/>
        </w:rPr>
        <w:drawing>
          <wp:inline distT="0" distB="0" distL="0" distR="0" wp14:anchorId="76F7C7A5" wp14:editId="34E87B76">
            <wp:extent cx="1781175" cy="1190625"/>
            <wp:effectExtent l="0" t="0" r="9525" b="9525"/>
            <wp:docPr id="1820749343"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49343" name="Picture 1" descr="A picture containing text, font, logo,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781175" cy="1190625"/>
                    </a:xfrm>
                    <a:prstGeom prst="rect">
                      <a:avLst/>
                    </a:prstGeom>
                  </pic:spPr>
                </pic:pic>
              </a:graphicData>
            </a:graphic>
          </wp:inline>
        </w:drawing>
      </w:r>
    </w:p>
    <w:p w14:paraId="3A3F1D7B" w14:textId="36085B95" w:rsidR="0023713C" w:rsidRDefault="0023713C" w:rsidP="0023713C">
      <w:pPr>
        <w:jc w:val="center"/>
        <w:rPr>
          <w:sz w:val="40"/>
          <w:szCs w:val="40"/>
        </w:rPr>
      </w:pPr>
      <w:r w:rsidRPr="00FF0F6F">
        <w:rPr>
          <w:sz w:val="40"/>
          <w:szCs w:val="40"/>
        </w:rPr>
        <w:t>Name of Student: Rinkuben Akshaygiri Aparanathi</w:t>
      </w:r>
    </w:p>
    <w:p w14:paraId="6923C39B" w14:textId="77777777" w:rsidR="00FF0F6F" w:rsidRPr="00FF0F6F" w:rsidRDefault="00FF0F6F" w:rsidP="0023713C">
      <w:pPr>
        <w:jc w:val="center"/>
        <w:rPr>
          <w:sz w:val="40"/>
          <w:szCs w:val="40"/>
        </w:rPr>
      </w:pPr>
    </w:p>
    <w:p w14:paraId="2BFE4C6C" w14:textId="46503025" w:rsidR="0023713C" w:rsidRDefault="0023713C" w:rsidP="0023713C">
      <w:pPr>
        <w:jc w:val="center"/>
        <w:rPr>
          <w:sz w:val="40"/>
          <w:szCs w:val="40"/>
        </w:rPr>
      </w:pPr>
      <w:r w:rsidRPr="00FF0F6F">
        <w:rPr>
          <w:sz w:val="40"/>
          <w:szCs w:val="40"/>
        </w:rPr>
        <w:t>Student ID: 2221508</w:t>
      </w:r>
    </w:p>
    <w:p w14:paraId="47023681" w14:textId="77777777" w:rsidR="00FF0F6F" w:rsidRPr="00FF0F6F" w:rsidRDefault="00FF0F6F" w:rsidP="0023713C">
      <w:pPr>
        <w:jc w:val="center"/>
        <w:rPr>
          <w:sz w:val="40"/>
          <w:szCs w:val="40"/>
        </w:rPr>
      </w:pPr>
    </w:p>
    <w:p w14:paraId="63274877" w14:textId="405BA7F9" w:rsidR="0023713C" w:rsidRDefault="0023713C" w:rsidP="0023713C">
      <w:pPr>
        <w:jc w:val="center"/>
        <w:rPr>
          <w:sz w:val="40"/>
          <w:szCs w:val="40"/>
        </w:rPr>
      </w:pPr>
      <w:r w:rsidRPr="00FF0F6F">
        <w:rPr>
          <w:sz w:val="40"/>
          <w:szCs w:val="40"/>
        </w:rPr>
        <w:t>Name of Lecturer:</w:t>
      </w:r>
      <w:r w:rsidR="00331D9B" w:rsidRPr="00FF0F6F">
        <w:rPr>
          <w:sz w:val="40"/>
          <w:szCs w:val="40"/>
        </w:rPr>
        <w:t xml:space="preserve"> DR.</w:t>
      </w:r>
      <w:r w:rsidRPr="00FF0F6F">
        <w:rPr>
          <w:sz w:val="40"/>
          <w:szCs w:val="40"/>
        </w:rPr>
        <w:t xml:space="preserve"> </w:t>
      </w:r>
      <w:r w:rsidR="00331D9B" w:rsidRPr="00FF0F6F">
        <w:rPr>
          <w:sz w:val="40"/>
          <w:szCs w:val="40"/>
        </w:rPr>
        <w:t>Mohamed Asim</w:t>
      </w:r>
    </w:p>
    <w:p w14:paraId="6BF30848" w14:textId="77777777" w:rsidR="00FF0F6F" w:rsidRPr="00FF0F6F" w:rsidRDefault="00FF0F6F" w:rsidP="0023713C">
      <w:pPr>
        <w:jc w:val="center"/>
        <w:rPr>
          <w:sz w:val="40"/>
          <w:szCs w:val="40"/>
        </w:rPr>
      </w:pPr>
    </w:p>
    <w:p w14:paraId="372554EF" w14:textId="50CCD788" w:rsidR="00331D9B" w:rsidRDefault="00331D9B" w:rsidP="0023713C">
      <w:pPr>
        <w:jc w:val="center"/>
        <w:rPr>
          <w:sz w:val="40"/>
          <w:szCs w:val="40"/>
        </w:rPr>
      </w:pPr>
      <w:r w:rsidRPr="00FF0F6F">
        <w:rPr>
          <w:sz w:val="40"/>
          <w:szCs w:val="40"/>
        </w:rPr>
        <w:t>Module Name: HRM</w:t>
      </w:r>
    </w:p>
    <w:p w14:paraId="1E216B74" w14:textId="77777777" w:rsidR="00FF0F6F" w:rsidRPr="00FF0F6F" w:rsidRDefault="00FF0F6F" w:rsidP="0023713C">
      <w:pPr>
        <w:jc w:val="center"/>
        <w:rPr>
          <w:sz w:val="40"/>
          <w:szCs w:val="40"/>
        </w:rPr>
      </w:pPr>
    </w:p>
    <w:p w14:paraId="79638197" w14:textId="7E6B5C33" w:rsidR="00331D9B" w:rsidRDefault="00331D9B" w:rsidP="0023713C">
      <w:pPr>
        <w:jc w:val="center"/>
        <w:rPr>
          <w:sz w:val="40"/>
          <w:szCs w:val="40"/>
        </w:rPr>
      </w:pPr>
      <w:r w:rsidRPr="00FF0F6F">
        <w:rPr>
          <w:sz w:val="40"/>
          <w:szCs w:val="40"/>
        </w:rPr>
        <w:t>Module Code: LCMB7000</w:t>
      </w:r>
    </w:p>
    <w:p w14:paraId="153B4546" w14:textId="77777777" w:rsidR="00FF0F6F" w:rsidRPr="00FF0F6F" w:rsidRDefault="00FF0F6F" w:rsidP="0023713C">
      <w:pPr>
        <w:jc w:val="center"/>
        <w:rPr>
          <w:sz w:val="40"/>
          <w:szCs w:val="40"/>
        </w:rPr>
      </w:pPr>
    </w:p>
    <w:p w14:paraId="2CCCF55F" w14:textId="28791341" w:rsidR="00331D9B" w:rsidRDefault="00331D9B" w:rsidP="0023713C">
      <w:pPr>
        <w:jc w:val="center"/>
        <w:rPr>
          <w:sz w:val="40"/>
          <w:szCs w:val="40"/>
        </w:rPr>
      </w:pPr>
      <w:r w:rsidRPr="00FF0F6F">
        <w:rPr>
          <w:sz w:val="40"/>
          <w:szCs w:val="40"/>
        </w:rPr>
        <w:t>Assignment Title:</w:t>
      </w:r>
      <w:r w:rsidR="002B76AE" w:rsidRPr="00FF0F6F">
        <w:rPr>
          <w:sz w:val="40"/>
          <w:szCs w:val="40"/>
        </w:rPr>
        <w:t xml:space="preserve"> Assessment 1</w:t>
      </w:r>
    </w:p>
    <w:p w14:paraId="4B25363E" w14:textId="77777777" w:rsidR="00FF0F6F" w:rsidRPr="00FF0F6F" w:rsidRDefault="00FF0F6F" w:rsidP="0023713C">
      <w:pPr>
        <w:jc w:val="center"/>
        <w:rPr>
          <w:sz w:val="40"/>
          <w:szCs w:val="40"/>
        </w:rPr>
      </w:pPr>
    </w:p>
    <w:p w14:paraId="235B3F3F" w14:textId="4F97B844" w:rsidR="002B76AE" w:rsidRPr="00FF0F6F" w:rsidRDefault="002B76AE" w:rsidP="0023713C">
      <w:pPr>
        <w:jc w:val="center"/>
        <w:rPr>
          <w:sz w:val="40"/>
          <w:szCs w:val="40"/>
        </w:rPr>
      </w:pPr>
      <w:r w:rsidRPr="00FF0F6F">
        <w:rPr>
          <w:sz w:val="40"/>
          <w:szCs w:val="40"/>
        </w:rPr>
        <w:t>Subm</w:t>
      </w:r>
      <w:r w:rsidR="00FF0F6F" w:rsidRPr="00FF0F6F">
        <w:rPr>
          <w:sz w:val="40"/>
          <w:szCs w:val="40"/>
        </w:rPr>
        <w:t>ission Date: 10/05/2023</w:t>
      </w:r>
    </w:p>
    <w:p w14:paraId="6FE96ADF" w14:textId="77777777" w:rsidR="0023713C" w:rsidRPr="0023713C" w:rsidRDefault="0023713C" w:rsidP="0023713C">
      <w:pPr>
        <w:jc w:val="center"/>
        <w:rPr>
          <w:sz w:val="40"/>
          <w:szCs w:val="40"/>
        </w:rPr>
      </w:pPr>
    </w:p>
    <w:p w14:paraId="5BEC10C5" w14:textId="77777777" w:rsidR="0023713C" w:rsidRDefault="0023713C" w:rsidP="00175F09"/>
    <w:p w14:paraId="2B5E30F1" w14:textId="77777777" w:rsidR="0023713C" w:rsidRDefault="0023713C" w:rsidP="00175F09"/>
    <w:p w14:paraId="241BF9B9" w14:textId="77777777" w:rsidR="0023713C" w:rsidRDefault="0023713C" w:rsidP="00175F09"/>
    <w:p w14:paraId="419E1D41" w14:textId="77777777" w:rsidR="0023713C" w:rsidRDefault="0023713C" w:rsidP="00175F09"/>
    <w:p w14:paraId="2F78FD41" w14:textId="77777777" w:rsidR="0023713C" w:rsidRDefault="0023713C" w:rsidP="00175F09"/>
    <w:p w14:paraId="0BD3A1BE" w14:textId="77777777" w:rsidR="0023713C" w:rsidRPr="000200F9" w:rsidRDefault="0023713C" w:rsidP="00175F09"/>
    <w:sdt>
      <w:sdtPr>
        <w:rPr>
          <w:rFonts w:ascii="Times New Roman" w:eastAsiaTheme="minorHAnsi" w:hAnsi="Times New Roman" w:cs="Times New Roman"/>
          <w:b w:val="0"/>
          <w:bCs w:val="0"/>
          <w:color w:val="auto"/>
          <w:sz w:val="24"/>
          <w:szCs w:val="24"/>
          <w:lang w:val="en-GB" w:eastAsia="en-US"/>
        </w:rPr>
        <w:id w:val="1147466890"/>
        <w:docPartObj>
          <w:docPartGallery w:val="Table of Contents"/>
          <w:docPartUnique/>
        </w:docPartObj>
      </w:sdtPr>
      <w:sdtEndPr/>
      <w:sdtContent>
        <w:p w14:paraId="394EC3A3" w14:textId="77777777" w:rsidR="00236D08" w:rsidRDefault="00236D08" w:rsidP="00236D08">
          <w:pPr>
            <w:pStyle w:val="TOCHeading"/>
            <w:spacing w:before="240" w:after="240"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Table of Contents</w:t>
          </w:r>
        </w:p>
        <w:p w14:paraId="1DB42998" w14:textId="77777777" w:rsidR="00236D08" w:rsidRDefault="00236D08" w:rsidP="00236D08">
          <w:pPr>
            <w:pStyle w:val="TOC1"/>
            <w:tabs>
              <w:tab w:val="left" w:pos="440"/>
              <w:tab w:val="right" w:leader="dot" w:pos="9016"/>
            </w:tabs>
            <w:spacing w:before="240" w:after="240" w:line="360" w:lineRule="auto"/>
            <w:rPr>
              <w:rFonts w:ascii="Times New Roman" w:eastAsiaTheme="minorEastAsia" w:hAnsi="Times New Roman" w:cs="Times New Roman"/>
              <w:noProof/>
              <w:sz w:val="24"/>
              <w:szCs w:val="24"/>
              <w:lang w:val="en-IN" w:eastAsia="en-IN" w:bidi="hi-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6" w:anchor="_Toc133260750" w:history="1">
            <w:r>
              <w:rPr>
                <w:rStyle w:val="Hyperlink"/>
                <w:rFonts w:cs="Times New Roman"/>
                <w:noProof/>
                <w:szCs w:val="24"/>
              </w:rPr>
              <w:t>1.</w:t>
            </w:r>
            <w:r>
              <w:rPr>
                <w:rStyle w:val="Hyperlink"/>
                <w:rFonts w:eastAsiaTheme="minorEastAsia" w:cs="Times New Roman"/>
                <w:noProof/>
                <w:szCs w:val="24"/>
                <w:lang w:val="en-IN" w:eastAsia="en-IN" w:bidi="hi-IN"/>
              </w:rPr>
              <w:tab/>
            </w:r>
            <w:r>
              <w:rPr>
                <w:rStyle w:val="Hyperlink"/>
                <w:rFonts w:cs="Times New Roman"/>
                <w:noProof/>
                <w:szCs w:val="24"/>
              </w:rPr>
              <w:t>Introduction</w:t>
            </w:r>
            <w:r>
              <w:rPr>
                <w:rStyle w:val="Hyperlink"/>
                <w:rFonts w:cs="Times New Roman"/>
                <w:noProof/>
                <w:webHidden/>
                <w:szCs w:val="24"/>
              </w:rPr>
              <w:tab/>
            </w:r>
            <w:r>
              <w:rPr>
                <w:rStyle w:val="Hyperlink"/>
                <w:rFonts w:cs="Times New Roman"/>
                <w:noProof/>
                <w:webHidden/>
                <w:szCs w:val="24"/>
              </w:rPr>
              <w:fldChar w:fldCharType="begin"/>
            </w:r>
            <w:r>
              <w:rPr>
                <w:rStyle w:val="Hyperlink"/>
                <w:rFonts w:cs="Times New Roman"/>
                <w:noProof/>
                <w:webHidden/>
                <w:szCs w:val="24"/>
              </w:rPr>
              <w:instrText xml:space="preserve"> PAGEREF _Toc133260750 \h </w:instrText>
            </w:r>
            <w:r>
              <w:rPr>
                <w:rStyle w:val="Hyperlink"/>
                <w:rFonts w:cs="Times New Roman"/>
                <w:noProof/>
                <w:webHidden/>
                <w:szCs w:val="24"/>
              </w:rPr>
            </w:r>
            <w:r>
              <w:rPr>
                <w:rStyle w:val="Hyperlink"/>
                <w:rFonts w:cs="Times New Roman"/>
                <w:noProof/>
                <w:webHidden/>
                <w:szCs w:val="24"/>
              </w:rPr>
              <w:fldChar w:fldCharType="separate"/>
            </w:r>
            <w:r>
              <w:rPr>
                <w:rStyle w:val="Hyperlink"/>
                <w:rFonts w:cs="Times New Roman"/>
                <w:noProof/>
                <w:webHidden/>
                <w:szCs w:val="24"/>
              </w:rPr>
              <w:t>3</w:t>
            </w:r>
            <w:r>
              <w:rPr>
                <w:rStyle w:val="Hyperlink"/>
                <w:rFonts w:cs="Times New Roman"/>
                <w:noProof/>
                <w:webHidden/>
                <w:szCs w:val="24"/>
              </w:rPr>
              <w:fldChar w:fldCharType="end"/>
            </w:r>
          </w:hyperlink>
        </w:p>
        <w:p w14:paraId="23AC7CD8" w14:textId="77777777" w:rsidR="00236D08" w:rsidRDefault="00784A77" w:rsidP="00236D08">
          <w:pPr>
            <w:pStyle w:val="TOC1"/>
            <w:tabs>
              <w:tab w:val="left" w:pos="440"/>
              <w:tab w:val="right" w:leader="dot" w:pos="9016"/>
            </w:tabs>
            <w:spacing w:before="240" w:after="240" w:line="360" w:lineRule="auto"/>
            <w:rPr>
              <w:rFonts w:ascii="Times New Roman" w:eastAsiaTheme="minorEastAsia" w:hAnsi="Times New Roman" w:cs="Times New Roman"/>
              <w:noProof/>
              <w:sz w:val="24"/>
              <w:szCs w:val="24"/>
              <w:lang w:val="en-IN" w:eastAsia="en-IN" w:bidi="hi-IN"/>
            </w:rPr>
          </w:pPr>
          <w:hyperlink r:id="rId7" w:anchor="_Toc133260751" w:history="1">
            <w:r w:rsidR="00236D08">
              <w:rPr>
                <w:rStyle w:val="Hyperlink"/>
                <w:rFonts w:cs="Times New Roman"/>
                <w:noProof/>
                <w:szCs w:val="24"/>
              </w:rPr>
              <w:t>2.</w:t>
            </w:r>
            <w:r w:rsidR="00236D08">
              <w:rPr>
                <w:rStyle w:val="Hyperlink"/>
                <w:rFonts w:eastAsiaTheme="minorEastAsia" w:cs="Times New Roman"/>
                <w:noProof/>
                <w:szCs w:val="24"/>
                <w:lang w:val="en-IN" w:eastAsia="en-IN" w:bidi="hi-IN"/>
              </w:rPr>
              <w:tab/>
            </w:r>
            <w:r w:rsidR="00236D08">
              <w:rPr>
                <w:rStyle w:val="Hyperlink"/>
                <w:rFonts w:cs="Times New Roman"/>
                <w:noProof/>
                <w:szCs w:val="24"/>
              </w:rPr>
              <w:t>The current state of the labour market in the UK</w:t>
            </w:r>
            <w:r w:rsidR="00236D08">
              <w:rPr>
                <w:rStyle w:val="Hyperlink"/>
                <w:rFonts w:cs="Times New Roman"/>
                <w:noProof/>
                <w:webHidden/>
                <w:szCs w:val="24"/>
              </w:rPr>
              <w:tab/>
            </w:r>
            <w:r w:rsidR="00236D08">
              <w:rPr>
                <w:rStyle w:val="Hyperlink"/>
                <w:rFonts w:cs="Times New Roman"/>
                <w:noProof/>
                <w:webHidden/>
                <w:szCs w:val="24"/>
              </w:rPr>
              <w:fldChar w:fldCharType="begin"/>
            </w:r>
            <w:r w:rsidR="00236D08">
              <w:rPr>
                <w:rStyle w:val="Hyperlink"/>
                <w:rFonts w:cs="Times New Roman"/>
                <w:noProof/>
                <w:webHidden/>
                <w:szCs w:val="24"/>
              </w:rPr>
              <w:instrText xml:space="preserve"> PAGEREF _Toc133260751 \h </w:instrText>
            </w:r>
            <w:r w:rsidR="00236D08">
              <w:rPr>
                <w:rStyle w:val="Hyperlink"/>
                <w:rFonts w:cs="Times New Roman"/>
                <w:noProof/>
                <w:webHidden/>
                <w:szCs w:val="24"/>
              </w:rPr>
            </w:r>
            <w:r w:rsidR="00236D08">
              <w:rPr>
                <w:rStyle w:val="Hyperlink"/>
                <w:rFonts w:cs="Times New Roman"/>
                <w:noProof/>
                <w:webHidden/>
                <w:szCs w:val="24"/>
              </w:rPr>
              <w:fldChar w:fldCharType="separate"/>
            </w:r>
            <w:r w:rsidR="00236D08">
              <w:rPr>
                <w:rStyle w:val="Hyperlink"/>
                <w:rFonts w:cs="Times New Roman"/>
                <w:noProof/>
                <w:webHidden/>
                <w:szCs w:val="24"/>
              </w:rPr>
              <w:t>3</w:t>
            </w:r>
            <w:r w:rsidR="00236D08">
              <w:rPr>
                <w:rStyle w:val="Hyperlink"/>
                <w:rFonts w:cs="Times New Roman"/>
                <w:noProof/>
                <w:webHidden/>
                <w:szCs w:val="24"/>
              </w:rPr>
              <w:fldChar w:fldCharType="end"/>
            </w:r>
          </w:hyperlink>
        </w:p>
        <w:p w14:paraId="2B3E2F08" w14:textId="77777777" w:rsidR="00236D08" w:rsidRDefault="00784A77" w:rsidP="00236D08">
          <w:pPr>
            <w:pStyle w:val="TOC1"/>
            <w:tabs>
              <w:tab w:val="left" w:pos="440"/>
              <w:tab w:val="right" w:leader="dot" w:pos="9016"/>
            </w:tabs>
            <w:spacing w:before="240" w:after="240" w:line="360" w:lineRule="auto"/>
            <w:rPr>
              <w:rFonts w:ascii="Times New Roman" w:eastAsiaTheme="minorEastAsia" w:hAnsi="Times New Roman" w:cs="Times New Roman"/>
              <w:noProof/>
              <w:sz w:val="24"/>
              <w:szCs w:val="24"/>
              <w:lang w:val="en-IN" w:eastAsia="en-IN" w:bidi="hi-IN"/>
            </w:rPr>
          </w:pPr>
          <w:hyperlink r:id="rId8" w:anchor="_Toc133260752" w:history="1">
            <w:r w:rsidR="00236D08">
              <w:rPr>
                <w:rStyle w:val="Hyperlink"/>
                <w:rFonts w:cs="Times New Roman"/>
                <w:noProof/>
                <w:szCs w:val="24"/>
              </w:rPr>
              <w:t>3.</w:t>
            </w:r>
            <w:r w:rsidR="00236D08">
              <w:rPr>
                <w:rStyle w:val="Hyperlink"/>
                <w:rFonts w:eastAsiaTheme="minorEastAsia" w:cs="Times New Roman"/>
                <w:noProof/>
                <w:szCs w:val="24"/>
                <w:lang w:val="en-IN" w:eastAsia="en-IN" w:bidi="hi-IN"/>
              </w:rPr>
              <w:tab/>
            </w:r>
            <w:r w:rsidR="00236D08">
              <w:rPr>
                <w:rStyle w:val="Hyperlink"/>
                <w:rFonts w:cs="Times New Roman"/>
                <w:noProof/>
                <w:szCs w:val="24"/>
              </w:rPr>
              <w:t>The emerging changes in human resource strategies in the post-Covid, post-Brexit external environment.</w:t>
            </w:r>
            <w:r w:rsidR="00236D08">
              <w:rPr>
                <w:rStyle w:val="Hyperlink"/>
                <w:rFonts w:cs="Times New Roman"/>
                <w:noProof/>
                <w:webHidden/>
                <w:szCs w:val="24"/>
              </w:rPr>
              <w:tab/>
            </w:r>
            <w:r w:rsidR="00236D08">
              <w:rPr>
                <w:rStyle w:val="Hyperlink"/>
                <w:rFonts w:cs="Times New Roman"/>
                <w:noProof/>
                <w:webHidden/>
                <w:szCs w:val="24"/>
              </w:rPr>
              <w:fldChar w:fldCharType="begin"/>
            </w:r>
            <w:r w:rsidR="00236D08">
              <w:rPr>
                <w:rStyle w:val="Hyperlink"/>
                <w:rFonts w:cs="Times New Roman"/>
                <w:noProof/>
                <w:webHidden/>
                <w:szCs w:val="24"/>
              </w:rPr>
              <w:instrText xml:space="preserve"> PAGEREF _Toc133260752 \h </w:instrText>
            </w:r>
            <w:r w:rsidR="00236D08">
              <w:rPr>
                <w:rStyle w:val="Hyperlink"/>
                <w:rFonts w:cs="Times New Roman"/>
                <w:noProof/>
                <w:webHidden/>
                <w:szCs w:val="24"/>
              </w:rPr>
            </w:r>
            <w:r w:rsidR="00236D08">
              <w:rPr>
                <w:rStyle w:val="Hyperlink"/>
                <w:rFonts w:cs="Times New Roman"/>
                <w:noProof/>
                <w:webHidden/>
                <w:szCs w:val="24"/>
              </w:rPr>
              <w:fldChar w:fldCharType="separate"/>
            </w:r>
            <w:r w:rsidR="00236D08">
              <w:rPr>
                <w:rStyle w:val="Hyperlink"/>
                <w:rFonts w:cs="Times New Roman"/>
                <w:noProof/>
                <w:webHidden/>
                <w:szCs w:val="24"/>
              </w:rPr>
              <w:t>6</w:t>
            </w:r>
            <w:r w:rsidR="00236D08">
              <w:rPr>
                <w:rStyle w:val="Hyperlink"/>
                <w:rFonts w:cs="Times New Roman"/>
                <w:noProof/>
                <w:webHidden/>
                <w:szCs w:val="24"/>
              </w:rPr>
              <w:fldChar w:fldCharType="end"/>
            </w:r>
          </w:hyperlink>
        </w:p>
        <w:p w14:paraId="0B9F011A" w14:textId="77777777" w:rsidR="00236D08" w:rsidRDefault="00784A77" w:rsidP="00236D08">
          <w:pPr>
            <w:pStyle w:val="TOC1"/>
            <w:tabs>
              <w:tab w:val="left" w:pos="440"/>
              <w:tab w:val="right" w:leader="dot" w:pos="9016"/>
            </w:tabs>
            <w:spacing w:before="240" w:after="240" w:line="360" w:lineRule="auto"/>
            <w:rPr>
              <w:rFonts w:ascii="Times New Roman" w:eastAsiaTheme="minorEastAsia" w:hAnsi="Times New Roman" w:cs="Times New Roman"/>
              <w:noProof/>
              <w:sz w:val="24"/>
              <w:szCs w:val="24"/>
              <w:lang w:val="en-IN" w:eastAsia="en-IN" w:bidi="hi-IN"/>
            </w:rPr>
          </w:pPr>
          <w:hyperlink r:id="rId9" w:anchor="_Toc133260753" w:history="1">
            <w:r w:rsidR="00236D08">
              <w:rPr>
                <w:rStyle w:val="Hyperlink"/>
                <w:rFonts w:cs="Times New Roman"/>
                <w:noProof/>
                <w:szCs w:val="24"/>
              </w:rPr>
              <w:t>4.</w:t>
            </w:r>
            <w:r w:rsidR="00236D08">
              <w:rPr>
                <w:rStyle w:val="Hyperlink"/>
                <w:rFonts w:eastAsiaTheme="minorEastAsia" w:cs="Times New Roman"/>
                <w:noProof/>
                <w:szCs w:val="24"/>
                <w:lang w:val="en-IN" w:eastAsia="en-IN" w:bidi="hi-IN"/>
              </w:rPr>
              <w:tab/>
            </w:r>
            <w:r w:rsidR="00236D08">
              <w:rPr>
                <w:rStyle w:val="Hyperlink"/>
                <w:rFonts w:cs="Times New Roman"/>
                <w:noProof/>
                <w:szCs w:val="24"/>
              </w:rPr>
              <w:t>Conclusion</w:t>
            </w:r>
            <w:r w:rsidR="00236D08">
              <w:rPr>
                <w:rStyle w:val="Hyperlink"/>
                <w:rFonts w:cs="Times New Roman"/>
                <w:noProof/>
                <w:webHidden/>
                <w:szCs w:val="24"/>
              </w:rPr>
              <w:tab/>
            </w:r>
            <w:r w:rsidR="00236D08">
              <w:rPr>
                <w:rStyle w:val="Hyperlink"/>
                <w:rFonts w:cs="Times New Roman"/>
                <w:noProof/>
                <w:webHidden/>
                <w:szCs w:val="24"/>
              </w:rPr>
              <w:fldChar w:fldCharType="begin"/>
            </w:r>
            <w:r w:rsidR="00236D08">
              <w:rPr>
                <w:rStyle w:val="Hyperlink"/>
                <w:rFonts w:cs="Times New Roman"/>
                <w:noProof/>
                <w:webHidden/>
                <w:szCs w:val="24"/>
              </w:rPr>
              <w:instrText xml:space="preserve"> PAGEREF _Toc133260753 \h </w:instrText>
            </w:r>
            <w:r w:rsidR="00236D08">
              <w:rPr>
                <w:rStyle w:val="Hyperlink"/>
                <w:rFonts w:cs="Times New Roman"/>
                <w:noProof/>
                <w:webHidden/>
                <w:szCs w:val="24"/>
              </w:rPr>
            </w:r>
            <w:r w:rsidR="00236D08">
              <w:rPr>
                <w:rStyle w:val="Hyperlink"/>
                <w:rFonts w:cs="Times New Roman"/>
                <w:noProof/>
                <w:webHidden/>
                <w:szCs w:val="24"/>
              </w:rPr>
              <w:fldChar w:fldCharType="separate"/>
            </w:r>
            <w:r w:rsidR="00236D08">
              <w:rPr>
                <w:rStyle w:val="Hyperlink"/>
                <w:rFonts w:cs="Times New Roman"/>
                <w:noProof/>
                <w:webHidden/>
                <w:szCs w:val="24"/>
              </w:rPr>
              <w:t>10</w:t>
            </w:r>
            <w:r w:rsidR="00236D08">
              <w:rPr>
                <w:rStyle w:val="Hyperlink"/>
                <w:rFonts w:cs="Times New Roman"/>
                <w:noProof/>
                <w:webHidden/>
                <w:szCs w:val="24"/>
              </w:rPr>
              <w:fldChar w:fldCharType="end"/>
            </w:r>
          </w:hyperlink>
        </w:p>
        <w:p w14:paraId="6DFA08F3" w14:textId="77777777" w:rsidR="00236D08" w:rsidRDefault="00784A77" w:rsidP="00236D08">
          <w:pPr>
            <w:pStyle w:val="TOC1"/>
            <w:tabs>
              <w:tab w:val="left" w:pos="440"/>
              <w:tab w:val="right" w:leader="dot" w:pos="9016"/>
            </w:tabs>
            <w:spacing w:before="240" w:after="240" w:line="360" w:lineRule="auto"/>
            <w:rPr>
              <w:rFonts w:ascii="Times New Roman" w:eastAsiaTheme="minorEastAsia" w:hAnsi="Times New Roman" w:cs="Times New Roman"/>
              <w:noProof/>
              <w:sz w:val="24"/>
              <w:szCs w:val="24"/>
              <w:lang w:val="en-IN" w:eastAsia="en-IN" w:bidi="hi-IN"/>
            </w:rPr>
          </w:pPr>
          <w:hyperlink r:id="rId10" w:anchor="_Toc133260754" w:history="1">
            <w:r w:rsidR="00236D08">
              <w:rPr>
                <w:rStyle w:val="Hyperlink"/>
                <w:rFonts w:cs="Times New Roman"/>
                <w:noProof/>
                <w:szCs w:val="24"/>
              </w:rPr>
              <w:t>5.</w:t>
            </w:r>
            <w:r w:rsidR="00236D08">
              <w:rPr>
                <w:rStyle w:val="Hyperlink"/>
                <w:rFonts w:eastAsiaTheme="minorEastAsia" w:cs="Times New Roman"/>
                <w:noProof/>
                <w:szCs w:val="24"/>
                <w:lang w:val="en-IN" w:eastAsia="en-IN" w:bidi="hi-IN"/>
              </w:rPr>
              <w:tab/>
            </w:r>
            <w:r w:rsidR="00236D08">
              <w:rPr>
                <w:rStyle w:val="Hyperlink"/>
                <w:rFonts w:cs="Times New Roman"/>
                <w:noProof/>
                <w:szCs w:val="24"/>
              </w:rPr>
              <w:t>References</w:t>
            </w:r>
            <w:r w:rsidR="00236D08">
              <w:rPr>
                <w:rStyle w:val="Hyperlink"/>
                <w:rFonts w:cs="Times New Roman"/>
                <w:noProof/>
                <w:webHidden/>
                <w:szCs w:val="24"/>
              </w:rPr>
              <w:tab/>
            </w:r>
            <w:r w:rsidR="00236D08">
              <w:rPr>
                <w:rStyle w:val="Hyperlink"/>
                <w:rFonts w:cs="Times New Roman"/>
                <w:noProof/>
                <w:webHidden/>
                <w:szCs w:val="24"/>
              </w:rPr>
              <w:fldChar w:fldCharType="begin"/>
            </w:r>
            <w:r w:rsidR="00236D08">
              <w:rPr>
                <w:rStyle w:val="Hyperlink"/>
                <w:rFonts w:cs="Times New Roman"/>
                <w:noProof/>
                <w:webHidden/>
                <w:szCs w:val="24"/>
              </w:rPr>
              <w:instrText xml:space="preserve"> PAGEREF _Toc133260754 \h </w:instrText>
            </w:r>
            <w:r w:rsidR="00236D08">
              <w:rPr>
                <w:rStyle w:val="Hyperlink"/>
                <w:rFonts w:cs="Times New Roman"/>
                <w:noProof/>
                <w:webHidden/>
                <w:szCs w:val="24"/>
              </w:rPr>
            </w:r>
            <w:r w:rsidR="00236D08">
              <w:rPr>
                <w:rStyle w:val="Hyperlink"/>
                <w:rFonts w:cs="Times New Roman"/>
                <w:noProof/>
                <w:webHidden/>
                <w:szCs w:val="24"/>
              </w:rPr>
              <w:fldChar w:fldCharType="separate"/>
            </w:r>
            <w:r w:rsidR="00236D08">
              <w:rPr>
                <w:rStyle w:val="Hyperlink"/>
                <w:rFonts w:cs="Times New Roman"/>
                <w:noProof/>
                <w:webHidden/>
                <w:szCs w:val="24"/>
              </w:rPr>
              <w:t>11</w:t>
            </w:r>
            <w:r w:rsidR="00236D08">
              <w:rPr>
                <w:rStyle w:val="Hyperlink"/>
                <w:rFonts w:cs="Times New Roman"/>
                <w:noProof/>
                <w:webHidden/>
                <w:szCs w:val="24"/>
              </w:rPr>
              <w:fldChar w:fldCharType="end"/>
            </w:r>
          </w:hyperlink>
        </w:p>
        <w:p w14:paraId="2C364F8F"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p>
      </w:sdtContent>
    </w:sdt>
    <w:p w14:paraId="3882A107" w14:textId="66140321" w:rsidR="00197C36" w:rsidRDefault="00197C36" w:rsidP="00236D08">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p>
    <w:p w14:paraId="626DB818" w14:textId="0B31B6C6" w:rsidR="00236D08" w:rsidRDefault="00236D08" w:rsidP="004E4837">
      <w:pPr>
        <w:spacing w:before="240" w:after="240" w:line="360" w:lineRule="auto"/>
        <w:rPr>
          <w:rFonts w:cs="Times New Roman"/>
          <w:szCs w:val="24"/>
        </w:rPr>
      </w:pPr>
      <w:r>
        <w:rPr>
          <w:rFonts w:ascii="Times New Roman" w:hAnsi="Times New Roman" w:cs="Times New Roman"/>
          <w:sz w:val="24"/>
          <w:szCs w:val="24"/>
        </w:rPr>
        <w:br w:type="page"/>
      </w:r>
      <w:bookmarkStart w:id="0" w:name="_Toc133260750"/>
      <w:r>
        <w:rPr>
          <w:rFonts w:cs="Times New Roman"/>
          <w:szCs w:val="24"/>
        </w:rPr>
        <w:lastRenderedPageBreak/>
        <w:t>Introduction</w:t>
      </w:r>
      <w:bookmarkEnd w:id="0"/>
    </w:p>
    <w:p w14:paraId="263C52BA"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context with human resource management, it is a strategic method for supporting all employees and ensuring that there is a positive and effective workplace environment. Different roles and responsibilities are associated with human resource management such as talent management, compensation, training and development, workplace safety, and so on. The report will highlight the current state of the labour market in the UK and changes in human resource strategies in the post-Brexit and Covid external environment. </w:t>
      </w:r>
    </w:p>
    <w:p w14:paraId="733E7386" w14:textId="77777777" w:rsidR="00236D08" w:rsidRDefault="00236D08" w:rsidP="00236D08">
      <w:pPr>
        <w:pStyle w:val="Heading1"/>
        <w:numPr>
          <w:ilvl w:val="0"/>
          <w:numId w:val="1"/>
        </w:numPr>
        <w:spacing w:before="240" w:after="240" w:line="360" w:lineRule="auto"/>
        <w:rPr>
          <w:rFonts w:cs="Times New Roman"/>
          <w:szCs w:val="24"/>
        </w:rPr>
      </w:pPr>
      <w:bookmarkStart w:id="1" w:name="_Toc133260751"/>
      <w:r>
        <w:rPr>
          <w:rFonts w:cs="Times New Roman"/>
          <w:szCs w:val="24"/>
        </w:rPr>
        <w:t>The current state of the labour market in the UK</w:t>
      </w:r>
      <w:bookmarkEnd w:id="1"/>
    </w:p>
    <w:p w14:paraId="3DE2C03C"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UK, the labour market is creating an increase in employment and a decrease in economic inactivity. Despite this fact, the vacancies are getting reduced and redundancies are getting increased. The below figure 1 highlights the labour market from 2011 to 2023 (Powell, 2023). It has been identified that in the UK employment rate, was 3.7% and there have been around 1.25 million unemployed people. In the last quarter, the unemployment rate got increased but concerning with the last year, it was getting decreased. </w:t>
      </w:r>
    </w:p>
    <w:p w14:paraId="3EF58EA5" w14:textId="2802EC25" w:rsidR="00236D08" w:rsidRDefault="00236D08" w:rsidP="00236D08">
      <w:pPr>
        <w:spacing w:before="240" w:after="240"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1042235" wp14:editId="648045CE">
            <wp:extent cx="5731510" cy="3684270"/>
            <wp:effectExtent l="0" t="0" r="2540" b="0"/>
            <wp:docPr id="3" name="Picture 3" descr="A picture containing text, diagram,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84270"/>
                    </a:xfrm>
                    <a:prstGeom prst="rect">
                      <a:avLst/>
                    </a:prstGeom>
                    <a:noFill/>
                    <a:ln>
                      <a:noFill/>
                    </a:ln>
                  </pic:spPr>
                </pic:pic>
              </a:graphicData>
            </a:graphic>
          </wp:inline>
        </w:drawing>
      </w:r>
    </w:p>
    <w:p w14:paraId="6D6E2967"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Figure 1: UK labour market </w:t>
      </w:r>
    </w:p>
    <w:p w14:paraId="36374FFA"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Source: (Powell, 2023)</w:t>
      </w:r>
    </w:p>
    <w:p w14:paraId="0303F188"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Currently, the UK employment rate from August to October 2022, the labour market increased by 0.2% in the quarter to 75.6%. However, it is still considered to be below pre-pandemic levels</w:t>
      </w:r>
      <w:r>
        <w:rPr>
          <w:rFonts w:ascii="Times New Roman" w:hAnsi="Times New Roman" w:cs="Times New Roman"/>
          <w:color w:val="222222"/>
          <w:sz w:val="24"/>
          <w:szCs w:val="24"/>
          <w:shd w:val="clear" w:color="auto" w:fill="FFFFFF"/>
        </w:rPr>
        <w:t xml:space="preserve"> (Brell, 2020, p. 94)</w:t>
      </w:r>
      <w:r>
        <w:rPr>
          <w:rFonts w:ascii="Times New Roman" w:hAnsi="Times New Roman" w:cs="Times New Roman"/>
          <w:sz w:val="24"/>
          <w:szCs w:val="24"/>
        </w:rPr>
        <w:t xml:space="preserve">. In the last three months, it has been recognized that the number of employees increased and the number of self-employees decreased. In the year 2022, the total number of workforce jobs in the country got increased by approximately 2, 90,000 which was recorded to be 35.8 million. </w:t>
      </w:r>
    </w:p>
    <w:p w14:paraId="49559B5D"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UK, the biggest movement is done to the human resource department as it is the main industry in which people are likely to make changes. Based on this, it has been identified that in the country, the labour market is strong and concerning this, the extent of employment rate is increasing. Even though the labour market was effective but at the same point in time, several variations were taking place due to high inflation and people's wages were not getting increased as they should go (Elliot, 2022). By taking the example of Russia's invasion of Ukraine, it has been identified that inflation was being increased due to which employment was affected. After this war, Covid-19 took place concerning which the UK faced a slight decrease in its employment rate because it was moving in the opposite direction. </w:t>
      </w:r>
    </w:p>
    <w:p w14:paraId="74361806"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doing a comparison with the year 2022, the employment rate in the last three months increased to 75.7% and it is now increasing at a fast pace. During the period of Covid-19, the labour market was affected but now after post-Covid, the labour market has not decreased (Statista, 2023). </w:t>
      </w:r>
    </w:p>
    <w:p w14:paraId="5A449BD5" w14:textId="77777777" w:rsidR="00236D08" w:rsidRDefault="00236D08" w:rsidP="00236D08">
      <w:pPr>
        <w:spacing w:before="240" w:after="240" w:line="360" w:lineRule="auto"/>
        <w:jc w:val="both"/>
        <w:rPr>
          <w:rFonts w:ascii="Times New Roman" w:hAnsi="Times New Roman" w:cs="Times New Roman"/>
          <w:sz w:val="24"/>
          <w:szCs w:val="24"/>
        </w:rPr>
      </w:pPr>
    </w:p>
    <w:p w14:paraId="151B2BC0" w14:textId="3D4DF77D" w:rsidR="00236D08" w:rsidRDefault="00236D08" w:rsidP="00236D08">
      <w:pPr>
        <w:spacing w:before="240" w:after="240"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6A11C1A" wp14:editId="5327EA22">
            <wp:extent cx="4286250" cy="2466975"/>
            <wp:effectExtent l="0" t="0" r="0" b="9525"/>
            <wp:docPr id="2" name="Picture 2" descr="A picture containing line, pl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6250" cy="2466975"/>
                    </a:xfrm>
                    <a:prstGeom prst="rect">
                      <a:avLst/>
                    </a:prstGeom>
                    <a:noFill/>
                    <a:ln>
                      <a:noFill/>
                    </a:ln>
                  </pic:spPr>
                </pic:pic>
              </a:graphicData>
            </a:graphic>
          </wp:inline>
        </w:drawing>
      </w:r>
    </w:p>
    <w:p w14:paraId="4E6A1168"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Figure 2: Employment rate in the UK from 1971-2023</w:t>
      </w:r>
    </w:p>
    <w:p w14:paraId="562AA683"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lastRenderedPageBreak/>
        <w:t>Source: (Statista, 2023)</w:t>
      </w:r>
    </w:p>
    <w:p w14:paraId="3D42C05D"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It has been identified that even though the labour market is increasing but the UK market remains tight and the main reason behind this has been the pandemic. The pay growth was increased but employees had demonstrated that the wages are squeezed by inflation. According to the current statistics, the vacancies in the human resource department were getting dropped in the three months till December but it remained elevated at 1.16 million. Due to this, the labour market recovery has been incomplete and it is remaining the tightest on record (Kennedy, 2023). In terms of this labour market, strong nominal wage growth was been increased and the real wages were getting down. While doing a comparison between the private and public sectors, it has been identified that the primary sector wage growth is faster than the public sector (</w:t>
      </w:r>
      <w:r>
        <w:rPr>
          <w:rFonts w:ascii="Times New Roman" w:hAnsi="Times New Roman" w:cs="Times New Roman"/>
          <w:color w:val="222222"/>
          <w:sz w:val="24"/>
          <w:szCs w:val="24"/>
          <w:shd w:val="clear" w:color="auto" w:fill="FFFFFF"/>
        </w:rPr>
        <w:t>Lu et al., 2020)</w:t>
      </w:r>
    </w:p>
    <w:p w14:paraId="44DA8248" w14:textId="25EED7BF" w:rsidR="00236D08" w:rsidRDefault="00236D08" w:rsidP="00236D08">
      <w:pPr>
        <w:spacing w:before="240" w:after="240"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DBFEAEA" wp14:editId="5B56A46D">
            <wp:extent cx="5731510" cy="2599055"/>
            <wp:effectExtent l="0" t="0" r="2540" b="0"/>
            <wp:docPr id="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0DC4DD79"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Figure 3: UK labour market update</w:t>
      </w:r>
    </w:p>
    <w:p w14:paraId="54713237" w14:textId="77777777" w:rsidR="00236D08" w:rsidRDefault="00236D08" w:rsidP="00236D08">
      <w:pPr>
        <w:spacing w:before="240" w:after="24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Source: (Kennedy, 2023)</w:t>
      </w:r>
    </w:p>
    <w:p w14:paraId="15A037DB"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In context with the human resource industry, it has been recognized that in the next year, the government will make high improvements within the areas of the labour market as it will help in ensuring corporate sustainability and performing all business activities efficiently. In the UK, the government started focusing on all the transparency issues and providing a narrative for the outcomes because it will help them in enhancing the labour market and accurate reporting of data also (</w:t>
      </w:r>
      <w:r>
        <w:rPr>
          <w:rFonts w:ascii="Times New Roman" w:hAnsi="Times New Roman" w:cs="Times New Roman"/>
          <w:color w:val="222222"/>
          <w:sz w:val="24"/>
          <w:szCs w:val="24"/>
          <w:shd w:val="clear" w:color="auto" w:fill="FFFFFF"/>
        </w:rPr>
        <w:t>Zaki and Wayenberg, 2021).</w:t>
      </w:r>
    </w:p>
    <w:p w14:paraId="3E8B9829"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Concerning the managerial and business environment, it has been analysed that the wages are not growing fast as the regular pay has been affected by inflation. The maximum number of people is there who are always conscious about the fact that whether the wages will grow fast enough for handling the increased cost of living. While viewing based on nominal terms, the average total pay is increased by approximately 3.8% and it also includes bonuses (Wood, 2022). The growth in the employment rate is driven by an increase in full-time employment and part-time employment is continuously getting increased since the year 2021. </w:t>
      </w:r>
    </w:p>
    <w:p w14:paraId="0C59414D" w14:textId="77E9780C"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analysed that the British labour market performance has been strong concerning which the productivity growth is </w:t>
      </w:r>
      <w:r w:rsidR="0052330B">
        <w:rPr>
          <w:rFonts w:ascii="Times New Roman" w:hAnsi="Times New Roman" w:cs="Times New Roman"/>
          <w:sz w:val="24"/>
          <w:szCs w:val="24"/>
        </w:rPr>
        <w:t>enabled,</w:t>
      </w:r>
      <w:r>
        <w:rPr>
          <w:rFonts w:ascii="Times New Roman" w:hAnsi="Times New Roman" w:cs="Times New Roman"/>
          <w:sz w:val="24"/>
          <w:szCs w:val="24"/>
        </w:rPr>
        <w:t xml:space="preserve"> and the unemployment rate got reduced. The impressive rise in UK labour market rates highlights several factors such as long-term participation in the workforce and encouraging people to remain in the workplace for a longer period</w:t>
      </w:r>
      <w:r>
        <w:rPr>
          <w:rFonts w:ascii="Times New Roman" w:hAnsi="Times New Roman" w:cs="Times New Roman"/>
          <w:color w:val="222222"/>
          <w:sz w:val="24"/>
          <w:szCs w:val="24"/>
          <w:shd w:val="clear" w:color="auto" w:fill="FFFFFF"/>
        </w:rPr>
        <w:t xml:space="preserve"> (Heger and Korfhage, 2020).</w:t>
      </w:r>
    </w:p>
    <w:p w14:paraId="572AE9BC" w14:textId="77777777" w:rsidR="00236D08" w:rsidRDefault="00236D08" w:rsidP="00236D08">
      <w:pPr>
        <w:pStyle w:val="Heading1"/>
        <w:numPr>
          <w:ilvl w:val="0"/>
          <w:numId w:val="1"/>
        </w:numPr>
        <w:spacing w:before="240" w:after="240" w:line="360" w:lineRule="auto"/>
        <w:rPr>
          <w:rFonts w:cs="Times New Roman"/>
          <w:szCs w:val="24"/>
        </w:rPr>
      </w:pPr>
      <w:bookmarkStart w:id="2" w:name="_Toc133260752"/>
      <w:r>
        <w:rPr>
          <w:rFonts w:cs="Times New Roman"/>
          <w:szCs w:val="24"/>
        </w:rPr>
        <w:t>The emerging changes in human resource strategies in the post-Covid, post-Brexit external environment.</w:t>
      </w:r>
      <w:bookmarkEnd w:id="2"/>
    </w:p>
    <w:p w14:paraId="2455A512" w14:textId="77777777" w:rsidR="00236D08" w:rsidRDefault="00236D08" w:rsidP="00236D08">
      <w:pPr>
        <w:spacing w:before="240" w:after="240" w:line="360" w:lineRule="auto"/>
        <w:jc w:val="both"/>
        <w:rPr>
          <w:rFonts w:ascii="Times New Roman" w:hAnsi="Times New Roman" w:cs="Times New Roman"/>
          <w:b/>
          <w:i/>
          <w:iCs/>
          <w:sz w:val="24"/>
          <w:szCs w:val="24"/>
        </w:rPr>
      </w:pPr>
      <w:r>
        <w:rPr>
          <w:rFonts w:ascii="Times New Roman" w:hAnsi="Times New Roman" w:cs="Times New Roman"/>
          <w:b/>
          <w:i/>
          <w:iCs/>
          <w:sz w:val="24"/>
          <w:szCs w:val="24"/>
        </w:rPr>
        <w:t>Post Covid: -</w:t>
      </w:r>
    </w:p>
    <w:p w14:paraId="04AA59DE"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After the period of the Covid-19 pandemic, the world of work is getting continuously changed and it has been accelerated towards more flexibility and digitalization within human resource strategies. At present, the methods are getting changed like the commission of a company is now introducing modern, faster flexible selection and recruitment processes for both internal and external aspects</w:t>
      </w:r>
      <w:r>
        <w:rPr>
          <w:rFonts w:ascii="Times New Roman" w:hAnsi="Times New Roman" w:cs="Times New Roman"/>
          <w:color w:val="222222"/>
          <w:sz w:val="24"/>
          <w:szCs w:val="24"/>
          <w:shd w:val="clear" w:color="auto" w:fill="FFFFFF"/>
        </w:rPr>
        <w:t xml:space="preserve"> (People Goal team, 2021)</w:t>
      </w:r>
      <w:r>
        <w:rPr>
          <w:rFonts w:ascii="Times New Roman" w:hAnsi="Times New Roman" w:cs="Times New Roman"/>
          <w:sz w:val="24"/>
          <w:szCs w:val="24"/>
        </w:rPr>
        <w:t xml:space="preserve">. The current strategy enables an action plan which will be developed and will include country-specific analysis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different measures to address the consequences. </w:t>
      </w:r>
    </w:p>
    <w:p w14:paraId="16464137"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Human resource managers always have the responsibility of improving the performance, productivity, and efficiency of the workforce. After the issue of the pandemic, it became more important for HR to understand each challenge and focus on the global economy. HR plays a central role in making changes in all the strategies for achieving competitive advantage</w:t>
      </w:r>
      <w:r>
        <w:rPr>
          <w:rFonts w:ascii="Times New Roman" w:hAnsi="Times New Roman" w:cs="Times New Roman"/>
          <w:color w:val="222222"/>
          <w:sz w:val="24"/>
          <w:szCs w:val="24"/>
          <w:shd w:val="clear" w:color="auto" w:fill="FFFFFF"/>
        </w:rPr>
        <w:t xml:space="preserve"> (Baryshnikova et al., 2021)</w:t>
      </w:r>
      <w:r>
        <w:rPr>
          <w:rFonts w:ascii="Times New Roman" w:hAnsi="Times New Roman" w:cs="Times New Roman"/>
          <w:sz w:val="24"/>
          <w:szCs w:val="24"/>
        </w:rPr>
        <w:t xml:space="preserve">. The first emerging change in the post-Covid is digitalization as the combination of technologies and the integration of digital systems are implemented. This strategy is implemented on a large scale through which both flexibility and resilience are enhanced. </w:t>
      </w:r>
    </w:p>
    <w:p w14:paraId="20408ADD"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lastRenderedPageBreak/>
        <w:t>Covid-19 has completely changed the experience of work for the majority of employees concerning which it became important for the human resource department to adapt to new changes in terms of organizing the work and also designing a job. Another strategic change within HR is teleworking; all the employees are provided training in a virtual workplace setting</w:t>
      </w:r>
      <w:r>
        <w:rPr>
          <w:rFonts w:ascii="Times New Roman" w:hAnsi="Times New Roman" w:cs="Times New Roman"/>
          <w:color w:val="222222"/>
          <w:sz w:val="24"/>
          <w:szCs w:val="24"/>
          <w:shd w:val="clear" w:color="auto" w:fill="FFFFFF"/>
        </w:rPr>
        <w:t xml:space="preserve"> (Bennett, 2021)</w:t>
      </w:r>
      <w:r>
        <w:rPr>
          <w:rFonts w:ascii="Times New Roman" w:hAnsi="Times New Roman" w:cs="Times New Roman"/>
          <w:sz w:val="24"/>
          <w:szCs w:val="24"/>
        </w:rPr>
        <w:t>. Based on this, the training is provided through Zoom or any other form of the virtual environment. In the post-Covid phase, a strategic change took place based on artificial intelligence-driven technology. It has been identified that this trend has been followed because it helps reduce costs and administer human capital. These changes in human resource strategies address performance issues on an individual basis (</w:t>
      </w:r>
      <w:r>
        <w:rPr>
          <w:rFonts w:ascii="Times New Roman" w:hAnsi="Times New Roman" w:cs="Times New Roman"/>
          <w:color w:val="222222"/>
          <w:sz w:val="24"/>
          <w:szCs w:val="24"/>
          <w:shd w:val="clear" w:color="auto" w:fill="FFFFFF"/>
        </w:rPr>
        <w:t>Carius, 2020).</w:t>
      </w:r>
    </w:p>
    <w:p w14:paraId="671BF662"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The phase of pandemic has created several disruptions in the global economies and businesses so for doing the recovery, new strategies need to be formed by the HR department. The entire organizational culture needs to be redefined by moving to a people-centric workplace. The emerging change is likely to be a hybrid working model as it will enable the advantages of both remote and office working</w:t>
      </w:r>
      <w:r>
        <w:rPr>
          <w:rFonts w:ascii="Times New Roman" w:hAnsi="Times New Roman" w:cs="Times New Roman"/>
          <w:color w:val="222222"/>
          <w:sz w:val="24"/>
          <w:szCs w:val="24"/>
          <w:shd w:val="clear" w:color="auto" w:fill="FFFFFF"/>
        </w:rPr>
        <w:t xml:space="preserve"> (Su et al., 2022)</w:t>
      </w:r>
      <w:r>
        <w:rPr>
          <w:rFonts w:ascii="Times New Roman" w:hAnsi="Times New Roman" w:cs="Times New Roman"/>
          <w:sz w:val="24"/>
          <w:szCs w:val="24"/>
        </w:rPr>
        <w:t>. This is considered to be a positive change through which the culture in the organization is improved. The changes are also taking place in leveraging workforce analytics in terms of promoting data-driven decision-making. In terms of this, it has been identified that post-Covid-19 has leveraged analytics for forecasting all the workplace requirements and also optimizing revenues, and decreasing costs. This leads to becoming reliant on the monitoring of workforce performance and productivity (</w:t>
      </w:r>
      <w:r>
        <w:rPr>
          <w:rFonts w:ascii="Times New Roman" w:hAnsi="Times New Roman" w:cs="Times New Roman"/>
          <w:color w:val="222222"/>
          <w:sz w:val="24"/>
          <w:szCs w:val="24"/>
          <w:shd w:val="clear" w:color="auto" w:fill="FFFFFF"/>
        </w:rPr>
        <w:t>Modgil et al., 2022).</w:t>
      </w:r>
    </w:p>
    <w:p w14:paraId="36C7ECFC"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The resourcing in the organization is always affected by internal and external factors such as politics, competitors, culture, financial performance, and so on. These factors always influence the planning made by HR and create an impact on the policies. In terms of internal environment factors, the impact is created on the strategic plan which includes a workforce assessment, and the changes are done in the operational practices which affect the skill levels of the workforce (</w:t>
      </w:r>
      <w:r>
        <w:rPr>
          <w:rFonts w:ascii="Times New Roman" w:hAnsi="Times New Roman" w:cs="Times New Roman"/>
          <w:color w:val="222222"/>
          <w:sz w:val="24"/>
          <w:szCs w:val="24"/>
          <w:shd w:val="clear" w:color="auto" w:fill="FFFFFF"/>
        </w:rPr>
        <w:t>Kabeyi, 2019).</w:t>
      </w:r>
    </w:p>
    <w:p w14:paraId="2EDB6227"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In context with the external factors, the impact is created through technological changes. Based on this, it has been identified that new information and communication technology has allowed people to do remote work</w:t>
      </w:r>
      <w:r>
        <w:rPr>
          <w:rFonts w:ascii="Times New Roman" w:hAnsi="Times New Roman" w:cs="Times New Roman"/>
          <w:color w:val="222222"/>
          <w:sz w:val="24"/>
          <w:szCs w:val="24"/>
          <w:shd w:val="clear" w:color="auto" w:fill="FFFFFF"/>
        </w:rPr>
        <w:t xml:space="preserve"> (Zacher and Rudolph, 2022)</w:t>
      </w:r>
      <w:r>
        <w:rPr>
          <w:rFonts w:ascii="Times New Roman" w:hAnsi="Times New Roman" w:cs="Times New Roman"/>
          <w:sz w:val="24"/>
          <w:szCs w:val="24"/>
        </w:rPr>
        <w:t xml:space="preserve">. Additionally, the state of the economy also creates an effect on the economic cycle concerning which it is demonstrated that the people in the organization are willing to do work when they are paid high wages and interest. </w:t>
      </w:r>
    </w:p>
    <w:p w14:paraId="31514D82" w14:textId="77777777" w:rsidR="00236D08" w:rsidRDefault="00236D08" w:rsidP="00236D08">
      <w:pPr>
        <w:spacing w:before="240" w:after="240" w:line="360" w:lineRule="auto"/>
        <w:jc w:val="both"/>
        <w:rPr>
          <w:rFonts w:ascii="Times New Roman" w:hAnsi="Times New Roman" w:cs="Times New Roman"/>
          <w:b/>
          <w:i/>
          <w:iCs/>
          <w:sz w:val="24"/>
          <w:szCs w:val="24"/>
        </w:rPr>
      </w:pPr>
      <w:r>
        <w:rPr>
          <w:rFonts w:ascii="Times New Roman" w:hAnsi="Times New Roman" w:cs="Times New Roman"/>
          <w:b/>
          <w:i/>
          <w:iCs/>
          <w:sz w:val="24"/>
          <w:szCs w:val="24"/>
        </w:rPr>
        <w:lastRenderedPageBreak/>
        <w:t>Post-Brexit: -</w:t>
      </w:r>
    </w:p>
    <w:p w14:paraId="171737D1"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exit of Brexit from the European Union has made a high impact on the business organizations' future planning and also on the human resource leaders. Post-Brexit has made leaders focus on analysing, scoping, and planning for the procedure that might create an effect in the form of changes in human resource strategies. Brexit has created an impact on the talent pool of the United Kingdom and organizations' strategies for workforce planning in terms of achieving success in comparison with other competitors (</w:t>
      </w:r>
      <w:r>
        <w:rPr>
          <w:rFonts w:ascii="Times New Roman" w:hAnsi="Times New Roman" w:cs="Times New Roman"/>
          <w:color w:val="222222"/>
          <w:sz w:val="24"/>
          <w:szCs w:val="24"/>
          <w:shd w:val="clear" w:color="auto" w:fill="FFFFFF"/>
        </w:rPr>
        <w:t>Highman et al., 2023)</w:t>
      </w:r>
    </w:p>
    <w:p w14:paraId="70C4FA41"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After Brexit, the UK has become less attractive because no access was been provided to talented people and human resource strategies are getting changed. The organization's spending seems to be more conscious due to the implications of Brexit</w:t>
      </w:r>
      <w:r>
        <w:rPr>
          <w:rFonts w:ascii="Times New Roman" w:hAnsi="Times New Roman" w:cs="Times New Roman"/>
          <w:color w:val="222222"/>
          <w:sz w:val="24"/>
          <w:szCs w:val="24"/>
          <w:shd w:val="clear" w:color="auto" w:fill="FFFFFF"/>
        </w:rPr>
        <w:t xml:space="preserve"> (Open access government, 2019)</w:t>
      </w:r>
      <w:r>
        <w:rPr>
          <w:rFonts w:ascii="Times New Roman" w:hAnsi="Times New Roman" w:cs="Times New Roman"/>
          <w:sz w:val="24"/>
          <w:szCs w:val="24"/>
        </w:rPr>
        <w:t xml:space="preserve">. The HR of a company makes long-term strategies projects which got paused until the settlement of the Post-Brexit falls out. Concerning this, changes take place while making up a strong case for doing the investment and delivering the best services to support customers throughout the process and achieve a competitive advantage. </w:t>
      </w:r>
    </w:p>
    <w:p w14:paraId="4FC18BB2"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Various external factors are there which create an impact on the human resources strategies such as economic conditions, technology, globalization, and many more. In Europe, post-Brexit creates an effect in terms of increases in prices and fluctuations that affect operational costs. Due to this, changes need to be done within human resource strategies for enabling better operational practices and methods</w:t>
      </w:r>
      <w:r>
        <w:rPr>
          <w:rFonts w:ascii="Times New Roman" w:hAnsi="Times New Roman" w:cs="Times New Roman"/>
          <w:color w:val="222222"/>
          <w:sz w:val="24"/>
          <w:szCs w:val="24"/>
          <w:shd w:val="clear" w:color="auto" w:fill="FFFFFF"/>
        </w:rPr>
        <w:t xml:space="preserve"> (Biginas et al., 2022)</w:t>
      </w:r>
      <w:r>
        <w:rPr>
          <w:rFonts w:ascii="Times New Roman" w:hAnsi="Times New Roman" w:cs="Times New Roman"/>
          <w:sz w:val="24"/>
          <w:szCs w:val="24"/>
        </w:rPr>
        <w:t>. All the programs that have been developed by HR created uncertainties after the Brexit scenario. The shape of post-Brexit has always been unclear and many HR team members focused on their efforts to deal with the uncertainties within both internal and external environments. The impact can be created on the firm and can raise concerns among the staff, if you operate in both the UK and Europe, employ workers from several Member States, or have long logistical and commercial interests in both markets (</w:t>
      </w:r>
      <w:r>
        <w:rPr>
          <w:rFonts w:ascii="Times New Roman" w:hAnsi="Times New Roman" w:cs="Times New Roman"/>
          <w:color w:val="222222"/>
          <w:sz w:val="24"/>
          <w:szCs w:val="24"/>
          <w:shd w:val="clear" w:color="auto" w:fill="FFFFFF"/>
        </w:rPr>
        <w:t>Currie et al., 2020).</w:t>
      </w:r>
    </w:p>
    <w:p w14:paraId="4F18FDB6"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Post-Brexit has created a negative impact on Britain's economy which led to the trading terms under scrutiny. The UK's decisions have resulted in new border barriers and restrictions on immigration, which have impacted trade and the employment market. Businesses </w:t>
      </w:r>
      <w:proofErr w:type="gramStart"/>
      <w:r>
        <w:rPr>
          <w:rFonts w:ascii="Times New Roman" w:hAnsi="Times New Roman" w:cs="Times New Roman"/>
          <w:sz w:val="24"/>
          <w:szCs w:val="24"/>
        </w:rPr>
        <w:t>in particular have</w:t>
      </w:r>
      <w:proofErr w:type="gramEnd"/>
      <w:r>
        <w:rPr>
          <w:rFonts w:ascii="Times New Roman" w:hAnsi="Times New Roman" w:cs="Times New Roman"/>
          <w:sz w:val="24"/>
          <w:szCs w:val="24"/>
        </w:rPr>
        <w:t xml:space="preserve"> contested the UK government's intention to use its newly acquired independence to capitalize on EU standards by taking a different course. A variety of causes, including Brexit </w:t>
      </w:r>
      <w:r>
        <w:rPr>
          <w:rFonts w:ascii="Times New Roman" w:hAnsi="Times New Roman" w:cs="Times New Roman"/>
          <w:sz w:val="24"/>
          <w:szCs w:val="24"/>
        </w:rPr>
        <w:lastRenderedPageBreak/>
        <w:t>and the coronavirus epidemic, have led to acute worker shortages in several industries within the UK economy (</w:t>
      </w:r>
      <w:r>
        <w:rPr>
          <w:rFonts w:ascii="Times New Roman" w:hAnsi="Times New Roman" w:cs="Times New Roman"/>
          <w:color w:val="222222"/>
          <w:sz w:val="24"/>
          <w:szCs w:val="24"/>
          <w:shd w:val="clear" w:color="auto" w:fill="FFFFFF"/>
        </w:rPr>
        <w:t>Botelho, 2021).</w:t>
      </w:r>
    </w:p>
    <w:p w14:paraId="0CCA04FD"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While difficulties have existed in other nations as well, they have been particularly severe in Britain. The admission requirements have not made it easier for the numerous European employees who have gone home from the UK (Sandford, 2023). After the UK ultimately left the EU on January 31, 2020, London and Brussels fought against the clock to arrange a future partnership between the EU and the UK, which would take effect in January 2021. In the event of disappointment, the two parties would have reverted to fundamental global trade norms, raising costs and causing disruption while also abandoning agreements on additional matters.</w:t>
      </w:r>
    </w:p>
    <w:p w14:paraId="3D2E1788"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In terms of the economic factors, it has been identified that changes took place in context with the employment policies. Based on this, the employers should carry out an immigration audit that must include amending policies for ensuring that recruitment is done properly in context with inclusion and diversity policies</w:t>
      </w:r>
      <w:r>
        <w:rPr>
          <w:rFonts w:ascii="Times New Roman" w:hAnsi="Times New Roman" w:cs="Times New Roman"/>
          <w:color w:val="222222"/>
          <w:sz w:val="24"/>
          <w:szCs w:val="24"/>
          <w:shd w:val="clear" w:color="auto" w:fill="FFFFFF"/>
        </w:rPr>
        <w:t xml:space="preserve"> (Moradlou et al., 2022)</w:t>
      </w:r>
      <w:r>
        <w:rPr>
          <w:rFonts w:ascii="Times New Roman" w:hAnsi="Times New Roman" w:cs="Times New Roman"/>
          <w:sz w:val="24"/>
          <w:szCs w:val="24"/>
        </w:rPr>
        <w:t>. Businesses that have never held a sponsor license should think about whether they now require one. Under the new migratory system, a permit may be needed to hire both recently arrived EEA citizens and non-EEA citizens. If a corporation already holds an underlying license, it should think about whether it needs to be modified to add additional branches, subsidiaries, or a new route.</w:t>
      </w:r>
    </w:p>
    <w:p w14:paraId="2C498A09"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Post-Brexit has created an impact on recruitment which has entirely changed human resource strategies. For many businesses, the proportion of firms experiencing difficulty hiring has risen. This is in part because, in the past few years, the income growth has not kept pace with the rise in the number of EU people coming to the UK to work. Firms can improve their brand, expand what their staff members offer with non-financial advantages, or increase recruiting practices that are inclusive to draw in employees in addition to raising salaries (</w:t>
      </w:r>
      <w:r>
        <w:rPr>
          <w:rFonts w:ascii="Times New Roman" w:hAnsi="Times New Roman" w:cs="Times New Roman"/>
          <w:color w:val="222222"/>
          <w:sz w:val="24"/>
          <w:szCs w:val="24"/>
          <w:shd w:val="clear" w:color="auto" w:fill="FFFFFF"/>
        </w:rPr>
        <w:t>Kohnert, 2021).</w:t>
      </w:r>
    </w:p>
    <w:p w14:paraId="1C4135A4"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These will improve their companies' ability to hire in future years in addition to addressing hiring challenges in the immediate term. Similarly, policies like the availability of flexible scheduling and transparent advancement opportunities can aid firms in attracting and keeping the talent and skills they require</w:t>
      </w:r>
      <w:r>
        <w:rPr>
          <w:rFonts w:ascii="Times New Roman" w:hAnsi="Times New Roman" w:cs="Times New Roman"/>
          <w:color w:val="222222"/>
          <w:sz w:val="24"/>
          <w:szCs w:val="24"/>
          <w:shd w:val="clear" w:color="auto" w:fill="FFFFFF"/>
        </w:rPr>
        <w:t xml:space="preserve"> (Barbé and Morillas, 2019)</w:t>
      </w:r>
      <w:r>
        <w:rPr>
          <w:rFonts w:ascii="Times New Roman" w:hAnsi="Times New Roman" w:cs="Times New Roman"/>
          <w:sz w:val="24"/>
          <w:szCs w:val="24"/>
        </w:rPr>
        <w:t xml:space="preserve">. Personnel strategy and growth should take precedence due to the shortage of available abilities and manpower, which might be made worse by further cuts after Brexit if free movement is ended. Employers must act with increased urgency to carry out a comprehensive workforce strategy that will help determine the </w:t>
      </w:r>
      <w:r>
        <w:rPr>
          <w:rFonts w:ascii="Times New Roman" w:hAnsi="Times New Roman" w:cs="Times New Roman"/>
          <w:sz w:val="24"/>
          <w:szCs w:val="24"/>
        </w:rPr>
        <w:lastRenderedPageBreak/>
        <w:t>abilities and expertise needed both now and in the future. This will then assist to concentrate on the required education and improvement.</w:t>
      </w:r>
    </w:p>
    <w:p w14:paraId="0CB39B2A" w14:textId="77777777" w:rsidR="00236D08" w:rsidRDefault="00236D08" w:rsidP="00236D08">
      <w:pPr>
        <w:pStyle w:val="Heading1"/>
        <w:numPr>
          <w:ilvl w:val="0"/>
          <w:numId w:val="1"/>
        </w:numPr>
        <w:spacing w:before="240" w:after="240" w:line="360" w:lineRule="auto"/>
        <w:rPr>
          <w:rFonts w:cs="Times New Roman"/>
          <w:szCs w:val="24"/>
        </w:rPr>
      </w:pPr>
      <w:bookmarkStart w:id="3" w:name="_Toc133260753"/>
      <w:r>
        <w:rPr>
          <w:rFonts w:cs="Times New Roman"/>
          <w:szCs w:val="24"/>
        </w:rPr>
        <w:t>Conclusion</w:t>
      </w:r>
      <w:bookmarkEnd w:id="3"/>
    </w:p>
    <w:p w14:paraId="615451C7"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discussion, it is concluded that organizations are affected by both internal and external factors. Concerning the labour market in the UK, it has been identified that the movement is done mainly by the human resource department, and the employment rate in the UK is increased. In terms of the emerging changes within the human resource strategies, post- Covid and post-Brexit have created a huge impact. The major change that which pandemic has created is technological changes based on digitalization. It is also concluded that post-Brexit has created an effect on different factors like political, economic, and so on. In the European Union, HR had to make several changes for identifying the main talent pool across the organization. </w:t>
      </w:r>
    </w:p>
    <w:p w14:paraId="7AD22FFB" w14:textId="77777777" w:rsidR="00236D08" w:rsidRDefault="00236D08" w:rsidP="00236D08">
      <w:pPr>
        <w:spacing w:before="240" w:after="240" w:line="360" w:lineRule="auto"/>
        <w:jc w:val="both"/>
        <w:rPr>
          <w:rFonts w:ascii="Times New Roman" w:hAnsi="Times New Roman" w:cs="Times New Roman"/>
          <w:sz w:val="24"/>
          <w:szCs w:val="24"/>
        </w:rPr>
      </w:pPr>
    </w:p>
    <w:p w14:paraId="6C87B794" w14:textId="77777777" w:rsidR="00236D08" w:rsidRDefault="00236D08" w:rsidP="00236D08">
      <w:pPr>
        <w:spacing w:before="240" w:after="240" w:line="360" w:lineRule="auto"/>
        <w:jc w:val="both"/>
        <w:rPr>
          <w:rFonts w:ascii="Times New Roman" w:hAnsi="Times New Roman" w:cs="Times New Roman"/>
          <w:sz w:val="24"/>
          <w:szCs w:val="24"/>
        </w:rPr>
      </w:pPr>
    </w:p>
    <w:p w14:paraId="2D9A8B4C" w14:textId="77777777" w:rsidR="00236D08" w:rsidRDefault="00236D08" w:rsidP="00236D08">
      <w:pPr>
        <w:spacing w:before="240" w:after="240" w:line="360" w:lineRule="auto"/>
        <w:jc w:val="both"/>
        <w:rPr>
          <w:rFonts w:ascii="Times New Roman" w:hAnsi="Times New Roman" w:cs="Times New Roman"/>
          <w:sz w:val="24"/>
          <w:szCs w:val="24"/>
        </w:rPr>
      </w:pPr>
    </w:p>
    <w:p w14:paraId="1CDEB70E" w14:textId="77777777" w:rsidR="00236D08" w:rsidRDefault="00236D08" w:rsidP="00236D08">
      <w:pPr>
        <w:spacing w:before="240" w:after="240" w:line="360" w:lineRule="auto"/>
        <w:jc w:val="both"/>
        <w:rPr>
          <w:rFonts w:ascii="Times New Roman" w:hAnsi="Times New Roman" w:cs="Times New Roman"/>
          <w:sz w:val="24"/>
          <w:szCs w:val="24"/>
        </w:rPr>
      </w:pPr>
    </w:p>
    <w:p w14:paraId="272162C3" w14:textId="77777777" w:rsidR="00236D08" w:rsidRDefault="00236D08" w:rsidP="00236D08">
      <w:pPr>
        <w:spacing w:before="240" w:after="240" w:line="360" w:lineRule="auto"/>
        <w:rPr>
          <w:rFonts w:ascii="Times New Roman" w:eastAsiaTheme="majorEastAsia" w:hAnsi="Times New Roman" w:cs="Times New Roman"/>
          <w:b/>
          <w:bCs/>
          <w:color w:val="2F5496" w:themeColor="accent1" w:themeShade="BF"/>
          <w:sz w:val="24"/>
          <w:szCs w:val="24"/>
        </w:rPr>
      </w:pPr>
      <w:r>
        <w:rPr>
          <w:rFonts w:ascii="Times New Roman" w:hAnsi="Times New Roman" w:cs="Times New Roman"/>
          <w:sz w:val="24"/>
          <w:szCs w:val="24"/>
        </w:rPr>
        <w:br w:type="page"/>
      </w:r>
    </w:p>
    <w:p w14:paraId="46D6A20A" w14:textId="77777777" w:rsidR="00236D08" w:rsidRDefault="00236D08" w:rsidP="00236D08">
      <w:pPr>
        <w:pStyle w:val="Heading1"/>
        <w:numPr>
          <w:ilvl w:val="0"/>
          <w:numId w:val="1"/>
        </w:numPr>
        <w:spacing w:before="240" w:after="240" w:line="360" w:lineRule="auto"/>
        <w:rPr>
          <w:rFonts w:cs="Times New Roman"/>
          <w:szCs w:val="24"/>
        </w:rPr>
      </w:pPr>
      <w:bookmarkStart w:id="4" w:name="_Toc133260754"/>
      <w:r>
        <w:rPr>
          <w:rFonts w:cs="Times New Roman"/>
          <w:szCs w:val="24"/>
        </w:rPr>
        <w:lastRenderedPageBreak/>
        <w:t>References</w:t>
      </w:r>
      <w:bookmarkEnd w:id="4"/>
      <w:r>
        <w:rPr>
          <w:rFonts w:cs="Times New Roman"/>
          <w:szCs w:val="24"/>
        </w:rPr>
        <w:t xml:space="preserve"> </w:t>
      </w:r>
    </w:p>
    <w:p w14:paraId="33133340"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Barbé, E. and Morillas, P. (2019) ‘The EU global strategy: the dynamics of a more politicized and politically integrated foreign policy’, </w:t>
      </w:r>
      <w:r>
        <w:rPr>
          <w:rFonts w:ascii="Times New Roman" w:hAnsi="Times New Roman" w:cs="Times New Roman"/>
          <w:i/>
          <w:iCs/>
          <w:color w:val="222222"/>
          <w:sz w:val="24"/>
          <w:szCs w:val="24"/>
          <w:shd w:val="clear" w:color="auto" w:fill="FFFFFF"/>
        </w:rPr>
        <w:t>Cambridge Review of international affairs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32</w:t>
      </w:r>
      <w:r>
        <w:rPr>
          <w:rFonts w:ascii="Times New Roman" w:hAnsi="Times New Roman" w:cs="Times New Roman"/>
          <w:color w:val="222222"/>
          <w:sz w:val="24"/>
          <w:szCs w:val="24"/>
          <w:shd w:val="clear" w:color="auto" w:fill="FFFFFF"/>
        </w:rPr>
        <w:t>(6), pp. 753-770.</w:t>
      </w:r>
    </w:p>
    <w:p w14:paraId="02A1DB05"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Baryshnikova, N., Kiriliuk, O. and Klimecka-Tatar, D. (2021) ‘Enterprises’ strategies transformation in the real sector of the economy in the context of the COVID-19 pandemic’, </w:t>
      </w:r>
      <w:r>
        <w:rPr>
          <w:rFonts w:ascii="Times New Roman" w:hAnsi="Times New Roman" w:cs="Times New Roman"/>
          <w:i/>
          <w:iCs/>
          <w:color w:val="222222"/>
          <w:sz w:val="24"/>
          <w:szCs w:val="24"/>
          <w:shd w:val="clear" w:color="auto" w:fill="FFFFFF"/>
        </w:rPr>
        <w:t>Production Engineering Archives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27</w:t>
      </w:r>
      <w:r>
        <w:rPr>
          <w:rFonts w:ascii="Times New Roman" w:hAnsi="Times New Roman" w:cs="Times New Roman"/>
          <w:color w:val="222222"/>
          <w:sz w:val="24"/>
          <w:szCs w:val="24"/>
          <w:shd w:val="clear" w:color="auto" w:fill="FFFFFF"/>
        </w:rPr>
        <w:t>(1), pp. 8-15.</w:t>
      </w:r>
    </w:p>
    <w:p w14:paraId="165C0E35"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Bennett, A.M. (2021) ‘The impact of the COVID-19 crisis on the future of human resource management’, </w:t>
      </w:r>
      <w:r>
        <w:rPr>
          <w:rFonts w:ascii="Times New Roman" w:hAnsi="Times New Roman" w:cs="Times New Roman"/>
          <w:i/>
          <w:iCs/>
          <w:color w:val="222222"/>
          <w:sz w:val="24"/>
          <w:szCs w:val="24"/>
          <w:shd w:val="clear" w:color="auto" w:fill="FFFFFF"/>
        </w:rPr>
        <w:t>Journal of Human Resource Management</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9</w:t>
      </w:r>
      <w:r>
        <w:rPr>
          <w:rFonts w:ascii="Times New Roman" w:hAnsi="Times New Roman" w:cs="Times New Roman"/>
          <w:color w:val="222222"/>
          <w:sz w:val="24"/>
          <w:szCs w:val="24"/>
          <w:shd w:val="clear" w:color="auto" w:fill="FFFFFF"/>
        </w:rPr>
        <w:t>(3), pp. 58-63.</w:t>
      </w:r>
    </w:p>
    <w:p w14:paraId="6499D45B"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Biginas, K., Sindakis, S., Koumproglou, A., Sarantinos, V. and Wyer, P. eds. (2022) ‘</w:t>
      </w:r>
      <w:r>
        <w:rPr>
          <w:rFonts w:ascii="Times New Roman" w:hAnsi="Times New Roman" w:cs="Times New Roman"/>
          <w:i/>
          <w:iCs/>
          <w:color w:val="222222"/>
          <w:sz w:val="24"/>
          <w:szCs w:val="24"/>
          <w:shd w:val="clear" w:color="auto" w:fill="FFFFFF"/>
        </w:rPr>
        <w:t>Small Business Management and Control of the Uncertain External Environment</w:t>
      </w:r>
      <w:r>
        <w:rPr>
          <w:rFonts w:ascii="Times New Roman" w:hAnsi="Times New Roman" w:cs="Times New Roman"/>
          <w:color w:val="222222"/>
          <w:sz w:val="24"/>
          <w:szCs w:val="24"/>
          <w:shd w:val="clear" w:color="auto" w:fill="FFFFFF"/>
        </w:rPr>
        <w:t>’. Emerald Group Publishing.</w:t>
      </w:r>
    </w:p>
    <w:p w14:paraId="7C749460"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Botelho, A. (2021) ‘Post-Brexit and Covid-19 Period Goan Migration Scenario to the United Kingdom: A Compendium of Literature’, </w:t>
      </w:r>
      <w:r>
        <w:rPr>
          <w:rFonts w:ascii="Times New Roman" w:hAnsi="Times New Roman" w:cs="Times New Roman"/>
          <w:i/>
          <w:iCs/>
          <w:color w:val="222222"/>
          <w:sz w:val="24"/>
          <w:szCs w:val="24"/>
          <w:shd w:val="clear" w:color="auto" w:fill="FFFFFF"/>
        </w:rPr>
        <w:t>Research Journal (Arts)</w:t>
      </w:r>
      <w:r>
        <w:rPr>
          <w:rFonts w:ascii="Times New Roman" w:hAnsi="Times New Roman" w:cs="Times New Roman"/>
          <w:color w:val="222222"/>
          <w:sz w:val="24"/>
          <w:szCs w:val="24"/>
          <w:shd w:val="clear" w:color="auto" w:fill="FFFFFF"/>
        </w:rPr>
        <w:t>, pp. 1-7.</w:t>
      </w:r>
    </w:p>
    <w:p w14:paraId="1F6D279B"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Brell, C., Dustmann, C. and Preston, I. (2020) ‘The labor market integration of refugee migrants in high-income countries’, </w:t>
      </w:r>
      <w:r>
        <w:rPr>
          <w:rFonts w:ascii="Times New Roman" w:hAnsi="Times New Roman" w:cs="Times New Roman"/>
          <w:i/>
          <w:iCs/>
          <w:color w:val="222222"/>
          <w:sz w:val="24"/>
          <w:szCs w:val="24"/>
          <w:shd w:val="clear" w:color="auto" w:fill="FFFFFF"/>
        </w:rPr>
        <w:t>Journal of Economic Perspectives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34</w:t>
      </w:r>
      <w:r>
        <w:rPr>
          <w:rFonts w:ascii="Times New Roman" w:hAnsi="Times New Roman" w:cs="Times New Roman"/>
          <w:color w:val="222222"/>
          <w:sz w:val="24"/>
          <w:szCs w:val="24"/>
          <w:shd w:val="clear" w:color="auto" w:fill="FFFFFF"/>
        </w:rPr>
        <w:t>(1), pp. 94-121.</w:t>
      </w:r>
    </w:p>
    <w:p w14:paraId="39951B2F"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Carius, A.C. (2020) ‘Network education and blended learning: Cyber university concept and higher education post COVID-19 pandemic’, </w:t>
      </w:r>
      <w:r>
        <w:rPr>
          <w:rFonts w:ascii="Times New Roman" w:hAnsi="Times New Roman" w:cs="Times New Roman"/>
          <w:i/>
          <w:iCs/>
          <w:color w:val="222222"/>
          <w:sz w:val="24"/>
          <w:szCs w:val="24"/>
          <w:shd w:val="clear" w:color="auto" w:fill="FFFFFF"/>
        </w:rPr>
        <w:t>Research, Society and Development</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9</w:t>
      </w:r>
      <w:r>
        <w:rPr>
          <w:rFonts w:ascii="Times New Roman" w:hAnsi="Times New Roman" w:cs="Times New Roman"/>
          <w:color w:val="222222"/>
          <w:sz w:val="24"/>
          <w:szCs w:val="24"/>
          <w:shd w:val="clear" w:color="auto" w:fill="FFFFFF"/>
        </w:rPr>
        <w:t>(10), pp.e8209109340-e8209109340.</w:t>
      </w:r>
    </w:p>
    <w:p w14:paraId="2840A48E"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Currie, C.S., Fowler, J.W., Kotiadis, K., Monks, T., Onggo, B.S., Robertson, D.A. and Tako, A.A. (2020) ‘How simulation modelling can help reduce the impact of COVID-19’, </w:t>
      </w:r>
      <w:r>
        <w:rPr>
          <w:rFonts w:ascii="Times New Roman" w:hAnsi="Times New Roman" w:cs="Times New Roman"/>
          <w:i/>
          <w:iCs/>
          <w:color w:val="222222"/>
          <w:sz w:val="24"/>
          <w:szCs w:val="24"/>
          <w:shd w:val="clear" w:color="auto" w:fill="FFFFFF"/>
        </w:rPr>
        <w:t>Journal of Simulation</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14</w:t>
      </w:r>
      <w:r>
        <w:rPr>
          <w:rFonts w:ascii="Times New Roman" w:hAnsi="Times New Roman" w:cs="Times New Roman"/>
          <w:color w:val="222222"/>
          <w:sz w:val="24"/>
          <w:szCs w:val="24"/>
          <w:shd w:val="clear" w:color="auto" w:fill="FFFFFF"/>
        </w:rPr>
        <w:t>(2), pp.83-97.</w:t>
      </w:r>
    </w:p>
    <w:p w14:paraId="52F5A431"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Elliot, L. (2022) the UK labour market is changing as inflation squeezes real pay. Available at: https://www.theguardian.com/business/2022/nov/15/uk-labour-market-inflation-real-pay-unemployment (Accessed: 16 April 2023).</w:t>
      </w:r>
    </w:p>
    <w:p w14:paraId="34A8C604"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Heger, D. and Korfhage, T. (2020) ‘Short-and medium-term effects of informal eldercare on labour market outcomes’, </w:t>
      </w:r>
      <w:r>
        <w:rPr>
          <w:rFonts w:ascii="Times New Roman" w:hAnsi="Times New Roman" w:cs="Times New Roman"/>
          <w:i/>
          <w:iCs/>
          <w:color w:val="222222"/>
          <w:sz w:val="24"/>
          <w:szCs w:val="24"/>
          <w:shd w:val="clear" w:color="auto" w:fill="FFFFFF"/>
        </w:rPr>
        <w:t>Feminist Economics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26</w:t>
      </w:r>
      <w:r>
        <w:rPr>
          <w:rFonts w:ascii="Times New Roman" w:hAnsi="Times New Roman" w:cs="Times New Roman"/>
          <w:color w:val="222222"/>
          <w:sz w:val="24"/>
          <w:szCs w:val="24"/>
          <w:shd w:val="clear" w:color="auto" w:fill="FFFFFF"/>
        </w:rPr>
        <w:t>(4), pp.205-227.</w:t>
      </w:r>
    </w:p>
    <w:p w14:paraId="49C1559A"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Highman, L., Marginson, S. and Papatsiba, V. (2023) ‘Higher education and research: multiple negative effects and new no opportunities after Brexit’, </w:t>
      </w:r>
      <w:r>
        <w:rPr>
          <w:rFonts w:ascii="Times New Roman" w:hAnsi="Times New Roman" w:cs="Times New Roman"/>
          <w:i/>
          <w:iCs/>
          <w:color w:val="222222"/>
          <w:sz w:val="24"/>
          <w:szCs w:val="24"/>
          <w:shd w:val="clear" w:color="auto" w:fill="FFFFFF"/>
        </w:rPr>
        <w:t>Contemporary Social Science</w:t>
      </w:r>
      <w:r>
        <w:rPr>
          <w:rFonts w:ascii="Times New Roman" w:hAnsi="Times New Roman" w:cs="Times New Roman"/>
          <w:color w:val="222222"/>
          <w:sz w:val="24"/>
          <w:szCs w:val="24"/>
          <w:shd w:val="clear" w:color="auto" w:fill="FFFFFF"/>
        </w:rPr>
        <w:t>, pp.1-19.</w:t>
      </w:r>
    </w:p>
    <w:p w14:paraId="18FDE018"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Kabeyi, M. (2019) ‘Organizational strategic planning, implementation and evaluation with analysis of challenges and benefits’, </w:t>
      </w:r>
      <w:r>
        <w:rPr>
          <w:rFonts w:ascii="Times New Roman" w:hAnsi="Times New Roman" w:cs="Times New Roman"/>
          <w:i/>
          <w:iCs/>
          <w:color w:val="222222"/>
          <w:sz w:val="24"/>
          <w:szCs w:val="24"/>
          <w:shd w:val="clear" w:color="auto" w:fill="FFFFFF"/>
        </w:rPr>
        <w:t>International Journal of Applied Research and Studies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5</w:t>
      </w:r>
      <w:r>
        <w:rPr>
          <w:rFonts w:ascii="Times New Roman" w:hAnsi="Times New Roman" w:cs="Times New Roman"/>
          <w:color w:val="222222"/>
          <w:sz w:val="24"/>
          <w:szCs w:val="24"/>
          <w:shd w:val="clear" w:color="auto" w:fill="FFFFFF"/>
        </w:rPr>
        <w:t>(6), pp.27-32.</w:t>
      </w:r>
    </w:p>
    <w:p w14:paraId="5E8AC8D1"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Kennedy, J. (2023) January 2023 UK labour market update. Available at: https://www.hiringlab.org/uk/blog/2023/01/26/january-2023-uk-labour-market-update/ (Accessed: 18 April 2023).</w:t>
      </w:r>
    </w:p>
    <w:p w14:paraId="0D46DA70"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Kohnert, D. (2021) ‘The socio-economic impact of Brexit on India, Pakistan and Sri Lanka in times of Corona', </w:t>
      </w:r>
      <w:r>
        <w:rPr>
          <w:rFonts w:ascii="Times New Roman" w:hAnsi="Times New Roman" w:cs="Times New Roman"/>
          <w:i/>
          <w:iCs/>
          <w:color w:val="222222"/>
          <w:sz w:val="24"/>
          <w:szCs w:val="24"/>
          <w:shd w:val="clear" w:color="auto" w:fill="FFFFFF"/>
        </w:rPr>
        <w:t>Pakistan and Sri Lanka in Times of Corona (July 16, 2021)</w:t>
      </w:r>
      <w:r>
        <w:rPr>
          <w:rFonts w:ascii="Times New Roman" w:hAnsi="Times New Roman" w:cs="Times New Roman"/>
          <w:color w:val="222222"/>
          <w:sz w:val="24"/>
          <w:szCs w:val="24"/>
          <w:shd w:val="clear" w:color="auto" w:fill="FFFFFF"/>
        </w:rPr>
        <w:t>.</w:t>
      </w:r>
    </w:p>
    <w:p w14:paraId="7236AC5D"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Lu, Y., Wu, J., Peng, J. and Lu, L. (2020) ‘The perceived impact of the Covid-19 epidemic: evidence from a sample of 4807 SMEs in Sichuan Province, China’, </w:t>
      </w:r>
      <w:r>
        <w:rPr>
          <w:rFonts w:ascii="Times New Roman" w:hAnsi="Times New Roman" w:cs="Times New Roman"/>
          <w:i/>
          <w:iCs/>
          <w:color w:val="222222"/>
          <w:sz w:val="24"/>
          <w:szCs w:val="24"/>
          <w:shd w:val="clear" w:color="auto" w:fill="FFFFFF"/>
        </w:rPr>
        <w:t>Environmental Hazards</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19</w:t>
      </w:r>
      <w:r>
        <w:rPr>
          <w:rFonts w:ascii="Times New Roman" w:hAnsi="Times New Roman" w:cs="Times New Roman"/>
          <w:color w:val="222222"/>
          <w:sz w:val="24"/>
          <w:szCs w:val="24"/>
          <w:shd w:val="clear" w:color="auto" w:fill="FFFFFF"/>
        </w:rPr>
        <w:t>(4), pp.323-340.</w:t>
      </w:r>
    </w:p>
    <w:p w14:paraId="367F5609"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Modgil, S., Singh, R.K. and Hannibal, C. (2022) ‘Artificial intelligence for supply chain resilience: learning from Covid-19’, </w:t>
      </w:r>
      <w:r>
        <w:rPr>
          <w:rFonts w:ascii="Times New Roman" w:hAnsi="Times New Roman" w:cs="Times New Roman"/>
          <w:i/>
          <w:iCs/>
          <w:color w:val="222222"/>
          <w:sz w:val="24"/>
          <w:szCs w:val="24"/>
          <w:shd w:val="clear" w:color="auto" w:fill="FFFFFF"/>
        </w:rPr>
        <w:t>The International Journal of Logistics Management</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33</w:t>
      </w:r>
      <w:r>
        <w:rPr>
          <w:rFonts w:ascii="Times New Roman" w:hAnsi="Times New Roman" w:cs="Times New Roman"/>
          <w:color w:val="222222"/>
          <w:sz w:val="24"/>
          <w:szCs w:val="24"/>
          <w:shd w:val="clear" w:color="auto" w:fill="FFFFFF"/>
        </w:rPr>
        <w:t>(4), pp.1246-1268.</w:t>
      </w:r>
    </w:p>
    <w:p w14:paraId="4E1460A0"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Moradlou, H., Fratocchi, L., Skipworth, H. and Ghadge, A. (2022) ‘Post-Brexit back-shoring strategies: what UK manufacturing companies could learn from the past’, </w:t>
      </w:r>
      <w:r>
        <w:rPr>
          <w:rFonts w:ascii="Times New Roman" w:hAnsi="Times New Roman" w:cs="Times New Roman"/>
          <w:i/>
          <w:iCs/>
          <w:color w:val="222222"/>
          <w:sz w:val="24"/>
          <w:szCs w:val="24"/>
          <w:shd w:val="clear" w:color="auto" w:fill="FFFFFF"/>
        </w:rPr>
        <w:t>Production Planning &amp; Control</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33</w:t>
      </w:r>
      <w:r>
        <w:rPr>
          <w:rFonts w:ascii="Times New Roman" w:hAnsi="Times New Roman" w:cs="Times New Roman"/>
          <w:color w:val="222222"/>
          <w:sz w:val="24"/>
          <w:szCs w:val="24"/>
          <w:shd w:val="clear" w:color="auto" w:fill="FFFFFF"/>
        </w:rPr>
        <w:t>(14), pp. 1319-1336.</w:t>
      </w:r>
    </w:p>
    <w:p w14:paraId="7ECBAD4B"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Open access government, (2019) How will Brexit change the game for human resources. Available at: </w:t>
      </w:r>
      <w:r>
        <w:rPr>
          <w:rFonts w:ascii="Times New Roman" w:hAnsi="Times New Roman" w:cs="Times New Roman"/>
          <w:sz w:val="24"/>
          <w:szCs w:val="24"/>
          <w:shd w:val="clear" w:color="auto" w:fill="FFFFFF"/>
        </w:rPr>
        <w:t>https://www.openaccessgovernment.org/brexit-change-the-game/58873/</w:t>
      </w:r>
      <w:r>
        <w:rPr>
          <w:rFonts w:ascii="Times New Roman" w:hAnsi="Times New Roman" w:cs="Times New Roman"/>
          <w:color w:val="222222"/>
          <w:sz w:val="24"/>
          <w:szCs w:val="24"/>
          <w:shd w:val="clear" w:color="auto" w:fill="FFFFFF"/>
        </w:rPr>
        <w:t xml:space="preserve"> (Accessed: 19 April 2023).</w:t>
      </w:r>
    </w:p>
    <w:p w14:paraId="66C407E9"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People Goal team, (2021) HRM Post Covid. Available at: </w:t>
      </w:r>
      <w:r>
        <w:rPr>
          <w:rFonts w:ascii="Times New Roman" w:hAnsi="Times New Roman" w:cs="Times New Roman"/>
          <w:sz w:val="24"/>
          <w:szCs w:val="24"/>
          <w:shd w:val="clear" w:color="auto" w:fill="FFFFFF"/>
        </w:rPr>
        <w:t>https://www.peoplegoal.com/blog/human-resources-management-post-covid</w:t>
      </w:r>
      <w:r>
        <w:rPr>
          <w:rFonts w:ascii="Times New Roman" w:hAnsi="Times New Roman" w:cs="Times New Roman"/>
          <w:color w:val="222222"/>
          <w:sz w:val="24"/>
          <w:szCs w:val="24"/>
          <w:shd w:val="clear" w:color="auto" w:fill="FFFFFF"/>
        </w:rPr>
        <w:t xml:space="preserve"> (Accessed: 20 April 2023). </w:t>
      </w:r>
    </w:p>
    <w:p w14:paraId="0970649E"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Powell, A. (2023) UK labour market statistics. Available at: https://commonslibrary.parliament.uk/research-briefings/cbp-</w:t>
      </w:r>
      <w:r>
        <w:rPr>
          <w:rFonts w:ascii="Times New Roman" w:hAnsi="Times New Roman" w:cs="Times New Roman"/>
          <w:sz w:val="24"/>
          <w:szCs w:val="24"/>
        </w:rPr>
        <w:lastRenderedPageBreak/>
        <w:t>9366/#:~:text=The%20latest%20labour%20market%20statistics,real%20pay%20growth%20is%20negative. (Accessed: 20 April 2023).</w:t>
      </w:r>
    </w:p>
    <w:p w14:paraId="37D0B540"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Sandford, A. (2023) Post-Brexit guide-What’s been the impact and how did it happen. Available at: https://www.euronews.com/my-europe/2022/12/29/brexit-draft-deal-first-of-many-hurdles-to-a-smooth-exit (Accessed: 21 April 2023).</w:t>
      </w:r>
    </w:p>
    <w:p w14:paraId="5CC62666"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Statista (2023) Employment rate in the United Kingdom from 1971 to 2023. Available at: https://www.statista.com/statistics/281992/employment-rate-in-the-united-kingdom/ (Accessed: 21 April 2023).</w:t>
      </w:r>
    </w:p>
    <w:p w14:paraId="38BC0234"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 R., Obrenovic, B., Du, J., Godinic, D. and Khudaykulov, A. (2022) ‘COVID-19 pandemic implications for corporate sustainability and society: A literature review’, </w:t>
      </w:r>
      <w:r>
        <w:rPr>
          <w:rFonts w:ascii="Times New Roman" w:hAnsi="Times New Roman" w:cs="Times New Roman"/>
          <w:i/>
          <w:iCs/>
          <w:color w:val="222222"/>
          <w:sz w:val="24"/>
          <w:szCs w:val="24"/>
          <w:shd w:val="clear" w:color="auto" w:fill="FFFFFF"/>
        </w:rPr>
        <w:t>International Journal of Environmental Research and Public Health</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19</w:t>
      </w:r>
      <w:r>
        <w:rPr>
          <w:rFonts w:ascii="Times New Roman" w:hAnsi="Times New Roman" w:cs="Times New Roman"/>
          <w:color w:val="222222"/>
          <w:sz w:val="24"/>
          <w:szCs w:val="24"/>
          <w:shd w:val="clear" w:color="auto" w:fill="FFFFFF"/>
        </w:rPr>
        <w:t>(3), p. 1592-1600.</w:t>
      </w:r>
    </w:p>
    <w:p w14:paraId="1FAD54FE" w14:textId="77777777" w:rsidR="00236D08" w:rsidRDefault="00236D08" w:rsidP="00236D08">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Wood, M. (2022) What do the latest UK labour market data reveal. Available at: https://www.economicsobservatory.com/what-do-the-latest-uk-labour-market-data-reveal (Accessed: 22 April 2023).</w:t>
      </w:r>
    </w:p>
    <w:p w14:paraId="57A24E6B"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Zacher, H. and Rudolph, C.W. (2022) ‘Researching employee experiences and behavior in times of crisis: Theoretical and methodological considerations and implications for human resource management’, </w:t>
      </w:r>
      <w:r>
        <w:rPr>
          <w:rFonts w:ascii="Times New Roman" w:hAnsi="Times New Roman" w:cs="Times New Roman"/>
          <w:i/>
          <w:iCs/>
          <w:color w:val="222222"/>
          <w:sz w:val="24"/>
          <w:szCs w:val="24"/>
          <w:shd w:val="clear" w:color="auto" w:fill="FFFFFF"/>
        </w:rPr>
        <w:t>German Journal of Human Resource Management</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36</w:t>
      </w:r>
      <w:r>
        <w:rPr>
          <w:rFonts w:ascii="Times New Roman" w:hAnsi="Times New Roman" w:cs="Times New Roman"/>
          <w:color w:val="222222"/>
          <w:sz w:val="24"/>
          <w:szCs w:val="24"/>
          <w:shd w:val="clear" w:color="auto" w:fill="FFFFFF"/>
        </w:rPr>
        <w:t>(1), pp. 6-31.</w:t>
      </w:r>
    </w:p>
    <w:p w14:paraId="08A736EA" w14:textId="77777777" w:rsidR="00236D08" w:rsidRDefault="00236D08" w:rsidP="00236D08">
      <w:pPr>
        <w:spacing w:before="240" w:after="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Zaki, B.L. and Wayenberg, E. (2021) ‘Shopping in the scientific marketplace: COVID-19 through a policy learning lens’, </w:t>
      </w:r>
      <w:r>
        <w:rPr>
          <w:rFonts w:ascii="Times New Roman" w:hAnsi="Times New Roman" w:cs="Times New Roman"/>
          <w:i/>
          <w:iCs/>
          <w:color w:val="222222"/>
          <w:sz w:val="24"/>
          <w:szCs w:val="24"/>
          <w:shd w:val="clear" w:color="auto" w:fill="FFFFFF"/>
        </w:rPr>
        <w:t>Policy Design and Practice</w:t>
      </w:r>
      <w:r>
        <w:rPr>
          <w:rFonts w:ascii="Times New Roman" w:hAnsi="Times New Roman" w:cs="Times New Roman"/>
          <w:color w:val="222222"/>
          <w:sz w:val="24"/>
          <w:szCs w:val="24"/>
          <w:shd w:val="clear" w:color="auto" w:fill="FFFFFF"/>
        </w:rPr>
        <w:t>, </w:t>
      </w:r>
      <w:r>
        <w:rPr>
          <w:rFonts w:ascii="Times New Roman" w:hAnsi="Times New Roman" w:cs="Times New Roman"/>
          <w:iCs/>
          <w:color w:val="222222"/>
          <w:sz w:val="24"/>
          <w:szCs w:val="24"/>
          <w:shd w:val="clear" w:color="auto" w:fill="FFFFFF"/>
        </w:rPr>
        <w:t>4</w:t>
      </w:r>
      <w:r>
        <w:rPr>
          <w:rFonts w:ascii="Times New Roman" w:hAnsi="Times New Roman" w:cs="Times New Roman"/>
          <w:color w:val="222222"/>
          <w:sz w:val="24"/>
          <w:szCs w:val="24"/>
          <w:shd w:val="clear" w:color="auto" w:fill="FFFFFF"/>
        </w:rPr>
        <w:t>(1), pp.15-32.</w:t>
      </w:r>
    </w:p>
    <w:p w14:paraId="7B229E69" w14:textId="77777777" w:rsidR="00CA07B4" w:rsidRDefault="00CA07B4"/>
    <w:sectPr w:rsidR="00CA0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26FD5"/>
    <w:multiLevelType w:val="hybridMultilevel"/>
    <w:tmpl w:val="01CE8F3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16cid:durableId="21455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23"/>
    <w:rsid w:val="000200F9"/>
    <w:rsid w:val="00175F09"/>
    <w:rsid w:val="00176379"/>
    <w:rsid w:val="00197C36"/>
    <w:rsid w:val="00235823"/>
    <w:rsid w:val="00236D08"/>
    <w:rsid w:val="0023713C"/>
    <w:rsid w:val="002B76AE"/>
    <w:rsid w:val="00331D9B"/>
    <w:rsid w:val="004E4837"/>
    <w:rsid w:val="0052330B"/>
    <w:rsid w:val="00533290"/>
    <w:rsid w:val="005453D3"/>
    <w:rsid w:val="00593E24"/>
    <w:rsid w:val="00A57C46"/>
    <w:rsid w:val="00C92091"/>
    <w:rsid w:val="00CA07B4"/>
    <w:rsid w:val="00F80112"/>
    <w:rsid w:val="00FF0F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59D0"/>
  <w15:chartTrackingRefBased/>
  <w15:docId w15:val="{00BB005E-74A8-4728-A1B3-705360DE8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D08"/>
    <w:pPr>
      <w:spacing w:after="200" w:line="276" w:lineRule="auto"/>
    </w:pPr>
    <w:rPr>
      <w:lang w:val="en-GB"/>
    </w:rPr>
  </w:style>
  <w:style w:type="paragraph" w:styleId="Heading1">
    <w:name w:val="heading 1"/>
    <w:basedOn w:val="Normal"/>
    <w:next w:val="Normal"/>
    <w:link w:val="Heading1Char"/>
    <w:uiPriority w:val="9"/>
    <w:qFormat/>
    <w:rsid w:val="00236D08"/>
    <w:pPr>
      <w:keepNext/>
      <w:keepLines/>
      <w:spacing w:before="480" w:after="0"/>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D08"/>
    <w:rPr>
      <w:rFonts w:ascii="Times New Roman" w:eastAsiaTheme="majorEastAsia" w:hAnsi="Times New Roman" w:cstheme="majorBidi"/>
      <w:b/>
      <w:bCs/>
      <w:sz w:val="24"/>
      <w:szCs w:val="28"/>
      <w:lang w:val="en-GB"/>
    </w:rPr>
  </w:style>
  <w:style w:type="character" w:styleId="Hyperlink">
    <w:name w:val="Hyperlink"/>
    <w:basedOn w:val="DefaultParagraphFont"/>
    <w:uiPriority w:val="99"/>
    <w:semiHidden/>
    <w:unhideWhenUsed/>
    <w:rsid w:val="00236D08"/>
    <w:rPr>
      <w:color w:val="0563C1" w:themeColor="hyperlink"/>
      <w:u w:val="single"/>
    </w:rPr>
  </w:style>
  <w:style w:type="paragraph" w:styleId="TOC1">
    <w:name w:val="toc 1"/>
    <w:basedOn w:val="Normal"/>
    <w:next w:val="Normal"/>
    <w:autoRedefine/>
    <w:uiPriority w:val="39"/>
    <w:semiHidden/>
    <w:unhideWhenUsed/>
    <w:rsid w:val="00236D08"/>
    <w:pPr>
      <w:spacing w:after="100"/>
    </w:pPr>
  </w:style>
  <w:style w:type="paragraph" w:styleId="TOCHeading">
    <w:name w:val="TOC Heading"/>
    <w:basedOn w:val="Heading1"/>
    <w:next w:val="Normal"/>
    <w:uiPriority w:val="39"/>
    <w:semiHidden/>
    <w:unhideWhenUsed/>
    <w:qFormat/>
    <w:rsid w:val="00236D08"/>
    <w:pPr>
      <w:jc w:val="left"/>
      <w:outlineLvl w:val="9"/>
    </w:pPr>
    <w:rPr>
      <w:rFonts w:asciiTheme="majorHAnsi" w:hAnsiTheme="majorHAnsi"/>
      <w:color w:val="2F5496" w:themeColor="accent1" w:themeShade="BF"/>
      <w:sz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1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wnloads\Rinku%20Goswami%20LCMB7000%20Assessment%201.docx"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file:///C:\Users\Admin\Downloads\Rinku%20Goswami%20LCMB7000%20Assessment%201.docx"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dmin\Downloads\Rinku%20Goswami%20LCMB7000%20Assessment%201.docx" TargetMode="External"/><Relationship Id="rId11" Type="http://schemas.openxmlformats.org/officeDocument/2006/relationships/image" Target="media/image2.pn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file:///C:\Users\Admin\Downloads\Rinku%20Goswami%20LCMB7000%20Assessment%201.docx" TargetMode="External"/><Relationship Id="rId4" Type="http://schemas.openxmlformats.org/officeDocument/2006/relationships/webSettings" Target="webSettings.xml"/><Relationship Id="rId9" Type="http://schemas.openxmlformats.org/officeDocument/2006/relationships/hyperlink" Target="file:///C:\Users\Admin\Downloads\Rinku%20Goswami%20LCMB7000%20Assessment%20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3272</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Rinku Aparanathi</dc:creator>
  <cp:keywords/>
  <dc:description/>
  <cp:lastModifiedBy>Rinku Aparanathi</cp:lastModifiedBy>
  <cp:revision>2</cp:revision>
  <dcterms:created xsi:type="dcterms:W3CDTF">2023-05-04T12:47:00Z</dcterms:created>
  <dcterms:modified xsi:type="dcterms:W3CDTF">2023-05-04T12:47:00Z</dcterms:modified>
</cp:coreProperties>
</file>