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D8929" w14:textId="77777777" w:rsidR="00A9623C" w:rsidRDefault="00F04373" w:rsidP="00B03444">
      <w:pPr>
        <w:spacing w:before="240"/>
        <w:jc w:val="center"/>
        <w:rPr>
          <w:b/>
          <w:bCs/>
          <w:sz w:val="40"/>
          <w:szCs w:val="36"/>
        </w:rPr>
      </w:pPr>
      <w:r w:rsidRPr="00F04373">
        <w:rPr>
          <w:b/>
          <w:bCs/>
          <w:noProof/>
          <w:sz w:val="40"/>
          <w:szCs w:val="36"/>
        </w:rPr>
        <w:drawing>
          <wp:inline distT="0" distB="0" distL="0" distR="0" wp14:anchorId="3CFAC33C" wp14:editId="7B20B992">
            <wp:extent cx="3401630" cy="15081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09134" cy="1511493"/>
                    </a:xfrm>
                    <a:prstGeom prst="rect">
                      <a:avLst/>
                    </a:prstGeom>
                  </pic:spPr>
                </pic:pic>
              </a:graphicData>
            </a:graphic>
          </wp:inline>
        </w:drawing>
      </w:r>
    </w:p>
    <w:p w14:paraId="2893CB61" w14:textId="77777777" w:rsidR="000B7C46" w:rsidRDefault="000B7C46" w:rsidP="00B03444">
      <w:pPr>
        <w:spacing w:before="240"/>
        <w:rPr>
          <w:b/>
          <w:bCs/>
          <w:sz w:val="40"/>
          <w:szCs w:val="36"/>
        </w:rPr>
      </w:pPr>
    </w:p>
    <w:p w14:paraId="6EAD3854" w14:textId="5FF2450D" w:rsidR="005B7F11" w:rsidRPr="00A9623C" w:rsidRDefault="005B7F11" w:rsidP="00B03444">
      <w:pPr>
        <w:spacing w:before="240"/>
        <w:jc w:val="center"/>
        <w:rPr>
          <w:b/>
          <w:bCs/>
          <w:sz w:val="40"/>
          <w:szCs w:val="36"/>
        </w:rPr>
      </w:pPr>
      <w:r w:rsidRPr="00A9623C">
        <w:rPr>
          <w:b/>
          <w:bCs/>
          <w:sz w:val="40"/>
          <w:szCs w:val="36"/>
        </w:rPr>
        <w:t xml:space="preserve">BMIH5005 </w:t>
      </w:r>
    </w:p>
    <w:p w14:paraId="0656E2F5" w14:textId="77777777" w:rsidR="005E7587" w:rsidRPr="00A9623C" w:rsidRDefault="005B7F11" w:rsidP="00B03444">
      <w:pPr>
        <w:spacing w:before="240"/>
        <w:jc w:val="center"/>
        <w:rPr>
          <w:b/>
          <w:bCs/>
          <w:sz w:val="40"/>
          <w:szCs w:val="36"/>
        </w:rPr>
      </w:pPr>
      <w:r w:rsidRPr="00A9623C">
        <w:rPr>
          <w:b/>
          <w:bCs/>
          <w:sz w:val="40"/>
          <w:szCs w:val="36"/>
        </w:rPr>
        <w:t xml:space="preserve">Personnel Resourcing and Development </w:t>
      </w:r>
    </w:p>
    <w:p w14:paraId="58D128D6" w14:textId="009102A4" w:rsidR="003340FB" w:rsidRPr="00B01590" w:rsidRDefault="005B7F11" w:rsidP="00B01590">
      <w:pPr>
        <w:spacing w:before="240"/>
        <w:jc w:val="center"/>
        <w:rPr>
          <w:b/>
          <w:bCs/>
          <w:sz w:val="40"/>
          <w:szCs w:val="36"/>
        </w:rPr>
      </w:pPr>
      <w:r w:rsidRPr="00A9623C">
        <w:rPr>
          <w:b/>
          <w:bCs/>
          <w:sz w:val="40"/>
          <w:szCs w:val="36"/>
        </w:rPr>
        <w:t>Assessment 1</w:t>
      </w:r>
      <w:r w:rsidR="00F81035">
        <w:rPr>
          <w:b/>
          <w:bCs/>
          <w:sz w:val="40"/>
          <w:szCs w:val="36"/>
        </w:rPr>
        <w:t xml:space="preserve">: </w:t>
      </w:r>
      <w:r w:rsidR="00F22520">
        <w:rPr>
          <w:b/>
          <w:bCs/>
          <w:sz w:val="40"/>
          <w:szCs w:val="36"/>
        </w:rPr>
        <w:t>Essay Case Study Evaluation</w:t>
      </w:r>
    </w:p>
    <w:p w14:paraId="304DC664" w14:textId="4BF03294" w:rsidR="001D46F0" w:rsidRDefault="001D46F0" w:rsidP="00B03444">
      <w:pPr>
        <w:spacing w:before="240"/>
        <w:jc w:val="center"/>
        <w:rPr>
          <w:sz w:val="32"/>
          <w:szCs w:val="28"/>
        </w:rPr>
      </w:pPr>
      <w:r w:rsidRPr="003946FF">
        <w:rPr>
          <w:sz w:val="32"/>
          <w:szCs w:val="28"/>
        </w:rPr>
        <w:t xml:space="preserve">Title: </w:t>
      </w:r>
      <w:r w:rsidR="00AD42B1" w:rsidRPr="003946FF">
        <w:rPr>
          <w:sz w:val="32"/>
          <w:szCs w:val="28"/>
        </w:rPr>
        <w:t>How to engage employees throughout the employee lifecycle</w:t>
      </w:r>
    </w:p>
    <w:p w14:paraId="2577FF5E" w14:textId="77777777" w:rsidR="00B01590" w:rsidRPr="003946FF" w:rsidRDefault="00B01590" w:rsidP="00B03444">
      <w:pPr>
        <w:spacing w:before="240"/>
        <w:jc w:val="center"/>
        <w:rPr>
          <w:sz w:val="32"/>
          <w:szCs w:val="28"/>
        </w:rPr>
      </w:pPr>
    </w:p>
    <w:p w14:paraId="561F0CBE" w14:textId="77777777" w:rsidR="00B01590" w:rsidRDefault="00B01590" w:rsidP="00B01590">
      <w:pPr>
        <w:jc w:val="center"/>
        <w:rPr>
          <w:rFonts w:cs="Times New Roman"/>
        </w:rPr>
      </w:pPr>
      <w:r>
        <w:rPr>
          <w:rFonts w:cs="Times New Roman"/>
        </w:rPr>
        <w:t>Student name: Rubel Ahmed</w:t>
      </w:r>
    </w:p>
    <w:p w14:paraId="26F085C7" w14:textId="4A0BDD01" w:rsidR="0051155A" w:rsidRPr="00B01590" w:rsidRDefault="00B01590" w:rsidP="00B01590">
      <w:pPr>
        <w:jc w:val="center"/>
        <w:rPr>
          <w:rFonts w:cs="Times New Roman"/>
        </w:rPr>
      </w:pPr>
      <w:r>
        <w:rPr>
          <w:rFonts w:cs="Times New Roman"/>
        </w:rPr>
        <w:t>Student ID: 2108421</w:t>
      </w:r>
    </w:p>
    <w:p w14:paraId="2B354C5C" w14:textId="77777777" w:rsidR="00115B9C" w:rsidRDefault="00115B9C" w:rsidP="00B03444">
      <w:pPr>
        <w:spacing w:before="240"/>
      </w:pPr>
    </w:p>
    <w:p w14:paraId="36BF20B1" w14:textId="77777777" w:rsidR="00115B9C" w:rsidRDefault="00115B9C" w:rsidP="00B03444">
      <w:pPr>
        <w:spacing w:before="240"/>
      </w:pPr>
    </w:p>
    <w:p w14:paraId="5D55F3C6" w14:textId="77777777" w:rsidR="00115B9C" w:rsidRDefault="00115B9C" w:rsidP="00B03444">
      <w:pPr>
        <w:spacing w:before="240"/>
      </w:pPr>
    </w:p>
    <w:p w14:paraId="202C562A" w14:textId="77777777" w:rsidR="0069491F" w:rsidRDefault="0069491F" w:rsidP="00B03444">
      <w:pPr>
        <w:spacing w:before="240"/>
        <w:rPr>
          <w:b/>
          <w:color w:val="ED7D31" w:themeColor="accent2"/>
          <w:spacing w:val="5"/>
          <w:sz w:val="32"/>
          <w:szCs w:val="32"/>
        </w:rPr>
      </w:pPr>
      <w:bookmarkStart w:id="0" w:name="_Toc128342404"/>
      <w:r>
        <w:br w:type="page"/>
      </w:r>
    </w:p>
    <w:p w14:paraId="4575EC17" w14:textId="2791D1DA" w:rsidR="0051155A" w:rsidRDefault="00C824C3" w:rsidP="00B03444">
      <w:pPr>
        <w:pStyle w:val="Heading1"/>
        <w:spacing w:before="240"/>
      </w:pPr>
      <w:r>
        <w:lastRenderedPageBreak/>
        <w:t>Introdu</w:t>
      </w:r>
      <w:r w:rsidR="00C74447">
        <w:t>c</w:t>
      </w:r>
      <w:r>
        <w:t>tion</w:t>
      </w:r>
      <w:bookmarkEnd w:id="0"/>
    </w:p>
    <w:p w14:paraId="2BCA9AB2" w14:textId="7C321118" w:rsidR="000D5387" w:rsidRDefault="00D52357" w:rsidP="00B03444">
      <w:pPr>
        <w:spacing w:before="240"/>
      </w:pPr>
      <w:r w:rsidRPr="00D52357">
        <w:t>Human resource management strategies that take into account hotels' full scope of operations must prioritise employee engagement. Keeping workers enthusiastic about their work and committed to the company's mission is a key aspect of employee engagement</w:t>
      </w:r>
      <w:r w:rsidR="000E0FF3" w:rsidRPr="000E0FF3">
        <w:t xml:space="preserve"> </w:t>
      </w:r>
      <w:r w:rsidR="008B0AE2">
        <w:t>(</w:t>
      </w:r>
      <w:proofErr w:type="spellStart"/>
      <w:r w:rsidR="000E0FF3">
        <w:t>Dollins</w:t>
      </w:r>
      <w:proofErr w:type="spellEnd"/>
      <w:r w:rsidR="008B0AE2">
        <w:t xml:space="preserve"> </w:t>
      </w:r>
      <w:r w:rsidR="000E0FF3">
        <w:t xml:space="preserve">and </w:t>
      </w:r>
      <w:proofErr w:type="spellStart"/>
      <w:r w:rsidR="000E0FF3">
        <w:t>Stemmle</w:t>
      </w:r>
      <w:proofErr w:type="spellEnd"/>
      <w:r w:rsidR="000E0FF3">
        <w:t>, 2021)</w:t>
      </w:r>
      <w:r w:rsidRPr="00D52357">
        <w:t xml:space="preserve">. Assuring that workers are appreciated and have a sense of direction in their </w:t>
      </w:r>
      <w:r w:rsidR="00B042B8" w:rsidRPr="00B042B8">
        <w:t>work is essential for the achievement of any organisation. It's also vital to underscore that employee involvement is a practice, not yet another occurrence</w:t>
      </w:r>
      <w:r w:rsidRPr="00D52357">
        <w:t xml:space="preserve">. Effective employee engagement across the employment lifecycle requires an organisation to appreciate the role that human resources play. </w:t>
      </w:r>
      <w:r w:rsidR="009E7C42" w:rsidRPr="009E7C42">
        <w:t>The employee</w:t>
      </w:r>
      <w:r w:rsidR="00015430">
        <w:t>'s</w:t>
      </w:r>
      <w:r w:rsidR="009E7C42" w:rsidRPr="009E7C42">
        <w:t xml:space="preserve"> lifetime, from hiring to retiring, is a crucial part of this process</w:t>
      </w:r>
      <w:r w:rsidR="00957E74" w:rsidRPr="00957E74">
        <w:t xml:space="preserve"> </w:t>
      </w:r>
      <w:r w:rsidR="00FE5915">
        <w:t>(</w:t>
      </w:r>
      <w:proofErr w:type="spellStart"/>
      <w:r w:rsidR="00957E74">
        <w:t>Thompsen</w:t>
      </w:r>
      <w:proofErr w:type="spellEnd"/>
      <w:r w:rsidR="00957E74">
        <w:t>, 2019)</w:t>
      </w:r>
      <w:r w:rsidR="009E7C42" w:rsidRPr="009E7C42">
        <w:t>. Human resources departments at big hotels must, therefore, be aware of the significance of keeping workers interested and motivated throughout their careers.</w:t>
      </w:r>
    </w:p>
    <w:p w14:paraId="169D6C12" w14:textId="77777777" w:rsidR="002C5D08" w:rsidRPr="003B5378" w:rsidRDefault="0043373E" w:rsidP="00B03444">
      <w:pPr>
        <w:spacing w:before="240"/>
        <w:rPr>
          <w:color w:val="000000" w:themeColor="text1"/>
          <w:sz w:val="32"/>
          <w:szCs w:val="32"/>
        </w:rPr>
      </w:pPr>
      <w:bookmarkStart w:id="1" w:name="_Toc128342405"/>
      <w:r w:rsidRPr="003B5378">
        <w:rPr>
          <w:color w:val="000000" w:themeColor="text1"/>
          <w:sz w:val="32"/>
          <w:szCs w:val="32"/>
        </w:rPr>
        <w:t>The Role of Human Resources in Engaging Employees</w:t>
      </w:r>
      <w:bookmarkEnd w:id="1"/>
    </w:p>
    <w:p w14:paraId="3047AB02" w14:textId="77777777" w:rsidR="003077EA" w:rsidRDefault="006E0162" w:rsidP="00B03444">
      <w:pPr>
        <w:spacing w:before="240"/>
      </w:pPr>
      <w:r w:rsidRPr="006E0162">
        <w:t>Human resources have a critical role in motivating workers. Human resources professionals are essential to every firm because of the role they play in the hiring, orientation, and ongoing management of staff. Furthermore, it is their duty to supply employees with the materials, information, and encouragement they need to carry out their duties effectively (</w:t>
      </w:r>
      <w:r w:rsidR="00781E54">
        <w:t>Archer, 2017</w:t>
      </w:r>
      <w:r w:rsidRPr="006E0162">
        <w:t xml:space="preserve">). </w:t>
      </w:r>
      <w:r w:rsidR="005C69F1" w:rsidRPr="005C69F1">
        <w:t xml:space="preserve">Human resource managers are responsible for fostering a pleasant workplace that promotes collaboration and the development of mutual trust among workers. In addition, it is their responsibility to spot issues that reduce employee enthusiasm and happiness and do all they can to fix them. HR plays a critical role in keeping employees enthused about their work over the long haul. One important component of this is providing people with the means to progress </w:t>
      </w:r>
      <w:r w:rsidR="007B114A">
        <w:t xml:space="preserve">in </w:t>
      </w:r>
      <w:r w:rsidR="005C69F1" w:rsidRPr="005C69F1">
        <w:t>their careers and get the skills they'll need to do their jobs well</w:t>
      </w:r>
      <w:r w:rsidR="005C69F1">
        <w:t xml:space="preserve"> </w:t>
      </w:r>
      <w:r w:rsidRPr="006E0162">
        <w:t>(</w:t>
      </w:r>
      <w:proofErr w:type="spellStart"/>
      <w:r w:rsidR="00AA32AA">
        <w:t>Bardhan</w:t>
      </w:r>
      <w:proofErr w:type="spellEnd"/>
      <w:r w:rsidR="00AA32AA">
        <w:t>, 2022</w:t>
      </w:r>
      <w:r w:rsidRPr="006E0162">
        <w:t>). Employees will be better able to carry out their tasks and obligations if human resources provide them with clear job descriptions, a performance management system, and other relevant paperwork.</w:t>
      </w:r>
    </w:p>
    <w:p w14:paraId="111C4F9E" w14:textId="77777777" w:rsidR="003B5378" w:rsidRDefault="003B5378" w:rsidP="00B03444">
      <w:pPr>
        <w:spacing w:before="240"/>
        <w:rPr>
          <w:b/>
          <w:color w:val="ED7D31" w:themeColor="accent2"/>
          <w:spacing w:val="5"/>
          <w:sz w:val="32"/>
          <w:szCs w:val="32"/>
        </w:rPr>
      </w:pPr>
      <w:bookmarkStart w:id="2" w:name="_Toc128342406"/>
      <w:r>
        <w:br w:type="page"/>
      </w:r>
    </w:p>
    <w:p w14:paraId="4878359B" w14:textId="27C6CFBD" w:rsidR="003938A0" w:rsidRPr="003B5378" w:rsidRDefault="00533A43" w:rsidP="00B03444">
      <w:pPr>
        <w:spacing w:before="240"/>
        <w:rPr>
          <w:sz w:val="32"/>
          <w:szCs w:val="32"/>
        </w:rPr>
      </w:pPr>
      <w:r w:rsidRPr="003B5378">
        <w:rPr>
          <w:sz w:val="32"/>
          <w:szCs w:val="32"/>
        </w:rPr>
        <w:lastRenderedPageBreak/>
        <w:t>The Employee Lifecycle</w:t>
      </w:r>
      <w:bookmarkEnd w:id="2"/>
    </w:p>
    <w:p w14:paraId="46AD58E5" w14:textId="77777777" w:rsidR="00555D64" w:rsidRDefault="005053B3" w:rsidP="00B03444">
      <w:pPr>
        <w:spacing w:before="240"/>
      </w:pPr>
      <w:r w:rsidRPr="005053B3">
        <w:t xml:space="preserve">Every company relies on its employees, so it's in everyone's best interest to do everything it can to keep them enthusiastic about coming to work. Assuring employee happiness and output at all stages of the employee lifecycle requires active participation from all staff members. </w:t>
      </w:r>
      <w:r w:rsidR="00853ECE" w:rsidRPr="00853ECE">
        <w:t>The initial phase of the employee lifecycle is the recruitment of new staff (</w:t>
      </w:r>
      <w:r w:rsidR="001A49AD">
        <w:t>Card and Ransom, 2017</w:t>
      </w:r>
      <w:r w:rsidR="00853ECE" w:rsidRPr="00853ECE">
        <w:t>). An organization's ability to draw in talented workers is directly tied to its reputation. Attracting and retaining top people requires establishing a solid reputation as an employer, providing competitive pay and benefits, and emphasising the company's values and culture. Companies should also promote themselves on social media, job boards, and other sites frequented by prospective employees</w:t>
      </w:r>
      <w:r w:rsidR="00E12A6D">
        <w:t xml:space="preserve"> </w:t>
      </w:r>
      <w:r w:rsidRPr="005053B3">
        <w:t>(</w:t>
      </w:r>
      <w:r w:rsidR="009919F9">
        <w:t>Archer, 2017</w:t>
      </w:r>
      <w:r w:rsidRPr="005053B3">
        <w:t xml:space="preserve">). </w:t>
      </w:r>
    </w:p>
    <w:p w14:paraId="03381E04" w14:textId="77777777" w:rsidR="00030C89" w:rsidRDefault="005053B3" w:rsidP="00B03444">
      <w:pPr>
        <w:spacing w:before="240"/>
      </w:pPr>
      <w:r w:rsidRPr="005053B3">
        <w:t xml:space="preserve">To further motivate existing workers to </w:t>
      </w:r>
      <w:r w:rsidR="00511292">
        <w:t>e</w:t>
      </w:r>
      <w:r w:rsidR="00E01342" w:rsidRPr="005053B3">
        <w:t>ndorse</w:t>
      </w:r>
      <w:r w:rsidRPr="005053B3">
        <w:t xml:space="preserve"> </w:t>
      </w:r>
      <w:r w:rsidR="00E01342" w:rsidRPr="005053B3">
        <w:t>groups</w:t>
      </w:r>
      <w:r w:rsidRPr="005053B3">
        <w:t xml:space="preserve"> and </w:t>
      </w:r>
      <w:r w:rsidR="00E01342" w:rsidRPr="005053B3">
        <w:t>domestic</w:t>
      </w:r>
      <w:r w:rsidRPr="005053B3">
        <w:t xml:space="preserve"> members for </w:t>
      </w:r>
      <w:r w:rsidR="003B08EA" w:rsidRPr="005053B3">
        <w:t>exposed</w:t>
      </w:r>
      <w:r w:rsidRPr="005053B3">
        <w:t xml:space="preserve"> positions, companies may </w:t>
      </w:r>
      <w:r w:rsidR="000F76E8" w:rsidRPr="005053B3">
        <w:t>propos</w:t>
      </w:r>
      <w:r w:rsidR="00511292">
        <w:t>e</w:t>
      </w:r>
      <w:r w:rsidRPr="005053B3">
        <w:t xml:space="preserve"> referral bonuses and incentive systems. When it comes to engaging workers, the second phase of the employee lifecycle is recruiting. Human resources departments at major hotels need effective recruitment strategies if they're going to fill open positions with qualified candidates. This involves a comprehensive familiarity with the knowledge, training, and experience necessary to succeed in a variety of professional settings (</w:t>
      </w:r>
      <w:proofErr w:type="spellStart"/>
      <w:r w:rsidR="00850A85">
        <w:t>Dollins</w:t>
      </w:r>
      <w:proofErr w:type="spellEnd"/>
      <w:r w:rsidR="00850A85">
        <w:t xml:space="preserve"> and </w:t>
      </w:r>
      <w:proofErr w:type="spellStart"/>
      <w:r w:rsidR="00850A85">
        <w:t>Stemmle</w:t>
      </w:r>
      <w:proofErr w:type="spellEnd"/>
      <w:r w:rsidR="00850A85">
        <w:t>, 2021</w:t>
      </w:r>
      <w:r w:rsidRPr="005053B3">
        <w:t xml:space="preserve">). In addition, the recruitment procedure needs to be organised so that the right individuals are hired and given the encouragement they need to succeed. </w:t>
      </w:r>
    </w:p>
    <w:p w14:paraId="1AE4243F" w14:textId="77777777" w:rsidR="00030C89" w:rsidRDefault="00C31B3F" w:rsidP="00B03444">
      <w:pPr>
        <w:spacing w:before="240"/>
      </w:pPr>
      <w:r w:rsidRPr="00C31B3F">
        <w:t>Onboarding is as crucial to employee retention as recruiting. HR equips new recruits with everything they need to feel appreciated and comfortable</w:t>
      </w:r>
      <w:r w:rsidR="005053B3" w:rsidRPr="005053B3">
        <w:t>. This involves providing a streamlined onboarding procedure that gives new hires easy access to information and training. Also, the onboarding process needs to be individualised for each worker</w:t>
      </w:r>
      <w:r w:rsidR="00792555">
        <w:t>.</w:t>
      </w:r>
      <w:r w:rsidR="005053B3" w:rsidRPr="005053B3">
        <w:t xml:space="preserve"> </w:t>
      </w:r>
    </w:p>
    <w:p w14:paraId="3D4F3F7C" w14:textId="77777777" w:rsidR="00A11D21" w:rsidRDefault="005053B3" w:rsidP="00B03444">
      <w:pPr>
        <w:spacing w:before="240"/>
      </w:pPr>
      <w:r w:rsidRPr="005053B3">
        <w:t>Getting employees invested in the company is essential, therefore it's no surprise that the fourth phase of the employee lifecycle is the development phase. Departments responsible for human resources have a responsibility to ensure that workers have many chances to advance in the company (</w:t>
      </w:r>
      <w:proofErr w:type="spellStart"/>
      <w:r w:rsidR="00B81D42">
        <w:t>Graban</w:t>
      </w:r>
      <w:proofErr w:type="spellEnd"/>
      <w:r w:rsidR="00B81D42">
        <w:t xml:space="preserve"> and Toussaint, 2018</w:t>
      </w:r>
      <w:r w:rsidRPr="005053B3">
        <w:t>). This necessitates giving workers access to educational resources</w:t>
      </w:r>
      <w:r w:rsidR="007701D9">
        <w:t>.</w:t>
      </w:r>
    </w:p>
    <w:p w14:paraId="2443442D" w14:textId="77777777" w:rsidR="00811318" w:rsidRDefault="00F739A4" w:rsidP="00B03444">
      <w:pPr>
        <w:spacing w:before="240"/>
      </w:pPr>
      <w:r w:rsidRPr="00F739A4">
        <w:lastRenderedPageBreak/>
        <w:t>Retention, the fifth stage of the employee life cycle, maybe the most crucial for long-term retention. Human resources departments motivate and equip employees to work hard and enjoy their employment</w:t>
      </w:r>
      <w:r w:rsidR="005053B3" w:rsidRPr="005053B3">
        <w:t>. This consists of market-rate compensation, comprehensive benefits, and room for professional growth and development. And HR should make an effort to create a welcoming workplace where all workers feel respected and acknowledged for their efforts</w:t>
      </w:r>
      <w:r w:rsidR="005903CE" w:rsidRPr="005903CE">
        <w:t xml:space="preserve"> </w:t>
      </w:r>
      <w:r w:rsidR="00117972">
        <w:t>(</w:t>
      </w:r>
      <w:proofErr w:type="spellStart"/>
      <w:r w:rsidR="005903CE">
        <w:t>Stadter</w:t>
      </w:r>
      <w:proofErr w:type="spellEnd"/>
      <w:r w:rsidR="005903CE">
        <w:t>, 2014)</w:t>
      </w:r>
      <w:r w:rsidR="005053B3" w:rsidRPr="005053B3">
        <w:t xml:space="preserve">. </w:t>
      </w:r>
    </w:p>
    <w:p w14:paraId="439B3ACE" w14:textId="77777777" w:rsidR="004262CC" w:rsidRPr="004262CC" w:rsidRDefault="005053B3" w:rsidP="00B03444">
      <w:pPr>
        <w:spacing w:before="240"/>
      </w:pPr>
      <w:r w:rsidRPr="005053B3">
        <w:t>Employee separation is the last phase of the employee life cycle and a crucial part of the engagement procedure. This entails doing things like giving staff feedback on their performance and conducting departure interviews. Additionally, HR should provide outgoing workers with the tools they need to make a seamless transition to their new positions.</w:t>
      </w:r>
    </w:p>
    <w:p w14:paraId="352BBD1D" w14:textId="77777777" w:rsidR="00FE1F74" w:rsidRPr="003B5378" w:rsidRDefault="005F7A42" w:rsidP="00B03444">
      <w:pPr>
        <w:spacing w:before="240"/>
        <w:rPr>
          <w:sz w:val="32"/>
          <w:szCs w:val="32"/>
        </w:rPr>
      </w:pPr>
      <w:bookmarkStart w:id="3" w:name="_Toc128342407"/>
      <w:r w:rsidRPr="003B5378">
        <w:rPr>
          <w:sz w:val="32"/>
          <w:szCs w:val="32"/>
        </w:rPr>
        <w:t>The Ways to engage your team</w:t>
      </w:r>
      <w:bookmarkEnd w:id="3"/>
    </w:p>
    <w:p w14:paraId="6A02D7ED" w14:textId="77777777" w:rsidR="002D7E59" w:rsidRDefault="002D7E59" w:rsidP="00B03444">
      <w:pPr>
        <w:spacing w:before="240"/>
      </w:pPr>
      <w:r>
        <w:t>Organi</w:t>
      </w:r>
      <w:r w:rsidR="00D9059E">
        <w:t>s</w:t>
      </w:r>
      <w:r>
        <w:t>ations should foster an atmosphere that encourages participation and inspiration among workers</w:t>
      </w:r>
      <w:r w:rsidR="00195318">
        <w:t xml:space="preserve"> </w:t>
      </w:r>
      <w:r>
        <w:t>(</w:t>
      </w:r>
      <w:r w:rsidR="00DD05E7">
        <w:t>Gupta, 2019</w:t>
      </w:r>
      <w:r>
        <w:t xml:space="preserve">). Companies should make an effort to create an environment that encourages employee autonomy, recognition, and growth to boost engagement. One way to keep employees invested is to provide them </w:t>
      </w:r>
      <w:r w:rsidR="007B114A">
        <w:t xml:space="preserve">with </w:t>
      </w:r>
      <w:r>
        <w:t>greater independence in their work. It means giving them the freedom to choose their own path and work according to their own schedule. The freedom to make decisions on their own might inspire workers to step up to new challenges (</w:t>
      </w:r>
      <w:r w:rsidR="00B16174">
        <w:t>Hyman, 2018</w:t>
      </w:r>
      <w:r>
        <w:t xml:space="preserve">). Having a sense of ownership over their work and accomplishments is a major benefit for youngsters. A company can also show its appreciation by awarding staff with prizes. Whether it's through formal awards or just a heartfelt "thank you," it's important to show appreciation for people's efforts. </w:t>
      </w:r>
      <w:r w:rsidR="009076A1" w:rsidRPr="009076A1">
        <w:t xml:space="preserve">Including a recognition programme is a great way to increase morale and encourage workers to put in </w:t>
      </w:r>
      <w:r w:rsidR="00511292">
        <w:t xml:space="preserve">the </w:t>
      </w:r>
      <w:r w:rsidR="009076A1" w:rsidRPr="009076A1">
        <w:t>extra effort.</w:t>
      </w:r>
    </w:p>
    <w:p w14:paraId="0A228980" w14:textId="77777777" w:rsidR="00FC0A47" w:rsidRPr="00FC0A47" w:rsidRDefault="00D574E5" w:rsidP="00B03444">
      <w:pPr>
        <w:spacing w:before="240"/>
      </w:pPr>
      <w:r w:rsidRPr="00D574E5">
        <w:t>The second strategy for attracting attention is to give folks something they can use</w:t>
      </w:r>
      <w:r>
        <w:t xml:space="preserve"> </w:t>
      </w:r>
      <w:r w:rsidR="007B114A">
        <w:t xml:space="preserve">with </w:t>
      </w:r>
      <w:r w:rsidR="002D7E59">
        <w:t>chances to grow professionally. Training, mentoring, and other types of assisting in professional growth are all examples of what this might include</w:t>
      </w:r>
      <w:r w:rsidR="00B546FF">
        <w:t xml:space="preserve"> </w:t>
      </w:r>
      <w:r w:rsidR="002D7E59">
        <w:t>(</w:t>
      </w:r>
      <w:proofErr w:type="spellStart"/>
      <w:r w:rsidR="00276C53">
        <w:t>Krutz</w:t>
      </w:r>
      <w:proofErr w:type="spellEnd"/>
      <w:r w:rsidR="00276C53">
        <w:t xml:space="preserve"> and Fry, 2019</w:t>
      </w:r>
      <w:r w:rsidR="002D7E59">
        <w:t xml:space="preserve">). It can help workers feel more invested in their work and provide them </w:t>
      </w:r>
      <w:r w:rsidR="007B114A">
        <w:t xml:space="preserve">with </w:t>
      </w:r>
      <w:r w:rsidR="002D7E59">
        <w:t xml:space="preserve">opportunities to learn new skills. </w:t>
      </w:r>
      <w:r w:rsidR="00AE30CD" w:rsidRPr="00AE30CD">
        <w:t xml:space="preserve">The third strategy for inspiring productivity is to implement a paradigm for staff engagement. The purpose of an employee </w:t>
      </w:r>
      <w:r w:rsidR="00AE30CD" w:rsidRPr="00AE30CD">
        <w:lastRenderedPageBreak/>
        <w:t>engagement model is to create a standard by which businesses may evaluate and increase worker participation. Polls, in-depth interviews, and focus groups are just some of the ways that employee happiness on the job may be</w:t>
      </w:r>
      <w:r w:rsidR="002D7E59">
        <w:t>. Staff attrition, absenteeism, and engagement surveys are all useful indicators of where an organisation may make gains. The information gathered in this way may be used by businesses to create programmes that better include their staff in their work.</w:t>
      </w:r>
    </w:p>
    <w:p w14:paraId="6A01A447" w14:textId="541A1508" w:rsidR="009F6E36" w:rsidRPr="003B5378" w:rsidRDefault="00297897" w:rsidP="00B03444">
      <w:pPr>
        <w:spacing w:before="240"/>
        <w:rPr>
          <w:sz w:val="32"/>
          <w:szCs w:val="32"/>
        </w:rPr>
      </w:pPr>
      <w:bookmarkStart w:id="4" w:name="_Toc128342408"/>
      <w:r w:rsidRPr="003B5378">
        <w:rPr>
          <w:sz w:val="32"/>
          <w:szCs w:val="32"/>
        </w:rPr>
        <w:t>Employee Engagement Mod</w:t>
      </w:r>
      <w:r w:rsidR="003B5378" w:rsidRPr="003B5378">
        <w:rPr>
          <w:sz w:val="32"/>
          <w:szCs w:val="32"/>
        </w:rPr>
        <w:t>el</w:t>
      </w:r>
      <w:r w:rsidRPr="003B5378">
        <w:rPr>
          <w:sz w:val="32"/>
          <w:szCs w:val="32"/>
        </w:rPr>
        <w:t xml:space="preserve"> and How it could be Implemented</w:t>
      </w:r>
      <w:bookmarkEnd w:id="4"/>
    </w:p>
    <w:p w14:paraId="5C081B26" w14:textId="77777777" w:rsidR="00112883" w:rsidRDefault="005A1511" w:rsidP="00B03444">
      <w:pPr>
        <w:spacing w:before="240"/>
      </w:pPr>
      <w:r w:rsidRPr="005A1511">
        <w:t xml:space="preserve">Gallup's employee engagement model is an all-encompassing set of tactics, behaviours, and attitudes that businesses may utilise to create an engaged culture. </w:t>
      </w:r>
      <w:r w:rsidR="003F1697" w:rsidRPr="003F1697">
        <w:t>Hotels are among the industries that have included this approach in their human resource management. Meaning, accomplishment, development, and appreciation are the four pillars upon which Gallup's methodology rests</w:t>
      </w:r>
      <w:r w:rsidRPr="005A1511">
        <w:t xml:space="preserve">. The first step in creating an effective employee engagement plan is understanding and expressing a clear goal. The aim should be stated in a way that piques the interest of the staff and is in line with the company's overall purpose. </w:t>
      </w:r>
      <w:r w:rsidR="00FF0C88" w:rsidRPr="00FF0C88">
        <w:t>Attaining this objective may be aided by holding company-wide meetings, having one-on-one interactions, and other activities that highlight the significance of purpose. In the Gallup model, "performance" is the second component of employee engagement. Some examples of this approach include formulating measurable goals that are in keeping with the company's stated purpose</w:t>
      </w:r>
      <w:r w:rsidRPr="005A1511">
        <w:t xml:space="preserve"> and then giving workers access to the resources they need to accomplish those objectives. Employees' performance should be continuously reviewed, and they should be given constructive criticism so that the highest standards can be maintained (</w:t>
      </w:r>
      <w:proofErr w:type="spellStart"/>
      <w:r w:rsidR="00B1170A">
        <w:t>Kühnen</w:t>
      </w:r>
      <w:proofErr w:type="spellEnd"/>
      <w:r w:rsidR="00B1170A">
        <w:t>, 2021</w:t>
      </w:r>
      <w:r w:rsidRPr="005A1511">
        <w:t xml:space="preserve">). </w:t>
      </w:r>
      <w:r w:rsidR="00CD126A" w:rsidRPr="00CD126A">
        <w:t>Stimulating further expansion is the model's third component, identified by Gallup. Workers need to be provided chances to advance in their current positions.</w:t>
      </w:r>
      <w:r w:rsidR="00CD126A">
        <w:t xml:space="preserve"> </w:t>
      </w:r>
      <w:r w:rsidRPr="005A1511">
        <w:t>Possibilities include a chance to learn from experienced professionals, access to formal and informal training programmes, and monetary incentives depending on individual achievement. Last but not least, the Gallup model suggests rewarding workers for their efforts in some way, whether it's monetary or otherwise. As a result, workers are more inspired to continue giving their all to their work, which in turn boosts productivity.</w:t>
      </w:r>
    </w:p>
    <w:p w14:paraId="3E065519" w14:textId="77777777" w:rsidR="008164F1" w:rsidRDefault="00D13C70" w:rsidP="00B03444">
      <w:pPr>
        <w:spacing w:before="240"/>
      </w:pPr>
      <w:r w:rsidRPr="00D13C70">
        <w:lastRenderedPageBreak/>
        <w:t xml:space="preserve">Boosting job happiness, output, and loyalty among workers, employee engagement is a must for any business. Gallup's Employee Engagement Model provides a </w:t>
      </w:r>
      <w:proofErr w:type="spellStart"/>
      <w:r w:rsidRPr="00D13C70">
        <w:t>foolproof</w:t>
      </w:r>
      <w:proofErr w:type="spellEnd"/>
      <w:r w:rsidRPr="00D13C70">
        <w:t xml:space="preserve"> strategy for maintaining employee involvement at every stage of the business's existence (</w:t>
      </w:r>
      <w:r w:rsidR="002D1157">
        <w:t>Macey and Fink, 2020</w:t>
      </w:r>
      <w:r w:rsidRPr="00D13C70">
        <w:t>). Fostering the model's essential components, such as a focus on building on existing strengths, is one way to put it into practi</w:t>
      </w:r>
      <w:r w:rsidR="007B114A">
        <w:t>c</w:t>
      </w:r>
      <w:r w:rsidRPr="00D13C70">
        <w:t xml:space="preserve">e. This part of the model's purpose is to aid workers in recognising and expanding their areas of competence. </w:t>
      </w:r>
      <w:r w:rsidR="00CE126D" w:rsidRPr="00CE126D">
        <w:t>Offering feedback and guidance while also motivating people to focus on what they do best</w:t>
      </w:r>
      <w:r w:rsidRPr="00D13C70">
        <w:t>, are two ways of achieving this goal in the workplace. in addition, it is helpful to provide staff with possibilities for personal growth and teamwork (</w:t>
      </w:r>
      <w:r w:rsidR="00307C25">
        <w:t>Mattox, 2016</w:t>
      </w:r>
      <w:r w:rsidRPr="00D13C70">
        <w:t xml:space="preserve">). Second, the Gallup model may be adopted through jobs and employee participation that provide workers </w:t>
      </w:r>
      <w:r w:rsidR="007B114A">
        <w:t xml:space="preserve">with </w:t>
      </w:r>
      <w:r w:rsidRPr="00D13C70">
        <w:t xml:space="preserve">a sense of autonomy and worth. It requires outlining each employee's specific tasks and allowing them some degree of independence in their job. Employees might feel more engaged and empowered when given opportunities to contribute input and make decisions. </w:t>
      </w:r>
      <w:r w:rsidR="009F60EE" w:rsidRPr="009F60EE">
        <w:t>Finally, staff recognition and prizes may be used to put the Gallup model into action</w:t>
      </w:r>
      <w:r w:rsidRPr="00D13C70">
        <w:t>. This part of the strategy compensates workers monetarily for their hard work</w:t>
      </w:r>
      <w:r w:rsidR="003701D5" w:rsidRPr="003701D5">
        <w:t xml:space="preserve"> </w:t>
      </w:r>
      <w:r w:rsidR="00761077">
        <w:t>(</w:t>
      </w:r>
      <w:proofErr w:type="spellStart"/>
      <w:r w:rsidR="003701D5">
        <w:t>Ringard</w:t>
      </w:r>
      <w:proofErr w:type="spellEnd"/>
      <w:r w:rsidR="00761077">
        <w:t xml:space="preserve">, </w:t>
      </w:r>
      <w:r w:rsidR="003701D5">
        <w:t>2020)</w:t>
      </w:r>
      <w:r w:rsidRPr="00D13C70">
        <w:t xml:space="preserve">. To that end, there are monetary prizes, rituals, and other kinds of appreciation that might be used. Providing employees with opportunities for self-improvement and team-building activities may also help them feel more connected to and invested in the success of the company. </w:t>
      </w:r>
      <w:r w:rsidR="00095020" w:rsidRPr="00095020">
        <w:t>The Gallup Employee Engagement Model may be used to keep personnel at a major hotel enthusiastic about their jobs over the long haul.</w:t>
      </w:r>
      <w:r w:rsidRPr="00D13C70">
        <w:t xml:space="preserve"> Building on workers' abilities, giving them meaningful work, and rewarding them for their accomplishments are all ways in which the hotel may keep its staff satisfied and dedicated to the </w:t>
      </w:r>
      <w:proofErr w:type="spellStart"/>
      <w:r w:rsidRPr="00D13C70">
        <w:t>company</w:t>
      </w:r>
      <w:r w:rsidR="00C86806" w:rsidRPr="00C86806">
        <w:t>The</w:t>
      </w:r>
      <w:proofErr w:type="spellEnd"/>
      <w:r w:rsidR="00C86806" w:rsidRPr="00C86806">
        <w:t xml:space="preserve"> hotel business, for example, relies heavily on client happiness, making it imperative that workers be inspired to provide excellent service</w:t>
      </w:r>
      <w:r w:rsidRPr="00D13C70">
        <w:t>. It is important for hotels to foster a culture that rewards employees for their dedication and participation in the workplace (</w:t>
      </w:r>
      <w:r w:rsidR="00A311CF">
        <w:t>Nel, 2018</w:t>
      </w:r>
      <w:r w:rsidRPr="00D13C70">
        <w:t xml:space="preserve">). Staff training and development opportunities, such as customer service workshops, and systems for measuring and rewarding performance are two examples. </w:t>
      </w:r>
    </w:p>
    <w:p w14:paraId="751F99CA" w14:textId="07A5BC36" w:rsidR="00B32829" w:rsidRDefault="008164F1" w:rsidP="00B03444">
      <w:pPr>
        <w:spacing w:before="240"/>
      </w:pPr>
      <w:r w:rsidRPr="008164F1">
        <w:t xml:space="preserve">In addition, hotels should give useful feedback to the staff, such as </w:t>
      </w:r>
      <w:r w:rsidR="007B114A">
        <w:t xml:space="preserve">an </w:t>
      </w:r>
      <w:r w:rsidR="00204812" w:rsidRPr="00204812">
        <w:t>award for outstanding service to customers and suppl</w:t>
      </w:r>
      <w:r w:rsidR="007B114A">
        <w:t>iers</w:t>
      </w:r>
      <w:r w:rsidR="00204812" w:rsidRPr="00204812">
        <w:t xml:space="preserve"> with whatever tools would help them succeed</w:t>
      </w:r>
      <w:r w:rsidRPr="008164F1">
        <w:t>, such as computers and other technological resources (</w:t>
      </w:r>
      <w:r w:rsidR="003B3AE8">
        <w:t>Nel and Linde, 2018</w:t>
      </w:r>
      <w:r w:rsidRPr="008164F1">
        <w:t xml:space="preserve">). Finally, hotels should make sure their employees have everything they need </w:t>
      </w:r>
      <w:r w:rsidRPr="008164F1">
        <w:lastRenderedPageBreak/>
        <w:t>to be healthy and productive, including a gym and time to unwind. Creating an actionable employee engagement strategy is one way for hotels to keep their staff inspired and productive.</w:t>
      </w:r>
    </w:p>
    <w:p w14:paraId="5C2BB630" w14:textId="77777777" w:rsidR="008164F1" w:rsidRDefault="008164F1" w:rsidP="00B03444">
      <w:pPr>
        <w:pStyle w:val="Heading1"/>
        <w:spacing w:before="240"/>
      </w:pPr>
      <w:bookmarkStart w:id="5" w:name="_Toc128342409"/>
      <w:r>
        <w:t>Conclusion</w:t>
      </w:r>
      <w:bookmarkEnd w:id="5"/>
    </w:p>
    <w:p w14:paraId="13F93558" w14:textId="77777777" w:rsidR="00FD6D96" w:rsidRDefault="008A6855" w:rsidP="00B03444">
      <w:pPr>
        <w:spacing w:before="240"/>
      </w:pPr>
      <w:r w:rsidRPr="008A6855">
        <w:t>In summary, significant hotel human resource</w:t>
      </w:r>
      <w:r w:rsidR="00C74447">
        <w:t xml:space="preserve"> </w:t>
      </w:r>
      <w:r w:rsidRPr="008A6855">
        <w:t xml:space="preserve">management relies heavily on employee participation. Human resource professionals are accountable for making workers feel valued and giving them a sense of direction in their work. They help create an enjoyable workplace that is conducive to teamwork, open dialogue, and trust. Workers are the lifeblood of every business, and </w:t>
      </w:r>
      <w:proofErr w:type="gramStart"/>
      <w:r w:rsidR="00323D03" w:rsidRPr="00323D03">
        <w:t>To</w:t>
      </w:r>
      <w:proofErr w:type="gramEnd"/>
      <w:r w:rsidR="00323D03" w:rsidRPr="00323D03">
        <w:t xml:space="preserve"> increase output and accomplish organisational objectives, their contribution is crucial. There are five stages in an employee's life cycle: hiring, orientation, growth, staying on the job, and leaving</w:t>
      </w:r>
      <w:r w:rsidRPr="008A6855">
        <w:t xml:space="preserve">. To properly integrate new hires, HR must provide them with the tools they need to feel comfortable and valued in their new roles. </w:t>
      </w:r>
      <w:r w:rsidR="009E6882" w:rsidRPr="009E6882">
        <w:t>The first step is to create a streamlined onboarding process that includes introductions, training, and access to resources</w:t>
      </w:r>
      <w:r w:rsidRPr="008A6855">
        <w:t>. Having an engaged workforce encourages and inspires workers to work harder and more enthusiastically</w:t>
      </w:r>
      <w:r w:rsidR="001C00D5" w:rsidRPr="001C00D5">
        <w:t xml:space="preserve"> </w:t>
      </w:r>
      <w:r w:rsidR="00B2759E">
        <w:t>(</w:t>
      </w:r>
      <w:proofErr w:type="spellStart"/>
      <w:r w:rsidR="001C00D5">
        <w:t>Nikolova</w:t>
      </w:r>
      <w:proofErr w:type="spellEnd"/>
      <w:r w:rsidR="001C00D5">
        <w:t>, 2019)</w:t>
      </w:r>
      <w:r w:rsidRPr="008A6855">
        <w:t>. Organizations should emphasise creating a setting that values and supports employee independence, appreciation, and growth. Companies can benefit from a framework for measuring and increasing employee engagement provided by an employee engagement model. For instance, businesses might use frameworks like the Zinger employee engagement model to better comprehend and cultivate employee engagement. It is based on the idea that there are three main contributors to employee engagement: the person's own experience, the culture of the workplace, and the connections between employees</w:t>
      </w:r>
      <w:r w:rsidR="008846EC" w:rsidRPr="008846EC">
        <w:t xml:space="preserve"> </w:t>
      </w:r>
      <w:r w:rsidR="001F776F">
        <w:t>(</w:t>
      </w:r>
      <w:r w:rsidR="008846EC">
        <w:t>Ringo, 2020)</w:t>
      </w:r>
      <w:r w:rsidRPr="008A6855">
        <w:t xml:space="preserve">. </w:t>
      </w:r>
      <w:r w:rsidR="00D24C23" w:rsidRPr="00D24C23">
        <w:t>It also implies that companies should utilise data and insights to determine how each product is performing</w:t>
      </w:r>
      <w:r w:rsidR="00D24C23">
        <w:t xml:space="preserve"> </w:t>
      </w:r>
      <w:r w:rsidR="007B114A">
        <w:t>which</w:t>
      </w:r>
      <w:r w:rsidR="0012022A">
        <w:t xml:space="preserve"> </w:t>
      </w:r>
      <w:r w:rsidRPr="008A6855">
        <w:t xml:space="preserve">contributes to employee motivation. Giving employees the option of working from home or splitting responsibilities with a </w:t>
      </w:r>
      <w:proofErr w:type="spellStart"/>
      <w:r w:rsidRPr="008A6855">
        <w:t>coworker</w:t>
      </w:r>
      <w:proofErr w:type="spellEnd"/>
      <w:r w:rsidRPr="008A6855">
        <w:t xml:space="preserve"> is another way to boost morale and retention. Keeping employees interested and motivated may be aided by giving them opportunities to participate in educational workshops, seminars, and other programmes. Training and development opportunities, such as customer service workshops, are one example.</w:t>
      </w:r>
    </w:p>
    <w:p w14:paraId="5A8025A4" w14:textId="77777777" w:rsidR="00226494" w:rsidRDefault="00226494" w:rsidP="00B03444">
      <w:pPr>
        <w:spacing w:before="240"/>
      </w:pPr>
    </w:p>
    <w:p w14:paraId="0130F905" w14:textId="77777777" w:rsidR="00226494" w:rsidRDefault="00226494" w:rsidP="00B03444">
      <w:pPr>
        <w:spacing w:before="240"/>
      </w:pPr>
    </w:p>
    <w:p w14:paraId="4ECDF2A2" w14:textId="77777777" w:rsidR="00226494" w:rsidRDefault="00226494" w:rsidP="00B03444">
      <w:pPr>
        <w:spacing w:before="240"/>
      </w:pPr>
    </w:p>
    <w:p w14:paraId="4DE20512" w14:textId="77777777" w:rsidR="00226494" w:rsidRDefault="00226494" w:rsidP="00B03444">
      <w:pPr>
        <w:spacing w:before="240"/>
      </w:pPr>
    </w:p>
    <w:p w14:paraId="72E96F22" w14:textId="77777777" w:rsidR="00400E06" w:rsidRDefault="00400E06" w:rsidP="00B03444">
      <w:pPr>
        <w:pStyle w:val="Heading1"/>
        <w:spacing w:before="240"/>
      </w:pPr>
      <w:bookmarkStart w:id="6" w:name="_Toc128342410"/>
      <w:r>
        <w:t>References</w:t>
      </w:r>
      <w:bookmarkEnd w:id="6"/>
    </w:p>
    <w:p w14:paraId="5965A9F8" w14:textId="31D2C79C" w:rsidR="003B5378" w:rsidRPr="00614EB5" w:rsidRDefault="003B5378" w:rsidP="00B03444">
      <w:pPr>
        <w:pStyle w:val="NormalWeb"/>
        <w:spacing w:before="240" w:beforeAutospacing="0" w:line="360" w:lineRule="auto"/>
        <w:jc w:val="both"/>
      </w:pPr>
      <w:r>
        <w:t xml:space="preserve">Archer, N. 2017 </w:t>
      </w:r>
      <w:r>
        <w:rPr>
          <w:i/>
          <w:iCs/>
        </w:rPr>
        <w:t>Identity theft and fraud: Evaluating and managing risk</w:t>
      </w:r>
      <w:r>
        <w:t xml:space="preserve">. Ottawa: University of Ottawa Press. </w:t>
      </w:r>
    </w:p>
    <w:p w14:paraId="2C3667F6" w14:textId="0AB0D6E3" w:rsidR="003B5378" w:rsidRDefault="003B5378" w:rsidP="00B03444">
      <w:pPr>
        <w:pStyle w:val="NormalWeb"/>
        <w:spacing w:before="240" w:beforeAutospacing="0" w:line="360" w:lineRule="auto"/>
        <w:jc w:val="both"/>
      </w:pPr>
      <w:proofErr w:type="spellStart"/>
      <w:r>
        <w:t>Bardhan</w:t>
      </w:r>
      <w:proofErr w:type="spellEnd"/>
      <w:r>
        <w:t xml:space="preserve">, S. 2022 “Engaging employees with positivity,” </w:t>
      </w:r>
      <w:r>
        <w:rPr>
          <w:i/>
          <w:iCs/>
        </w:rPr>
        <w:t>Research Anthology on Changing Dynamics of Diversity and Safety in the Workforce</w:t>
      </w:r>
      <w:r>
        <w:t xml:space="preserve">, pp. 1731–1743. Available at: https://doi.org/10.4018/978-1-6684-2405-6.ch085. </w:t>
      </w:r>
    </w:p>
    <w:p w14:paraId="3E3F0C2D" w14:textId="09CFD1B5" w:rsidR="003B5378" w:rsidRDefault="003B5378" w:rsidP="00B03444">
      <w:pPr>
        <w:pStyle w:val="NormalWeb"/>
        <w:spacing w:before="240" w:beforeAutospacing="0" w:line="360" w:lineRule="auto"/>
        <w:jc w:val="both"/>
      </w:pPr>
      <w:r>
        <w:t xml:space="preserve">Card, D. and Ransom, M. 2017 </w:t>
      </w:r>
      <w:r>
        <w:rPr>
          <w:i/>
          <w:iCs/>
        </w:rPr>
        <w:t xml:space="preserve">Pension plan characteristics and framing effects in employee savings </w:t>
      </w:r>
      <w:proofErr w:type="spellStart"/>
      <w:r>
        <w:rPr>
          <w:i/>
          <w:iCs/>
        </w:rPr>
        <w:t>behavior</w:t>
      </w:r>
      <w:proofErr w:type="spellEnd"/>
      <w:r>
        <w:t xml:space="preserve">. Cambridge, Mass: National Bureau of Economic Research. </w:t>
      </w:r>
    </w:p>
    <w:p w14:paraId="13C302F3" w14:textId="7040C128" w:rsidR="003B5378" w:rsidRDefault="003B5378" w:rsidP="00B03444">
      <w:pPr>
        <w:pStyle w:val="NormalWeb"/>
        <w:spacing w:before="240" w:beforeAutospacing="0" w:line="360" w:lineRule="auto"/>
        <w:jc w:val="both"/>
      </w:pPr>
      <w:r>
        <w:t xml:space="preserve">Carpenter, T. and Carpenter, J. 2021 </w:t>
      </w:r>
      <w:r>
        <w:rPr>
          <w:i/>
          <w:iCs/>
        </w:rPr>
        <w:t>People First: The 5 steps to Pure Human Connection and a thriving organization</w:t>
      </w:r>
      <w:r>
        <w:t xml:space="preserve">. New York: Post Hill Press. </w:t>
      </w:r>
    </w:p>
    <w:p w14:paraId="3B54EDA2" w14:textId="32E9CF1D" w:rsidR="003B5378" w:rsidRDefault="003B5378" w:rsidP="00B03444">
      <w:pPr>
        <w:pStyle w:val="NormalWeb"/>
        <w:spacing w:before="240" w:beforeAutospacing="0" w:line="360" w:lineRule="auto"/>
        <w:jc w:val="both"/>
      </w:pPr>
      <w:proofErr w:type="spellStart"/>
      <w:r>
        <w:t>Dollins</w:t>
      </w:r>
      <w:proofErr w:type="spellEnd"/>
      <w:r>
        <w:t xml:space="preserve">, M. and </w:t>
      </w:r>
      <w:proofErr w:type="spellStart"/>
      <w:r>
        <w:t>Stemmle</w:t>
      </w:r>
      <w:proofErr w:type="spellEnd"/>
      <w:r>
        <w:t xml:space="preserve">, J. 2021 “Employee communication measurement,” </w:t>
      </w:r>
      <w:r>
        <w:rPr>
          <w:i/>
          <w:iCs/>
        </w:rPr>
        <w:t>Engaging Employees through Strategic Communication</w:t>
      </w:r>
      <w:r>
        <w:t xml:space="preserve">, pp. 59–75. Available at: https://doi.org/10.4324/9781003024118-4. </w:t>
      </w:r>
    </w:p>
    <w:p w14:paraId="442D3306" w14:textId="058BECCB" w:rsidR="003B5378" w:rsidRDefault="003B5378" w:rsidP="00B03444">
      <w:pPr>
        <w:pStyle w:val="NormalWeb"/>
        <w:spacing w:before="240" w:beforeAutospacing="0" w:line="360" w:lineRule="auto"/>
        <w:jc w:val="both"/>
      </w:pPr>
      <w:proofErr w:type="spellStart"/>
      <w:r>
        <w:t>Dollins</w:t>
      </w:r>
      <w:proofErr w:type="spellEnd"/>
      <w:r>
        <w:t xml:space="preserve">, M. and </w:t>
      </w:r>
      <w:proofErr w:type="spellStart"/>
      <w:r>
        <w:t>Stemmle</w:t>
      </w:r>
      <w:proofErr w:type="spellEnd"/>
      <w:r>
        <w:t xml:space="preserve">, J. 2021 “The evolution of employee communication to employee engagement,” </w:t>
      </w:r>
      <w:r>
        <w:rPr>
          <w:i/>
          <w:iCs/>
        </w:rPr>
        <w:t>Engaging Employees through Strategic Communication</w:t>
      </w:r>
      <w:r>
        <w:t xml:space="preserve">, pp. 197–212. Available at: https://doi.org/10.4324/9781003024118-12. </w:t>
      </w:r>
    </w:p>
    <w:p w14:paraId="150B387C" w14:textId="1C77AB1F" w:rsidR="003B5378" w:rsidRDefault="003B5378" w:rsidP="00B03444">
      <w:pPr>
        <w:pStyle w:val="NormalWeb"/>
        <w:spacing w:before="240" w:beforeAutospacing="0" w:line="360" w:lineRule="auto"/>
        <w:jc w:val="both"/>
      </w:pPr>
      <w:proofErr w:type="spellStart"/>
      <w:r>
        <w:t>Graban</w:t>
      </w:r>
      <w:proofErr w:type="spellEnd"/>
      <w:r>
        <w:t xml:space="preserve">, M. and Toussaint, J. 2018 “Engaging and leading employees,” </w:t>
      </w:r>
      <w:r>
        <w:rPr>
          <w:i/>
          <w:iCs/>
        </w:rPr>
        <w:t>Lean Hospitals</w:t>
      </w:r>
      <w:r>
        <w:t xml:space="preserve">, pp. 237–269. Available at: https://doi.org/10.4324/9781315380827-11. </w:t>
      </w:r>
    </w:p>
    <w:p w14:paraId="6A82B593" w14:textId="502CAC1E" w:rsidR="003B5378" w:rsidRDefault="003B5378" w:rsidP="00B03444">
      <w:pPr>
        <w:pStyle w:val="NormalWeb"/>
        <w:spacing w:before="240" w:beforeAutospacing="0" w:line="360" w:lineRule="auto"/>
        <w:jc w:val="both"/>
      </w:pPr>
      <w:r>
        <w:t xml:space="preserve">Gupta, S. 2019 “Challenges faced by Adecco Employees in handling employee lifecycle,” </w:t>
      </w:r>
      <w:r>
        <w:rPr>
          <w:i/>
          <w:iCs/>
        </w:rPr>
        <w:t>SSRN Electronic Journal</w:t>
      </w:r>
      <w:r>
        <w:t xml:space="preserve"> [Preprint]. Available at: https://doi.org/10.2139/ssrn.3307019. </w:t>
      </w:r>
    </w:p>
    <w:p w14:paraId="337CC203" w14:textId="6067E7D1" w:rsidR="003B5378" w:rsidRDefault="003B5378" w:rsidP="00B03444">
      <w:pPr>
        <w:pStyle w:val="NormalWeb"/>
        <w:spacing w:before="240" w:beforeAutospacing="0" w:line="360" w:lineRule="auto"/>
        <w:jc w:val="both"/>
      </w:pPr>
      <w:r>
        <w:lastRenderedPageBreak/>
        <w:t xml:space="preserve">Hyman, J. 2018 “Empowering and engaging </w:t>
      </w:r>
      <w:proofErr w:type="gramStart"/>
      <w:r>
        <w:t>employees?,</w:t>
      </w:r>
      <w:proofErr w:type="gramEnd"/>
      <w:r>
        <w:t xml:space="preserve">” </w:t>
      </w:r>
      <w:r>
        <w:rPr>
          <w:i/>
          <w:iCs/>
        </w:rPr>
        <w:t xml:space="preserve">Employee </w:t>
      </w:r>
      <w:proofErr w:type="spellStart"/>
      <w:r>
        <w:rPr>
          <w:i/>
          <w:iCs/>
        </w:rPr>
        <w:t>Voiceand</w:t>
      </w:r>
      <w:proofErr w:type="spellEnd"/>
      <w:r>
        <w:rPr>
          <w:i/>
          <w:iCs/>
        </w:rPr>
        <w:t xml:space="preserve"> Participation</w:t>
      </w:r>
      <w:r>
        <w:t xml:space="preserve">, pp. 107–119. Available at: https://doi.org/10.4324/9781315172880-8. </w:t>
      </w:r>
    </w:p>
    <w:p w14:paraId="542BBF5C" w14:textId="4AD9564D" w:rsidR="003B5378" w:rsidRDefault="003B5378" w:rsidP="00B03444">
      <w:pPr>
        <w:pStyle w:val="NormalWeb"/>
        <w:spacing w:before="240" w:beforeAutospacing="0" w:line="360" w:lineRule="auto"/>
        <w:jc w:val="both"/>
      </w:pPr>
      <w:proofErr w:type="spellStart"/>
      <w:r>
        <w:t>Krutz</w:t>
      </w:r>
      <w:proofErr w:type="spellEnd"/>
      <w:r>
        <w:t xml:space="preserve">, R.L. and Fry, A. 2019 </w:t>
      </w:r>
      <w:r>
        <w:rPr>
          <w:i/>
          <w:iCs/>
        </w:rPr>
        <w:t>The CSSLP Prep Guide: Mastering the Certified Secure Software Lifecycle Professional</w:t>
      </w:r>
      <w:r>
        <w:t xml:space="preserve">. Wiley Imprint. </w:t>
      </w:r>
    </w:p>
    <w:p w14:paraId="2D591732" w14:textId="782F53F3" w:rsidR="003B5378" w:rsidRDefault="003B5378" w:rsidP="00B03444">
      <w:pPr>
        <w:pStyle w:val="NormalWeb"/>
        <w:spacing w:before="240" w:beforeAutospacing="0" w:line="360" w:lineRule="auto"/>
        <w:jc w:val="both"/>
      </w:pPr>
      <w:proofErr w:type="spellStart"/>
      <w:r>
        <w:t>Kühnen</w:t>
      </w:r>
      <w:proofErr w:type="spellEnd"/>
      <w:r>
        <w:t xml:space="preserve">, U. 2021 “Engaging employees through corporate social responsibility programs: Aligning Corporate Social Responsibility and employee engagement,” </w:t>
      </w:r>
      <w:r>
        <w:rPr>
          <w:i/>
          <w:iCs/>
        </w:rPr>
        <w:t>Journal of Organizational Psychology</w:t>
      </w:r>
      <w:r>
        <w:t xml:space="preserve">, 21(1). Available at: https://doi.org/10.33423/jop.v21i1.4029. </w:t>
      </w:r>
    </w:p>
    <w:p w14:paraId="4DDBACC9" w14:textId="0D57A0C3" w:rsidR="003B5378" w:rsidRDefault="003B5378" w:rsidP="00B03444">
      <w:pPr>
        <w:pStyle w:val="NormalWeb"/>
        <w:spacing w:before="240" w:beforeAutospacing="0" w:line="360" w:lineRule="auto"/>
        <w:jc w:val="both"/>
      </w:pPr>
      <w:r>
        <w:t xml:space="preserve">Macey, W.H. and Fink, A.A. 2020 </w:t>
      </w:r>
      <w:r>
        <w:rPr>
          <w:i/>
          <w:iCs/>
        </w:rPr>
        <w:t>Employee surveys and sensing: Challenges and opportunities</w:t>
      </w:r>
      <w:r>
        <w:t xml:space="preserve">. New York, NY: Oxford University Press. </w:t>
      </w:r>
    </w:p>
    <w:p w14:paraId="7F8069C4" w14:textId="3B3A48C4" w:rsidR="003B5378" w:rsidRDefault="003B5378" w:rsidP="00B03444">
      <w:pPr>
        <w:pStyle w:val="NormalWeb"/>
        <w:spacing w:before="240" w:beforeAutospacing="0" w:line="360" w:lineRule="auto"/>
        <w:jc w:val="both"/>
      </w:pPr>
      <w:r>
        <w:t xml:space="preserve">Mattox, J.R. 2016 </w:t>
      </w:r>
      <w:r>
        <w:rPr>
          <w:i/>
          <w:iCs/>
        </w:rPr>
        <w:t>Learning analytics</w:t>
      </w:r>
      <w:r>
        <w:t xml:space="preserve">. London: Kogan Page. </w:t>
      </w:r>
    </w:p>
    <w:p w14:paraId="7C6680BB" w14:textId="7BC04BF1" w:rsidR="003B5378" w:rsidRDefault="003B5378" w:rsidP="00B03444">
      <w:pPr>
        <w:pStyle w:val="NormalWeb"/>
        <w:spacing w:before="240" w:beforeAutospacing="0" w:line="360" w:lineRule="auto"/>
        <w:jc w:val="both"/>
      </w:pPr>
      <w:r>
        <w:t xml:space="preserve">Nel, J.H. 2018 “Framework for engaging unionised employees,” </w:t>
      </w:r>
      <w:r>
        <w:rPr>
          <w:i/>
          <w:iCs/>
        </w:rPr>
        <w:t>The Art of Engaging Unionised Employees</w:t>
      </w:r>
      <w:r>
        <w:t xml:space="preserve">, pp. 81–99. Available at: https://doi.org/10.1007/978-981-13-2197-9_6. </w:t>
      </w:r>
    </w:p>
    <w:p w14:paraId="036581F2" w14:textId="5E865464" w:rsidR="003B5378" w:rsidRDefault="003B5378" w:rsidP="00B03444">
      <w:pPr>
        <w:pStyle w:val="NormalWeb"/>
        <w:spacing w:before="240" w:beforeAutospacing="0" w:line="360" w:lineRule="auto"/>
        <w:jc w:val="both"/>
      </w:pPr>
      <w:r>
        <w:t xml:space="preserve">Nel, J.H. and Linde, B. 2018 “Engaging Unionised employees,” </w:t>
      </w:r>
      <w:r>
        <w:rPr>
          <w:i/>
          <w:iCs/>
        </w:rPr>
        <w:t>The Art of Engaging Unionised Employees</w:t>
      </w:r>
      <w:r>
        <w:t xml:space="preserve">, pp. 61–80. Available at: https://doi.org/10.1007/978-981-13-2197-9_5. </w:t>
      </w:r>
    </w:p>
    <w:p w14:paraId="6836C5B4" w14:textId="27613EEC" w:rsidR="003B5378" w:rsidRDefault="003B5378" w:rsidP="00B03444">
      <w:pPr>
        <w:pStyle w:val="NormalWeb"/>
        <w:spacing w:before="240" w:beforeAutospacing="0" w:line="360" w:lineRule="auto"/>
        <w:jc w:val="both"/>
      </w:pPr>
      <w:proofErr w:type="spellStart"/>
      <w:r>
        <w:t>Nikolova</w:t>
      </w:r>
      <w:proofErr w:type="spellEnd"/>
      <w:r>
        <w:t xml:space="preserve">, I. 2019 “Engaging leader – engaged employees? A cross-lagged study on employee engagement,” </w:t>
      </w:r>
      <w:r>
        <w:rPr>
          <w:i/>
          <w:iCs/>
        </w:rPr>
        <w:t>European Management Journal</w:t>
      </w:r>
      <w:r>
        <w:t xml:space="preserve">, 37(6), pp. 772–783. Available at: https://doi.org/10.1016/j.emj.2019.02.004. </w:t>
      </w:r>
    </w:p>
    <w:p w14:paraId="184B6B5A" w14:textId="1883C985" w:rsidR="003B5378" w:rsidRDefault="003B5378" w:rsidP="00B03444">
      <w:pPr>
        <w:pStyle w:val="NormalWeb"/>
        <w:spacing w:before="240" w:beforeAutospacing="0" w:line="360" w:lineRule="auto"/>
        <w:jc w:val="both"/>
      </w:pPr>
      <w:proofErr w:type="spellStart"/>
      <w:r>
        <w:t>Ringard</w:t>
      </w:r>
      <w:proofErr w:type="spellEnd"/>
      <w:r>
        <w:t xml:space="preserve">, J. 2020 </w:t>
      </w:r>
      <w:r>
        <w:rPr>
          <w:i/>
          <w:iCs/>
        </w:rPr>
        <w:t>How people engagement, innovation and performance will transform the world of work</w:t>
      </w:r>
      <w:r>
        <w:t xml:space="preserve">. New York: Kogan Page Inc. </w:t>
      </w:r>
    </w:p>
    <w:p w14:paraId="206210D2" w14:textId="541C39A0" w:rsidR="003B5378" w:rsidRDefault="003B5378" w:rsidP="00B03444">
      <w:pPr>
        <w:pStyle w:val="NormalWeb"/>
        <w:spacing w:before="240" w:beforeAutospacing="0" w:line="360" w:lineRule="auto"/>
        <w:jc w:val="both"/>
      </w:pPr>
      <w:r>
        <w:t xml:space="preserve">Ringo, T. 2020 </w:t>
      </w:r>
      <w:r>
        <w:rPr>
          <w:i/>
          <w:iCs/>
        </w:rPr>
        <w:t>Solving the productivity puzzle: How to engage, motivate and develop employees to improve individual and business performance</w:t>
      </w:r>
      <w:r>
        <w:t xml:space="preserve">. London: Kogan Page Inc. </w:t>
      </w:r>
    </w:p>
    <w:p w14:paraId="6D2C19CF" w14:textId="59C2B3A1" w:rsidR="003B5378" w:rsidRDefault="003B5378" w:rsidP="00B03444">
      <w:pPr>
        <w:pStyle w:val="NormalWeb"/>
        <w:spacing w:before="240" w:beforeAutospacing="0" w:line="360" w:lineRule="auto"/>
        <w:jc w:val="both"/>
      </w:pPr>
      <w:proofErr w:type="spellStart"/>
      <w:r>
        <w:t>Stadter</w:t>
      </w:r>
      <w:proofErr w:type="spellEnd"/>
      <w:r>
        <w:t xml:space="preserve">, F. 2014 </w:t>
      </w:r>
      <w:r>
        <w:rPr>
          <w:i/>
          <w:iCs/>
        </w:rPr>
        <w:t>The role of learning and development in Employer Brand Practices</w:t>
      </w:r>
      <w:r>
        <w:t xml:space="preserve">. </w:t>
      </w:r>
      <w:proofErr w:type="spellStart"/>
      <w:r>
        <w:t>ScholarlyCommons</w:t>
      </w:r>
      <w:proofErr w:type="spellEnd"/>
      <w:r>
        <w:t xml:space="preserve">. </w:t>
      </w:r>
    </w:p>
    <w:p w14:paraId="4FE70C04" w14:textId="3B5611EB" w:rsidR="003B5378" w:rsidRDefault="003B5378" w:rsidP="00B03444">
      <w:pPr>
        <w:pStyle w:val="NormalWeb"/>
        <w:spacing w:before="240" w:beforeAutospacing="0" w:line="360" w:lineRule="auto"/>
        <w:jc w:val="both"/>
      </w:pPr>
      <w:proofErr w:type="spellStart"/>
      <w:r>
        <w:lastRenderedPageBreak/>
        <w:t>Thompsen</w:t>
      </w:r>
      <w:proofErr w:type="spellEnd"/>
      <w:r>
        <w:t xml:space="preserve">, J.A. 2019 </w:t>
      </w:r>
      <w:r>
        <w:rPr>
          <w:i/>
          <w:iCs/>
        </w:rPr>
        <w:t>Managing the employee lifecycle</w:t>
      </w:r>
      <w:r>
        <w:t xml:space="preserve">. London: Routledge. </w:t>
      </w:r>
    </w:p>
    <w:p w14:paraId="233E8C1C" w14:textId="77777777" w:rsidR="00FF2AA9" w:rsidRDefault="00FF2AA9" w:rsidP="00B03444">
      <w:pPr>
        <w:spacing w:before="240"/>
      </w:pPr>
    </w:p>
    <w:p w14:paraId="3191D581" w14:textId="77777777" w:rsidR="00FF2AA9" w:rsidRDefault="00FF2AA9" w:rsidP="00B03444">
      <w:pPr>
        <w:spacing w:before="240"/>
        <w:jc w:val="center"/>
        <w:rPr>
          <w:b/>
          <w:bCs/>
          <w:sz w:val="40"/>
          <w:szCs w:val="36"/>
        </w:rPr>
      </w:pPr>
    </w:p>
    <w:p w14:paraId="42B88CB5" w14:textId="77777777" w:rsidR="00FF2AA9" w:rsidRPr="00A9623C" w:rsidRDefault="00FF2AA9" w:rsidP="00B03444">
      <w:pPr>
        <w:spacing w:before="240"/>
        <w:rPr>
          <w:b/>
          <w:bCs/>
          <w:sz w:val="40"/>
          <w:szCs w:val="36"/>
        </w:rPr>
      </w:pPr>
    </w:p>
    <w:sectPr w:rsidR="00FF2AA9" w:rsidRPr="00A9623C" w:rsidSect="00715C1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D9C1E" w14:textId="77777777" w:rsidR="00AA3AC2" w:rsidRDefault="00AA3AC2" w:rsidP="00CA0B67">
      <w:pPr>
        <w:spacing w:after="0" w:line="240" w:lineRule="auto"/>
      </w:pPr>
      <w:r>
        <w:separator/>
      </w:r>
    </w:p>
  </w:endnote>
  <w:endnote w:type="continuationSeparator" w:id="0">
    <w:p w14:paraId="5E222FAA" w14:textId="77777777" w:rsidR="00AA3AC2" w:rsidRDefault="00AA3AC2" w:rsidP="00CA0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612417"/>
      <w:docPartObj>
        <w:docPartGallery w:val="Page Numbers (Bottom of Page)"/>
        <w:docPartUnique/>
      </w:docPartObj>
    </w:sdtPr>
    <w:sdtEndPr/>
    <w:sdtContent>
      <w:p w14:paraId="1FB34265" w14:textId="77777777" w:rsidR="00CA0B67" w:rsidRDefault="00CA0B67">
        <w:pPr>
          <w:pStyle w:val="Footer"/>
          <w:jc w:val="center"/>
        </w:pPr>
        <w:r>
          <w:fldChar w:fldCharType="begin"/>
        </w:r>
        <w:r>
          <w:instrText>PAGE   \* MERGEFORMAT</w:instrText>
        </w:r>
        <w:r>
          <w:fldChar w:fldCharType="separate"/>
        </w:r>
        <w:r>
          <w:t>2</w:t>
        </w:r>
        <w:r>
          <w:fldChar w:fldCharType="end"/>
        </w:r>
      </w:p>
    </w:sdtContent>
  </w:sdt>
  <w:p w14:paraId="3B06D21E" w14:textId="77777777" w:rsidR="00CA0B67" w:rsidRDefault="00CA0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1BE3A" w14:textId="77777777" w:rsidR="00AA3AC2" w:rsidRDefault="00AA3AC2" w:rsidP="00CA0B67">
      <w:pPr>
        <w:spacing w:after="0" w:line="240" w:lineRule="auto"/>
      </w:pPr>
      <w:r>
        <w:separator/>
      </w:r>
    </w:p>
  </w:footnote>
  <w:footnote w:type="continuationSeparator" w:id="0">
    <w:p w14:paraId="7F7C17E6" w14:textId="77777777" w:rsidR="00AA3AC2" w:rsidRDefault="00AA3AC2" w:rsidP="00CA0B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33159"/>
    <w:multiLevelType w:val="hybridMultilevel"/>
    <w:tmpl w:val="CF5A6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AA7366"/>
    <w:multiLevelType w:val="hybridMultilevel"/>
    <w:tmpl w:val="B5CC08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4484362">
    <w:abstractNumId w:val="0"/>
  </w:num>
  <w:num w:numId="2" w16cid:durableId="348996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wNzA2MjA3NjM3MjNU0lEKTi0uzszPAykwrgUAJHYyRCwAAAA="/>
  </w:docVars>
  <w:rsids>
    <w:rsidRoot w:val="00883EE5"/>
    <w:rsid w:val="000031C0"/>
    <w:rsid w:val="00011157"/>
    <w:rsid w:val="00015430"/>
    <w:rsid w:val="00030C89"/>
    <w:rsid w:val="00050730"/>
    <w:rsid w:val="0009367D"/>
    <w:rsid w:val="00094C09"/>
    <w:rsid w:val="00095020"/>
    <w:rsid w:val="000A7E69"/>
    <w:rsid w:val="000B7C46"/>
    <w:rsid w:val="000D5387"/>
    <w:rsid w:val="000E0FF3"/>
    <w:rsid w:val="000E2864"/>
    <w:rsid w:val="000F76E8"/>
    <w:rsid w:val="00112883"/>
    <w:rsid w:val="00115B9C"/>
    <w:rsid w:val="00117972"/>
    <w:rsid w:val="0012022A"/>
    <w:rsid w:val="00122129"/>
    <w:rsid w:val="00143D6E"/>
    <w:rsid w:val="00175AA0"/>
    <w:rsid w:val="00180115"/>
    <w:rsid w:val="0019227D"/>
    <w:rsid w:val="00195318"/>
    <w:rsid w:val="001A49AD"/>
    <w:rsid w:val="001C00D5"/>
    <w:rsid w:val="001C00F1"/>
    <w:rsid w:val="001D46F0"/>
    <w:rsid w:val="001F776F"/>
    <w:rsid w:val="00204812"/>
    <w:rsid w:val="00210EE2"/>
    <w:rsid w:val="00226494"/>
    <w:rsid w:val="00276C53"/>
    <w:rsid w:val="00277571"/>
    <w:rsid w:val="00297897"/>
    <w:rsid w:val="002B408E"/>
    <w:rsid w:val="002C5D08"/>
    <w:rsid w:val="002D1157"/>
    <w:rsid w:val="002D7E59"/>
    <w:rsid w:val="00301981"/>
    <w:rsid w:val="003072F8"/>
    <w:rsid w:val="003077EA"/>
    <w:rsid w:val="00307C25"/>
    <w:rsid w:val="00323D03"/>
    <w:rsid w:val="003340FB"/>
    <w:rsid w:val="003701D5"/>
    <w:rsid w:val="003938A0"/>
    <w:rsid w:val="003946FF"/>
    <w:rsid w:val="00395BE9"/>
    <w:rsid w:val="003A70F6"/>
    <w:rsid w:val="003B08EA"/>
    <w:rsid w:val="003B3AE8"/>
    <w:rsid w:val="003B5378"/>
    <w:rsid w:val="003C22F7"/>
    <w:rsid w:val="003C68D4"/>
    <w:rsid w:val="003D1608"/>
    <w:rsid w:val="003D2B00"/>
    <w:rsid w:val="003E2CFB"/>
    <w:rsid w:val="003F1697"/>
    <w:rsid w:val="00400E06"/>
    <w:rsid w:val="004262CC"/>
    <w:rsid w:val="004319AD"/>
    <w:rsid w:val="0043373E"/>
    <w:rsid w:val="0043695C"/>
    <w:rsid w:val="00495522"/>
    <w:rsid w:val="004B344F"/>
    <w:rsid w:val="004F2000"/>
    <w:rsid w:val="005053B3"/>
    <w:rsid w:val="00511292"/>
    <w:rsid w:val="0051155A"/>
    <w:rsid w:val="00526C71"/>
    <w:rsid w:val="00533A43"/>
    <w:rsid w:val="00542D2D"/>
    <w:rsid w:val="00555D64"/>
    <w:rsid w:val="00577621"/>
    <w:rsid w:val="005903CE"/>
    <w:rsid w:val="00597BA8"/>
    <w:rsid w:val="005A1511"/>
    <w:rsid w:val="005B7F11"/>
    <w:rsid w:val="005C2AA7"/>
    <w:rsid w:val="005C69F1"/>
    <w:rsid w:val="005E2109"/>
    <w:rsid w:val="005E7587"/>
    <w:rsid w:val="005F2FF3"/>
    <w:rsid w:val="005F7A42"/>
    <w:rsid w:val="00614EB5"/>
    <w:rsid w:val="0061656F"/>
    <w:rsid w:val="006167FE"/>
    <w:rsid w:val="00634B79"/>
    <w:rsid w:val="006445E0"/>
    <w:rsid w:val="00667B98"/>
    <w:rsid w:val="00673565"/>
    <w:rsid w:val="0069491F"/>
    <w:rsid w:val="006B1E3D"/>
    <w:rsid w:val="006C2F6D"/>
    <w:rsid w:val="006D2F00"/>
    <w:rsid w:val="006E0162"/>
    <w:rsid w:val="00715C1E"/>
    <w:rsid w:val="007207EB"/>
    <w:rsid w:val="00743652"/>
    <w:rsid w:val="00745A24"/>
    <w:rsid w:val="00761077"/>
    <w:rsid w:val="007701D9"/>
    <w:rsid w:val="00774C5F"/>
    <w:rsid w:val="00781E54"/>
    <w:rsid w:val="00792555"/>
    <w:rsid w:val="007B114A"/>
    <w:rsid w:val="007C0FBD"/>
    <w:rsid w:val="00811318"/>
    <w:rsid w:val="008164F1"/>
    <w:rsid w:val="008220C9"/>
    <w:rsid w:val="00850A85"/>
    <w:rsid w:val="00853ECE"/>
    <w:rsid w:val="00864D10"/>
    <w:rsid w:val="00866BCC"/>
    <w:rsid w:val="00883EE5"/>
    <w:rsid w:val="008846EC"/>
    <w:rsid w:val="008A6855"/>
    <w:rsid w:val="008B0AE2"/>
    <w:rsid w:val="008C3C02"/>
    <w:rsid w:val="008E5AD2"/>
    <w:rsid w:val="008F1093"/>
    <w:rsid w:val="008F4895"/>
    <w:rsid w:val="009010D8"/>
    <w:rsid w:val="009076A1"/>
    <w:rsid w:val="009263BB"/>
    <w:rsid w:val="00957E74"/>
    <w:rsid w:val="00967F1B"/>
    <w:rsid w:val="009919F9"/>
    <w:rsid w:val="009B7679"/>
    <w:rsid w:val="009C7F35"/>
    <w:rsid w:val="009E6882"/>
    <w:rsid w:val="009E7C42"/>
    <w:rsid w:val="009F60EE"/>
    <w:rsid w:val="009F6E36"/>
    <w:rsid w:val="00A11D21"/>
    <w:rsid w:val="00A311CF"/>
    <w:rsid w:val="00A34286"/>
    <w:rsid w:val="00A367BF"/>
    <w:rsid w:val="00A415C0"/>
    <w:rsid w:val="00A45DDF"/>
    <w:rsid w:val="00A64FC2"/>
    <w:rsid w:val="00A70796"/>
    <w:rsid w:val="00A9623C"/>
    <w:rsid w:val="00AA32AA"/>
    <w:rsid w:val="00AA3AC2"/>
    <w:rsid w:val="00AC19B2"/>
    <w:rsid w:val="00AC20E7"/>
    <w:rsid w:val="00AD4057"/>
    <w:rsid w:val="00AD42B1"/>
    <w:rsid w:val="00AE30CD"/>
    <w:rsid w:val="00B01590"/>
    <w:rsid w:val="00B03444"/>
    <w:rsid w:val="00B042B8"/>
    <w:rsid w:val="00B1170A"/>
    <w:rsid w:val="00B16174"/>
    <w:rsid w:val="00B24690"/>
    <w:rsid w:val="00B2759E"/>
    <w:rsid w:val="00B32829"/>
    <w:rsid w:val="00B546FF"/>
    <w:rsid w:val="00B81D42"/>
    <w:rsid w:val="00B87E01"/>
    <w:rsid w:val="00B87E78"/>
    <w:rsid w:val="00BD4F82"/>
    <w:rsid w:val="00BE7483"/>
    <w:rsid w:val="00C15A14"/>
    <w:rsid w:val="00C31B3F"/>
    <w:rsid w:val="00C74447"/>
    <w:rsid w:val="00C80F1E"/>
    <w:rsid w:val="00C824C3"/>
    <w:rsid w:val="00C86806"/>
    <w:rsid w:val="00CA0B67"/>
    <w:rsid w:val="00CA5916"/>
    <w:rsid w:val="00CD126A"/>
    <w:rsid w:val="00CE126D"/>
    <w:rsid w:val="00CE45B0"/>
    <w:rsid w:val="00CE7A5C"/>
    <w:rsid w:val="00CF3FE5"/>
    <w:rsid w:val="00D0644B"/>
    <w:rsid w:val="00D12906"/>
    <w:rsid w:val="00D13C70"/>
    <w:rsid w:val="00D24C23"/>
    <w:rsid w:val="00D26417"/>
    <w:rsid w:val="00D52357"/>
    <w:rsid w:val="00D574E5"/>
    <w:rsid w:val="00D9059E"/>
    <w:rsid w:val="00DA1ED6"/>
    <w:rsid w:val="00DA4DF5"/>
    <w:rsid w:val="00DD05E7"/>
    <w:rsid w:val="00E01342"/>
    <w:rsid w:val="00E11B39"/>
    <w:rsid w:val="00E12A6D"/>
    <w:rsid w:val="00E35D27"/>
    <w:rsid w:val="00E35F41"/>
    <w:rsid w:val="00E472E0"/>
    <w:rsid w:val="00E94F24"/>
    <w:rsid w:val="00E97858"/>
    <w:rsid w:val="00EC283B"/>
    <w:rsid w:val="00F04373"/>
    <w:rsid w:val="00F22520"/>
    <w:rsid w:val="00F739A4"/>
    <w:rsid w:val="00F81035"/>
    <w:rsid w:val="00FC0A47"/>
    <w:rsid w:val="00FD6D96"/>
    <w:rsid w:val="00FE1F74"/>
    <w:rsid w:val="00FE5915"/>
    <w:rsid w:val="00FF0C88"/>
    <w:rsid w:val="00FF2A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B6E65"/>
  <w15:chartTrackingRefBased/>
  <w15:docId w15:val="{377B71AE-E19C-4E94-94D5-2706857F4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7EB"/>
    <w:rPr>
      <w:rFonts w:ascii="Arial" w:hAnsi="Arial"/>
    </w:rPr>
  </w:style>
  <w:style w:type="paragraph" w:styleId="Heading1">
    <w:name w:val="heading 1"/>
    <w:basedOn w:val="Normal"/>
    <w:next w:val="Normal"/>
    <w:link w:val="Heading1Char"/>
    <w:uiPriority w:val="9"/>
    <w:qFormat/>
    <w:rsid w:val="00C824C3"/>
    <w:pPr>
      <w:spacing w:before="300" w:after="40"/>
      <w:outlineLvl w:val="0"/>
    </w:pPr>
    <w:rPr>
      <w:b/>
      <w:color w:val="ED7D31" w:themeColor="accent2"/>
      <w:spacing w:val="5"/>
      <w:sz w:val="32"/>
      <w:szCs w:val="32"/>
    </w:rPr>
  </w:style>
  <w:style w:type="paragraph" w:styleId="Heading2">
    <w:name w:val="heading 2"/>
    <w:basedOn w:val="Normal"/>
    <w:next w:val="Normal"/>
    <w:link w:val="Heading2Char"/>
    <w:uiPriority w:val="9"/>
    <w:semiHidden/>
    <w:unhideWhenUsed/>
    <w:qFormat/>
    <w:rsid w:val="00C824C3"/>
    <w:pPr>
      <w:spacing w:after="0"/>
      <w:outlineLvl w:val="1"/>
    </w:pPr>
    <w:rPr>
      <w:color w:val="70AD47" w:themeColor="accent6"/>
      <w:spacing w:val="5"/>
      <w:sz w:val="28"/>
      <w:szCs w:val="28"/>
    </w:rPr>
  </w:style>
  <w:style w:type="paragraph" w:styleId="Heading3">
    <w:name w:val="heading 3"/>
    <w:basedOn w:val="Normal"/>
    <w:next w:val="Normal"/>
    <w:link w:val="Heading3Char"/>
    <w:uiPriority w:val="9"/>
    <w:semiHidden/>
    <w:unhideWhenUsed/>
    <w:qFormat/>
    <w:rsid w:val="00B24690"/>
    <w:pPr>
      <w:spacing w:after="0"/>
      <w:outlineLvl w:val="2"/>
    </w:pPr>
    <w:rPr>
      <w:smallCaps/>
      <w:spacing w:val="5"/>
      <w:szCs w:val="24"/>
    </w:rPr>
  </w:style>
  <w:style w:type="paragraph" w:styleId="Heading4">
    <w:name w:val="heading 4"/>
    <w:basedOn w:val="Normal"/>
    <w:next w:val="Normal"/>
    <w:link w:val="Heading4Char"/>
    <w:uiPriority w:val="9"/>
    <w:semiHidden/>
    <w:unhideWhenUsed/>
    <w:qFormat/>
    <w:rsid w:val="00B24690"/>
    <w:pPr>
      <w:spacing w:after="0"/>
      <w:outlineLvl w:val="3"/>
    </w:pPr>
    <w:rPr>
      <w:i/>
      <w:iCs/>
      <w:smallCaps/>
      <w:spacing w:val="10"/>
    </w:rPr>
  </w:style>
  <w:style w:type="paragraph" w:styleId="Heading5">
    <w:name w:val="heading 5"/>
    <w:basedOn w:val="Normal"/>
    <w:next w:val="Normal"/>
    <w:link w:val="Heading5Char"/>
    <w:uiPriority w:val="9"/>
    <w:semiHidden/>
    <w:unhideWhenUsed/>
    <w:qFormat/>
    <w:rsid w:val="00B24690"/>
    <w:pPr>
      <w:spacing w:after="0"/>
      <w:outlineLvl w:val="4"/>
    </w:pPr>
    <w:rPr>
      <w:smallCaps/>
      <w:color w:val="538135" w:themeColor="accent6" w:themeShade="BF"/>
      <w:spacing w:val="10"/>
    </w:rPr>
  </w:style>
  <w:style w:type="paragraph" w:styleId="Heading6">
    <w:name w:val="heading 6"/>
    <w:basedOn w:val="Normal"/>
    <w:next w:val="Normal"/>
    <w:link w:val="Heading6Char"/>
    <w:uiPriority w:val="9"/>
    <w:semiHidden/>
    <w:unhideWhenUsed/>
    <w:qFormat/>
    <w:rsid w:val="00B24690"/>
    <w:pPr>
      <w:spacing w:after="0"/>
      <w:outlineLvl w:val="5"/>
    </w:pPr>
    <w:rPr>
      <w:smallCaps/>
      <w:color w:val="70AD47" w:themeColor="accent6"/>
      <w:spacing w:val="5"/>
    </w:rPr>
  </w:style>
  <w:style w:type="paragraph" w:styleId="Heading7">
    <w:name w:val="heading 7"/>
    <w:basedOn w:val="Normal"/>
    <w:next w:val="Normal"/>
    <w:link w:val="Heading7Char"/>
    <w:uiPriority w:val="9"/>
    <w:semiHidden/>
    <w:unhideWhenUsed/>
    <w:qFormat/>
    <w:rsid w:val="00B24690"/>
    <w:pPr>
      <w:spacing w:after="0"/>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B24690"/>
    <w:pPr>
      <w:spacing w:after="0"/>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B24690"/>
    <w:pPr>
      <w:spacing w:after="0"/>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4C3"/>
    <w:rPr>
      <w:b/>
      <w:color w:val="ED7D31" w:themeColor="accent2"/>
      <w:spacing w:val="5"/>
      <w:sz w:val="32"/>
      <w:szCs w:val="32"/>
    </w:rPr>
  </w:style>
  <w:style w:type="character" w:customStyle="1" w:styleId="Heading2Char">
    <w:name w:val="Heading 2 Char"/>
    <w:basedOn w:val="DefaultParagraphFont"/>
    <w:link w:val="Heading2"/>
    <w:uiPriority w:val="9"/>
    <w:semiHidden/>
    <w:rsid w:val="00C824C3"/>
    <w:rPr>
      <w:color w:val="70AD47" w:themeColor="accent6"/>
      <w:spacing w:val="5"/>
      <w:sz w:val="28"/>
      <w:szCs w:val="28"/>
    </w:rPr>
  </w:style>
  <w:style w:type="character" w:customStyle="1" w:styleId="Heading3Char">
    <w:name w:val="Heading 3 Char"/>
    <w:basedOn w:val="DefaultParagraphFont"/>
    <w:link w:val="Heading3"/>
    <w:uiPriority w:val="9"/>
    <w:semiHidden/>
    <w:rsid w:val="00B24690"/>
    <w:rPr>
      <w:smallCaps/>
      <w:spacing w:val="5"/>
      <w:sz w:val="24"/>
      <w:szCs w:val="24"/>
    </w:rPr>
  </w:style>
  <w:style w:type="character" w:customStyle="1" w:styleId="Heading4Char">
    <w:name w:val="Heading 4 Char"/>
    <w:basedOn w:val="DefaultParagraphFont"/>
    <w:link w:val="Heading4"/>
    <w:uiPriority w:val="9"/>
    <w:semiHidden/>
    <w:rsid w:val="00B24690"/>
    <w:rPr>
      <w:i/>
      <w:iCs/>
      <w:smallCaps/>
      <w:spacing w:val="10"/>
      <w:sz w:val="22"/>
      <w:szCs w:val="22"/>
    </w:rPr>
  </w:style>
  <w:style w:type="character" w:customStyle="1" w:styleId="Heading5Char">
    <w:name w:val="Heading 5 Char"/>
    <w:basedOn w:val="DefaultParagraphFont"/>
    <w:link w:val="Heading5"/>
    <w:uiPriority w:val="9"/>
    <w:semiHidden/>
    <w:rsid w:val="00B2469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B2469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B24690"/>
    <w:rPr>
      <w:b/>
      <w:bCs/>
      <w:smallCaps/>
      <w:color w:val="70AD47" w:themeColor="accent6"/>
      <w:spacing w:val="10"/>
    </w:rPr>
  </w:style>
  <w:style w:type="character" w:customStyle="1" w:styleId="Heading8Char">
    <w:name w:val="Heading 8 Char"/>
    <w:basedOn w:val="DefaultParagraphFont"/>
    <w:link w:val="Heading8"/>
    <w:uiPriority w:val="9"/>
    <w:semiHidden/>
    <w:rsid w:val="00B24690"/>
    <w:rPr>
      <w:b/>
      <w:bCs/>
      <w:i/>
      <w:iCs/>
      <w:smallCaps/>
      <w:color w:val="538135" w:themeColor="accent6" w:themeShade="BF"/>
    </w:rPr>
  </w:style>
  <w:style w:type="character" w:customStyle="1" w:styleId="Heading9Char">
    <w:name w:val="Heading 9 Char"/>
    <w:basedOn w:val="DefaultParagraphFont"/>
    <w:link w:val="Heading9"/>
    <w:uiPriority w:val="9"/>
    <w:semiHidden/>
    <w:rsid w:val="00B24690"/>
    <w:rPr>
      <w:b/>
      <w:bCs/>
      <w:i/>
      <w:iCs/>
      <w:smallCaps/>
      <w:color w:val="385623" w:themeColor="accent6" w:themeShade="80"/>
    </w:rPr>
  </w:style>
  <w:style w:type="paragraph" w:styleId="Caption">
    <w:name w:val="caption"/>
    <w:basedOn w:val="Normal"/>
    <w:next w:val="Normal"/>
    <w:uiPriority w:val="35"/>
    <w:semiHidden/>
    <w:unhideWhenUsed/>
    <w:qFormat/>
    <w:rsid w:val="00B24690"/>
    <w:rPr>
      <w:b/>
      <w:bCs/>
      <w:caps/>
      <w:sz w:val="16"/>
      <w:szCs w:val="16"/>
    </w:rPr>
  </w:style>
  <w:style w:type="paragraph" w:styleId="Title">
    <w:name w:val="Title"/>
    <w:basedOn w:val="Normal"/>
    <w:next w:val="Normal"/>
    <w:link w:val="TitleChar"/>
    <w:uiPriority w:val="10"/>
    <w:qFormat/>
    <w:rsid w:val="00B2469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B24690"/>
    <w:rPr>
      <w:smallCaps/>
      <w:color w:val="262626" w:themeColor="text1" w:themeTint="D9"/>
      <w:sz w:val="52"/>
      <w:szCs w:val="52"/>
    </w:rPr>
  </w:style>
  <w:style w:type="paragraph" w:styleId="Subtitle">
    <w:name w:val="Subtitle"/>
    <w:basedOn w:val="Normal"/>
    <w:next w:val="Normal"/>
    <w:link w:val="SubtitleChar"/>
    <w:uiPriority w:val="11"/>
    <w:qFormat/>
    <w:rsid w:val="00B2469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24690"/>
    <w:rPr>
      <w:rFonts w:asciiTheme="majorHAnsi" w:eastAsiaTheme="majorEastAsia" w:hAnsiTheme="majorHAnsi" w:cstheme="majorBidi"/>
    </w:rPr>
  </w:style>
  <w:style w:type="character" w:styleId="Strong">
    <w:name w:val="Strong"/>
    <w:uiPriority w:val="22"/>
    <w:qFormat/>
    <w:rsid w:val="00B24690"/>
    <w:rPr>
      <w:b/>
      <w:bCs/>
      <w:color w:val="70AD47" w:themeColor="accent6"/>
    </w:rPr>
  </w:style>
  <w:style w:type="character" w:styleId="Emphasis">
    <w:name w:val="Emphasis"/>
    <w:uiPriority w:val="20"/>
    <w:qFormat/>
    <w:rsid w:val="00B24690"/>
    <w:rPr>
      <w:b/>
      <w:bCs/>
      <w:i/>
      <w:iCs/>
      <w:spacing w:val="10"/>
    </w:rPr>
  </w:style>
  <w:style w:type="paragraph" w:styleId="NoSpacing">
    <w:name w:val="No Spacing"/>
    <w:uiPriority w:val="1"/>
    <w:rsid w:val="00B24690"/>
    <w:pPr>
      <w:spacing w:after="0" w:line="240" w:lineRule="auto"/>
    </w:pPr>
  </w:style>
  <w:style w:type="paragraph" w:styleId="ListParagraph">
    <w:name w:val="List Paragraph"/>
    <w:basedOn w:val="Normal"/>
    <w:uiPriority w:val="34"/>
    <w:qFormat/>
    <w:rsid w:val="00B24690"/>
    <w:pPr>
      <w:ind w:left="720"/>
      <w:contextualSpacing/>
    </w:pPr>
  </w:style>
  <w:style w:type="paragraph" w:styleId="Quote">
    <w:name w:val="Quote"/>
    <w:basedOn w:val="Normal"/>
    <w:next w:val="Normal"/>
    <w:link w:val="QuoteChar"/>
    <w:uiPriority w:val="29"/>
    <w:qFormat/>
    <w:rsid w:val="00B24690"/>
    <w:rPr>
      <w:i/>
      <w:iCs/>
    </w:rPr>
  </w:style>
  <w:style w:type="character" w:customStyle="1" w:styleId="QuoteChar">
    <w:name w:val="Quote Char"/>
    <w:basedOn w:val="DefaultParagraphFont"/>
    <w:link w:val="Quote"/>
    <w:uiPriority w:val="29"/>
    <w:rsid w:val="00B24690"/>
    <w:rPr>
      <w:i/>
      <w:iCs/>
    </w:rPr>
  </w:style>
  <w:style w:type="paragraph" w:styleId="IntenseQuote">
    <w:name w:val="Intense Quote"/>
    <w:basedOn w:val="Normal"/>
    <w:next w:val="Normal"/>
    <w:link w:val="IntenseQuoteChar"/>
    <w:uiPriority w:val="30"/>
    <w:qFormat/>
    <w:rsid w:val="00B2469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B24690"/>
    <w:rPr>
      <w:b/>
      <w:bCs/>
      <w:i/>
      <w:iCs/>
    </w:rPr>
  </w:style>
  <w:style w:type="character" w:styleId="SubtleEmphasis">
    <w:name w:val="Subtle Emphasis"/>
    <w:uiPriority w:val="19"/>
    <w:qFormat/>
    <w:rsid w:val="00B24690"/>
    <w:rPr>
      <w:i/>
      <w:iCs/>
    </w:rPr>
  </w:style>
  <w:style w:type="character" w:styleId="IntenseEmphasis">
    <w:name w:val="Intense Emphasis"/>
    <w:uiPriority w:val="21"/>
    <w:qFormat/>
    <w:rsid w:val="00B24690"/>
    <w:rPr>
      <w:b/>
      <w:bCs/>
      <w:i/>
      <w:iCs/>
      <w:color w:val="70AD47" w:themeColor="accent6"/>
      <w:spacing w:val="10"/>
    </w:rPr>
  </w:style>
  <w:style w:type="character" w:styleId="SubtleReference">
    <w:name w:val="Subtle Reference"/>
    <w:uiPriority w:val="31"/>
    <w:qFormat/>
    <w:rsid w:val="00B24690"/>
    <w:rPr>
      <w:b/>
      <w:bCs/>
    </w:rPr>
  </w:style>
  <w:style w:type="character" w:styleId="IntenseReference">
    <w:name w:val="Intense Reference"/>
    <w:uiPriority w:val="32"/>
    <w:qFormat/>
    <w:rsid w:val="00B24690"/>
    <w:rPr>
      <w:b/>
      <w:bCs/>
      <w:smallCaps/>
      <w:spacing w:val="5"/>
      <w:sz w:val="22"/>
      <w:szCs w:val="22"/>
      <w:u w:val="single"/>
    </w:rPr>
  </w:style>
  <w:style w:type="character" w:styleId="BookTitle">
    <w:name w:val="Book Title"/>
    <w:uiPriority w:val="33"/>
    <w:qFormat/>
    <w:rsid w:val="00B24690"/>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B24690"/>
    <w:pPr>
      <w:outlineLvl w:val="9"/>
    </w:pPr>
  </w:style>
  <w:style w:type="paragraph" w:styleId="NormalWeb">
    <w:name w:val="Normal (Web)"/>
    <w:basedOn w:val="Normal"/>
    <w:uiPriority w:val="99"/>
    <w:unhideWhenUsed/>
    <w:rsid w:val="008E5AD2"/>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115B9C"/>
    <w:pPr>
      <w:spacing w:after="100"/>
    </w:pPr>
  </w:style>
  <w:style w:type="character" w:styleId="Hyperlink">
    <w:name w:val="Hyperlink"/>
    <w:basedOn w:val="DefaultParagraphFont"/>
    <w:uiPriority w:val="99"/>
    <w:unhideWhenUsed/>
    <w:rsid w:val="00115B9C"/>
    <w:rPr>
      <w:color w:val="0563C1" w:themeColor="hyperlink"/>
      <w:u w:val="single"/>
    </w:rPr>
  </w:style>
  <w:style w:type="paragraph" w:styleId="Header">
    <w:name w:val="header"/>
    <w:basedOn w:val="Normal"/>
    <w:link w:val="HeaderChar"/>
    <w:uiPriority w:val="99"/>
    <w:unhideWhenUsed/>
    <w:rsid w:val="00CA0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B67"/>
  </w:style>
  <w:style w:type="paragraph" w:styleId="Footer">
    <w:name w:val="footer"/>
    <w:basedOn w:val="Normal"/>
    <w:link w:val="FooterChar"/>
    <w:uiPriority w:val="99"/>
    <w:unhideWhenUsed/>
    <w:rsid w:val="00CA0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616247">
      <w:bodyDiv w:val="1"/>
      <w:marLeft w:val="0"/>
      <w:marRight w:val="0"/>
      <w:marTop w:val="0"/>
      <w:marBottom w:val="0"/>
      <w:divBdr>
        <w:top w:val="none" w:sz="0" w:space="0" w:color="auto"/>
        <w:left w:val="none" w:sz="0" w:space="0" w:color="auto"/>
        <w:bottom w:val="none" w:sz="0" w:space="0" w:color="auto"/>
        <w:right w:val="none" w:sz="0" w:space="0" w:color="auto"/>
      </w:divBdr>
    </w:div>
    <w:div w:id="2009667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D6351-1BD9-49F3-8D48-AD461B0E7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10</Pages>
  <Words>2593</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Rubel Ahmed</cp:lastModifiedBy>
  <cp:revision>4</cp:revision>
  <dcterms:created xsi:type="dcterms:W3CDTF">2023-02-26T07:32:00Z</dcterms:created>
  <dcterms:modified xsi:type="dcterms:W3CDTF">2023-02-28T12:07:00Z</dcterms:modified>
</cp:coreProperties>
</file>